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围场县环保局秸秆焚烧及河道</w:t>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highlight w:val="none"/>
          <w:lang w:val="en-US" w:eastAsia="zh-CN"/>
        </w:rPr>
        <w:t>可视化监管系统</w:t>
      </w:r>
      <w:r>
        <w:rPr>
          <w:rFonts w:hint="eastAsia" w:ascii="宋体" w:hAnsi="宋体" w:eastAsia="宋体" w:cs="宋体"/>
          <w:b/>
          <w:bCs/>
          <w:sz w:val="52"/>
          <w:szCs w:val="52"/>
          <w:lang w:val="en-US" w:eastAsia="zh-CN"/>
        </w:rPr>
        <w:t>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26</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260</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26</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260</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_Toc4808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_Toc4808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_Toc2246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_Toc2246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_Toc9227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_Toc9227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_Toc25337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_Toc25337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_Toc701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_Toc701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_Toc457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_Toc457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_Toc23560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_Toc23560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_Toc12243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_Toc12243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_Toc32025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_Toc32025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_Toc14857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_Toc14857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_Toc28913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_Toc28913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_Toc24344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_Toc24344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_Toc5040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_Toc5040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_Toc1076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_Toc1076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_Toc9589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_Toc9589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_Toc20538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_Toc20538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_Toc12158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_Toc12158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_Toc4453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_Toc4453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_Toc20812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_Toc20812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_Toc29363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_Toc29363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_Toc30039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_Toc30039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_Toc23119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_Toc23119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lang w:val="en-US" w:eastAsia="zh-CN"/>
        </w:rPr>
      </w:pPr>
      <w:bookmarkStart w:id="0" w:name="_Toc29565"/>
      <w:bookmarkStart w:id="1" w:name="_Toc13259"/>
      <w:bookmarkStart w:id="2" w:name="_Toc27878"/>
      <w:bookmarkStart w:id="3" w:name="_Toc7123"/>
      <w:bookmarkStart w:id="4" w:name="_Toc32502"/>
      <w:bookmarkStart w:id="5" w:name="_Toc25062"/>
      <w:r>
        <w:rPr>
          <w:rFonts w:hint="eastAsia" w:ascii="宋体" w:hAnsi="宋体" w:eastAsia="宋体" w:cs="宋体"/>
          <w:b/>
          <w:bCs/>
          <w:sz w:val="36"/>
          <w:szCs w:val="36"/>
          <w:highlight w:val="none"/>
          <w:lang w:val="en-US" w:eastAsia="zh-CN"/>
        </w:rPr>
        <w:t>围场县环保局秸秆焚烧及河道可视化监管系统</w:t>
      </w:r>
      <w:bookmarkEnd w:id="0"/>
      <w:bookmarkEnd w:id="1"/>
      <w:bookmarkEnd w:id="2"/>
    </w:p>
    <w:p>
      <w:pPr>
        <w:jc w:val="center"/>
        <w:outlineLvl w:val="0"/>
        <w:rPr>
          <w:rFonts w:hint="eastAsia" w:ascii="宋体" w:hAnsi="宋体" w:eastAsia="宋体" w:cs="宋体"/>
          <w:b/>
          <w:bCs/>
          <w:sz w:val="36"/>
          <w:szCs w:val="36"/>
          <w:lang w:eastAsia="zh-CN"/>
        </w:rPr>
      </w:pPr>
      <w:bookmarkStart w:id="6" w:name="_Toc3241"/>
      <w:bookmarkStart w:id="7" w:name="_Toc26503"/>
      <w:bookmarkStart w:id="8" w:name="_Toc22985"/>
      <w:r>
        <w:rPr>
          <w:rFonts w:hint="eastAsia" w:ascii="宋体" w:hAnsi="宋体" w:eastAsia="宋体" w:cs="宋体"/>
          <w:b/>
          <w:bCs/>
          <w:sz w:val="36"/>
          <w:szCs w:val="36"/>
          <w:lang w:eastAsia="zh-CN"/>
        </w:rPr>
        <w:t>一般债券资金绩效评价报告</w:t>
      </w:r>
      <w:bookmarkEnd w:id="3"/>
      <w:bookmarkEnd w:id="4"/>
      <w:bookmarkEnd w:id="5"/>
      <w:bookmarkEnd w:id="6"/>
      <w:bookmarkEnd w:id="7"/>
      <w:bookmarkEnd w:id="8"/>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highlight w:val="none"/>
          <w:lang w:val="en-US" w:eastAsia="zh-CN"/>
        </w:rPr>
        <w:t>围场县环保局秸秆焚烧及河道可视化监管系统</w:t>
      </w:r>
      <w:r>
        <w:rPr>
          <w:rFonts w:hint="eastAsia" w:ascii="宋体" w:hAnsi="宋体" w:eastAsia="宋体" w:cs="宋体"/>
          <w:sz w:val="28"/>
          <w:szCs w:val="28"/>
          <w:lang w:val="en-US" w:eastAsia="zh-CN"/>
        </w:rPr>
        <w:t>工程项目新增一般债券资金使用情况做绩效评价工作。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9" w:name="_Toc4808"/>
      <w:bookmarkStart w:id="10"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9"/>
      <w:bookmarkEnd w:id="10"/>
    </w:p>
    <w:p>
      <w:pPr>
        <w:spacing w:line="600" w:lineRule="exact"/>
        <w:ind w:firstLine="643" w:firstLineChars="200"/>
        <w:outlineLvl w:val="1"/>
        <w:rPr>
          <w:rFonts w:hint="eastAsia" w:ascii="楷体" w:hAnsi="楷体" w:eastAsia="楷体" w:cs="楷体"/>
          <w:b/>
          <w:bCs w:val="0"/>
          <w:sz w:val="32"/>
          <w:szCs w:val="32"/>
          <w:lang w:eastAsia="zh-CN"/>
        </w:rPr>
      </w:pPr>
      <w:bookmarkStart w:id="11" w:name="_Toc2246"/>
      <w:bookmarkStart w:id="12"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11"/>
      <w:bookmarkEnd w:id="12"/>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100" w:name="_GoBack"/>
      <w:bookmarkEnd w:id="100"/>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其中投入</w:t>
      </w:r>
      <w:r>
        <w:rPr>
          <w:rFonts w:hint="eastAsia" w:ascii="宋体" w:hAnsi="宋体" w:eastAsia="宋体" w:cs="宋体"/>
          <w:sz w:val="28"/>
          <w:szCs w:val="28"/>
          <w:highlight w:val="none"/>
          <w:lang w:val="en-US" w:eastAsia="zh-CN"/>
        </w:rPr>
        <w:t>围场县环保局秸秆焚烧及河道可视化监管系统项目</w:t>
      </w:r>
      <w:r>
        <w:rPr>
          <w:rFonts w:hint="eastAsia" w:ascii="宋体" w:hAnsi="宋体" w:eastAsia="宋体" w:cs="宋体"/>
          <w:sz w:val="28"/>
          <w:szCs w:val="28"/>
          <w:highlight w:val="none"/>
          <w:lang w:eastAsia="zh-CN"/>
        </w:rPr>
        <w:t>的一般债券资金共计</w:t>
      </w:r>
      <w:r>
        <w:rPr>
          <w:rFonts w:hint="eastAsia" w:ascii="宋体" w:hAnsi="宋体" w:eastAsia="宋体" w:cs="宋体"/>
          <w:sz w:val="28"/>
          <w:szCs w:val="28"/>
          <w:highlight w:val="none"/>
          <w:lang w:val="en-US" w:eastAsia="zh-CN"/>
        </w:rPr>
        <w:t>191万元。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围场县环保局秸秆焚烧及河道可视化监管系统</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围场满族蒙古族自治县域内</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承德市生态环境局围场满族蒙古族自治县分局</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4.项目概况</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2018年承德市政府关于秸秆焚烧及河道可视化监管系统安装工作资金做了承诺。在围场满族蒙古族自治县域内建设49个焚烧及河道红外线监控点位。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根据承德市《关于加快秸秆焚烧高架红外视频监管系统安装建设的通知》（承气领办〔2018〕116号）、《关于转发在重点涉农区域加快安装红外视频监控系统加大露天焚烧打击力度的通知》（承气领办〔2018〕125号）要求，围场县认真组织实施。目前，市财政已完成围场县秸秆焚烧及河道可视化监管系统服务采购项目的评审工作，分三年支付（服务费中一次性投资部分按照分三年50%、30%、20%比例进行支付；运营费用按照每年运营费用全额平均支付）。围场满族蒙古族自治县人民政府承诺建设资金足额到位，确保安装工作顺利实施。秸秆焚烧及河道可视化监管系统由承德市生态环境局（含各县市区生态环境分局）作为甲方统一组织单一来源采购，通过单一来源采取方式委托中国铁塔股份有限公司承德市分公司提供相关服务，市生态环境局统一组织各县分局集中签署合同，并协调各县分局支付服务费用，秸秆焚烧及河道可视化监管系统总投资604.1621万元，其中国债资金604.1621万元，占项目总投资100%。</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5.项目总投资及资金来源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项目总投资604.1621万元，资金全部由国债资金解决，其中使用政府一般债券资金191万元。</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3" w:name="_Toc9227"/>
      <w:r>
        <w:rPr>
          <w:rFonts w:hint="eastAsia" w:ascii="楷体" w:hAnsi="楷体" w:eastAsia="楷体" w:cs="楷体"/>
          <w:b/>
          <w:bCs w:val="0"/>
          <w:sz w:val="32"/>
          <w:szCs w:val="32"/>
          <w:highlight w:val="none"/>
          <w:lang w:val="en-US" w:eastAsia="zh-CN"/>
        </w:rPr>
        <w:t>（二）项目绩效目标</w:t>
      </w:r>
      <w:bookmarkEnd w:id="13"/>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4" w:name="_Toc31210"/>
      <w:bookmarkStart w:id="15" w:name="_Toc31882"/>
      <w:bookmarkStart w:id="16" w:name="_Toc28894"/>
      <w:bookmarkStart w:id="17" w:name="_Toc10011"/>
      <w:bookmarkStart w:id="18" w:name="_Toc12271"/>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4"/>
      <w:bookmarkEnd w:id="15"/>
      <w:bookmarkEnd w:id="16"/>
      <w:bookmarkEnd w:id="17"/>
    </w:p>
    <w:p>
      <w:pPr>
        <w:spacing w:line="600" w:lineRule="exact"/>
        <w:ind w:firstLine="643" w:firstLineChars="200"/>
        <w:outlineLvl w:val="1"/>
        <w:rPr>
          <w:rFonts w:hint="eastAsia" w:ascii="楷体" w:hAnsi="楷体" w:eastAsia="楷体" w:cs="楷体"/>
          <w:b/>
          <w:bCs w:val="0"/>
          <w:sz w:val="32"/>
          <w:szCs w:val="32"/>
          <w:lang w:val="en-US" w:eastAsia="zh-CN"/>
        </w:rPr>
      </w:pPr>
      <w:bookmarkStart w:id="19" w:name="_Toc25337"/>
      <w:r>
        <w:rPr>
          <w:rFonts w:hint="eastAsia" w:ascii="楷体" w:hAnsi="楷体" w:eastAsia="楷体" w:cs="楷体"/>
          <w:b/>
          <w:bCs w:val="0"/>
          <w:sz w:val="32"/>
          <w:szCs w:val="32"/>
          <w:lang w:val="en-US" w:eastAsia="zh-CN"/>
        </w:rPr>
        <w:t>（三）评价对象和时段</w:t>
      </w:r>
      <w:bookmarkEnd w:id="18"/>
      <w:bookmarkEnd w:id="19"/>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highlight w:val="none"/>
          <w:lang w:val="en-US" w:eastAsia="zh-CN"/>
        </w:rPr>
        <w:t>围场县环保局秸秆焚烧及河道可视化监管系统</w:t>
      </w:r>
      <w:r>
        <w:rPr>
          <w:rFonts w:hint="eastAsia" w:ascii="宋体" w:hAnsi="宋体" w:eastAsia="宋体" w:cs="宋体"/>
          <w:sz w:val="28"/>
          <w:szCs w:val="28"/>
          <w:highlight w:val="none"/>
          <w:lang w:eastAsia="zh-CN"/>
        </w:rPr>
        <w:t>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20" w:name="_Toc701"/>
      <w:r>
        <w:rPr>
          <w:rFonts w:hint="eastAsia" w:ascii="黑体" w:hAnsi="黑体" w:eastAsia="黑体" w:cs="黑体"/>
          <w:b/>
          <w:bCs/>
          <w:sz w:val="32"/>
          <w:szCs w:val="32"/>
          <w:lang w:val="en-US" w:eastAsia="zh-CN"/>
        </w:rPr>
        <w:t>二、绩效评价工作开展情况</w:t>
      </w:r>
      <w:bookmarkEnd w:id="20"/>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21" w:name="_Toc457"/>
      <w:r>
        <w:rPr>
          <w:rFonts w:hint="eastAsia" w:ascii="楷体" w:hAnsi="楷体" w:eastAsia="楷体" w:cs="楷体"/>
          <w:b/>
          <w:bCs/>
          <w:sz w:val="32"/>
          <w:szCs w:val="32"/>
          <w:lang w:val="en-US" w:eastAsia="zh-CN"/>
        </w:rPr>
        <w:t>（一）绩效评价指标权重和绩效评价指标体系</w:t>
      </w:r>
      <w:bookmarkEnd w:id="21"/>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86"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321"/>
        <w:gridCol w:w="3234"/>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4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22" w:name="_Toc12872"/>
            <w:r>
              <w:rPr>
                <w:rFonts w:hint="eastAsia" w:asciiTheme="minorEastAsia" w:hAnsiTheme="minorEastAsia"/>
                <w:b/>
                <w:bCs/>
                <w:sz w:val="24"/>
              </w:rPr>
              <w:t>一级指标</w:t>
            </w:r>
          </w:p>
        </w:tc>
        <w:tc>
          <w:tcPr>
            <w:tcW w:w="793"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41"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51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exact"/>
        </w:trPr>
        <w:tc>
          <w:tcPr>
            <w:tcW w:w="749" w:type="pct"/>
            <w:vMerge w:val="restar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p>
            <w:pPr>
              <w:pStyle w:val="15"/>
              <w:kinsoku w:val="0"/>
              <w:overflowPunct w:val="0"/>
              <w:autoSpaceDE w:val="0"/>
              <w:autoSpaceDN w:val="0"/>
              <w:adjustRightInd w:val="0"/>
              <w:snapToGrid w:val="0"/>
              <w:spacing w:before="163" w:after="163"/>
              <w:ind w:firstLine="0"/>
              <w:jc w:val="both"/>
              <w:rPr>
                <w:rFonts w:hint="eastAsia"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both"/>
              <w:rPr>
                <w:rFonts w:asciiTheme="minorEastAsia" w:hAnsiTheme="minorEastAsia"/>
                <w:bCs/>
                <w:sz w:val="24"/>
              </w:rPr>
            </w:pPr>
          </w:p>
        </w:tc>
        <w:tc>
          <w:tcPr>
            <w:tcW w:w="79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515"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exac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93"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515"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3"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515"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74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both"/>
              <w:rPr>
                <w:rFonts w:asciiTheme="minorEastAsia" w:hAnsiTheme="minorEastAsia"/>
                <w:bCs/>
                <w:sz w:val="24"/>
              </w:rPr>
            </w:pPr>
          </w:p>
        </w:tc>
        <w:tc>
          <w:tcPr>
            <w:tcW w:w="79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515"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93"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515"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3"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515"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3"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w:t>
            </w:r>
            <w:r>
              <w:rPr>
                <w:rFonts w:hint="eastAsia" w:ascii="宋体" w:hAnsi="宋体" w:eastAsia="宋体" w:cs="宋体"/>
                <w:color w:val="000000"/>
                <w:sz w:val="24"/>
                <w:lang w:eastAsia="zh-CN"/>
              </w:rPr>
              <w:t>按照计划执行</w:t>
            </w:r>
            <w:r>
              <w:rPr>
                <w:rFonts w:hint="eastAsia" w:ascii="宋体" w:hAnsi="宋体" w:eastAsia="宋体" w:cs="宋体"/>
                <w:color w:val="000000"/>
                <w:sz w:val="24"/>
              </w:rPr>
              <w:t>情况（3分）；</w:t>
            </w:r>
          </w:p>
        </w:tc>
        <w:tc>
          <w:tcPr>
            <w:tcW w:w="1515"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项目实施按照计划执行得3分，每有一项不合理扣减0.5分；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9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41"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515"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41"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515"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41"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515"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74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both"/>
              <w:rPr>
                <w:rFonts w:asciiTheme="minorEastAsia" w:hAnsiTheme="minorEastAsia"/>
                <w:bCs/>
                <w:sz w:val="24"/>
              </w:rPr>
            </w:pPr>
          </w:p>
        </w:tc>
        <w:tc>
          <w:tcPr>
            <w:tcW w:w="793"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eastAsia="zh-CN"/>
              </w:rPr>
              <w:t>数量指标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w:t>
            </w:r>
            <w:r>
              <w:rPr>
                <w:rFonts w:hint="eastAsia" w:asciiTheme="minorEastAsia" w:hAnsiTheme="minorEastAsia"/>
                <w:bCs/>
                <w:sz w:val="24"/>
                <w:lang w:val="en-US" w:eastAsia="zh-CN"/>
              </w:rPr>
              <w:t>8</w:t>
            </w:r>
            <w:r>
              <w:rPr>
                <w:rFonts w:hint="eastAsia" w:asciiTheme="minorEastAsia" w:hAnsiTheme="minorEastAsia"/>
                <w:bCs/>
                <w:sz w:val="24"/>
              </w:rPr>
              <w:t>分）</w:t>
            </w: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w:t>
            </w:r>
            <w:r>
              <w:rPr>
                <w:rFonts w:hint="eastAsia" w:ascii="宋体" w:hAnsi="宋体" w:eastAsia="宋体" w:cs="宋体"/>
                <w:color w:val="000000"/>
                <w:sz w:val="24"/>
                <w:lang w:eastAsia="zh-CN"/>
              </w:rPr>
              <w:t>视频监控点位≥</w:t>
            </w:r>
            <w:r>
              <w:rPr>
                <w:rFonts w:hint="eastAsia" w:ascii="宋体" w:hAnsi="宋体" w:eastAsia="宋体" w:cs="宋体"/>
                <w:color w:val="000000"/>
                <w:sz w:val="24"/>
                <w:lang w:val="en-US" w:eastAsia="zh-CN"/>
              </w:rPr>
              <w:t>49个</w:t>
            </w:r>
            <w:r>
              <w:rPr>
                <w:rFonts w:hint="eastAsia" w:ascii="宋体" w:hAnsi="宋体" w:eastAsia="宋体" w:cs="宋体"/>
                <w:color w:val="000000"/>
                <w:sz w:val="24"/>
              </w:rPr>
              <w:t>（</w:t>
            </w:r>
            <w:r>
              <w:rPr>
                <w:rFonts w:hint="eastAsia" w:ascii="宋体" w:hAnsi="宋体" w:eastAsia="宋体" w:cs="宋体"/>
                <w:color w:val="000000"/>
                <w:sz w:val="24"/>
                <w:lang w:val="en-US" w:eastAsia="zh-CN"/>
              </w:rPr>
              <w:t>8</w:t>
            </w:r>
            <w:r>
              <w:rPr>
                <w:rFonts w:hint="eastAsia" w:ascii="宋体" w:hAnsi="宋体" w:eastAsia="宋体" w:cs="宋体"/>
                <w:color w:val="000000"/>
                <w:sz w:val="24"/>
              </w:rPr>
              <w:t>分）；</w:t>
            </w:r>
          </w:p>
        </w:tc>
        <w:tc>
          <w:tcPr>
            <w:tcW w:w="1515" w:type="pct"/>
            <w:vAlign w:val="center"/>
          </w:tcPr>
          <w:p>
            <w:pPr>
              <w:pStyle w:val="15"/>
              <w:kinsoku w:val="0"/>
              <w:overflowPunct w:val="0"/>
              <w:autoSpaceDE w:val="0"/>
              <w:autoSpaceDN w:val="0"/>
              <w:adjustRightInd w:val="0"/>
              <w:snapToGrid w:val="0"/>
              <w:spacing w:before="163" w:after="163"/>
              <w:ind w:firstLine="0"/>
              <w:rPr>
                <w:rFonts w:hint="default" w:asciiTheme="minorEastAsia" w:hAnsiTheme="minorEastAsia"/>
                <w:bCs/>
                <w:sz w:val="24"/>
                <w:lang w:val="en-US"/>
              </w:rPr>
            </w:pPr>
            <w:r>
              <w:rPr>
                <w:rFonts w:hint="eastAsia" w:asciiTheme="minorEastAsia" w:hAnsiTheme="minorEastAsia"/>
                <w:bCs/>
                <w:sz w:val="24"/>
                <w:szCs w:val="24"/>
                <w:lang w:eastAsia="zh-CN"/>
              </w:rPr>
              <w:t>安装点位达到</w:t>
            </w:r>
            <w:r>
              <w:rPr>
                <w:rFonts w:hint="eastAsia" w:asciiTheme="minorEastAsia" w:hAnsiTheme="minorEastAsia"/>
                <w:bCs/>
                <w:sz w:val="24"/>
                <w:szCs w:val="24"/>
                <w:lang w:val="en-US" w:eastAsia="zh-CN"/>
              </w:rPr>
              <w:t>49个得8分；每少一个扣减1分；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93" w:type="pct"/>
            <w:vAlign w:val="center"/>
          </w:tcPr>
          <w:p>
            <w:pPr>
              <w:pStyle w:val="15"/>
              <w:kinsoku w:val="0"/>
              <w:overflowPunct w:val="0"/>
              <w:autoSpaceDE w:val="0"/>
              <w:autoSpaceDN w:val="0"/>
              <w:adjustRightInd w:val="0"/>
              <w:snapToGrid w:val="0"/>
              <w:spacing w:before="163" w:after="163"/>
              <w:ind w:firstLine="0"/>
              <w:jc w:val="center"/>
              <w:rPr>
                <w:rFonts w:hint="eastAsia"/>
                <w:sz w:val="24"/>
                <w:lang w:eastAsia="zh-CN"/>
              </w:rPr>
            </w:pPr>
            <w:r>
              <w:rPr>
                <w:rFonts w:hint="eastAsia"/>
                <w:sz w:val="24"/>
                <w:lang w:eastAsia="zh-CN"/>
              </w:rPr>
              <w:t>质量指标</w:t>
            </w:r>
          </w:p>
          <w:p>
            <w:pPr>
              <w:pStyle w:val="15"/>
              <w:kinsoku w:val="0"/>
              <w:overflowPunct w:val="0"/>
              <w:autoSpaceDE w:val="0"/>
              <w:autoSpaceDN w:val="0"/>
              <w:adjustRightInd w:val="0"/>
              <w:snapToGrid w:val="0"/>
              <w:spacing w:before="163" w:after="163"/>
              <w:ind w:firstLine="0"/>
              <w:jc w:val="center"/>
              <w:rPr>
                <w:rFonts w:hint="eastAsia"/>
                <w:sz w:val="24"/>
                <w:lang w:eastAsia="zh-CN"/>
              </w:rPr>
            </w:pPr>
            <w:r>
              <w:rPr>
                <w:rFonts w:hint="eastAsia"/>
                <w:sz w:val="24"/>
                <w:lang w:eastAsia="zh-CN"/>
              </w:rPr>
              <w:t>（</w:t>
            </w:r>
            <w:r>
              <w:rPr>
                <w:rFonts w:hint="eastAsia"/>
                <w:sz w:val="24"/>
                <w:lang w:val="en-US" w:eastAsia="zh-CN"/>
              </w:rPr>
              <w:t>8分</w:t>
            </w:r>
            <w:r>
              <w:rPr>
                <w:rFonts w:hint="eastAsia"/>
                <w:sz w:val="24"/>
                <w:lang w:eastAsia="zh-CN"/>
              </w:rPr>
              <w:t>）</w:t>
            </w: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w:t>
            </w:r>
            <w:r>
              <w:rPr>
                <w:rFonts w:hint="eastAsia" w:ascii="宋体" w:hAnsi="宋体" w:eastAsia="宋体" w:cs="宋体"/>
                <w:color w:val="000000"/>
                <w:sz w:val="24"/>
                <w:lang w:eastAsia="zh-CN"/>
              </w:rPr>
              <w:t>设备验收合格率≥</w:t>
            </w:r>
            <w:r>
              <w:rPr>
                <w:rFonts w:hint="eastAsia" w:ascii="宋体" w:hAnsi="宋体" w:eastAsia="宋体" w:cs="宋体"/>
                <w:color w:val="000000"/>
                <w:sz w:val="24"/>
                <w:lang w:val="en-US" w:eastAsia="zh-CN"/>
              </w:rPr>
              <w:t>100%</w:t>
            </w:r>
            <w:r>
              <w:rPr>
                <w:rFonts w:hint="eastAsia" w:ascii="宋体" w:hAnsi="宋体" w:eastAsia="宋体" w:cs="宋体"/>
                <w:color w:val="000000"/>
                <w:sz w:val="24"/>
              </w:rPr>
              <w:t>（</w:t>
            </w:r>
            <w:r>
              <w:rPr>
                <w:rFonts w:hint="eastAsia" w:ascii="宋体" w:hAnsi="宋体" w:eastAsia="宋体" w:cs="宋体"/>
                <w:color w:val="000000"/>
                <w:sz w:val="24"/>
                <w:lang w:val="en-US" w:eastAsia="zh-CN"/>
              </w:rPr>
              <w:t>8</w:t>
            </w:r>
            <w:r>
              <w:rPr>
                <w:rFonts w:hint="eastAsia" w:ascii="宋体" w:hAnsi="宋体" w:eastAsia="宋体" w:cs="宋体"/>
                <w:color w:val="000000"/>
                <w:sz w:val="24"/>
              </w:rPr>
              <w:t>分）；</w:t>
            </w:r>
          </w:p>
        </w:tc>
        <w:tc>
          <w:tcPr>
            <w:tcW w:w="1515" w:type="pct"/>
            <w:vAlign w:val="center"/>
          </w:tcPr>
          <w:p>
            <w:pPr>
              <w:pStyle w:val="15"/>
              <w:kinsoku w:val="0"/>
              <w:overflowPunct w:val="0"/>
              <w:autoSpaceDE w:val="0"/>
              <w:autoSpaceDN w:val="0"/>
              <w:adjustRightInd w:val="0"/>
              <w:snapToGrid w:val="0"/>
              <w:spacing w:before="163" w:after="163"/>
              <w:ind w:firstLine="0"/>
              <w:rPr>
                <w:rFonts w:hint="default" w:asciiTheme="minorEastAsia" w:hAnsiTheme="minorEastAsia"/>
                <w:bCs/>
                <w:sz w:val="24"/>
                <w:lang w:val="en-US"/>
              </w:rPr>
            </w:pPr>
            <w:r>
              <w:rPr>
                <w:rFonts w:hint="eastAsia" w:asciiTheme="minorEastAsia" w:hAnsiTheme="minorEastAsia"/>
                <w:bCs/>
                <w:sz w:val="24"/>
                <w:szCs w:val="24"/>
                <w:lang w:val="en-US" w:eastAsia="zh-CN"/>
              </w:rPr>
              <w:t>一次验收全部合格得8分；整改后验收合格得6分；整改后验收仍不合格得0分；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3" w:type="pct"/>
            <w:vMerge w:val="restar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lang w:eastAsia="zh-CN"/>
              </w:rPr>
            </w:pPr>
            <w:r>
              <w:rPr>
                <w:rFonts w:hint="eastAsia" w:asciiTheme="minorEastAsia" w:hAnsiTheme="minorEastAsia"/>
                <w:bCs/>
                <w:sz w:val="24"/>
                <w:lang w:eastAsia="zh-CN"/>
              </w:rPr>
              <w:t>时效指标</w:t>
            </w:r>
          </w:p>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lang w:eastAsia="zh-CN"/>
              </w:rPr>
            </w:pPr>
            <w:r>
              <w:rPr>
                <w:rFonts w:hint="eastAsia" w:asciiTheme="minorEastAsia" w:hAnsiTheme="minorEastAsia"/>
                <w:bCs/>
                <w:sz w:val="24"/>
                <w:lang w:eastAsia="zh-CN"/>
              </w:rPr>
              <w:t>（</w:t>
            </w:r>
            <w:r>
              <w:rPr>
                <w:rFonts w:hint="eastAsia" w:asciiTheme="minorEastAsia" w:hAnsiTheme="minorEastAsia"/>
                <w:bCs/>
                <w:sz w:val="24"/>
                <w:lang w:val="en-US" w:eastAsia="zh-CN"/>
              </w:rPr>
              <w:t>9分</w:t>
            </w:r>
            <w:r>
              <w:rPr>
                <w:rFonts w:hint="eastAsia" w:asciiTheme="minorEastAsia" w:hAnsiTheme="minorEastAsia"/>
                <w:bCs/>
                <w:sz w:val="24"/>
                <w:lang w:eastAsia="zh-CN"/>
              </w:rPr>
              <w:t>）</w:t>
            </w: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w:t>
            </w:r>
            <w:r>
              <w:rPr>
                <w:rFonts w:hint="eastAsia" w:ascii="宋体" w:hAnsi="宋体" w:eastAsia="宋体" w:cs="宋体"/>
                <w:color w:val="000000"/>
                <w:sz w:val="24"/>
                <w:lang w:eastAsia="zh-CN"/>
              </w:rPr>
              <w:t>项目按计划完工（</w:t>
            </w:r>
            <w:r>
              <w:rPr>
                <w:rFonts w:hint="eastAsia" w:ascii="宋体" w:hAnsi="宋体" w:eastAsia="宋体" w:cs="宋体"/>
                <w:color w:val="000000"/>
                <w:sz w:val="24"/>
                <w:lang w:val="en-US" w:eastAsia="zh-CN"/>
              </w:rPr>
              <w:t>5分</w:t>
            </w:r>
            <w:r>
              <w:rPr>
                <w:rFonts w:hint="eastAsia" w:ascii="宋体" w:hAnsi="宋体" w:eastAsia="宋体" w:cs="宋体"/>
                <w:color w:val="000000"/>
                <w:sz w:val="24"/>
                <w:lang w:eastAsia="zh-CN"/>
              </w:rPr>
              <w:t>）</w:t>
            </w:r>
          </w:p>
        </w:tc>
        <w:tc>
          <w:tcPr>
            <w:tcW w:w="1515" w:type="pct"/>
            <w:vAlign w:val="center"/>
          </w:tcPr>
          <w:p>
            <w:pPr>
              <w:pStyle w:val="15"/>
              <w:kinsoku w:val="0"/>
              <w:overflowPunct w:val="0"/>
              <w:autoSpaceDE w:val="0"/>
              <w:autoSpaceDN w:val="0"/>
              <w:adjustRightInd w:val="0"/>
              <w:snapToGrid w:val="0"/>
              <w:spacing w:before="163" w:after="163"/>
              <w:ind w:firstLine="0"/>
              <w:rPr>
                <w:rFonts w:hint="default" w:asciiTheme="minorEastAsia" w:hAnsiTheme="minorEastAsia" w:eastAsiaTheme="minorEastAsia"/>
                <w:bCs/>
                <w:sz w:val="24"/>
                <w:lang w:val="en-US" w:eastAsia="zh-CN"/>
              </w:rPr>
            </w:pPr>
            <w:r>
              <w:rPr>
                <w:rFonts w:hint="eastAsia" w:asciiTheme="minorEastAsia" w:hAnsiTheme="minorEastAsia"/>
                <w:bCs/>
                <w:sz w:val="24"/>
                <w:lang w:eastAsia="zh-CN"/>
              </w:rPr>
              <w:t>按时完工得</w:t>
            </w:r>
            <w:r>
              <w:rPr>
                <w:rFonts w:hint="eastAsia" w:asciiTheme="minorEastAsia" w:hAnsiTheme="minorEastAsia"/>
                <w:bCs/>
                <w:sz w:val="24"/>
                <w:lang w:val="en-US" w:eastAsia="zh-CN"/>
              </w:rPr>
              <w:t>5分，延迟完工每超期半个月扣减1分；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pPr>
          </w:p>
        </w:tc>
        <w:tc>
          <w:tcPr>
            <w:tcW w:w="793" w:type="pct"/>
            <w:vMerge w:val="continue"/>
            <w:vAlign w:val="center"/>
          </w:tcPr>
          <w:p>
            <w:pPr>
              <w:pStyle w:val="15"/>
              <w:kinsoku w:val="0"/>
              <w:overflowPunct w:val="0"/>
              <w:autoSpaceDE w:val="0"/>
              <w:autoSpaceDN w:val="0"/>
              <w:adjustRightInd w:val="0"/>
              <w:snapToGrid w:val="0"/>
              <w:spacing w:before="163" w:after="163"/>
              <w:ind w:firstLine="0"/>
              <w:jc w:val="center"/>
            </w:pPr>
          </w:p>
        </w:tc>
        <w:tc>
          <w:tcPr>
            <w:tcW w:w="1941"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14、竣工投入使用时间2018年11月（4分）</w:t>
            </w:r>
          </w:p>
        </w:tc>
        <w:tc>
          <w:tcPr>
            <w:tcW w:w="1515"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在规定时间内投入使用得</w:t>
            </w:r>
            <w:r>
              <w:rPr>
                <w:rFonts w:hint="eastAsia" w:ascii="宋体" w:hAnsi="宋体" w:eastAsia="宋体" w:cs="宋体"/>
                <w:color w:val="000000"/>
                <w:sz w:val="24"/>
                <w:lang w:val="en-US" w:eastAsia="zh-CN"/>
              </w:rPr>
              <w:t>4分，每超期半个月扣减1分；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3"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lang w:eastAsia="zh-CN"/>
              </w:rPr>
            </w:pPr>
            <w:r>
              <w:rPr>
                <w:rFonts w:hint="eastAsia" w:asciiTheme="minorEastAsia" w:hAnsiTheme="minorEastAsia"/>
                <w:bCs/>
                <w:sz w:val="24"/>
                <w:lang w:eastAsia="zh-CN"/>
              </w:rPr>
              <w:t>成本指标</w:t>
            </w:r>
          </w:p>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lang w:eastAsia="zh-CN"/>
              </w:rPr>
            </w:pPr>
            <w:r>
              <w:rPr>
                <w:rFonts w:hint="eastAsia" w:asciiTheme="minorEastAsia" w:hAnsiTheme="minorEastAsia"/>
                <w:bCs/>
                <w:sz w:val="24"/>
                <w:lang w:eastAsia="zh-CN"/>
              </w:rPr>
              <w:t>（</w:t>
            </w:r>
            <w:r>
              <w:rPr>
                <w:rFonts w:hint="eastAsia" w:asciiTheme="minorEastAsia" w:hAnsiTheme="minorEastAsia"/>
                <w:bCs/>
                <w:sz w:val="24"/>
                <w:lang w:val="en-US" w:eastAsia="zh-CN"/>
              </w:rPr>
              <w:t>5分</w:t>
            </w:r>
            <w:r>
              <w:rPr>
                <w:rFonts w:hint="eastAsia" w:asciiTheme="minorEastAsia" w:hAnsiTheme="minorEastAsia"/>
                <w:bCs/>
                <w:sz w:val="24"/>
                <w:lang w:eastAsia="zh-CN"/>
              </w:rPr>
              <w:t>）</w:t>
            </w:r>
          </w:p>
        </w:tc>
        <w:tc>
          <w:tcPr>
            <w:tcW w:w="1941"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15、年度债券资金支出情况达到100%（5分）</w:t>
            </w:r>
          </w:p>
        </w:tc>
        <w:tc>
          <w:tcPr>
            <w:tcW w:w="1515" w:type="pct"/>
          </w:tcPr>
          <w:p>
            <w:pPr>
              <w:pStyle w:val="15"/>
              <w:kinsoku w:val="0"/>
              <w:overflowPunct w:val="0"/>
              <w:autoSpaceDE w:val="0"/>
              <w:autoSpaceDN w:val="0"/>
              <w:adjustRightInd w:val="0"/>
              <w:snapToGrid w:val="0"/>
              <w:spacing w:before="163" w:after="163"/>
              <w:ind w:firstLine="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完成本年度预算支出得5分；未完成本年度预算支出按比例扣减得分；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74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9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、总体目标实现情况（8分）；</w:t>
            </w:r>
          </w:p>
        </w:tc>
        <w:tc>
          <w:tcPr>
            <w:tcW w:w="1515"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93"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515"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93"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8</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515"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41"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9</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515"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4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3"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941"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w:t>
            </w:r>
            <w:r>
              <w:rPr>
                <w:rFonts w:hint="eastAsia" w:ascii="宋体" w:hAnsi="宋体" w:eastAsia="宋体" w:cs="宋体"/>
                <w:color w:val="000000"/>
                <w:sz w:val="24"/>
                <w:szCs w:val="24"/>
                <w:lang w:val="en-US" w:eastAsia="zh-CN"/>
              </w:rPr>
              <w:t>项目建设带来的间接经济效益（7分）；</w:t>
            </w:r>
          </w:p>
        </w:tc>
        <w:tc>
          <w:tcPr>
            <w:tcW w:w="1515"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4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93"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45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outlineLvl w:val="1"/>
        <w:rPr>
          <w:rFonts w:hint="eastAsia" w:ascii="楷体" w:hAnsi="楷体" w:eastAsia="楷体" w:cs="楷体"/>
          <w:b/>
          <w:bCs w:val="0"/>
          <w:kern w:val="0"/>
          <w:sz w:val="32"/>
          <w:szCs w:val="32"/>
          <w:lang w:val="en-US" w:eastAsia="zh-CN" w:bidi="ar-SA"/>
        </w:rPr>
      </w:pPr>
    </w:p>
    <w:p>
      <w:pPr>
        <w:ind w:firstLine="643" w:firstLineChars="200"/>
        <w:outlineLvl w:val="1"/>
        <w:rPr>
          <w:rFonts w:hint="eastAsia" w:ascii="楷体" w:hAnsi="楷体" w:eastAsia="楷体" w:cs="楷体"/>
          <w:b/>
          <w:bCs w:val="0"/>
          <w:kern w:val="0"/>
          <w:sz w:val="32"/>
          <w:szCs w:val="32"/>
          <w:lang w:val="en-US" w:eastAsia="zh-CN" w:bidi="ar-SA"/>
        </w:rPr>
      </w:pPr>
      <w:bookmarkStart w:id="23" w:name="_Toc23560"/>
      <w:r>
        <w:rPr>
          <w:rFonts w:hint="eastAsia" w:ascii="楷体" w:hAnsi="楷体" w:eastAsia="楷体" w:cs="楷体"/>
          <w:b/>
          <w:bCs w:val="0"/>
          <w:kern w:val="0"/>
          <w:sz w:val="32"/>
          <w:szCs w:val="32"/>
          <w:lang w:val="en-US" w:eastAsia="zh-CN" w:bidi="ar-SA"/>
        </w:rPr>
        <w:t>（二）绩效评价目的和依据</w:t>
      </w:r>
      <w:bookmarkEnd w:id="22"/>
      <w:bookmarkEnd w:id="23"/>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w:t>
      </w:r>
      <w:r>
        <w:rPr>
          <w:rFonts w:hint="eastAsia" w:ascii="宋体" w:hAnsi="宋体" w:eastAsia="宋体" w:cs="宋体"/>
          <w:sz w:val="28"/>
          <w:szCs w:val="28"/>
          <w:lang w:val="en-US" w:eastAsia="zh-CN"/>
        </w:rPr>
        <w:t>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w:t>
      </w:r>
      <w:r>
        <w:rPr>
          <w:rFonts w:hint="eastAsia" w:ascii="宋体" w:hAnsi="宋体" w:eastAsia="宋体" w:cs="宋体"/>
          <w:kern w:val="2"/>
          <w:sz w:val="28"/>
          <w:szCs w:val="28"/>
          <w:lang w:val="en-US" w:eastAsia="zh-CN" w:bidi="ar-SA"/>
        </w:rPr>
        <w:t>为了进一步规范项目管理制度，建立一支高素质的员工队伍，创造一种自我激励、自我约束和促进优秀人才脱颖而出的用人机制，为机关单位的成长和高效运作提供保障。</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4" w:name="_Toc22990"/>
      <w:bookmarkStart w:id="25" w:name="_Toc12243"/>
      <w:r>
        <w:rPr>
          <w:rFonts w:hint="eastAsia" w:ascii="楷体" w:hAnsi="楷体" w:eastAsia="楷体" w:cs="楷体"/>
          <w:b/>
          <w:bCs w:val="0"/>
          <w:sz w:val="32"/>
          <w:szCs w:val="32"/>
          <w:lang w:val="en-US" w:eastAsia="zh-CN"/>
        </w:rPr>
        <w:t>（三）绩效评价工作内容和范围</w:t>
      </w:r>
      <w:bookmarkEnd w:id="24"/>
      <w:bookmarkEnd w:id="25"/>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我们对本项目2019年度债券资金使用部分的项目资料的完整性、有效性作出判断，走访调查相关部门当事人，对围场</w:t>
      </w:r>
      <w:r>
        <w:rPr>
          <w:rFonts w:hint="eastAsia" w:ascii="宋体" w:hAnsi="宋体" w:eastAsia="宋体" w:cs="宋体"/>
          <w:sz w:val="28"/>
          <w:szCs w:val="28"/>
          <w:highlight w:val="none"/>
          <w:lang w:eastAsia="zh-CN"/>
        </w:rPr>
        <w:t>县环保局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评价内容包括：</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6.其他相关内容；</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6" w:name="_Toc32025"/>
      <w:bookmarkStart w:id="27"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6"/>
      <w:bookmarkEnd w:id="2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9个二级指标，20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8" w:name="_Toc8164"/>
      <w:bookmarkStart w:id="29" w:name="_Toc14857"/>
      <w:bookmarkStart w:id="30" w:name="_Toc12042"/>
      <w:bookmarkStart w:id="31"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8"/>
      <w:bookmarkEnd w:id="29"/>
      <w:bookmarkEnd w:id="30"/>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32" w:name="_Toc22556"/>
      <w:bookmarkStart w:id="33" w:name="_Toc18780"/>
      <w:bookmarkStart w:id="34" w:name="_Toc31807"/>
      <w:bookmarkStart w:id="35" w:name="_Toc13042"/>
      <w:bookmarkStart w:id="36" w:name="_Toc17563"/>
      <w:bookmarkStart w:id="37" w:name="_Toc2087"/>
      <w:bookmarkStart w:id="38" w:name="_Toc12093"/>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我方做以下工作：</w:t>
      </w:r>
      <w:bookmarkEnd w:id="32"/>
      <w:bookmarkEnd w:id="33"/>
      <w:bookmarkEnd w:id="34"/>
      <w:bookmarkEnd w:id="35"/>
      <w:bookmarkEnd w:id="36"/>
      <w:bookmarkEnd w:id="37"/>
      <w:bookmarkEnd w:id="38"/>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9" w:name="_Toc14297"/>
      <w:bookmarkStart w:id="40" w:name="_Toc27413"/>
      <w:bookmarkStart w:id="41" w:name="_Toc19058"/>
      <w:bookmarkStart w:id="42" w:name="_Toc15494"/>
      <w:bookmarkStart w:id="43" w:name="_Toc24311"/>
      <w:bookmarkStart w:id="44" w:name="_Toc17036"/>
      <w:bookmarkStart w:id="45" w:name="_Toc1487"/>
      <w:bookmarkStart w:id="46" w:name="_Toc24972"/>
      <w:bookmarkStart w:id="47" w:name="_Toc11399"/>
      <w:bookmarkStart w:id="48" w:name="_Toc24529"/>
      <w:bookmarkStart w:id="49" w:name="_Toc14572"/>
      <w:r>
        <w:rPr>
          <w:rFonts w:hint="eastAsia" w:ascii="宋体" w:hAnsi="宋体" w:eastAsia="宋体" w:cs="宋体"/>
          <w:b/>
          <w:bCs/>
          <w:kern w:val="0"/>
          <w:sz w:val="28"/>
          <w:szCs w:val="28"/>
          <w:lang w:val="en-US" w:eastAsia="zh-CN" w:bidi="ar-SA"/>
        </w:rPr>
        <w:t>1、明确项目团队的职责与分工</w:t>
      </w:r>
      <w:bookmarkEnd w:id="39"/>
      <w:bookmarkEnd w:id="40"/>
      <w:bookmarkEnd w:id="41"/>
      <w:bookmarkEnd w:id="42"/>
      <w:bookmarkEnd w:id="43"/>
      <w:bookmarkEnd w:id="44"/>
      <w:bookmarkEnd w:id="45"/>
      <w:bookmarkEnd w:id="46"/>
      <w:bookmarkEnd w:id="47"/>
      <w:bookmarkEnd w:id="48"/>
      <w:bookmarkEnd w:id="49"/>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50" w:name="_Toc6642"/>
      <w:bookmarkStart w:id="51" w:name="_Toc25494"/>
      <w:bookmarkStart w:id="52" w:name="_Toc27143"/>
      <w:bookmarkStart w:id="53" w:name="_Toc28394"/>
      <w:bookmarkStart w:id="54" w:name="_Toc31637"/>
      <w:bookmarkStart w:id="55" w:name="_Toc29931"/>
      <w:bookmarkStart w:id="56" w:name="_Toc15145"/>
      <w:r>
        <w:rPr>
          <w:rFonts w:hint="eastAsia" w:ascii="宋体" w:hAnsi="宋体" w:eastAsia="宋体" w:cs="宋体"/>
          <w:b/>
          <w:bCs/>
          <w:kern w:val="0"/>
          <w:sz w:val="28"/>
          <w:szCs w:val="28"/>
          <w:lang w:val="en-US" w:eastAsia="zh-CN" w:bidi="ar-SA"/>
        </w:rPr>
        <w:t>2、评价工作各相关当事方的职责</w:t>
      </w:r>
      <w:bookmarkEnd w:id="50"/>
      <w:bookmarkEnd w:id="51"/>
      <w:bookmarkEnd w:id="52"/>
      <w:bookmarkEnd w:id="53"/>
      <w:bookmarkEnd w:id="54"/>
      <w:bookmarkEnd w:id="55"/>
      <w:bookmarkEnd w:id="5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7" w:name="_Toc332"/>
      <w:bookmarkStart w:id="58" w:name="_Toc25651"/>
      <w:bookmarkStart w:id="59" w:name="_Toc27067"/>
      <w:bookmarkStart w:id="60" w:name="_Toc24530"/>
      <w:bookmarkStart w:id="61" w:name="_Toc17781"/>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7"/>
      <w:bookmarkEnd w:id="58"/>
      <w:bookmarkEnd w:id="59"/>
      <w:bookmarkEnd w:id="60"/>
      <w:bookmarkEnd w:id="61"/>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2" w:name="_Toc28913"/>
      <w:r>
        <w:rPr>
          <w:rFonts w:hint="eastAsia" w:ascii="黑体" w:hAnsi="黑体" w:eastAsia="黑体" w:cs="黑体"/>
          <w:b w:val="0"/>
          <w:bCs w:val="0"/>
          <w:sz w:val="32"/>
          <w:szCs w:val="32"/>
          <w:lang w:eastAsia="zh-CN"/>
        </w:rPr>
        <w:t>三、</w:t>
      </w:r>
      <w:bookmarkEnd w:id="31"/>
      <w:r>
        <w:rPr>
          <w:rFonts w:hint="eastAsia" w:ascii="黑体" w:hAnsi="黑体" w:eastAsia="黑体" w:cs="黑体"/>
          <w:kern w:val="2"/>
          <w:sz w:val="32"/>
          <w:szCs w:val="32"/>
          <w:highlight w:val="none"/>
          <w:lang w:val="en-US" w:eastAsia="zh-CN" w:bidi="ar-SA"/>
        </w:rPr>
        <w:t>项目实施及资金使用情况</w:t>
      </w:r>
      <w:bookmarkEnd w:id="62"/>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3" w:name="_Toc6786"/>
      <w:bookmarkStart w:id="64" w:name="_Toc24344"/>
      <w:r>
        <w:rPr>
          <w:rFonts w:hint="eastAsia" w:ascii="楷体" w:hAnsi="楷体" w:eastAsia="楷体" w:cs="楷体"/>
          <w:b/>
          <w:bCs/>
          <w:kern w:val="2"/>
          <w:sz w:val="32"/>
          <w:szCs w:val="32"/>
          <w:highlight w:val="none"/>
          <w:lang w:val="en-US" w:eastAsia="zh-CN" w:bidi="ar-SA"/>
        </w:rPr>
        <w:t>（一）项目实施情况</w:t>
      </w:r>
      <w:bookmarkEnd w:id="63"/>
      <w:bookmarkEnd w:id="64"/>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2018年7月23日承德市环境保护局组织相关专家对秸秆焚烧及河道可视化监管系统单一来源采购进行评审，对采购项目的需求特点、选择唯一供应商的理由做了详细说明，听取了专家组意见，最终确定供应商为中国铁塔股份有限公司承德市分公司。2018年8月2日承德市环境保护局秸秆焚烧及河道可视化监管系统服务单一来源进行了公示，拟定唯一供应商为：中国铁塔股份有限公司承德市分公司。并签订了秸秆焚烧及河道可视化监管系统服务项目采购合同。</w:t>
      </w:r>
    </w:p>
    <w:p>
      <w:pPr>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通过设备安装调试，同年10月25日由县环保局组织，对秸秆焚烧及河道可视化监管系统安装组织验收，建设单位对现场安装设备数量、型号核对与采购数量一致，所有设备运行正常，验收评定均为合格。  </w:t>
      </w:r>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5" w:name="_Toc5040"/>
      <w:bookmarkStart w:id="66" w:name="_Toc14809"/>
      <w:r>
        <w:rPr>
          <w:rFonts w:hint="eastAsia" w:ascii="楷体" w:hAnsi="楷体" w:eastAsia="楷体" w:cs="楷体"/>
          <w:b/>
          <w:bCs/>
          <w:kern w:val="2"/>
          <w:sz w:val="32"/>
          <w:szCs w:val="32"/>
          <w:highlight w:val="none"/>
          <w:lang w:val="en-US" w:eastAsia="zh-CN" w:bidi="ar-SA"/>
        </w:rPr>
        <w:t>（二）资金使用情况</w:t>
      </w:r>
      <w:bookmarkEnd w:id="65"/>
      <w:bookmarkEnd w:id="66"/>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bookmarkStart w:id="67" w:name="_Toc13622"/>
      <w:bookmarkStart w:id="68" w:name="_Toc15054"/>
      <w:r>
        <w:rPr>
          <w:rFonts w:hint="eastAsia" w:ascii="宋体" w:hAnsi="宋体" w:eastAsia="宋体" w:cs="宋体"/>
          <w:kern w:val="2"/>
          <w:sz w:val="28"/>
          <w:szCs w:val="28"/>
          <w:lang w:val="en-US" w:eastAsia="zh-CN" w:bidi="ar-SA"/>
        </w:rPr>
        <w:t>项目总投资604.1621万元，资金支付比例为按三年50%、30%和20%比例进行支付，2018年和2019年已支付国债资金444.6969万元（其中包括2019年一般债券资金190.9068万元），均为国债资金，总资金到位率73.6%。</w:t>
      </w:r>
    </w:p>
    <w:p>
      <w:pPr>
        <w:ind w:firstLine="560" w:firstLineChars="200"/>
        <w:rPr>
          <w:rFonts w:hint="eastAsia" w:ascii="楷体" w:hAnsi="楷体" w:eastAsia="楷体" w:cs="楷体"/>
          <w:b/>
          <w:bCs/>
          <w:kern w:val="2"/>
          <w:sz w:val="32"/>
          <w:szCs w:val="32"/>
          <w:highlight w:val="none"/>
          <w:lang w:val="en-US" w:eastAsia="zh-CN" w:bidi="ar-SA"/>
        </w:rPr>
      </w:pPr>
      <w:r>
        <w:rPr>
          <w:rFonts w:hint="eastAsia" w:ascii="宋体" w:hAnsi="宋体" w:eastAsia="宋体" w:cs="宋体"/>
          <w:kern w:val="2"/>
          <w:sz w:val="28"/>
          <w:szCs w:val="28"/>
          <w:lang w:val="en-US" w:eastAsia="zh-CN" w:bidi="ar-SA"/>
        </w:rPr>
        <w:t>通过财政授权支付额度通知单显示，2020年1月20日财政支付承德市环境保护局围场满族蒙古族自治县分局秸秆焚烧及河道可视化监管系统授权额度为190.9068万元。2月12日县分局通过零余额账户支付给中国铁塔股份有限公司承德市分公司190.9068万元。项目资金实行专户管理，单独核算，支付凭证齐全，转账记录清晰，资金管理有序，严格执行财务制度，未出现拖欠、挪用、挤占工程款情况。</w:t>
      </w:r>
      <w:bookmarkEnd w:id="67"/>
      <w:bookmarkEnd w:id="68"/>
    </w:p>
    <w:p>
      <w:pPr>
        <w:ind w:firstLine="640" w:firstLineChars="200"/>
        <w:outlineLvl w:val="0"/>
        <w:rPr>
          <w:rFonts w:hint="eastAsia" w:ascii="黑体" w:hAnsi="黑体" w:eastAsia="黑体" w:cs="黑体"/>
          <w:kern w:val="2"/>
          <w:sz w:val="32"/>
          <w:szCs w:val="32"/>
          <w:lang w:val="en-US" w:eastAsia="zh-CN" w:bidi="ar-SA"/>
        </w:rPr>
      </w:pPr>
      <w:bookmarkStart w:id="69" w:name="_Toc1076"/>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69"/>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70" w:name="_Toc16548"/>
      <w:bookmarkStart w:id="71" w:name="_Toc9589"/>
      <w:r>
        <w:rPr>
          <w:rFonts w:hint="eastAsia" w:ascii="楷体" w:hAnsi="楷体" w:eastAsia="楷体" w:cs="楷体"/>
          <w:b/>
          <w:bCs w:val="0"/>
          <w:kern w:val="0"/>
          <w:sz w:val="32"/>
          <w:szCs w:val="32"/>
          <w:lang w:val="en-US" w:eastAsia="zh-CN"/>
        </w:rPr>
        <w:t>（一）绩效评价分析</w:t>
      </w:r>
      <w:bookmarkEnd w:id="70"/>
      <w:bookmarkEnd w:id="71"/>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2018年4月，围场县接到承德市大气污染防治工作领导小组办公室关于加快秸秆焚烧高架红外视频监控系统安装建设的通知，立即组织项目实施，设立过程符合政策规定。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建设单位严格按照方案实施，依据绩效目标设定的绩效指标清晰、合理、细化、可衡量。</w:t>
      </w:r>
      <w:r>
        <w:rPr>
          <w:rFonts w:hint="eastAsia" w:ascii="宋体" w:hAnsi="宋体" w:eastAsia="宋体" w:cs="宋体"/>
          <w:kern w:val="2"/>
          <w:sz w:val="28"/>
          <w:szCs w:val="28"/>
          <w:lang w:val="en-US" w:eastAsia="zh-CN" w:bidi="ar-SA"/>
        </w:rPr>
        <w:t>通过项目实施，可做到第一时间发现火情、第一时间发现违法违规倾倒固废垃圾锁定位置、截取图像（视频）资料、通知上报，信息反馈，本项目可持续改善区域空气质量，</w:t>
      </w:r>
      <w:r>
        <w:rPr>
          <w:rFonts w:hint="eastAsia" w:ascii="宋体" w:hAnsi="宋体" w:eastAsia="宋体" w:cs="宋体"/>
          <w:kern w:val="2"/>
          <w:sz w:val="28"/>
          <w:szCs w:val="28"/>
          <w:highlight w:val="none"/>
          <w:lang w:val="en-US" w:eastAsia="zh-CN" w:bidi="ar-SA"/>
        </w:rPr>
        <w:t>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围场县环保局秸秆焚烧及河道可视化监管系统</w:t>
      </w:r>
      <w:r>
        <w:rPr>
          <w:rFonts w:hint="eastAsia" w:ascii="宋体" w:hAnsi="宋体" w:eastAsia="宋体" w:cs="宋体"/>
          <w:kern w:val="2"/>
          <w:sz w:val="28"/>
          <w:szCs w:val="28"/>
          <w:highlight w:val="none"/>
          <w:lang w:val="en-US" w:eastAsia="zh-CN" w:bidi="ar-SA"/>
        </w:rPr>
        <w:t>绩效评价涉及到相关资料完整、有序，资金支付凭证齐全。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本项目债券资金使用部分项目无变更，没有对工程进度造成影响，项目能够按照资金使用情况顺利进行。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④项目按计划执行情况指标标准分值为3分，考评得分3分。</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ascii="宋体" w:hAnsi="宋体" w:eastAsia="宋体" w:cs="宋体"/>
          <w:sz w:val="28"/>
          <w:szCs w:val="28"/>
          <w:highlight w:val="none"/>
          <w:lang w:val="en-US" w:eastAsia="zh-CN"/>
        </w:rPr>
        <w:t>围场县环保局秸秆焚烧及河道可视化监管系统</w:t>
      </w:r>
      <w:r>
        <w:rPr>
          <w:rFonts w:hint="eastAsia"/>
          <w:sz w:val="28"/>
          <w:szCs w:val="28"/>
          <w:lang w:val="en-US" w:eastAsia="zh-CN"/>
        </w:rPr>
        <w:t>按照计划实施，在</w:t>
      </w:r>
      <w:r>
        <w:rPr>
          <w:rFonts w:hint="eastAsia" w:ascii="宋体" w:hAnsi="宋体" w:eastAsia="宋体" w:cs="宋体"/>
          <w:kern w:val="2"/>
          <w:sz w:val="28"/>
          <w:szCs w:val="28"/>
          <w:lang w:val="en-US" w:eastAsia="zh-CN" w:bidi="ar-SA"/>
        </w:rPr>
        <w:t>县域内建设49个焚烧及河道红外线监控点位</w:t>
      </w:r>
      <w:r>
        <w:rPr>
          <w:rFonts w:hint="eastAsia"/>
          <w:sz w:val="28"/>
          <w:szCs w:val="28"/>
          <w:lang w:val="en-US" w:eastAsia="zh-CN"/>
        </w:rPr>
        <w:t>，无违反规定的项目实施。</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未发现资金有挪用、抽逃、延迟支付现象，项目建设资金使用合规，账务处理基本合规。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（1）数量指标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对现场安装设备数量、型号核对与采购数量一致，</w:t>
      </w:r>
      <w:r>
        <w:rPr>
          <w:rFonts w:hint="eastAsia" w:ascii="宋体" w:hAnsi="宋体" w:eastAsia="宋体" w:cs="宋体"/>
          <w:kern w:val="2"/>
          <w:sz w:val="28"/>
          <w:szCs w:val="28"/>
          <w:highlight w:val="none"/>
          <w:lang w:val="en-US" w:eastAsia="zh-CN" w:bidi="ar-SA"/>
        </w:rPr>
        <w:t>项目已建设完成的视频监控点位49个，满足实际要求，考评得分8分。</w:t>
      </w:r>
    </w:p>
    <w:p>
      <w:pPr>
        <w:numPr>
          <w:ilvl w:val="0"/>
          <w:numId w:val="2"/>
        </w:num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质量指标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按照要求，</w:t>
      </w:r>
      <w:r>
        <w:rPr>
          <w:rFonts w:hint="eastAsia" w:ascii="宋体" w:hAnsi="宋体" w:eastAsia="宋体" w:cs="宋体"/>
          <w:kern w:val="2"/>
          <w:sz w:val="28"/>
          <w:szCs w:val="28"/>
          <w:lang w:val="en-US" w:eastAsia="zh-CN" w:bidi="ar-SA"/>
        </w:rPr>
        <w:t>所有设备运行正常，</w:t>
      </w:r>
      <w:r>
        <w:rPr>
          <w:rFonts w:hint="eastAsia" w:ascii="宋体" w:hAnsi="宋体" w:eastAsia="宋体" w:cs="宋体"/>
          <w:kern w:val="2"/>
          <w:sz w:val="28"/>
          <w:szCs w:val="28"/>
          <w:highlight w:val="none"/>
          <w:lang w:val="en-US" w:eastAsia="zh-CN" w:bidi="ar-SA"/>
        </w:rPr>
        <w:t>安装设备验收合格率达到100%，能够达到使用要求，</w:t>
      </w:r>
      <w:r>
        <w:rPr>
          <w:rFonts w:hint="eastAsia" w:ascii="宋体" w:hAnsi="宋体" w:eastAsia="宋体" w:cs="宋体"/>
          <w:kern w:val="2"/>
          <w:sz w:val="28"/>
          <w:szCs w:val="28"/>
          <w:lang w:val="en-US" w:eastAsia="zh-CN" w:bidi="ar-SA"/>
        </w:rPr>
        <w:t>验收评定均为合格。此项指标考评得分8分。</w:t>
      </w:r>
    </w:p>
    <w:p>
      <w:pPr>
        <w:numPr>
          <w:ilvl w:val="0"/>
          <w:numId w:val="2"/>
        </w:num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时效指标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kern w:val="2"/>
          <w:sz w:val="28"/>
          <w:szCs w:val="28"/>
          <w:highlight w:val="none"/>
          <w:lang w:val="en-US" w:eastAsia="zh-CN" w:bidi="ar-SA"/>
        </w:rPr>
        <w:t>①</w:t>
      </w:r>
      <w:r>
        <w:rPr>
          <w:rFonts w:hint="eastAsia" w:ascii="宋体" w:hAnsi="宋体" w:eastAsia="宋体" w:cs="宋体"/>
          <w:color w:val="000000"/>
          <w:sz w:val="28"/>
          <w:szCs w:val="28"/>
          <w:lang w:eastAsia="zh-CN"/>
        </w:rPr>
        <w:t>项目按计划完工指标分值</w:t>
      </w:r>
      <w:r>
        <w:rPr>
          <w:rFonts w:hint="eastAsia" w:ascii="宋体" w:hAnsi="宋体" w:eastAsia="宋体" w:cs="宋体"/>
          <w:color w:val="000000"/>
          <w:sz w:val="28"/>
          <w:szCs w:val="28"/>
          <w:lang w:val="en-US" w:eastAsia="zh-CN"/>
        </w:rPr>
        <w:t>5分，考评得分5分；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本项目能够按照计划完工，没有出现滞后。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kern w:val="2"/>
          <w:sz w:val="28"/>
          <w:szCs w:val="28"/>
          <w:highlight w:val="none"/>
          <w:lang w:val="en-US" w:eastAsia="zh-CN" w:bidi="ar-SA"/>
        </w:rPr>
        <w:t>②</w:t>
      </w:r>
      <w:r>
        <w:rPr>
          <w:rFonts w:hint="eastAsia" w:ascii="宋体" w:hAnsi="宋体" w:eastAsia="宋体" w:cs="宋体"/>
          <w:color w:val="000000"/>
          <w:sz w:val="28"/>
          <w:szCs w:val="28"/>
          <w:lang w:val="en-US" w:eastAsia="zh-CN"/>
        </w:rPr>
        <w:t>竣工投入使用时间指标分值4分，考评得分4分；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kern w:val="2"/>
          <w:sz w:val="28"/>
          <w:szCs w:val="28"/>
          <w:lang w:val="en-US" w:eastAsia="zh-CN" w:bidi="ar-SA"/>
        </w:rPr>
        <w:t>秸秆焚烧及河道可视化监管系统安装工程在2018年11月正常投日使用。</w:t>
      </w:r>
    </w:p>
    <w:p>
      <w:pPr>
        <w:numPr>
          <w:ilvl w:val="0"/>
          <w:numId w:val="2"/>
        </w:num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成本指标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年度债券资金已经按施工进度全部支出，支出率达到100%。此项指标考评得分5分。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（1）社会效益指标绩效评价设定分值为20分，考评得分20分。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在围场县境内建设视频监控点位49个，惠及37个乡镇，禁止焚烧秸秆和倾倒固体废物，保障了居民正常生活、工作环境，避免了制约社会经济的发展的不利因素，提高了百姓生活质量</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减少了河道水体污染隐患，通过对露天焚烧秸秆行为的有效控制，有效改善了区域大气质量，提高了人民生活质量</w:t>
      </w:r>
      <w:r>
        <w:rPr>
          <w:rFonts w:hint="eastAsia" w:ascii="宋体" w:hAnsi="宋体" w:eastAsia="宋体" w:cs="宋体"/>
          <w:kern w:val="2"/>
          <w:sz w:val="28"/>
          <w:szCs w:val="28"/>
          <w:highlight w:val="none"/>
          <w:lang w:val="en-US" w:eastAsia="zh-CN" w:bidi="ar-SA"/>
        </w:rPr>
        <w:t>。社会环境和生态环境有所改善。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由于本项目为社会公益性项目，项目的投入不产生直接经济效益。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项目建设可以避免一些</w:t>
      </w:r>
      <w:r>
        <w:rPr>
          <w:rFonts w:hint="eastAsia" w:ascii="宋体" w:hAnsi="宋体" w:eastAsia="宋体" w:cs="宋体"/>
          <w:sz w:val="28"/>
          <w:szCs w:val="28"/>
          <w:highlight w:val="none"/>
          <w:lang w:val="en-US" w:eastAsia="zh-CN"/>
        </w:rPr>
        <w:t>间接经济损失，</w:t>
      </w:r>
      <w:r>
        <w:rPr>
          <w:rFonts w:hint="eastAsia" w:ascii="宋体" w:hAnsi="宋体" w:eastAsia="宋体" w:cs="宋体"/>
          <w:kern w:val="2"/>
          <w:sz w:val="28"/>
          <w:szCs w:val="28"/>
          <w:lang w:val="en-US" w:eastAsia="zh-CN" w:bidi="ar-SA"/>
        </w:rPr>
        <w:t>通过项目的实施，减少了火情可能引起的居民财产损失</w:t>
      </w:r>
      <w:r>
        <w:rPr>
          <w:rFonts w:hint="eastAsia" w:ascii="宋体" w:hAnsi="宋体" w:eastAsia="宋体" w:cs="宋体"/>
          <w:sz w:val="28"/>
          <w:szCs w:val="28"/>
          <w:highlight w:val="none"/>
          <w:lang w:val="en-US" w:eastAsia="zh-CN"/>
        </w:rPr>
        <w:t>，维护了社会稳定，并可持续发展。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2" w:name="_Toc14098"/>
      <w:bookmarkStart w:id="73" w:name="_Toc20538"/>
      <w:r>
        <w:rPr>
          <w:rFonts w:hint="eastAsia" w:ascii="楷体" w:hAnsi="楷体" w:eastAsia="楷体" w:cs="楷体"/>
          <w:b/>
          <w:bCs w:val="0"/>
          <w:kern w:val="0"/>
          <w:sz w:val="32"/>
          <w:szCs w:val="32"/>
          <w:lang w:eastAsia="zh-CN"/>
        </w:rPr>
        <w:t>（二）绩效评价结论</w:t>
      </w:r>
      <w:bookmarkEnd w:id="72"/>
      <w:bookmarkEnd w:id="73"/>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sz w:val="28"/>
          <w:szCs w:val="28"/>
          <w:highlight w:val="none"/>
          <w:lang w:val="en-US" w:eastAsia="zh-CN"/>
        </w:rPr>
        <w:t>围场县环保局秸秆焚烧及河道可视化监管系统</w:t>
      </w:r>
      <w:r>
        <w:rPr>
          <w:rFonts w:hint="eastAsia" w:ascii="宋体" w:hAnsi="宋体" w:eastAsia="宋体" w:cs="宋体"/>
          <w:kern w:val="2"/>
          <w:sz w:val="28"/>
          <w:szCs w:val="28"/>
          <w:lang w:val="en-US" w:eastAsia="zh-CN" w:bidi="ar-SA"/>
        </w:rPr>
        <w:t>工程项目</w:t>
      </w:r>
      <w:r>
        <w:rPr>
          <w:rFonts w:hint="eastAsia" w:ascii="宋体" w:hAnsi="宋体" w:eastAsia="宋体" w:cs="宋体"/>
          <w:kern w:val="2"/>
          <w:sz w:val="28"/>
          <w:szCs w:val="28"/>
          <w:highlight w:val="none"/>
          <w:lang w:val="en-US" w:eastAsia="zh-CN" w:bidi="ar-SA"/>
        </w:rPr>
        <w:t>绩效考评结果，其中：投入指标考评得分10分、管理指标考评得分30分、产出指标考评得分30分、效益指标考评得分26分。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通过对各项指标的具体分析评价，汇总得出本次绩效评价考核综合得分为96分，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通过项目建设，对社会效益影响是长期的，促进了围场县的经济繁荣。</w:t>
      </w:r>
    </w:p>
    <w:p>
      <w:pPr>
        <w:ind w:firstLine="560" w:firstLineChars="200"/>
        <w:rPr>
          <w:rFonts w:hint="eastAsia" w:ascii="仿宋" w:hAnsi="仿宋" w:eastAsia="仿宋"/>
          <w:sz w:val="28"/>
          <w:szCs w:val="28"/>
        </w:rPr>
      </w:pPr>
      <w:r>
        <w:rPr>
          <w:rFonts w:hint="eastAsia" w:ascii="宋体" w:hAnsi="宋体" w:eastAsia="宋体" w:cs="宋体"/>
          <w:bCs/>
          <w:kern w:val="0"/>
          <w:sz w:val="28"/>
          <w:szCs w:val="28"/>
        </w:rPr>
        <w:t>评价结果表明，</w:t>
      </w:r>
      <w:r>
        <w:rPr>
          <w:rFonts w:hint="eastAsia" w:ascii="宋体" w:hAnsi="宋体" w:eastAsia="宋体" w:cs="宋体"/>
          <w:sz w:val="28"/>
          <w:szCs w:val="28"/>
          <w:highlight w:val="none"/>
          <w:lang w:val="en-US" w:eastAsia="zh-CN"/>
        </w:rPr>
        <w:t>围场县环保局秸秆焚烧及河道可视化监管系统</w:t>
      </w:r>
      <w:r>
        <w:rPr>
          <w:rFonts w:hint="eastAsia" w:ascii="宋体" w:hAnsi="宋体" w:eastAsia="宋体" w:cs="宋体"/>
          <w:bCs/>
          <w:kern w:val="0"/>
          <w:sz w:val="28"/>
          <w:szCs w:val="28"/>
        </w:rPr>
        <w:t>组织和管理较好地执行了相关规定要求</w:t>
      </w:r>
      <w:r>
        <w:rPr>
          <w:rFonts w:hint="eastAsia" w:ascii="宋体" w:hAnsi="宋体" w:eastAsia="宋体" w:cs="宋体"/>
          <w:sz w:val="28"/>
          <w:szCs w:val="28"/>
        </w:rPr>
        <w:t>，组织管理有序，</w:t>
      </w:r>
      <w:r>
        <w:rPr>
          <w:rFonts w:hint="eastAsia" w:ascii="宋体" w:hAnsi="宋体" w:eastAsia="宋体" w:cs="宋体"/>
          <w:bCs/>
          <w:kern w:val="0"/>
          <w:sz w:val="28"/>
          <w:szCs w:val="28"/>
        </w:rPr>
        <w:t>单位财务管理制度基本健全，对项目资金的监督管理总体有效</w:t>
      </w:r>
      <w:r>
        <w:rPr>
          <w:rFonts w:hint="eastAsia" w:ascii="宋体" w:hAnsi="宋体" w:eastAsia="宋体" w:cs="宋体"/>
          <w:sz w:val="28"/>
          <w:szCs w:val="28"/>
        </w:rPr>
        <w:t>。</w:t>
      </w:r>
      <w:r>
        <w:rPr>
          <w:rFonts w:hint="eastAsia" w:ascii="宋体" w:hAnsi="宋体" w:eastAsia="宋体" w:cs="宋体"/>
          <w:kern w:val="2"/>
          <w:sz w:val="28"/>
          <w:szCs w:val="28"/>
          <w:lang w:val="en-US" w:eastAsia="zh-CN" w:bidi="ar-SA"/>
        </w:rPr>
        <w:t>资金使用合理合规，为社会的稳定作出了贡献。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4" w:name="_Toc32395"/>
      <w:bookmarkStart w:id="75" w:name="_Toc12158"/>
      <w:r>
        <w:rPr>
          <w:rFonts w:hint="eastAsia" w:ascii="黑体" w:hAnsi="黑体" w:eastAsia="黑体" w:cs="黑体"/>
          <w:b w:val="0"/>
          <w:bCs/>
          <w:kern w:val="0"/>
          <w:sz w:val="32"/>
          <w:szCs w:val="32"/>
          <w:highlight w:val="none"/>
          <w:lang w:eastAsia="zh-CN"/>
        </w:rPr>
        <w:t>五、</w:t>
      </w:r>
      <w:bookmarkEnd w:id="74"/>
      <w:r>
        <w:rPr>
          <w:rFonts w:hint="eastAsia" w:ascii="黑体" w:hAnsi="黑体" w:eastAsia="黑体" w:cs="黑体"/>
          <w:b w:val="0"/>
          <w:bCs/>
          <w:kern w:val="0"/>
          <w:sz w:val="32"/>
          <w:szCs w:val="32"/>
          <w:highlight w:val="none"/>
          <w:lang w:eastAsia="zh-CN"/>
        </w:rPr>
        <w:t>意见及建议</w:t>
      </w:r>
      <w:bookmarkEnd w:id="7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bCs/>
          <w:kern w:val="0"/>
          <w:sz w:val="32"/>
          <w:szCs w:val="32"/>
        </w:rPr>
      </w:pPr>
      <w:r>
        <w:rPr>
          <w:rFonts w:hint="eastAsia" w:ascii="宋体" w:hAnsi="宋体" w:eastAsia="宋体" w:cs="宋体"/>
          <w:bCs/>
          <w:kern w:val="0"/>
          <w:sz w:val="28"/>
          <w:szCs w:val="28"/>
          <w:lang w:eastAsia="zh-CN"/>
        </w:rPr>
        <w:t>加强项目管理、完善建设程序及资金支付方面的管理。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6" w:name="_Toc25821"/>
      <w:bookmarkStart w:id="77" w:name="_Toc26763"/>
      <w:bookmarkStart w:id="78" w:name="_Toc31396"/>
      <w:bookmarkStart w:id="79" w:name="_Toc7010"/>
      <w:bookmarkStart w:id="80" w:name="_Toc5786"/>
      <w:bookmarkStart w:id="81" w:name="_Toc4453"/>
      <w:r>
        <w:rPr>
          <w:rFonts w:hint="eastAsia" w:ascii="楷体" w:hAnsi="楷体" w:eastAsia="楷体" w:cs="楷体"/>
          <w:b/>
          <w:bCs/>
          <w:sz w:val="32"/>
          <w:szCs w:val="32"/>
          <w:lang w:val="en-US" w:eastAsia="zh-CN"/>
        </w:rPr>
        <w:t>（一）强化绩效理念，深入推进评价工作</w:t>
      </w:r>
      <w:bookmarkEnd w:id="76"/>
      <w:bookmarkEnd w:id="77"/>
      <w:bookmarkEnd w:id="78"/>
      <w:bookmarkEnd w:id="79"/>
      <w:bookmarkEnd w:id="80"/>
      <w:bookmarkEnd w:id="81"/>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2" w:name="_Toc11860"/>
      <w:bookmarkStart w:id="83" w:name="_Toc10505"/>
      <w:bookmarkStart w:id="84" w:name="_Toc6863"/>
      <w:bookmarkStart w:id="85" w:name="_Toc20812"/>
      <w:bookmarkStart w:id="86" w:name="_Toc14241"/>
      <w:bookmarkStart w:id="87" w:name="_Toc21411"/>
      <w:r>
        <w:rPr>
          <w:rFonts w:hint="eastAsia" w:ascii="楷体" w:hAnsi="楷体" w:eastAsia="楷体" w:cs="楷体"/>
          <w:b/>
          <w:bCs/>
          <w:sz w:val="32"/>
          <w:szCs w:val="32"/>
          <w:lang w:val="en-US" w:eastAsia="zh-CN"/>
        </w:rPr>
        <w:t>（二）强化事前准备，切实提升评价质量</w:t>
      </w:r>
      <w:bookmarkEnd w:id="82"/>
      <w:bookmarkEnd w:id="83"/>
      <w:bookmarkEnd w:id="84"/>
      <w:bookmarkEnd w:id="85"/>
      <w:bookmarkEnd w:id="86"/>
      <w:bookmarkEnd w:id="87"/>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8" w:name="_Toc21034"/>
      <w:bookmarkStart w:id="89" w:name="_Toc3001"/>
      <w:bookmarkStart w:id="90" w:name="_Toc30061"/>
      <w:bookmarkStart w:id="91" w:name="_Toc11787"/>
      <w:bookmarkStart w:id="92" w:name="_Toc10592"/>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3" w:name="_Toc29363"/>
      <w:r>
        <w:rPr>
          <w:rFonts w:hint="eastAsia" w:ascii="楷体" w:hAnsi="楷体" w:eastAsia="楷体" w:cs="楷体"/>
          <w:b/>
          <w:bCs/>
          <w:sz w:val="32"/>
          <w:szCs w:val="32"/>
          <w:lang w:val="en-US" w:eastAsia="zh-CN"/>
        </w:rPr>
        <w:t>（三）强化结果应用，不断巩固评价</w:t>
      </w:r>
      <w:bookmarkEnd w:id="88"/>
      <w:bookmarkEnd w:id="89"/>
      <w:bookmarkEnd w:id="90"/>
      <w:bookmarkEnd w:id="91"/>
      <w:bookmarkEnd w:id="92"/>
      <w:r>
        <w:rPr>
          <w:rFonts w:hint="eastAsia" w:ascii="楷体" w:hAnsi="楷体" w:eastAsia="楷体" w:cs="楷体"/>
          <w:b/>
          <w:bCs/>
          <w:sz w:val="32"/>
          <w:szCs w:val="32"/>
          <w:lang w:val="en-US" w:eastAsia="zh-CN"/>
        </w:rPr>
        <w:t>成效</w:t>
      </w:r>
      <w:bookmarkEnd w:id="93"/>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4" w:name="_Toc30039"/>
      <w:r>
        <w:rPr>
          <w:rFonts w:hint="eastAsia" w:ascii="黑体" w:hAnsi="黑体" w:eastAsia="黑体" w:cs="黑体"/>
          <w:b w:val="0"/>
          <w:bCs/>
          <w:kern w:val="0"/>
          <w:sz w:val="32"/>
          <w:szCs w:val="32"/>
          <w:lang w:val="en-US" w:eastAsia="zh-CN"/>
        </w:rPr>
        <w:t>六、附件</w:t>
      </w:r>
      <w:bookmarkEnd w:id="94"/>
    </w:p>
    <w:p>
      <w:pPr>
        <w:pStyle w:val="3"/>
        <w:bidi w:val="0"/>
        <w:rPr>
          <w:rFonts w:hint="eastAsia" w:ascii="楷体" w:hAnsi="楷体" w:eastAsia="楷体" w:cs="楷体"/>
          <w:lang w:val="en-US" w:eastAsia="zh-CN"/>
        </w:rPr>
      </w:pPr>
      <w:bookmarkStart w:id="95" w:name="_Toc23119"/>
      <w:r>
        <w:rPr>
          <w:rFonts w:hint="eastAsia" w:ascii="楷体" w:hAnsi="楷体" w:eastAsia="楷体" w:cs="楷体"/>
          <w:lang w:val="en-US" w:eastAsia="zh-CN"/>
        </w:rPr>
        <w:t>绩效评价指标体系得分表</w:t>
      </w:r>
      <w:bookmarkEnd w:id="95"/>
    </w:p>
    <w:p>
      <w:pPr>
        <w:rPr>
          <w:rFonts w:hint="eastAsia" w:ascii="楷体" w:hAnsi="楷体" w:eastAsia="楷体" w:cs="楷体"/>
          <w:sz w:val="18"/>
          <w:szCs w:val="18"/>
          <w:lang w:val="en-US" w:eastAsia="zh-CN"/>
        </w:rPr>
      </w:pPr>
    </w:p>
    <w:p>
      <w:pPr>
        <w:rPr>
          <w:rFonts w:hint="eastAsia" w:ascii="楷体" w:hAnsi="楷体" w:eastAsia="楷体" w:cs="楷体"/>
          <w:sz w:val="18"/>
          <w:szCs w:val="18"/>
          <w:lang w:val="en-US" w:eastAsia="zh-CN"/>
        </w:rPr>
      </w:pPr>
    </w:p>
    <w:p>
      <w:pPr>
        <w:rPr>
          <w:rFonts w:hint="eastAsia" w:ascii="楷体" w:hAnsi="楷体" w:eastAsia="楷体" w:cs="楷体"/>
          <w:sz w:val="18"/>
          <w:szCs w:val="18"/>
          <w:lang w:val="en-US" w:eastAsia="zh-CN"/>
        </w:rPr>
      </w:pPr>
    </w:p>
    <w:p>
      <w:pPr>
        <w:rPr>
          <w:rFonts w:hint="eastAsia" w:ascii="楷体" w:hAnsi="楷体" w:eastAsia="楷体" w:cs="楷体"/>
          <w:sz w:val="18"/>
          <w:szCs w:val="18"/>
          <w:lang w:val="en-US" w:eastAsia="zh-CN"/>
        </w:rPr>
      </w:pPr>
    </w:p>
    <w:p>
      <w:pPr>
        <w:adjustRightInd w:val="0"/>
        <w:snapToGrid w:val="0"/>
        <w:spacing w:line="540" w:lineRule="exact"/>
        <w:outlineLvl w:val="0"/>
        <w:rPr>
          <w:rFonts w:asciiTheme="minorEastAsia" w:hAnsiTheme="minorEastAsia"/>
          <w:sz w:val="32"/>
          <w:szCs w:val="32"/>
        </w:rPr>
      </w:pPr>
      <w:bookmarkStart w:id="96" w:name="_Toc15162"/>
      <w:r>
        <w:rPr>
          <w:rFonts w:hint="eastAsia" w:asciiTheme="minorEastAsia" w:hAnsiTheme="minorEastAsia"/>
          <w:sz w:val="32"/>
          <w:szCs w:val="32"/>
        </w:rPr>
        <w:t>承德燕山会计师事务所         中国注册会计师：崔春华</w:t>
      </w:r>
      <w:bookmarkEnd w:id="96"/>
    </w:p>
    <w:p>
      <w:pPr>
        <w:adjustRightInd w:val="0"/>
        <w:snapToGrid w:val="0"/>
        <w:spacing w:line="540" w:lineRule="exact"/>
        <w:ind w:firstLine="640" w:firstLineChars="200"/>
        <w:outlineLvl w:val="0"/>
        <w:rPr>
          <w:rFonts w:asciiTheme="minorEastAsia" w:hAnsiTheme="minorEastAsia"/>
          <w:sz w:val="32"/>
          <w:szCs w:val="32"/>
        </w:rPr>
      </w:pPr>
      <w:bookmarkStart w:id="97" w:name="_Toc14815"/>
      <w:r>
        <w:rPr>
          <w:rFonts w:hint="eastAsia" w:asciiTheme="minorEastAsia" w:hAnsiTheme="minorEastAsia"/>
          <w:sz w:val="32"/>
          <w:szCs w:val="32"/>
        </w:rPr>
        <w:t>有限责任公司</w:t>
      </w:r>
      <w:bookmarkEnd w:id="97"/>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98"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98"/>
    </w:p>
    <w:p>
      <w:pPr>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p>
    <w:p>
      <w:pPr>
        <w:rPr>
          <w:rFonts w:hint="eastAsia" w:asciiTheme="minorEastAsia" w:hAnsiTheme="minorEastAsia"/>
          <w:sz w:val="32"/>
          <w:szCs w:val="32"/>
        </w:rPr>
      </w:pPr>
      <w:bookmarkStart w:id="99" w:name="_Toc29542"/>
    </w:p>
    <w:p>
      <w:pPr>
        <w:ind w:firstLine="4160" w:firstLineChars="1300"/>
        <w:rPr>
          <w:rFonts w:hint="eastAsia" w:asciiTheme="minorEastAsia" w:hAnsiTheme="minorEastAsia"/>
          <w:sz w:val="32"/>
          <w:szCs w:val="32"/>
          <w:lang w:val="en-US" w:eastAsia="zh-CN"/>
        </w:rPr>
      </w:pPr>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二十六</w:t>
      </w:r>
      <w:r>
        <w:rPr>
          <w:rFonts w:hint="eastAsia" w:asciiTheme="minorEastAsia" w:hAnsiTheme="minorEastAsia"/>
          <w:sz w:val="32"/>
          <w:szCs w:val="32"/>
        </w:rPr>
        <w:t>日</w:t>
      </w:r>
      <w:bookmarkEnd w:id="99"/>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围场县环保局秸秆焚烧及河道可视化监管系统工程</w:t>
      </w:r>
      <w:r>
        <w:rPr>
          <w:rFonts w:hint="eastAsia" w:ascii="宋体" w:hAnsi="宋体" w:eastAsia="宋体" w:cs="宋体"/>
          <w:b/>
          <w:bCs/>
          <w:sz w:val="28"/>
          <w:szCs w:val="28"/>
          <w:highlight w:val="none"/>
          <w:lang w:eastAsia="zh-CN"/>
        </w:rPr>
        <w:t>绩效评价指标体系得分表</w:t>
      </w:r>
    </w:p>
    <w:tbl>
      <w:tblPr>
        <w:tblStyle w:val="12"/>
        <w:tblW w:w="4900"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2137"/>
        <w:gridCol w:w="4802"/>
        <w:gridCol w:w="336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3"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10"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both"/>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10"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10"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10"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both"/>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10"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10"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10"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w:t>
            </w:r>
            <w:r>
              <w:rPr>
                <w:rFonts w:hint="eastAsia" w:ascii="宋体" w:hAnsi="宋体" w:eastAsia="宋体" w:cs="宋体"/>
                <w:color w:val="000000"/>
                <w:sz w:val="24"/>
                <w:lang w:eastAsia="zh-CN"/>
              </w:rPr>
              <w:t>按照计划执行</w:t>
            </w:r>
            <w:r>
              <w:rPr>
                <w:rFonts w:hint="eastAsia" w:ascii="宋体" w:hAnsi="宋体" w:eastAsia="宋体" w:cs="宋体"/>
                <w:color w:val="000000"/>
                <w:sz w:val="24"/>
              </w:rPr>
              <w:t>情况（3分）；</w:t>
            </w:r>
          </w:p>
        </w:tc>
        <w:tc>
          <w:tcPr>
            <w:tcW w:w="1210"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项目实施按照计划执行得3分，每有一项不合理扣减0.5分；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10"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10"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10"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66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both"/>
              <w:rPr>
                <w:rFonts w:asciiTheme="minorEastAsia" w:hAnsiTheme="minorEastAsia"/>
                <w:bCs/>
                <w:sz w:val="24"/>
              </w:rPr>
            </w:pPr>
          </w:p>
        </w:tc>
        <w:tc>
          <w:tcPr>
            <w:tcW w:w="76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eastAsia="zh-CN"/>
              </w:rPr>
              <w:t>数量指标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w:t>
            </w:r>
            <w:r>
              <w:rPr>
                <w:rFonts w:hint="eastAsia" w:asciiTheme="minorEastAsia" w:hAnsiTheme="minorEastAsia"/>
                <w:bCs/>
                <w:sz w:val="24"/>
                <w:lang w:val="en-US" w:eastAsia="zh-CN"/>
              </w:rPr>
              <w:t>8</w:t>
            </w:r>
            <w:r>
              <w:rPr>
                <w:rFonts w:hint="eastAsia" w:asciiTheme="minorEastAsia" w:hAnsiTheme="minorEastAsia"/>
                <w:bCs/>
                <w:sz w:val="24"/>
              </w:rPr>
              <w:t>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w:t>
            </w:r>
            <w:r>
              <w:rPr>
                <w:rFonts w:hint="eastAsia" w:ascii="宋体" w:hAnsi="宋体" w:eastAsia="宋体" w:cs="宋体"/>
                <w:color w:val="000000"/>
                <w:sz w:val="24"/>
                <w:lang w:eastAsia="zh-CN"/>
              </w:rPr>
              <w:t>视频监控点位≥</w:t>
            </w:r>
            <w:r>
              <w:rPr>
                <w:rFonts w:hint="eastAsia" w:ascii="宋体" w:hAnsi="宋体" w:eastAsia="宋体" w:cs="宋体"/>
                <w:color w:val="000000"/>
                <w:sz w:val="24"/>
                <w:lang w:val="en-US" w:eastAsia="zh-CN"/>
              </w:rPr>
              <w:t>49个</w:t>
            </w:r>
            <w:r>
              <w:rPr>
                <w:rFonts w:hint="eastAsia" w:ascii="宋体" w:hAnsi="宋体" w:eastAsia="宋体" w:cs="宋体"/>
                <w:color w:val="000000"/>
                <w:sz w:val="24"/>
              </w:rPr>
              <w:t>（</w:t>
            </w:r>
            <w:r>
              <w:rPr>
                <w:rFonts w:hint="eastAsia" w:ascii="宋体" w:hAnsi="宋体" w:eastAsia="宋体" w:cs="宋体"/>
                <w:color w:val="000000"/>
                <w:sz w:val="24"/>
                <w:lang w:val="en-US" w:eastAsia="zh-CN"/>
              </w:rPr>
              <w:t>8</w:t>
            </w:r>
            <w:r>
              <w:rPr>
                <w:rFonts w:hint="eastAsia" w:ascii="宋体" w:hAnsi="宋体" w:eastAsia="宋体" w:cs="宋体"/>
                <w:color w:val="000000"/>
                <w:sz w:val="24"/>
              </w:rPr>
              <w:t>分）；</w:t>
            </w:r>
          </w:p>
        </w:tc>
        <w:tc>
          <w:tcPr>
            <w:tcW w:w="1210" w:type="pct"/>
            <w:vAlign w:val="center"/>
          </w:tcPr>
          <w:p>
            <w:pPr>
              <w:pStyle w:val="15"/>
              <w:kinsoku w:val="0"/>
              <w:overflowPunct w:val="0"/>
              <w:autoSpaceDE w:val="0"/>
              <w:autoSpaceDN w:val="0"/>
              <w:adjustRightInd w:val="0"/>
              <w:snapToGrid w:val="0"/>
              <w:spacing w:before="163" w:after="163"/>
              <w:ind w:firstLine="0"/>
              <w:rPr>
                <w:rFonts w:hint="default" w:asciiTheme="minorEastAsia" w:hAnsiTheme="minorEastAsia"/>
                <w:bCs/>
                <w:sz w:val="24"/>
                <w:lang w:val="en-US"/>
              </w:rPr>
            </w:pPr>
            <w:r>
              <w:rPr>
                <w:rFonts w:hint="eastAsia" w:asciiTheme="minorEastAsia" w:hAnsiTheme="minorEastAsia"/>
                <w:bCs/>
                <w:sz w:val="24"/>
                <w:szCs w:val="24"/>
                <w:lang w:eastAsia="zh-CN"/>
              </w:rPr>
              <w:t>安装点位达到</w:t>
            </w:r>
            <w:r>
              <w:rPr>
                <w:rFonts w:hint="eastAsia" w:asciiTheme="minorEastAsia" w:hAnsiTheme="minorEastAsia"/>
                <w:bCs/>
                <w:sz w:val="24"/>
                <w:szCs w:val="24"/>
                <w:lang w:val="en-US" w:eastAsia="zh-CN"/>
              </w:rPr>
              <w:t>49个得8分；每少一个扣减1分；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Align w:val="center"/>
          </w:tcPr>
          <w:p>
            <w:pPr>
              <w:pStyle w:val="15"/>
              <w:kinsoku w:val="0"/>
              <w:overflowPunct w:val="0"/>
              <w:autoSpaceDE w:val="0"/>
              <w:autoSpaceDN w:val="0"/>
              <w:adjustRightInd w:val="0"/>
              <w:snapToGrid w:val="0"/>
              <w:spacing w:before="163" w:after="163"/>
              <w:ind w:firstLine="0"/>
              <w:jc w:val="center"/>
              <w:rPr>
                <w:rFonts w:hint="eastAsia"/>
                <w:sz w:val="24"/>
                <w:lang w:eastAsia="zh-CN"/>
              </w:rPr>
            </w:pPr>
            <w:r>
              <w:rPr>
                <w:rFonts w:hint="eastAsia"/>
                <w:sz w:val="24"/>
                <w:lang w:eastAsia="zh-CN"/>
              </w:rPr>
              <w:t>质量指标</w:t>
            </w:r>
          </w:p>
          <w:p>
            <w:pPr>
              <w:pStyle w:val="15"/>
              <w:kinsoku w:val="0"/>
              <w:overflowPunct w:val="0"/>
              <w:autoSpaceDE w:val="0"/>
              <w:autoSpaceDN w:val="0"/>
              <w:adjustRightInd w:val="0"/>
              <w:snapToGrid w:val="0"/>
              <w:spacing w:before="163" w:after="163"/>
              <w:ind w:firstLine="0"/>
              <w:jc w:val="center"/>
              <w:rPr>
                <w:rFonts w:hint="eastAsia"/>
                <w:sz w:val="24"/>
                <w:lang w:eastAsia="zh-CN"/>
              </w:rPr>
            </w:pPr>
            <w:r>
              <w:rPr>
                <w:rFonts w:hint="eastAsia"/>
                <w:sz w:val="24"/>
                <w:lang w:eastAsia="zh-CN"/>
              </w:rPr>
              <w:t>（</w:t>
            </w:r>
            <w:r>
              <w:rPr>
                <w:rFonts w:hint="eastAsia"/>
                <w:sz w:val="24"/>
                <w:lang w:val="en-US" w:eastAsia="zh-CN"/>
              </w:rPr>
              <w:t>8分</w:t>
            </w:r>
            <w:r>
              <w:rPr>
                <w:rFonts w:hint="eastAsia"/>
                <w:sz w:val="24"/>
                <w:lang w:eastAsia="zh-CN"/>
              </w:rPr>
              <w:t>）</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w:t>
            </w:r>
            <w:r>
              <w:rPr>
                <w:rFonts w:hint="eastAsia" w:ascii="宋体" w:hAnsi="宋体" w:eastAsia="宋体" w:cs="宋体"/>
                <w:color w:val="000000"/>
                <w:sz w:val="24"/>
                <w:lang w:eastAsia="zh-CN"/>
              </w:rPr>
              <w:t>设备验收合格率≥</w:t>
            </w:r>
            <w:r>
              <w:rPr>
                <w:rFonts w:hint="eastAsia" w:ascii="宋体" w:hAnsi="宋体" w:eastAsia="宋体" w:cs="宋体"/>
                <w:color w:val="000000"/>
                <w:sz w:val="24"/>
                <w:lang w:val="en-US" w:eastAsia="zh-CN"/>
              </w:rPr>
              <w:t>100%</w:t>
            </w:r>
            <w:r>
              <w:rPr>
                <w:rFonts w:hint="eastAsia" w:ascii="宋体" w:hAnsi="宋体" w:eastAsia="宋体" w:cs="宋体"/>
                <w:color w:val="000000"/>
                <w:sz w:val="24"/>
              </w:rPr>
              <w:t>（</w:t>
            </w:r>
            <w:r>
              <w:rPr>
                <w:rFonts w:hint="eastAsia" w:ascii="宋体" w:hAnsi="宋体" w:eastAsia="宋体" w:cs="宋体"/>
                <w:color w:val="000000"/>
                <w:sz w:val="24"/>
                <w:lang w:val="en-US" w:eastAsia="zh-CN"/>
              </w:rPr>
              <w:t>8</w:t>
            </w:r>
            <w:r>
              <w:rPr>
                <w:rFonts w:hint="eastAsia" w:ascii="宋体" w:hAnsi="宋体" w:eastAsia="宋体" w:cs="宋体"/>
                <w:color w:val="000000"/>
                <w:sz w:val="24"/>
              </w:rPr>
              <w:t>分）；</w:t>
            </w:r>
          </w:p>
        </w:tc>
        <w:tc>
          <w:tcPr>
            <w:tcW w:w="1210" w:type="pct"/>
            <w:vAlign w:val="center"/>
          </w:tcPr>
          <w:p>
            <w:pPr>
              <w:pStyle w:val="15"/>
              <w:kinsoku w:val="0"/>
              <w:overflowPunct w:val="0"/>
              <w:autoSpaceDE w:val="0"/>
              <w:autoSpaceDN w:val="0"/>
              <w:adjustRightInd w:val="0"/>
              <w:snapToGrid w:val="0"/>
              <w:spacing w:before="163" w:after="163"/>
              <w:ind w:firstLine="0"/>
              <w:rPr>
                <w:rFonts w:hint="default" w:asciiTheme="minorEastAsia" w:hAnsiTheme="minorEastAsia"/>
                <w:bCs/>
                <w:sz w:val="24"/>
                <w:lang w:val="en-US"/>
              </w:rPr>
            </w:pPr>
            <w:r>
              <w:rPr>
                <w:rFonts w:hint="eastAsia" w:asciiTheme="minorEastAsia" w:hAnsiTheme="minorEastAsia"/>
                <w:bCs/>
                <w:sz w:val="24"/>
                <w:szCs w:val="24"/>
                <w:lang w:val="en-US" w:eastAsia="zh-CN"/>
              </w:rPr>
              <w:t>一次验收全部合格得8分；整改后验收合格得6分；整改后验收仍不合格得0分；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lang w:eastAsia="zh-CN"/>
              </w:rPr>
            </w:pPr>
            <w:r>
              <w:rPr>
                <w:rFonts w:hint="eastAsia" w:asciiTheme="minorEastAsia" w:hAnsiTheme="minorEastAsia"/>
                <w:bCs/>
                <w:sz w:val="24"/>
                <w:lang w:eastAsia="zh-CN"/>
              </w:rPr>
              <w:t>时效指标</w:t>
            </w:r>
          </w:p>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lang w:eastAsia="zh-CN"/>
              </w:rPr>
            </w:pPr>
            <w:r>
              <w:rPr>
                <w:rFonts w:hint="eastAsia" w:asciiTheme="minorEastAsia" w:hAnsiTheme="minorEastAsia"/>
                <w:bCs/>
                <w:sz w:val="24"/>
                <w:lang w:eastAsia="zh-CN"/>
              </w:rPr>
              <w:t>（</w:t>
            </w:r>
            <w:r>
              <w:rPr>
                <w:rFonts w:hint="eastAsia" w:asciiTheme="minorEastAsia" w:hAnsiTheme="minorEastAsia"/>
                <w:bCs/>
                <w:sz w:val="24"/>
                <w:lang w:val="en-US" w:eastAsia="zh-CN"/>
              </w:rPr>
              <w:t>9分</w:t>
            </w:r>
            <w:r>
              <w:rPr>
                <w:rFonts w:hint="eastAsia" w:asciiTheme="minorEastAsia" w:hAnsiTheme="minorEastAsia"/>
                <w:bCs/>
                <w:sz w:val="24"/>
                <w:lang w:eastAsia="zh-CN"/>
              </w:rPr>
              <w:t>）</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w:t>
            </w:r>
            <w:r>
              <w:rPr>
                <w:rFonts w:hint="eastAsia" w:ascii="宋体" w:hAnsi="宋体" w:eastAsia="宋体" w:cs="宋体"/>
                <w:color w:val="000000"/>
                <w:sz w:val="24"/>
                <w:lang w:eastAsia="zh-CN"/>
              </w:rPr>
              <w:t>项目按计划完工（</w:t>
            </w:r>
            <w:r>
              <w:rPr>
                <w:rFonts w:hint="eastAsia" w:ascii="宋体" w:hAnsi="宋体" w:eastAsia="宋体" w:cs="宋体"/>
                <w:color w:val="000000"/>
                <w:sz w:val="24"/>
                <w:lang w:val="en-US" w:eastAsia="zh-CN"/>
              </w:rPr>
              <w:t>5分</w:t>
            </w:r>
            <w:r>
              <w:rPr>
                <w:rFonts w:hint="eastAsia" w:ascii="宋体" w:hAnsi="宋体" w:eastAsia="宋体" w:cs="宋体"/>
                <w:color w:val="000000"/>
                <w:sz w:val="24"/>
                <w:lang w:eastAsia="zh-CN"/>
              </w:rPr>
              <w:t>）</w:t>
            </w:r>
          </w:p>
        </w:tc>
        <w:tc>
          <w:tcPr>
            <w:tcW w:w="1210" w:type="pct"/>
            <w:vAlign w:val="center"/>
          </w:tcPr>
          <w:p>
            <w:pPr>
              <w:pStyle w:val="15"/>
              <w:kinsoku w:val="0"/>
              <w:overflowPunct w:val="0"/>
              <w:autoSpaceDE w:val="0"/>
              <w:autoSpaceDN w:val="0"/>
              <w:adjustRightInd w:val="0"/>
              <w:snapToGrid w:val="0"/>
              <w:spacing w:before="163" w:after="163"/>
              <w:ind w:firstLine="0"/>
              <w:rPr>
                <w:rFonts w:hint="default" w:asciiTheme="minorEastAsia" w:hAnsiTheme="minorEastAsia" w:eastAsiaTheme="minorEastAsia"/>
                <w:bCs/>
                <w:sz w:val="24"/>
                <w:lang w:val="en-US" w:eastAsia="zh-CN"/>
              </w:rPr>
            </w:pPr>
            <w:r>
              <w:rPr>
                <w:rFonts w:hint="eastAsia" w:asciiTheme="minorEastAsia" w:hAnsiTheme="minorEastAsia"/>
                <w:bCs/>
                <w:sz w:val="24"/>
                <w:lang w:eastAsia="zh-CN"/>
              </w:rPr>
              <w:t>按时完工得</w:t>
            </w:r>
            <w:r>
              <w:rPr>
                <w:rFonts w:hint="eastAsia" w:asciiTheme="minorEastAsia" w:hAnsiTheme="minorEastAsia"/>
                <w:bCs/>
                <w:sz w:val="24"/>
                <w:lang w:val="en-US" w:eastAsia="zh-CN"/>
              </w:rPr>
              <w:t>5分，延迟完工每超期半个月扣减1分；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14、竣工投入使用时间2018年11月（4分）</w:t>
            </w:r>
          </w:p>
        </w:tc>
        <w:tc>
          <w:tcPr>
            <w:tcW w:w="1210"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在规定时间内投入使用得</w:t>
            </w:r>
            <w:r>
              <w:rPr>
                <w:rFonts w:hint="eastAsia" w:ascii="宋体" w:hAnsi="宋体" w:eastAsia="宋体" w:cs="宋体"/>
                <w:color w:val="000000"/>
                <w:sz w:val="24"/>
                <w:lang w:val="en-US" w:eastAsia="zh-CN"/>
              </w:rPr>
              <w:t>4分，每超期半个月扣减1分；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lang w:eastAsia="zh-CN"/>
              </w:rPr>
            </w:pPr>
            <w:r>
              <w:rPr>
                <w:rFonts w:hint="eastAsia" w:asciiTheme="minorEastAsia" w:hAnsiTheme="minorEastAsia"/>
                <w:bCs/>
                <w:sz w:val="24"/>
                <w:lang w:eastAsia="zh-CN"/>
              </w:rPr>
              <w:t>成本指标</w:t>
            </w:r>
          </w:p>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lang w:eastAsia="zh-CN"/>
              </w:rPr>
            </w:pPr>
            <w:r>
              <w:rPr>
                <w:rFonts w:hint="eastAsia" w:asciiTheme="minorEastAsia" w:hAnsiTheme="minorEastAsia"/>
                <w:bCs/>
                <w:sz w:val="24"/>
                <w:lang w:eastAsia="zh-CN"/>
              </w:rPr>
              <w:t>（</w:t>
            </w:r>
            <w:r>
              <w:rPr>
                <w:rFonts w:hint="eastAsia" w:asciiTheme="minorEastAsia" w:hAnsiTheme="minorEastAsia"/>
                <w:bCs/>
                <w:sz w:val="24"/>
                <w:lang w:val="en-US" w:eastAsia="zh-CN"/>
              </w:rPr>
              <w:t>5分</w:t>
            </w:r>
            <w:r>
              <w:rPr>
                <w:rFonts w:hint="eastAsia" w:asciiTheme="minorEastAsia" w:hAnsiTheme="minorEastAsia"/>
                <w:bCs/>
                <w:sz w:val="24"/>
                <w:lang w:eastAsia="zh-CN"/>
              </w:rPr>
              <w:t>）</w:t>
            </w: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15、年度债券资金支出情况达到100%（5分）</w:t>
            </w:r>
          </w:p>
        </w:tc>
        <w:tc>
          <w:tcPr>
            <w:tcW w:w="1210" w:type="pct"/>
          </w:tcPr>
          <w:p>
            <w:pPr>
              <w:pStyle w:val="15"/>
              <w:kinsoku w:val="0"/>
              <w:overflowPunct w:val="0"/>
              <w:autoSpaceDE w:val="0"/>
              <w:autoSpaceDN w:val="0"/>
              <w:adjustRightInd w:val="0"/>
              <w:snapToGrid w:val="0"/>
              <w:spacing w:before="163" w:after="163"/>
              <w:ind w:firstLine="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完成本年度预算支出得5分；未完成本年度预算支出按比例扣减得分；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3"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、总体目标实现情况（8分）；</w:t>
            </w:r>
          </w:p>
        </w:tc>
        <w:tc>
          <w:tcPr>
            <w:tcW w:w="1210"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10"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8</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生态环境</w:t>
            </w:r>
            <w:r>
              <w:rPr>
                <w:rFonts w:hint="eastAsia" w:ascii="宋体" w:hAnsi="宋体" w:eastAsia="宋体" w:cs="宋体"/>
                <w:color w:val="000000"/>
                <w:sz w:val="24"/>
              </w:rPr>
              <w:t>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10"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9</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10"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3"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w:t>
            </w:r>
            <w:r>
              <w:rPr>
                <w:rFonts w:hint="eastAsia" w:ascii="宋体" w:hAnsi="宋体" w:eastAsia="宋体" w:cs="宋体"/>
                <w:color w:val="000000"/>
                <w:sz w:val="24"/>
                <w:szCs w:val="24"/>
                <w:lang w:val="en-US" w:eastAsia="zh-CN"/>
              </w:rPr>
              <w:t>项目建设带来的间接经济效益（7分）；</w:t>
            </w:r>
          </w:p>
        </w:tc>
        <w:tc>
          <w:tcPr>
            <w:tcW w:w="1210"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3"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8"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96</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abstractNum w:abstractNumId="1">
    <w:nsid w:val="1F2594AF"/>
    <w:multiLevelType w:val="singleLevel"/>
    <w:tmpl w:val="1F2594A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6D47CF"/>
    <w:rsid w:val="03906ECE"/>
    <w:rsid w:val="03B73450"/>
    <w:rsid w:val="047E3D7B"/>
    <w:rsid w:val="06B3136F"/>
    <w:rsid w:val="09DF3A36"/>
    <w:rsid w:val="0A617961"/>
    <w:rsid w:val="0CF76258"/>
    <w:rsid w:val="0D9C5D93"/>
    <w:rsid w:val="0E845B64"/>
    <w:rsid w:val="0FF14209"/>
    <w:rsid w:val="105259B6"/>
    <w:rsid w:val="105E04DB"/>
    <w:rsid w:val="11CA6AB4"/>
    <w:rsid w:val="13426D82"/>
    <w:rsid w:val="13D04FA7"/>
    <w:rsid w:val="13E251A0"/>
    <w:rsid w:val="153513FC"/>
    <w:rsid w:val="1671287C"/>
    <w:rsid w:val="179E01C8"/>
    <w:rsid w:val="18B14196"/>
    <w:rsid w:val="19221F70"/>
    <w:rsid w:val="19794F22"/>
    <w:rsid w:val="19B12636"/>
    <w:rsid w:val="1C0818FD"/>
    <w:rsid w:val="1DCB30AC"/>
    <w:rsid w:val="1E3912B7"/>
    <w:rsid w:val="1F3109C5"/>
    <w:rsid w:val="21C358CA"/>
    <w:rsid w:val="23962522"/>
    <w:rsid w:val="27DD72F2"/>
    <w:rsid w:val="284D6241"/>
    <w:rsid w:val="2B284D4B"/>
    <w:rsid w:val="2C137100"/>
    <w:rsid w:val="327F7BC1"/>
    <w:rsid w:val="32AB11EE"/>
    <w:rsid w:val="387641E4"/>
    <w:rsid w:val="39FB1AB6"/>
    <w:rsid w:val="3B943A5F"/>
    <w:rsid w:val="3BB5552B"/>
    <w:rsid w:val="3CC90489"/>
    <w:rsid w:val="3D7533AC"/>
    <w:rsid w:val="3EE432ED"/>
    <w:rsid w:val="3F2A6ACB"/>
    <w:rsid w:val="41A52C9E"/>
    <w:rsid w:val="45CA0AF2"/>
    <w:rsid w:val="46437D54"/>
    <w:rsid w:val="47C37A03"/>
    <w:rsid w:val="48771478"/>
    <w:rsid w:val="488767C9"/>
    <w:rsid w:val="4A924A90"/>
    <w:rsid w:val="4DF57240"/>
    <w:rsid w:val="4F5D274A"/>
    <w:rsid w:val="4FA04472"/>
    <w:rsid w:val="54252E1D"/>
    <w:rsid w:val="569318BE"/>
    <w:rsid w:val="577B4A42"/>
    <w:rsid w:val="599F6A6D"/>
    <w:rsid w:val="62F32932"/>
    <w:rsid w:val="6A890AF3"/>
    <w:rsid w:val="70DB0050"/>
    <w:rsid w:val="70DE2B38"/>
    <w:rsid w:val="710016B0"/>
    <w:rsid w:val="75840E38"/>
    <w:rsid w:val="772B6771"/>
    <w:rsid w:val="77AB17FD"/>
    <w:rsid w:val="783A7376"/>
    <w:rsid w:val="796C68A7"/>
    <w:rsid w:val="79764073"/>
    <w:rsid w:val="7D87276F"/>
    <w:rsid w:val="7F1426B7"/>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autoRedefine/>
    <w:qFormat/>
    <w:uiPriority w:val="0"/>
    <w:pPr>
      <w:keepNext/>
      <w:keepLines/>
      <w:ind w:left="840" w:leftChars="400"/>
      <w:outlineLvl w:val="2"/>
    </w:pPr>
    <w:rPr>
      <w:rFonts w:hint="eastAsia" w:cs="Times New Roman"/>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autoRedefine/>
    <w:qFormat/>
    <w:uiPriority w:val="99"/>
    <w:pPr>
      <w:ind w:firstLine="420"/>
    </w:pPr>
  </w:style>
  <w:style w:type="paragraph" w:styleId="16">
    <w:name w:val="List Paragraph"/>
    <w:basedOn w:val="1"/>
    <w:autoRedefine/>
    <w:unhideWhenUsed/>
    <w:qFormat/>
    <w:uiPriority w:val="99"/>
    <w:pPr>
      <w:ind w:firstLine="420" w:firstLineChars="200"/>
    </w:p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2023-12-28T01:58:44Z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D587AF56AEEF48EDBC76CB1986982EDA</vt:lpwstr>
  </property>
</Properties>
</file>