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围场县环保局机动车遥感监测系统</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4"/>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w:t>
      </w:r>
      <w:r>
        <w:rPr>
          <w:rFonts w:asciiTheme="minorEastAsia" w:hAnsiTheme="minorEastAsia" w:cstheme="minorEastAsia"/>
          <w:b/>
          <w:bCs/>
          <w:sz w:val="32"/>
          <w:szCs w:val="32"/>
          <w:u w:val="single"/>
        </w:rPr>
        <w:t>0</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12</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25</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w:t>
      </w:r>
      <w:r>
        <w:rPr>
          <w:sz w:val="32"/>
          <w:szCs w:val="32"/>
        </w:rPr>
        <w:t>0</w:t>
      </w:r>
      <w:r>
        <w:rPr>
          <w:rFonts w:hint="eastAsia"/>
          <w:sz w:val="32"/>
          <w:szCs w:val="32"/>
        </w:rPr>
        <w:t>）第</w:t>
      </w:r>
      <w:r>
        <w:rPr>
          <w:sz w:val="32"/>
          <w:szCs w:val="32"/>
        </w:rPr>
        <w:t>250</w:t>
      </w:r>
      <w:r>
        <w:rPr>
          <w:rFonts w:hint="eastAsia"/>
          <w:sz w:val="32"/>
          <w:szCs w:val="32"/>
        </w:rPr>
        <w:t>号</w:t>
      </w:r>
    </w:p>
    <w:p>
      <w:pPr>
        <w:ind w:firstLine="960" w:firstLineChars="300"/>
        <w:rPr>
          <w:sz w:val="32"/>
          <w:szCs w:val="32"/>
        </w:rPr>
      </w:pPr>
      <w:r>
        <w:rPr>
          <w:rFonts w:hint="eastAsia"/>
          <w:sz w:val="32"/>
          <w:szCs w:val="32"/>
        </w:rPr>
        <w:t>报告日期：202</w:t>
      </w:r>
      <w:r>
        <w:rPr>
          <w:sz w:val="32"/>
          <w:szCs w:val="32"/>
        </w:rPr>
        <w:t>0</w:t>
      </w:r>
      <w:r>
        <w:rPr>
          <w:rFonts w:hint="eastAsia"/>
          <w:sz w:val="32"/>
          <w:szCs w:val="32"/>
        </w:rPr>
        <w:t>-</w:t>
      </w:r>
      <w:r>
        <w:rPr>
          <w:sz w:val="32"/>
          <w:szCs w:val="32"/>
        </w:rPr>
        <w:t>12</w:t>
      </w:r>
      <w:r>
        <w:rPr>
          <w:rFonts w:hint="eastAsia"/>
          <w:sz w:val="32"/>
          <w:szCs w:val="32"/>
        </w:rPr>
        <w:t>-</w:t>
      </w:r>
      <w:r>
        <w:rPr>
          <w:sz w:val="32"/>
          <w:szCs w:val="32"/>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Word.Picture.8"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w:t>
      </w:r>
      <w:r>
        <w:rPr>
          <w:rFonts w:ascii="仿宋" w:hAnsi="仿宋" w:eastAsia="仿宋"/>
          <w:b/>
          <w:sz w:val="24"/>
        </w:rPr>
        <w:t>0</w:t>
      </w:r>
      <w:r>
        <w:rPr>
          <w:rFonts w:hint="eastAsia" w:ascii="仿宋" w:hAnsi="仿宋" w:eastAsia="仿宋"/>
          <w:b/>
          <w:sz w:val="24"/>
        </w:rPr>
        <w:t>）第</w:t>
      </w:r>
      <w:r>
        <w:rPr>
          <w:rFonts w:ascii="仿宋" w:hAnsi="仿宋" w:eastAsia="仿宋"/>
          <w:b/>
          <w:sz w:val="24"/>
        </w:rPr>
        <w:t>250</w:t>
      </w:r>
      <w:r>
        <w:rPr>
          <w:rFonts w:hint="eastAsia" w:ascii="仿宋" w:hAnsi="仿宋" w:eastAsia="仿宋"/>
          <w:b/>
          <w:sz w:val="24"/>
        </w:rPr>
        <w:t>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15:color w:val="DBDBDB"/>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8"/>
            <w:tabs>
              <w:tab w:val="right" w:leader="dot" w:pos="8306"/>
            </w:tabs>
            <w:rPr>
              <w:sz w:val="28"/>
              <w:szCs w:val="28"/>
            </w:rPr>
          </w:pPr>
          <w:r>
            <w:fldChar w:fldCharType="begin"/>
          </w:r>
          <w:r>
            <w:instrText xml:space="preserve"> HYPERLINK \l "_Toc9949"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_Toc9949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"_Toc5651"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_Toc5651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"_Toc10349"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_Toc10349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"_Toc6340"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_Toc6340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"_Toc25055"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_Toc25055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"_Toc14023"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_Toc14023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"_Toc2581"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_Toc2581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"_Toc12812"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_Toc12812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"_Toc19636"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_Toc19636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"_Toc7295"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_Toc7295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"_Toc26589"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_Toc26589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"_Toc7719"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_Toc7719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"_Toc21126"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_Toc21126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"_Toc7461"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_Toc7461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"_Toc32201"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_Toc32201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"_Toc29510"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_Toc29510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"_Toc445"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_Toc445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"_Toc10752"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_Toc10752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"_Toc5360"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_Toc5360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"_Toc19687"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_Toc19687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"_Toc3804"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_Toc3804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"_Toc20191"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_Toc20191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jc w:val="center"/>
        <w:outlineLvl w:val="0"/>
        <w:rPr>
          <w:rFonts w:ascii="宋体" w:hAnsi="宋体" w:eastAsia="宋体" w:cs="宋体"/>
          <w:b/>
          <w:bCs/>
          <w:sz w:val="36"/>
          <w:szCs w:val="36"/>
        </w:rPr>
      </w:pPr>
      <w:bookmarkStart w:id="0" w:name="_Toc29565"/>
      <w:bookmarkStart w:id="1" w:name="_Toc13259"/>
      <w:bookmarkStart w:id="2" w:name="_Toc22647"/>
      <w:bookmarkStart w:id="3" w:name="_Toc32502"/>
      <w:bookmarkStart w:id="4" w:name="_Toc25062"/>
      <w:bookmarkStart w:id="5" w:name="_Toc7123"/>
      <w:r>
        <w:rPr>
          <w:rFonts w:hint="eastAsia" w:ascii="宋体" w:hAnsi="宋体" w:eastAsia="宋体" w:cs="宋体"/>
          <w:b/>
          <w:bCs/>
          <w:sz w:val="36"/>
          <w:szCs w:val="36"/>
        </w:rPr>
        <w:t>围场县环保局机动车遥感监测系统工程项目</w:t>
      </w:r>
      <w:bookmarkEnd w:id="0"/>
      <w:bookmarkEnd w:id="1"/>
      <w:bookmarkEnd w:id="2"/>
    </w:p>
    <w:p>
      <w:pPr>
        <w:jc w:val="center"/>
        <w:outlineLvl w:val="0"/>
        <w:rPr>
          <w:rFonts w:ascii="宋体" w:hAnsi="宋体" w:eastAsia="宋体" w:cs="宋体"/>
          <w:b/>
          <w:bCs/>
          <w:sz w:val="36"/>
          <w:szCs w:val="36"/>
        </w:rPr>
      </w:pPr>
      <w:bookmarkStart w:id="6" w:name="_Toc14847"/>
      <w:bookmarkStart w:id="7" w:name="_Toc26503"/>
      <w:bookmarkStart w:id="8" w:name="_Toc3241"/>
      <w:r>
        <w:rPr>
          <w:rFonts w:hint="eastAsia" w:ascii="宋体" w:hAnsi="宋体" w:eastAsia="宋体" w:cs="宋体"/>
          <w:b/>
          <w:bCs/>
          <w:sz w:val="36"/>
          <w:szCs w:val="36"/>
        </w:rPr>
        <w:t>一般债券资金绩效评价报告</w:t>
      </w:r>
      <w:bookmarkEnd w:id="3"/>
      <w:bookmarkEnd w:id="4"/>
      <w:bookmarkEnd w:id="5"/>
      <w:bookmarkEnd w:id="6"/>
      <w:bookmarkEnd w:id="7"/>
      <w:bookmarkEnd w:id="8"/>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环保局机动车遥感监测系统工程项目新增一般债券资金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9" w:name="_Toc9949"/>
      <w:bookmarkStart w:id="10" w:name="_Toc8932"/>
      <w:r>
        <w:rPr>
          <w:rFonts w:hint="eastAsia" w:ascii="黑体" w:hAnsi="黑体" w:eastAsia="黑体" w:cs="黑体"/>
          <w:b/>
          <w:sz w:val="32"/>
          <w:szCs w:val="32"/>
        </w:rPr>
        <w:t>一、项目基本情况</w:t>
      </w:r>
      <w:bookmarkEnd w:id="9"/>
      <w:bookmarkEnd w:id="10"/>
    </w:p>
    <w:p>
      <w:pPr>
        <w:spacing w:line="600" w:lineRule="exact"/>
        <w:ind w:firstLine="643" w:firstLineChars="200"/>
        <w:outlineLvl w:val="1"/>
        <w:rPr>
          <w:rFonts w:ascii="楷体" w:hAnsi="楷体" w:eastAsia="楷体" w:cs="楷体"/>
          <w:b/>
          <w:sz w:val="32"/>
          <w:szCs w:val="32"/>
        </w:rPr>
      </w:pPr>
      <w:bookmarkStart w:id="11" w:name="_Toc5651"/>
      <w:bookmarkStart w:id="12" w:name="_Toc1188"/>
      <w:r>
        <w:rPr>
          <w:rFonts w:hint="eastAsia" w:ascii="楷体" w:hAnsi="楷体" w:eastAsia="楷体" w:cs="楷体"/>
          <w:b/>
          <w:sz w:val="32"/>
          <w:szCs w:val="32"/>
        </w:rPr>
        <w:t>（一）项目概况</w:t>
      </w:r>
      <w:bookmarkEnd w:id="11"/>
      <w:bookmarkEnd w:id="12"/>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w:t>
      </w:r>
      <w:bookmarkStart w:id="100" w:name="_GoBack"/>
      <w:bookmarkEnd w:id="100"/>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其中投入围场县环保局机动车遥感监测系统工程项目的债券资金共计249万元。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围场县环保局机动车遥感监测系统工程</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围场满族蒙古族自治县域内</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承德市生态环境局围场满族蒙古族自治县分局</w:t>
      </w:r>
    </w:p>
    <w:p>
      <w:pPr>
        <w:ind w:firstLine="560" w:firstLineChars="200"/>
        <w:rPr>
          <w:rFonts w:ascii="宋体" w:hAnsi="宋体" w:eastAsia="宋体" w:cs="宋体"/>
          <w:sz w:val="28"/>
          <w:szCs w:val="28"/>
        </w:rPr>
      </w:pPr>
      <w:r>
        <w:rPr>
          <w:rFonts w:hint="eastAsia" w:ascii="宋体" w:hAnsi="宋体" w:eastAsia="宋体" w:cs="宋体"/>
          <w:sz w:val="28"/>
          <w:szCs w:val="28"/>
        </w:rPr>
        <w:t>4.项目概况</w:t>
      </w:r>
    </w:p>
    <w:p>
      <w:pPr>
        <w:ind w:firstLine="560" w:firstLineChars="200"/>
        <w:rPr>
          <w:rFonts w:ascii="宋体" w:hAnsi="宋体" w:eastAsia="宋体" w:cs="宋体"/>
          <w:sz w:val="28"/>
          <w:szCs w:val="28"/>
        </w:rPr>
      </w:pPr>
      <w:r>
        <w:rPr>
          <w:rFonts w:hint="eastAsia" w:ascii="宋体" w:hAnsi="宋体" w:eastAsia="宋体" w:cs="宋体"/>
          <w:sz w:val="28"/>
          <w:szCs w:val="28"/>
        </w:rPr>
        <w:t>通过本项目的建设，实现为治理超标排放汽车上道路行驶的违法行为提供执法依据；为研究AQI数据及各项污染因子与机动车排放之间的关联度提供数据支持；为修改机动车排放定期检验限值和遥感检测法排放限值或指标种类提供决策支持;通过数据的积累和分析，为检测中心分析如何布局未来的遥感检测系统监测网提供事实依据。</w:t>
      </w:r>
    </w:p>
    <w:p>
      <w:pPr>
        <w:ind w:firstLine="560" w:firstLineChars="200"/>
        <w:rPr>
          <w:rFonts w:ascii="宋体" w:hAnsi="宋体" w:eastAsia="宋体" w:cs="宋体"/>
          <w:sz w:val="28"/>
          <w:szCs w:val="28"/>
        </w:rPr>
      </w:pPr>
      <w:r>
        <w:rPr>
          <w:rFonts w:hint="eastAsia" w:ascii="宋体" w:hAnsi="宋体" w:eastAsia="宋体" w:cs="宋体"/>
          <w:sz w:val="28"/>
          <w:szCs w:val="28"/>
        </w:rPr>
        <w:t>围场县通过在柴油车主要车道和货运通道建设1套固定垂直式遥感监测系统，对整个市柴油车进行分布管控，严格把控围场县柴油车必经通道，达到对柴油车整体管控的目的，从而将数据进行传输到环保局机动车尾气遥感监测信息联网平台，进行汇总分析，达到对围场县机动车尾气车管控的目的。</w:t>
      </w:r>
    </w:p>
    <w:p>
      <w:pPr>
        <w:ind w:firstLine="560" w:firstLineChars="200"/>
        <w:rPr>
          <w:rFonts w:ascii="宋体" w:hAnsi="宋体" w:eastAsia="宋体" w:cs="宋体"/>
          <w:sz w:val="28"/>
          <w:szCs w:val="28"/>
        </w:rPr>
      </w:pPr>
      <w:r>
        <w:rPr>
          <w:rFonts w:hint="eastAsia" w:ascii="宋体" w:hAnsi="宋体" w:eastAsia="宋体" w:cs="宋体"/>
          <w:sz w:val="28"/>
          <w:szCs w:val="28"/>
        </w:rPr>
        <w:t>本项目主要由前端检测系统组成。其中前端检测系统包括遥感检测单元(含主副机及恒温机柜)、速度加速度测量单元、环境气象监测单元、道路流量监测单元、车辆牌照自动识别单元、现场视频监控单元、环境空气质量监测单元、工业控制计算机(含恒温机柜)龙门架、L杆和LED显示屏等配套设备，可实现机动车排放水平、视频监控、环境空气质量、气象环境参数、车流量的监测。通过有线光纤新型数据实时传输，可实现前端数据接入，与其他执法平台联动等功能，满足数据分析、联动执法等多方面的要求。</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机动车遥感监测系统项目建设投资预算约290万元，其中使用政府一般债券资金249万元。</w:t>
      </w:r>
    </w:p>
    <w:p>
      <w:pPr>
        <w:ind w:firstLine="560" w:firstLineChars="200"/>
        <w:rPr>
          <w:rFonts w:ascii="宋体" w:hAnsi="宋体" w:eastAsia="宋体" w:cs="宋体"/>
          <w:sz w:val="28"/>
          <w:szCs w:val="28"/>
        </w:rPr>
      </w:pPr>
      <w:r>
        <w:rPr>
          <w:rFonts w:hint="eastAsia" w:ascii="宋体" w:hAnsi="宋体" w:eastAsia="宋体" w:cs="宋体"/>
          <w:sz w:val="28"/>
          <w:szCs w:val="28"/>
        </w:rPr>
        <w:t>预算费用主要包括设备采购如遥感检测主副机，速度加速度系统，车辆牌照抓拍识别仪、机动车尾气遥感检测管理软件等合计费用118万元。配套L立杆及其土建施工龙门架及其土建施工、F杆及其土建施工合计费用29万元。视频监控设备500W高清球机、数字硬盘录像机、视频监控、6T硬盘、LED屏、标志牌合计2万元。道路空气质量微型监测设备6万元。道路流量监测设备6万元。汽车电子标识环保信息识读设备8万元。黑烟车智能监控识别设备2.5万元。5年耗材运维50万元。网络费5年6万元。电费网络传输费用5年10万元。检准证书费12.5万元。安装调试10万元。县机动车遥感检测平台30万元。</w:t>
      </w:r>
    </w:p>
    <w:p>
      <w:pPr>
        <w:spacing w:line="600" w:lineRule="exact"/>
        <w:ind w:firstLine="643" w:firstLineChars="200"/>
        <w:outlineLvl w:val="1"/>
        <w:rPr>
          <w:rFonts w:ascii="楷体" w:hAnsi="楷体" w:eastAsia="楷体" w:cs="楷体"/>
          <w:b/>
          <w:sz w:val="32"/>
          <w:szCs w:val="32"/>
        </w:rPr>
      </w:pPr>
      <w:bookmarkStart w:id="13" w:name="_Toc10349"/>
      <w:r>
        <w:rPr>
          <w:rFonts w:hint="eastAsia" w:ascii="楷体" w:hAnsi="楷体" w:eastAsia="楷体" w:cs="楷体"/>
          <w:b/>
          <w:sz w:val="32"/>
          <w:szCs w:val="32"/>
        </w:rPr>
        <w:t>（二）项目绩效目标</w:t>
      </w:r>
      <w:bookmarkEnd w:id="13"/>
    </w:p>
    <w:p>
      <w:pPr>
        <w:spacing w:line="600" w:lineRule="exact"/>
        <w:ind w:firstLine="560" w:firstLineChars="200"/>
        <w:outlineLvl w:val="1"/>
        <w:rPr>
          <w:rFonts w:ascii="宋体" w:hAnsi="宋体" w:eastAsia="宋体" w:cs="宋体"/>
          <w:sz w:val="28"/>
          <w:szCs w:val="28"/>
        </w:rPr>
      </w:pPr>
      <w:bookmarkStart w:id="14" w:name="_Toc31882"/>
      <w:bookmarkStart w:id="15" w:name="_Toc28894"/>
      <w:bookmarkStart w:id="16" w:name="_Toc10011"/>
      <w:bookmarkStart w:id="17" w:name="_Toc3356"/>
      <w:bookmarkStart w:id="18" w:name="_Toc1227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4"/>
      <w:bookmarkEnd w:id="15"/>
      <w:bookmarkEnd w:id="16"/>
      <w:bookmarkEnd w:id="17"/>
    </w:p>
    <w:p>
      <w:pPr>
        <w:spacing w:line="600" w:lineRule="exact"/>
        <w:ind w:firstLine="643" w:firstLineChars="200"/>
        <w:outlineLvl w:val="1"/>
        <w:rPr>
          <w:rFonts w:ascii="楷体" w:hAnsi="楷体" w:eastAsia="楷体" w:cs="楷体"/>
          <w:b/>
          <w:sz w:val="32"/>
          <w:szCs w:val="32"/>
        </w:rPr>
      </w:pPr>
      <w:bookmarkStart w:id="19" w:name="_Toc6340"/>
      <w:r>
        <w:rPr>
          <w:rFonts w:hint="eastAsia" w:ascii="楷体" w:hAnsi="楷体" w:eastAsia="楷体" w:cs="楷体"/>
          <w:b/>
          <w:sz w:val="32"/>
          <w:szCs w:val="32"/>
        </w:rPr>
        <w:t>（三）评价对象和时段</w:t>
      </w:r>
      <w:bookmarkEnd w:id="18"/>
      <w:bookmarkEnd w:id="19"/>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本次考核评价对象：围场县环保局机动车遥感监测系统工程项目。从项目投入、管理、产出、效益等方面进行全面的评价考核。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20" w:name="_Toc25055"/>
      <w:r>
        <w:rPr>
          <w:rFonts w:hint="eastAsia" w:ascii="黑体" w:hAnsi="黑体" w:eastAsia="黑体" w:cs="黑体"/>
          <w:b/>
          <w:bCs/>
          <w:sz w:val="32"/>
          <w:szCs w:val="32"/>
        </w:rPr>
        <w:t>二、绩效评价工作开展情况</w:t>
      </w:r>
      <w:bookmarkEnd w:id="20"/>
    </w:p>
    <w:p>
      <w:pPr>
        <w:ind w:firstLine="643" w:firstLineChars="200"/>
        <w:outlineLvl w:val="1"/>
        <w:rPr>
          <w:rFonts w:ascii="楷体" w:hAnsi="楷体" w:eastAsia="楷体" w:cs="楷体"/>
          <w:b/>
          <w:bCs/>
          <w:sz w:val="32"/>
          <w:szCs w:val="32"/>
        </w:rPr>
      </w:pPr>
      <w:bookmarkStart w:id="21" w:name="_Toc14023"/>
      <w:r>
        <w:rPr>
          <w:rFonts w:hint="eastAsia" w:ascii="楷体" w:hAnsi="楷体" w:eastAsia="楷体" w:cs="楷体"/>
          <w:b/>
          <w:bCs/>
          <w:sz w:val="32"/>
          <w:szCs w:val="32"/>
        </w:rPr>
        <w:t>（一）绩效评价指标权重和绩效评价指标体系</w:t>
      </w:r>
      <w:bookmarkEnd w:id="21"/>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16、社会环境、生态环境改善情况（4分）；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项目建设对社会环境、生态效益有明显提升得4分，提升不明显得2分，影响社会环境不得分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5"/>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22" w:name="_Toc2581"/>
      <w:bookmarkStart w:id="23" w:name="_Toc12872"/>
    </w:p>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22"/>
      <w:bookmarkEnd w:id="23"/>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r>
        <w:rPr>
          <w:rFonts w:hint="eastAsia" w:ascii="宋体" w:hAnsi="宋体" w:eastAsia="宋体" w:cs="宋体"/>
          <w:szCs w:val="28"/>
        </w:rPr>
        <w:t>。</w:t>
      </w:r>
    </w:p>
    <w:p>
      <w:pPr>
        <w:ind w:firstLine="562" w:firstLineChars="200"/>
        <w:rPr>
          <w:rFonts w:ascii="宋体" w:hAnsi="宋体" w:eastAsia="宋体" w:cs="宋体"/>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3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6"/>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4" w:name="_Toc22990"/>
      <w:bookmarkStart w:id="25" w:name="_Toc12812"/>
      <w:r>
        <w:rPr>
          <w:rFonts w:ascii="楷体" w:hAnsi="楷体" w:eastAsia="楷体" w:cs="楷体"/>
          <w:szCs w:val="32"/>
        </w:rPr>
        <w:t>（三）绩效评价工作内容和范围</w:t>
      </w:r>
      <w:bookmarkEnd w:id="24"/>
      <w:bookmarkEnd w:id="25"/>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环保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pStyle w:val="5"/>
        <w:spacing w:line="530" w:lineRule="exact"/>
        <w:ind w:left="0" w:firstLine="560" w:firstLineChars="200"/>
        <w:rPr>
          <w:rFonts w:ascii="宋体" w:hAnsi="宋体" w:eastAsia="宋体" w:cs="宋体"/>
        </w:rPr>
      </w:pPr>
      <w:r>
        <w:rPr>
          <w:rFonts w:hint="eastAsia" w:ascii="宋体" w:hAnsi="宋体" w:eastAsia="宋体" w:cs="宋体"/>
        </w:rPr>
        <w:t>评价内容包括：</w:t>
      </w:r>
    </w:p>
    <w:p>
      <w:pPr>
        <w:pStyle w:val="5"/>
        <w:spacing w:line="530" w:lineRule="exact"/>
        <w:ind w:left="0" w:firstLine="560" w:firstLineChars="200"/>
        <w:rPr>
          <w:rFonts w:ascii="宋体" w:hAnsi="宋体" w:eastAsia="宋体" w:cs="宋体"/>
        </w:rPr>
      </w:pPr>
      <w:r>
        <w:rPr>
          <w:rFonts w:hint="eastAsia" w:ascii="宋体" w:hAnsi="宋体" w:eastAsia="宋体" w:cs="宋体"/>
        </w:rPr>
        <w:t>1.决策情况；</w:t>
      </w:r>
    </w:p>
    <w:p>
      <w:pPr>
        <w:pStyle w:val="5"/>
        <w:spacing w:line="530" w:lineRule="exact"/>
        <w:ind w:left="0" w:firstLine="560" w:firstLineChars="200"/>
        <w:rPr>
          <w:rFonts w:ascii="宋体" w:hAnsi="宋体" w:eastAsia="宋体" w:cs="宋体"/>
        </w:rPr>
      </w:pPr>
      <w:r>
        <w:rPr>
          <w:rFonts w:hint="eastAsia" w:ascii="宋体" w:hAnsi="宋体" w:eastAsia="宋体" w:cs="宋体"/>
        </w:rPr>
        <w:t>2.资金管理和使用情况；</w:t>
      </w:r>
    </w:p>
    <w:p>
      <w:pPr>
        <w:pStyle w:val="5"/>
        <w:spacing w:line="530" w:lineRule="exact"/>
        <w:ind w:left="0" w:firstLine="560" w:firstLineChars="200"/>
        <w:rPr>
          <w:rFonts w:ascii="宋体" w:hAnsi="宋体" w:eastAsia="宋体" w:cs="宋体"/>
        </w:rPr>
      </w:pPr>
      <w:r>
        <w:rPr>
          <w:rFonts w:hint="eastAsia" w:ascii="宋体" w:hAnsi="宋体" w:eastAsia="宋体" w:cs="宋体"/>
        </w:rPr>
        <w:t>3.相关管理制度办法的健全性及执行情况；</w:t>
      </w:r>
    </w:p>
    <w:p>
      <w:pPr>
        <w:pStyle w:val="5"/>
        <w:spacing w:line="530" w:lineRule="exact"/>
        <w:ind w:left="0" w:firstLine="560" w:firstLineChars="200"/>
        <w:rPr>
          <w:rFonts w:ascii="宋体" w:hAnsi="宋体" w:eastAsia="宋体" w:cs="宋体"/>
        </w:rPr>
      </w:pPr>
      <w:r>
        <w:rPr>
          <w:rFonts w:hint="eastAsia" w:ascii="宋体" w:hAnsi="宋体" w:eastAsia="宋体" w:cs="宋体"/>
        </w:rPr>
        <w:t>4.实现的产出情况；</w:t>
      </w:r>
    </w:p>
    <w:p>
      <w:pPr>
        <w:pStyle w:val="5"/>
        <w:spacing w:line="530" w:lineRule="exact"/>
        <w:ind w:left="0" w:firstLine="560" w:firstLineChars="200"/>
        <w:rPr>
          <w:rFonts w:ascii="宋体" w:hAnsi="宋体" w:eastAsia="宋体" w:cs="宋体"/>
        </w:rPr>
      </w:pPr>
      <w:r>
        <w:rPr>
          <w:rFonts w:hint="eastAsia" w:ascii="宋体" w:hAnsi="宋体" w:eastAsia="宋体" w:cs="宋体"/>
        </w:rPr>
        <w:t>5.取得的效益情况；</w:t>
      </w:r>
    </w:p>
    <w:p>
      <w:pPr>
        <w:pStyle w:val="5"/>
        <w:spacing w:line="530" w:lineRule="exact"/>
        <w:ind w:left="0" w:firstLine="560" w:firstLineChars="200"/>
        <w:rPr>
          <w:rFonts w:ascii="宋体" w:hAnsi="宋体" w:eastAsia="宋体" w:cs="宋体"/>
        </w:rPr>
      </w:pPr>
      <w:r>
        <w:rPr>
          <w:rFonts w:hint="eastAsia" w:ascii="宋体" w:hAnsi="宋体" w:eastAsia="宋体" w:cs="宋体"/>
        </w:rPr>
        <w:t>6.其他相关内容；</w:t>
      </w:r>
    </w:p>
    <w:p>
      <w:pPr>
        <w:pStyle w:val="5"/>
        <w:spacing w:line="530" w:lineRule="exact"/>
        <w:ind w:left="0" w:firstLine="560" w:firstLineChars="200"/>
        <w:rPr>
          <w:rFonts w:ascii="宋体" w:hAnsi="宋体" w:eastAsia="宋体" w:cs="宋体"/>
        </w:rPr>
      </w:pPr>
      <w:r>
        <w:rPr>
          <w:rFonts w:hint="eastAsia" w:ascii="宋体" w:hAnsi="宋体" w:eastAsia="宋体" w:cs="宋体"/>
        </w:rPr>
        <w:t>评价范围包括2019年度围场县地方政府新增一般债</w:t>
      </w:r>
      <w:r>
        <w:rPr>
          <w:rFonts w:hint="eastAsia" w:ascii="宋体" w:hAnsi="宋体" w:eastAsia="宋体" w:cs="宋体"/>
          <w:lang w:eastAsia="zh-CN"/>
        </w:rPr>
        <w:t>券</w:t>
      </w:r>
      <w:r>
        <w:rPr>
          <w:rFonts w:hint="eastAsia" w:ascii="宋体" w:hAnsi="宋体" w:eastAsia="宋体" w:cs="宋体"/>
        </w:rPr>
        <w:t>资金的预算投入、支出情况。</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6" w:name="_Toc19636"/>
      <w:bookmarkStart w:id="27"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6"/>
      <w:bookmarkEnd w:id="27"/>
    </w:p>
    <w:p>
      <w:pPr>
        <w:pStyle w:val="5"/>
        <w:spacing w:line="530" w:lineRule="exact"/>
        <w:ind w:left="0" w:firstLine="560" w:firstLineChars="200"/>
        <w:rPr>
          <w:rFonts w:ascii="宋体" w:hAnsi="宋体" w:eastAsia="宋体" w:cs="宋体"/>
        </w:rPr>
      </w:pPr>
      <w:r>
        <w:rPr>
          <w:rFonts w:hint="eastAsia" w:ascii="宋体" w:hAnsi="宋体" w:eastAsia="宋体" w:cs="宋体"/>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pStyle w:val="5"/>
        <w:spacing w:line="530" w:lineRule="exact"/>
        <w:ind w:left="0" w:firstLine="560" w:firstLineChars="200"/>
        <w:rPr>
          <w:rFonts w:ascii="宋体" w:hAnsi="宋体" w:eastAsia="宋体" w:cs="宋体"/>
        </w:rPr>
      </w:pPr>
      <w:r>
        <w:rPr>
          <w:rFonts w:hint="eastAsia" w:ascii="宋体" w:hAnsi="宋体" w:eastAsia="宋体" w:cs="宋体"/>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pStyle w:val="5"/>
        <w:spacing w:line="530" w:lineRule="exact"/>
        <w:ind w:left="0" w:firstLine="560" w:firstLineChars="200"/>
        <w:rPr>
          <w:rFonts w:ascii="宋体" w:hAnsi="宋体" w:eastAsia="宋体" w:cs="宋体"/>
        </w:rPr>
      </w:pPr>
      <w:r>
        <w:rPr>
          <w:rFonts w:hint="eastAsia" w:ascii="宋体" w:hAnsi="宋体" w:eastAsia="宋体" w:cs="宋体"/>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pStyle w:val="5"/>
        <w:spacing w:line="530" w:lineRule="exact"/>
        <w:ind w:left="0" w:firstLine="560" w:firstLineChars="200"/>
        <w:rPr>
          <w:rFonts w:ascii="宋体" w:hAnsi="宋体" w:eastAsia="宋体" w:cs="宋体"/>
        </w:rPr>
      </w:pPr>
      <w:r>
        <w:rPr>
          <w:rFonts w:hint="eastAsia" w:ascii="宋体" w:hAnsi="宋体" w:eastAsia="宋体" w:cs="宋体"/>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8" w:name="_Toc7295"/>
      <w:bookmarkStart w:id="29" w:name="_Toc8164"/>
      <w:bookmarkStart w:id="30" w:name="_Toc12042"/>
      <w:bookmarkStart w:id="31"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8"/>
      <w:bookmarkEnd w:id="29"/>
      <w:bookmarkEnd w:id="30"/>
    </w:p>
    <w:p>
      <w:pPr>
        <w:adjustRightInd w:val="0"/>
        <w:snapToGrid w:val="0"/>
        <w:spacing w:line="600" w:lineRule="exact"/>
        <w:ind w:firstLine="560" w:firstLineChars="200"/>
        <w:outlineLvl w:val="0"/>
        <w:rPr>
          <w:rFonts w:ascii="宋体" w:hAnsi="宋体" w:eastAsia="宋体" w:cs="宋体"/>
          <w:sz w:val="28"/>
          <w:szCs w:val="28"/>
        </w:rPr>
      </w:pPr>
      <w:bookmarkStart w:id="32" w:name="_Toc17563"/>
      <w:bookmarkStart w:id="33" w:name="_Toc18780"/>
      <w:bookmarkStart w:id="34" w:name="_Toc13042"/>
      <w:bookmarkStart w:id="35" w:name="_Toc22556"/>
      <w:bookmarkStart w:id="36" w:name="_Toc1926"/>
      <w:bookmarkStart w:id="37" w:name="_Toc31807"/>
      <w:bookmarkStart w:id="38" w:name="_Toc208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2"/>
      <w:bookmarkEnd w:id="33"/>
      <w:bookmarkEnd w:id="34"/>
      <w:bookmarkEnd w:id="35"/>
      <w:bookmarkEnd w:id="36"/>
      <w:bookmarkEnd w:id="37"/>
      <w:bookmarkEnd w:id="38"/>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9" w:name="_Toc14297"/>
      <w:bookmarkStart w:id="40" w:name="_Toc17036"/>
      <w:bookmarkStart w:id="41" w:name="_Toc19058"/>
      <w:bookmarkStart w:id="42" w:name="_Toc14572"/>
      <w:bookmarkStart w:id="43" w:name="_Toc24972"/>
      <w:bookmarkStart w:id="44" w:name="_Toc24311"/>
      <w:bookmarkStart w:id="45" w:name="_Toc1487"/>
      <w:bookmarkStart w:id="46" w:name="_Toc18986"/>
      <w:bookmarkStart w:id="47" w:name="_Toc27413"/>
      <w:bookmarkStart w:id="48" w:name="_Toc24529"/>
      <w:bookmarkStart w:id="49" w:name="_Toc15494"/>
      <w:r>
        <w:rPr>
          <w:rFonts w:hint="eastAsia" w:ascii="宋体" w:hAnsi="宋体" w:eastAsia="宋体" w:cs="宋体"/>
          <w:b/>
          <w:bCs/>
          <w:kern w:val="0"/>
          <w:sz w:val="28"/>
          <w:szCs w:val="28"/>
        </w:rPr>
        <w:t>1、明确项目团队的职责与分工</w:t>
      </w:r>
      <w:bookmarkEnd w:id="39"/>
      <w:bookmarkEnd w:id="40"/>
      <w:bookmarkEnd w:id="41"/>
      <w:bookmarkEnd w:id="42"/>
      <w:bookmarkEnd w:id="43"/>
      <w:bookmarkEnd w:id="44"/>
      <w:bookmarkEnd w:id="45"/>
      <w:bookmarkEnd w:id="46"/>
      <w:bookmarkEnd w:id="47"/>
      <w:bookmarkEnd w:id="48"/>
      <w:bookmarkEnd w:id="49"/>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5"/>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50" w:name="_Toc28394"/>
      <w:bookmarkStart w:id="51" w:name="_Toc31637"/>
      <w:bookmarkStart w:id="52" w:name="_Toc29931"/>
      <w:bookmarkStart w:id="53" w:name="_Toc6642"/>
      <w:bookmarkStart w:id="54" w:name="_Toc32325"/>
      <w:bookmarkStart w:id="55" w:name="_Toc25494"/>
      <w:bookmarkStart w:id="56" w:name="_Toc27143"/>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50"/>
      <w:bookmarkEnd w:id="51"/>
      <w:bookmarkEnd w:id="52"/>
      <w:bookmarkEnd w:id="53"/>
      <w:bookmarkEnd w:id="54"/>
      <w:bookmarkEnd w:id="55"/>
      <w:bookmarkEnd w:id="5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ind w:firstLine="560" w:firstLineChars="200"/>
        <w:rPr>
          <w:rFonts w:ascii="宋体" w:hAnsi="宋体" w:eastAsia="宋体" w:cs="宋体"/>
          <w:sz w:val="28"/>
          <w:szCs w:val="28"/>
        </w:rPr>
      </w:pPr>
      <w:bookmarkStart w:id="57" w:name="_Toc6221"/>
      <w:bookmarkStart w:id="58" w:name="_Toc332"/>
      <w:bookmarkStart w:id="59" w:name="_Toc17781"/>
      <w:bookmarkStart w:id="60" w:name="_Toc27067"/>
      <w:bookmarkStart w:id="61" w:name="_Toc24530"/>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7"/>
      <w:bookmarkEnd w:id="58"/>
      <w:bookmarkEnd w:id="59"/>
      <w:bookmarkEnd w:id="60"/>
      <w:bookmarkEnd w:id="61"/>
    </w:p>
    <w:p>
      <w:pPr>
        <w:adjustRightInd w:val="0"/>
        <w:snapToGrid w:val="0"/>
        <w:spacing w:line="600" w:lineRule="exact"/>
        <w:ind w:firstLine="640" w:firstLineChars="200"/>
        <w:outlineLvl w:val="0"/>
        <w:rPr>
          <w:rFonts w:ascii="黑体" w:hAnsi="黑体" w:eastAsia="黑体" w:cs="黑体"/>
          <w:sz w:val="32"/>
          <w:szCs w:val="32"/>
        </w:rPr>
      </w:pPr>
      <w:bookmarkStart w:id="62" w:name="_Toc26589"/>
      <w:r>
        <w:rPr>
          <w:rFonts w:hint="eastAsia" w:ascii="黑体" w:hAnsi="黑体" w:eastAsia="黑体" w:cs="黑体"/>
          <w:sz w:val="32"/>
          <w:szCs w:val="32"/>
        </w:rPr>
        <w:t>三、</w:t>
      </w:r>
      <w:bookmarkEnd w:id="31"/>
      <w:r>
        <w:rPr>
          <w:rFonts w:hint="eastAsia" w:ascii="黑体" w:hAnsi="黑体" w:eastAsia="黑体" w:cs="黑体"/>
          <w:sz w:val="32"/>
          <w:szCs w:val="32"/>
        </w:rPr>
        <w:t>项目实施及资金使用情况</w:t>
      </w:r>
      <w:bookmarkEnd w:id="62"/>
    </w:p>
    <w:p>
      <w:pPr>
        <w:ind w:firstLine="643" w:firstLineChars="200"/>
        <w:outlineLvl w:val="1"/>
        <w:rPr>
          <w:rFonts w:ascii="楷体" w:hAnsi="楷体" w:eastAsia="楷体" w:cs="楷体"/>
          <w:b/>
          <w:bCs/>
          <w:sz w:val="32"/>
          <w:szCs w:val="32"/>
          <w:highlight w:val="yellow"/>
        </w:rPr>
      </w:pPr>
      <w:bookmarkStart w:id="63" w:name="_Toc7719"/>
      <w:bookmarkStart w:id="64" w:name="_Toc6786"/>
      <w:r>
        <w:rPr>
          <w:rFonts w:hint="eastAsia" w:ascii="楷体" w:hAnsi="楷体" w:eastAsia="楷体" w:cs="楷体"/>
          <w:b/>
          <w:bCs/>
          <w:sz w:val="32"/>
          <w:szCs w:val="32"/>
        </w:rPr>
        <w:t>（一）项目实施情况</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2018年9月13日，市环保局、市财政局共同下发了关于加快推进机动车遥感监测系统建设的通知。按照河北省环境保护厅、河北省财政厅《关于加快开展机动车遥感监测系统建设的通知》（冀气领办〔2018〕217号）要求，2018年12月底前完成机动车遥感监测系统建设任务。经市领导批准，启动我市机动车遥感监测系统建设项目招投标工作。</w:t>
      </w:r>
    </w:p>
    <w:p>
      <w:pPr>
        <w:ind w:firstLine="560" w:firstLineChars="200"/>
        <w:rPr>
          <w:rFonts w:ascii="宋体" w:hAnsi="宋体" w:eastAsia="宋体" w:cs="宋体"/>
          <w:sz w:val="28"/>
          <w:szCs w:val="28"/>
        </w:rPr>
      </w:pPr>
      <w:r>
        <w:rPr>
          <w:rFonts w:hint="eastAsia" w:ascii="宋体" w:hAnsi="宋体" w:eastAsia="宋体" w:cs="宋体"/>
          <w:sz w:val="28"/>
          <w:szCs w:val="28"/>
        </w:rPr>
        <w:t>2018年12月25日承德市环境保护局围场满族蒙古族自治县分局根据项目可行性原则，向县政府提出项目资金申请（围环〔2018〕119号），预算额为290万元。2019年1月县政府同意此申请，建议县财政给予此项目支持，并请县财政按程序办理相关手续。</w:t>
      </w:r>
    </w:p>
    <w:p>
      <w:pPr>
        <w:ind w:firstLine="560" w:firstLineChars="200"/>
        <w:rPr>
          <w:rFonts w:ascii="宋体" w:hAnsi="宋体" w:eastAsia="宋体" w:cs="宋体"/>
          <w:sz w:val="28"/>
          <w:szCs w:val="28"/>
        </w:rPr>
      </w:pPr>
      <w:r>
        <w:rPr>
          <w:rFonts w:hint="eastAsia" w:ascii="宋体" w:hAnsi="宋体" w:eastAsia="宋体" w:cs="宋体"/>
          <w:sz w:val="28"/>
          <w:szCs w:val="28"/>
        </w:rPr>
        <w:t>2019年1月23日经承德中显工程造价咨询事务所有限责任公司评审确定本项目预算值为265.6万元，调减预算值24.5万元。2019年3月12日通过公开招标的方式，经评标委员会评审，确定石家庄华燕交通科技有限公司为中标单位承建此项工程，中标价249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2019年8月30日，承德市生态环境局围场满族蒙古族自治县分局组织项目验收。本项目达到验收标准，质量合格。</w:t>
      </w:r>
    </w:p>
    <w:p>
      <w:pPr>
        <w:ind w:firstLine="643" w:firstLineChars="200"/>
        <w:outlineLvl w:val="1"/>
        <w:rPr>
          <w:rFonts w:ascii="楷体" w:hAnsi="楷体" w:eastAsia="楷体" w:cs="楷体"/>
          <w:b/>
          <w:bCs/>
          <w:sz w:val="32"/>
          <w:szCs w:val="32"/>
        </w:rPr>
      </w:pPr>
      <w:bookmarkStart w:id="65" w:name="_Toc21126"/>
      <w:bookmarkStart w:id="66" w:name="_Toc14809"/>
      <w:r>
        <w:rPr>
          <w:rFonts w:hint="eastAsia" w:ascii="楷体" w:hAnsi="楷体" w:eastAsia="楷体" w:cs="楷体"/>
          <w:b/>
          <w:bCs/>
          <w:sz w:val="32"/>
          <w:szCs w:val="32"/>
        </w:rPr>
        <w:t>（二）资金使用情况</w:t>
      </w:r>
      <w:bookmarkEnd w:id="65"/>
      <w:bookmarkEnd w:id="66"/>
    </w:p>
    <w:p>
      <w:pPr>
        <w:ind w:firstLine="560" w:firstLineChars="200"/>
        <w:rPr>
          <w:rFonts w:ascii="宋体" w:hAnsi="宋体" w:eastAsia="宋体" w:cs="宋体"/>
          <w:sz w:val="28"/>
          <w:szCs w:val="28"/>
        </w:rPr>
      </w:pPr>
      <w:bookmarkStart w:id="67" w:name="_Toc13622"/>
      <w:bookmarkStart w:id="68" w:name="_Toc15054"/>
      <w:r>
        <w:rPr>
          <w:rFonts w:hint="eastAsia" w:ascii="宋体" w:hAnsi="宋体" w:eastAsia="宋体" w:cs="宋体"/>
          <w:sz w:val="28"/>
          <w:szCs w:val="28"/>
        </w:rPr>
        <w:t>2019年4月围场县财政拨付资金249万元，5月承德市环境保护局围场满族蒙古族自治县分局支付石家庄华燕交通科技有限公司74.7万元，同年11月支付石家庄华燕交通科技有限公司87.15万元，资金到位率65%，剩余项目款在2020年完成余额支付。</w:t>
      </w:r>
    </w:p>
    <w:p>
      <w:pPr>
        <w:ind w:firstLine="560" w:firstLineChars="200"/>
        <w:rPr>
          <w:rFonts w:ascii="宋体" w:hAnsi="宋体" w:eastAsia="宋体" w:cs="宋体"/>
          <w:sz w:val="28"/>
          <w:szCs w:val="28"/>
        </w:rPr>
      </w:pPr>
      <w:r>
        <w:rPr>
          <w:rFonts w:hint="eastAsia" w:ascii="宋体" w:hAnsi="宋体" w:eastAsia="宋体" w:cs="宋体"/>
          <w:sz w:val="28"/>
          <w:szCs w:val="28"/>
        </w:rPr>
        <w:t>2020年12月收到财政拨款77.15万元，同年12月21日由承德市生态环境局围场满族蒙古族自治县分局支付给石家庄华燕交通科技有限公司机动车遥感监测系统项目款77.15万元，剩余10万元作为质保金。截止到年末，本项目工程款已全部支付到位。记账凭证和票据齐全，资金使用比较规范，未出现拖欠、挪用、挤占工程款情况。</w:t>
      </w:r>
      <w:bookmarkEnd w:id="67"/>
      <w:bookmarkEnd w:id="68"/>
    </w:p>
    <w:p>
      <w:pPr>
        <w:ind w:firstLine="640" w:firstLineChars="200"/>
        <w:outlineLvl w:val="0"/>
        <w:rPr>
          <w:rFonts w:ascii="黑体" w:hAnsi="黑体" w:eastAsia="黑体" w:cs="黑体"/>
          <w:sz w:val="32"/>
          <w:szCs w:val="32"/>
        </w:rPr>
      </w:pPr>
      <w:bookmarkStart w:id="69" w:name="_Toc7461"/>
      <w:r>
        <w:rPr>
          <w:rFonts w:hint="eastAsia" w:ascii="黑体" w:hAnsi="黑体" w:eastAsia="黑体" w:cs="黑体"/>
          <w:sz w:val="32"/>
          <w:szCs w:val="32"/>
        </w:rPr>
        <w:t>四、绩效评价分析与结论</w:t>
      </w:r>
      <w:bookmarkEnd w:id="69"/>
    </w:p>
    <w:p>
      <w:pPr>
        <w:adjustRightInd w:val="0"/>
        <w:snapToGrid w:val="0"/>
        <w:spacing w:line="360" w:lineRule="auto"/>
        <w:ind w:firstLine="643" w:firstLineChars="200"/>
        <w:outlineLvl w:val="1"/>
        <w:rPr>
          <w:rFonts w:ascii="楷体" w:hAnsi="楷体" w:eastAsia="楷体" w:cs="楷体"/>
          <w:b/>
          <w:kern w:val="0"/>
          <w:sz w:val="32"/>
          <w:szCs w:val="32"/>
        </w:rPr>
      </w:pPr>
      <w:bookmarkStart w:id="70" w:name="_Toc16548"/>
      <w:bookmarkStart w:id="71" w:name="_Toc32201"/>
      <w:r>
        <w:rPr>
          <w:rFonts w:hint="eastAsia" w:ascii="楷体" w:hAnsi="楷体" w:eastAsia="楷体" w:cs="楷体"/>
          <w:b/>
          <w:kern w:val="0"/>
          <w:sz w:val="32"/>
          <w:szCs w:val="32"/>
        </w:rPr>
        <w:t>（一）绩效评价分析</w:t>
      </w:r>
      <w:bookmarkEnd w:id="70"/>
      <w:bookmarkEnd w:id="71"/>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由市环保局、市财政局共同下发了关于加快推进机动车遥感监测系统建设的通知（承环字〔2018〕100号），同时县环保局向县政府提出项目资金申请，县政府同意此项目实施及资金申请，项目申请过程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实施单位按照项目所设定的绩效目标依据充分，投入可行，资金来源合规，符合客观实际，能够达到设定的目标。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建设单位严格按照方案实施，依据绩效目标设定的绩效指标清晰、合理、细化、可衡量。根据围场县环保局机动车遥感监测系统工程项目自评报告的分析，本项目实施的可持续性强，工程使用年限可达10年。</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绩效评价涉及到的相关文件、中标通知书、施工合同、竣工验收报告等资料齐全。</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债券资金使用部分项目变更控制情况较好，没有对工程质量、进度造成影响，项目能够按照资金使用情况顺利进行。</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④项目实施方案编制情况指标标准分值为3分，考评得分3分。</w:t>
      </w:r>
    </w:p>
    <w:p>
      <w:pPr>
        <w:pStyle w:val="14"/>
        <w:ind w:firstLine="560" w:firstLineChars="200"/>
        <w:jc w:val="both"/>
        <w:rPr>
          <w:sz w:val="28"/>
          <w:szCs w:val="28"/>
        </w:rPr>
      </w:pPr>
      <w:r>
        <w:rPr>
          <w:rFonts w:hint="eastAsia"/>
          <w:sz w:val="28"/>
          <w:szCs w:val="28"/>
        </w:rPr>
        <w:t>本项目实施方案合理、可行，无违反规定的项目实施。</w:t>
      </w:r>
    </w:p>
    <w:p>
      <w:pPr>
        <w:pStyle w:val="14"/>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未发现资金有挪用、抽逃、延迟支付现象，项目建设资金使用合规，账务处理基本合规。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本工程项目能够按照计划完成施工，未出现工程滞后现象。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本项目于2019年8月30日通过验收组验收，达到验收标准，项目质量为合格。工程验收合格率100%，设备检定合格率100%。施工进度计划完成率100%，竣工投入时间2019年8月。</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效益指标绩效评价设定分值为30分，考评得分27分。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项目建设完成后能够产生很好的社会效益，满足社会上人们日益增长的物质文化需求，对社会的稳定发展起到了一定的作用</w:t>
      </w:r>
      <w:r>
        <w:rPr>
          <w:rFonts w:ascii="宋体" w:hAnsi="宋体" w:eastAsia="宋体" w:cs="宋体"/>
          <w:sz w:val="28"/>
          <w:szCs w:val="28"/>
        </w:rPr>
        <w:t>,</w:t>
      </w:r>
      <w:r>
        <w:rPr>
          <w:rFonts w:hint="eastAsia" w:ascii="宋体" w:hAnsi="宋体" w:eastAsia="宋体" w:cs="宋体"/>
          <w:sz w:val="28"/>
          <w:szCs w:val="28"/>
        </w:rPr>
        <w:t>社会效益明显提升。</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通过对本项目的建设，对目前的社会环境有所改善，实时监测机动车尾气排放，改善大气环境质量，控制机动车尾气污染，生态效益显著。</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由于债券资金投入的项目多为社会公益性项目，产生的直接经济效益不明显。</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带来了一定的间接经济效益，通过本项目建设，实现为治理超标排放汽车上路行驶的违法行为提供执法依据。为研究AQI数据及各项污染因子与机动车排放之间的关联度提供数据支持，通过机动车尾气遥感监测信息联网平台进行汇总分析，达到对围场县机动车尾气管控的目的。</w:t>
      </w:r>
    </w:p>
    <w:p>
      <w:pPr>
        <w:adjustRightInd w:val="0"/>
        <w:snapToGrid w:val="0"/>
        <w:spacing w:line="360" w:lineRule="auto"/>
        <w:ind w:firstLine="643" w:firstLineChars="200"/>
        <w:outlineLvl w:val="1"/>
        <w:rPr>
          <w:rFonts w:ascii="楷体" w:hAnsi="楷体" w:eastAsia="楷体" w:cs="楷体"/>
          <w:b/>
          <w:kern w:val="0"/>
          <w:sz w:val="32"/>
          <w:szCs w:val="32"/>
        </w:rPr>
      </w:pPr>
      <w:bookmarkStart w:id="72" w:name="_Toc14098"/>
      <w:bookmarkStart w:id="73" w:name="_Toc29510"/>
      <w:r>
        <w:rPr>
          <w:rFonts w:hint="eastAsia" w:ascii="楷体" w:hAnsi="楷体" w:eastAsia="楷体" w:cs="楷体"/>
          <w:b/>
          <w:kern w:val="0"/>
          <w:sz w:val="32"/>
          <w:szCs w:val="32"/>
        </w:rPr>
        <w:t>（二）绩效评价结论</w:t>
      </w:r>
      <w:bookmarkEnd w:id="72"/>
      <w:bookmarkEnd w:id="73"/>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bCs/>
          <w:kern w:val="0"/>
          <w:sz w:val="28"/>
          <w:szCs w:val="28"/>
        </w:rPr>
      </w:pPr>
      <w:r>
        <w:rPr>
          <w:rFonts w:hint="eastAsia" w:ascii="宋体" w:hAnsi="宋体" w:eastAsia="宋体" w:cs="宋体"/>
          <w:sz w:val="28"/>
          <w:szCs w:val="28"/>
        </w:rPr>
        <w:t>绩效评价指标综合得分情况</w:t>
      </w:r>
      <w:r>
        <w:rPr>
          <w:rFonts w:hint="eastAsia" w:ascii="宋体" w:hAnsi="宋体" w:eastAsia="宋体" w:cs="宋体"/>
          <w:bCs/>
          <w:kern w:val="0"/>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围场县环保局机动车遥感监测系统项目绩效考评结果，其中：投入指标考评得分10分、管理指标考评得分30分、产出指标考评得分30分、效益指标考评得分27分。通过对各项指标的具体分析评价，汇总得出本次绩效评价考核综合得分为97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通过项目建设，对社会效益影响是长期的，促进了围场县的经济发展和旅游业繁荣。</w:t>
      </w:r>
    </w:p>
    <w:p>
      <w:pPr>
        <w:ind w:firstLine="560" w:firstLineChars="200"/>
        <w:rPr>
          <w:rFonts w:ascii="宋体" w:hAnsi="宋体" w:eastAsia="宋体" w:cs="宋体"/>
          <w:sz w:val="28"/>
          <w:szCs w:val="28"/>
        </w:rPr>
      </w:pPr>
      <w:r>
        <w:rPr>
          <w:rFonts w:hint="eastAsia" w:ascii="宋体" w:hAnsi="宋体" w:eastAsia="宋体" w:cs="宋体"/>
          <w:sz w:val="28"/>
          <w:szCs w:val="28"/>
        </w:rPr>
        <w:t>评价结果表明，围场县环保局机动车遥感监测系统工程项目组织和管理较好地执行了相关规定要求，组织管理有序，单位财务管理制度基本健全，对项目资金的监督管理总体有效，实施的经济效益和持续性明显。通过机动车尾气遥感监测信息联网平台进行汇总分析，达到对围场县机动车尾气管控的目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74" w:name="_Toc32395"/>
      <w:bookmarkStart w:id="75" w:name="_Toc445"/>
      <w:r>
        <w:rPr>
          <w:rFonts w:hint="eastAsia" w:ascii="黑体" w:hAnsi="黑体" w:eastAsia="黑体" w:cs="黑体"/>
          <w:bCs/>
          <w:kern w:val="0"/>
          <w:sz w:val="32"/>
          <w:szCs w:val="32"/>
        </w:rPr>
        <w:t>五、</w:t>
      </w:r>
      <w:bookmarkEnd w:id="74"/>
      <w:r>
        <w:rPr>
          <w:rFonts w:hint="eastAsia" w:ascii="黑体" w:hAnsi="黑体" w:eastAsia="黑体" w:cs="黑体"/>
          <w:bCs/>
          <w:kern w:val="0"/>
          <w:sz w:val="32"/>
          <w:szCs w:val="32"/>
        </w:rPr>
        <w:t>意见及建议</w:t>
      </w:r>
      <w:bookmarkEnd w:id="75"/>
    </w:p>
    <w:p>
      <w:pPr>
        <w:adjustRightInd w:val="0"/>
        <w:snapToGrid w:val="0"/>
        <w:spacing w:line="360" w:lineRule="auto"/>
        <w:ind w:firstLine="560" w:firstLineChars="200"/>
        <w:rPr>
          <w:rFonts w:ascii="仿宋" w:hAnsi="仿宋" w:eastAsia="仿宋" w:cs="宋体"/>
          <w:bCs/>
          <w:kern w:val="0"/>
          <w:sz w:val="32"/>
          <w:szCs w:val="32"/>
        </w:rPr>
      </w:pPr>
      <w:r>
        <w:rPr>
          <w:rFonts w:hint="eastAsia" w:ascii="宋体" w:hAnsi="宋体" w:eastAsia="宋体" w:cs="宋体"/>
          <w:bCs/>
          <w:kern w:val="0"/>
          <w:sz w:val="28"/>
          <w:szCs w:val="28"/>
        </w:rPr>
        <w:t>加强项目管理、完善建设程序及资金支付方面的管理。</w:t>
      </w:r>
    </w:p>
    <w:p>
      <w:pPr>
        <w:pStyle w:val="3"/>
        <w:spacing w:line="240" w:lineRule="auto"/>
        <w:ind w:firstLine="643" w:firstLineChars="200"/>
        <w:rPr>
          <w:rFonts w:ascii="楷体" w:hAnsi="楷体" w:eastAsia="楷体" w:cs="楷体"/>
        </w:rPr>
      </w:pPr>
      <w:bookmarkStart w:id="76" w:name="_Toc25821"/>
      <w:bookmarkStart w:id="77" w:name="_Toc7010"/>
      <w:bookmarkStart w:id="78" w:name="_Toc10752"/>
      <w:bookmarkStart w:id="79" w:name="_Toc31396"/>
      <w:bookmarkStart w:id="80" w:name="_Toc26763"/>
      <w:bookmarkStart w:id="81" w:name="_Toc5786"/>
      <w:r>
        <w:rPr>
          <w:rFonts w:hint="eastAsia" w:ascii="楷体" w:hAnsi="楷体" w:eastAsia="楷体" w:cs="楷体"/>
        </w:rPr>
        <w:t>（一）强化绩效理念，深入推进评价工作</w:t>
      </w:r>
      <w:bookmarkEnd w:id="76"/>
      <w:bookmarkEnd w:id="77"/>
      <w:bookmarkEnd w:id="78"/>
      <w:bookmarkEnd w:id="79"/>
      <w:bookmarkEnd w:id="80"/>
      <w:bookmarkEnd w:id="81"/>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82" w:name="_Toc14241"/>
      <w:bookmarkStart w:id="83" w:name="_Toc11860"/>
      <w:bookmarkStart w:id="84" w:name="_Toc10505"/>
      <w:bookmarkStart w:id="85" w:name="_Toc21411"/>
      <w:bookmarkStart w:id="86" w:name="_Toc6863"/>
      <w:bookmarkStart w:id="87" w:name="_Toc5360"/>
      <w:r>
        <w:rPr>
          <w:rFonts w:hint="eastAsia" w:ascii="楷体" w:hAnsi="楷体" w:eastAsia="楷体" w:cs="楷体"/>
        </w:rPr>
        <w:t>（二）强化事前准备，切实提升评价质量</w:t>
      </w:r>
      <w:bookmarkEnd w:id="82"/>
      <w:bookmarkEnd w:id="83"/>
      <w:bookmarkEnd w:id="84"/>
      <w:bookmarkEnd w:id="85"/>
      <w:bookmarkEnd w:id="86"/>
      <w:bookmarkEnd w:id="87"/>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8" w:name="_Toc30061"/>
      <w:bookmarkStart w:id="89" w:name="_Toc11787"/>
      <w:bookmarkStart w:id="90" w:name="_Toc10592"/>
      <w:bookmarkStart w:id="91" w:name="_Toc21034"/>
      <w:bookmarkStart w:id="92" w:name="_Toc3001"/>
    </w:p>
    <w:p>
      <w:pPr>
        <w:pStyle w:val="3"/>
        <w:spacing w:line="240" w:lineRule="auto"/>
        <w:ind w:firstLine="643" w:firstLineChars="200"/>
        <w:rPr>
          <w:rFonts w:ascii="楷体" w:hAnsi="楷体" w:eastAsia="楷体" w:cs="楷体"/>
        </w:rPr>
      </w:pPr>
      <w:bookmarkStart w:id="93" w:name="_Toc19687"/>
      <w:r>
        <w:rPr>
          <w:rFonts w:hint="eastAsia" w:ascii="楷体" w:hAnsi="楷体" w:eastAsia="楷体" w:cs="楷体"/>
        </w:rPr>
        <w:t>（三）强化结果应用，不断巩固评价</w:t>
      </w:r>
      <w:bookmarkEnd w:id="88"/>
      <w:bookmarkEnd w:id="89"/>
      <w:bookmarkEnd w:id="90"/>
      <w:bookmarkEnd w:id="91"/>
      <w:bookmarkEnd w:id="92"/>
      <w:r>
        <w:rPr>
          <w:rFonts w:hint="eastAsia" w:ascii="楷体" w:hAnsi="楷体" w:eastAsia="楷体" w:cs="楷体"/>
        </w:rPr>
        <w:t>成效</w:t>
      </w:r>
      <w:bookmarkEnd w:id="93"/>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94" w:name="_Toc3804"/>
      <w:r>
        <w:rPr>
          <w:rFonts w:hint="eastAsia" w:ascii="黑体" w:hAnsi="黑体" w:eastAsia="黑体" w:cs="黑体"/>
          <w:bCs/>
          <w:kern w:val="0"/>
          <w:sz w:val="32"/>
          <w:szCs w:val="32"/>
        </w:rPr>
        <w:t>六、附件</w:t>
      </w:r>
      <w:bookmarkEnd w:id="94"/>
    </w:p>
    <w:p>
      <w:pPr>
        <w:pStyle w:val="3"/>
        <w:rPr>
          <w:rFonts w:ascii="楷体" w:hAnsi="楷体" w:eastAsia="楷体" w:cs="楷体"/>
        </w:rPr>
      </w:pPr>
      <w:bookmarkStart w:id="95" w:name="_Toc20191"/>
      <w:r>
        <w:rPr>
          <w:rFonts w:hint="eastAsia" w:ascii="楷体" w:hAnsi="楷体" w:eastAsia="楷体" w:cs="楷体"/>
        </w:rPr>
        <w:t>绩效评价指标体系得分表</w:t>
      </w:r>
      <w:bookmarkEnd w:id="95"/>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adjustRightInd w:val="0"/>
        <w:snapToGrid w:val="0"/>
        <w:spacing w:line="540" w:lineRule="exact"/>
        <w:outlineLvl w:val="0"/>
        <w:rPr>
          <w:rFonts w:asciiTheme="minorEastAsia" w:hAnsiTheme="minorEastAsia"/>
          <w:sz w:val="32"/>
          <w:szCs w:val="32"/>
        </w:rPr>
      </w:pPr>
      <w:bookmarkStart w:id="96" w:name="_Toc15162"/>
      <w:r>
        <w:rPr>
          <w:rFonts w:hint="eastAsia" w:asciiTheme="minorEastAsia" w:hAnsiTheme="minorEastAsia"/>
          <w:sz w:val="32"/>
          <w:szCs w:val="32"/>
        </w:rPr>
        <w:t>承德燕山会计师事务所         中国注册会计师：崔春华</w:t>
      </w:r>
      <w:bookmarkEnd w:id="96"/>
    </w:p>
    <w:p>
      <w:pPr>
        <w:adjustRightInd w:val="0"/>
        <w:snapToGrid w:val="0"/>
        <w:spacing w:line="540" w:lineRule="exact"/>
        <w:ind w:firstLine="640" w:firstLineChars="200"/>
        <w:outlineLvl w:val="0"/>
        <w:rPr>
          <w:rFonts w:asciiTheme="minorEastAsia" w:hAnsiTheme="minorEastAsia"/>
          <w:sz w:val="32"/>
          <w:szCs w:val="32"/>
        </w:rPr>
      </w:pPr>
      <w:bookmarkStart w:id="97" w:name="_Toc14815"/>
      <w:r>
        <w:rPr>
          <w:rFonts w:hint="eastAsia" w:asciiTheme="minorEastAsia" w:hAnsiTheme="minorEastAsia"/>
          <w:sz w:val="32"/>
          <w:szCs w:val="32"/>
        </w:rPr>
        <w:t>有限责任公司</w:t>
      </w:r>
      <w:bookmarkEnd w:id="97"/>
    </w:p>
    <w:p>
      <w:pPr>
        <w:ind w:firstLine="640" w:firstLineChars="200"/>
        <w:outlineLvl w:val="0"/>
        <w:rPr>
          <w:rFonts w:asciiTheme="minorEastAsia" w:hAnsiTheme="minorEastAsia"/>
          <w:sz w:val="32"/>
          <w:szCs w:val="32"/>
        </w:rPr>
      </w:pPr>
      <w:bookmarkStart w:id="98" w:name="_Toc13463"/>
      <w:r>
        <w:rPr>
          <w:rFonts w:hint="eastAsia" w:asciiTheme="minorEastAsia" w:hAnsiTheme="minorEastAsia"/>
          <w:sz w:val="32"/>
          <w:szCs w:val="32"/>
        </w:rPr>
        <w:t>河北·承德               中国注册会计师：白秀云</w:t>
      </w:r>
      <w:bookmarkEnd w:id="98"/>
    </w:p>
    <w:p>
      <w:pPr>
        <w:ind w:firstLine="640" w:firstLineChars="200"/>
        <w:rPr>
          <w:rFonts w:asciiTheme="minorEastAsia" w:hAnsiTheme="minorEastAsia"/>
          <w:sz w:val="32"/>
          <w:szCs w:val="32"/>
        </w:rPr>
      </w:pPr>
    </w:p>
    <w:p>
      <w:pPr>
        <w:ind w:firstLine="640" w:firstLineChars="200"/>
        <w:rPr>
          <w:rFonts w:asciiTheme="minorEastAsia" w:hAnsiTheme="minorEastAsia"/>
          <w:sz w:val="32"/>
          <w:szCs w:val="32"/>
        </w:rPr>
      </w:pPr>
    </w:p>
    <w:p>
      <w:pPr>
        <w:rPr>
          <w:rFonts w:ascii="楷体" w:hAnsi="楷体" w:eastAsia="楷体" w:cs="楷体"/>
        </w:rPr>
      </w:pPr>
      <w:r>
        <w:rPr>
          <w:rFonts w:hint="eastAsia" w:asciiTheme="minorEastAsia" w:hAnsiTheme="minorEastAsia"/>
          <w:sz w:val="32"/>
          <w:szCs w:val="32"/>
        </w:rPr>
        <w:t xml:space="preserve">                           </w:t>
      </w:r>
      <w:bookmarkStart w:id="99" w:name="_Toc29542"/>
      <w:r>
        <w:rPr>
          <w:rFonts w:hint="eastAsia" w:asciiTheme="minorEastAsia" w:hAnsiTheme="minorEastAsia"/>
          <w:sz w:val="32"/>
          <w:szCs w:val="32"/>
        </w:rPr>
        <w:t xml:space="preserve">  二○二〇十二月二十五日</w:t>
      </w:r>
      <w:bookmarkEnd w:id="99"/>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围场县环保局机动车遥感监测系统绩效评价指标体系得分表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项目建设对社会环境、生态效益有明显提升得4分，提升不明显得2分，影响社会环境不得分；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97</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373ED2"/>
    <w:rsid w:val="006F3196"/>
    <w:rsid w:val="00C010A2"/>
    <w:rsid w:val="023F3C88"/>
    <w:rsid w:val="03906ECE"/>
    <w:rsid w:val="03B73450"/>
    <w:rsid w:val="047E3D7B"/>
    <w:rsid w:val="06B3136F"/>
    <w:rsid w:val="09DF3A36"/>
    <w:rsid w:val="0A617961"/>
    <w:rsid w:val="0CF76258"/>
    <w:rsid w:val="0FF14209"/>
    <w:rsid w:val="105259B6"/>
    <w:rsid w:val="105E04DB"/>
    <w:rsid w:val="11CA6AB4"/>
    <w:rsid w:val="13426D82"/>
    <w:rsid w:val="1671287C"/>
    <w:rsid w:val="179E01C8"/>
    <w:rsid w:val="18B14196"/>
    <w:rsid w:val="19B12636"/>
    <w:rsid w:val="1B954E30"/>
    <w:rsid w:val="1BF91283"/>
    <w:rsid w:val="1C0818FD"/>
    <w:rsid w:val="1DCB30AC"/>
    <w:rsid w:val="1E3912B7"/>
    <w:rsid w:val="1F8837F6"/>
    <w:rsid w:val="21C358CA"/>
    <w:rsid w:val="27D42270"/>
    <w:rsid w:val="27DD72F2"/>
    <w:rsid w:val="284D6241"/>
    <w:rsid w:val="2B284D4B"/>
    <w:rsid w:val="2BEE4857"/>
    <w:rsid w:val="2C137100"/>
    <w:rsid w:val="31D67037"/>
    <w:rsid w:val="327F7BC1"/>
    <w:rsid w:val="34420A95"/>
    <w:rsid w:val="34E81619"/>
    <w:rsid w:val="39FB1AB6"/>
    <w:rsid w:val="3B701A35"/>
    <w:rsid w:val="3BB5552B"/>
    <w:rsid w:val="3D7533AC"/>
    <w:rsid w:val="3EE432ED"/>
    <w:rsid w:val="41A52C9E"/>
    <w:rsid w:val="442A65AD"/>
    <w:rsid w:val="46437D54"/>
    <w:rsid w:val="47C37A03"/>
    <w:rsid w:val="48771478"/>
    <w:rsid w:val="4A924A90"/>
    <w:rsid w:val="4DF57240"/>
    <w:rsid w:val="4F3A7E80"/>
    <w:rsid w:val="4F5D274A"/>
    <w:rsid w:val="50D530FC"/>
    <w:rsid w:val="533F44BC"/>
    <w:rsid w:val="54252E1D"/>
    <w:rsid w:val="55F67729"/>
    <w:rsid w:val="569318BE"/>
    <w:rsid w:val="577B4A42"/>
    <w:rsid w:val="5E4241BA"/>
    <w:rsid w:val="5E441F5F"/>
    <w:rsid w:val="63D56525"/>
    <w:rsid w:val="666232EF"/>
    <w:rsid w:val="6D36568B"/>
    <w:rsid w:val="6FCB04F7"/>
    <w:rsid w:val="710016B0"/>
    <w:rsid w:val="7108670F"/>
    <w:rsid w:val="75840E38"/>
    <w:rsid w:val="772B6771"/>
    <w:rsid w:val="77AB17FD"/>
    <w:rsid w:val="77D84498"/>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outlineLvl w:val="0"/>
    </w:pPr>
    <w:rPr>
      <w:rFonts w:ascii="黑体" w:hAnsi="黑体" w:eastAsia="宋体" w:cs="黑体"/>
      <w:b/>
      <w:bCs/>
      <w:kern w:val="44"/>
      <w:sz w:val="28"/>
      <w:szCs w:val="28"/>
    </w:rPr>
  </w:style>
  <w:style w:type="paragraph" w:styleId="3">
    <w:name w:val="heading 2"/>
    <w:basedOn w:val="1"/>
    <w:next w:val="1"/>
    <w:autoRedefine/>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pPr>
      <w:ind w:left="520"/>
    </w:pPr>
    <w:rPr>
      <w:rFonts w:ascii="Noto Sans CJK JP Black" w:hAnsi="Noto Sans CJK JP Black" w:eastAsia="Noto Sans CJK JP Black" w:cs="Noto Sans CJK JP Black"/>
      <w:sz w:val="28"/>
      <w:szCs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autoRedefine/>
    <w:qFormat/>
    <w:uiPriority w:val="99"/>
    <w:pPr>
      <w:ind w:firstLine="420"/>
    </w:pPr>
  </w:style>
  <w:style w:type="paragraph" w:styleId="16">
    <w:name w:val="List Paragraph"/>
    <w:basedOn w:val="1"/>
    <w:autoRedefine/>
    <w:unhideWhenUsed/>
    <w:qFormat/>
    <w:uiPriority w:val="99"/>
    <w:pPr>
      <w:ind w:firstLine="420" w:firstLineChars="200"/>
    </w:p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2190</Words>
  <Characters>12484</Characters>
  <Lines>104</Lines>
  <Paragraphs>29</Paragraphs>
  <TotalTime>9</TotalTime>
  <ScaleCrop>false</ScaleCrop>
  <LinksUpToDate>false</LinksUpToDate>
  <CharactersWithSpaces>14645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2023-12-28T01:53:47Z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A47BE00F5D714A8BB746CBDDB75BAF7D</vt:lpwstr>
  </property>
</Properties>
</file>