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围场县牌楼卸载站场地硬化工程</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报告文号：承燕会所审专字（2020）第285号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9"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4" o:title=""/>
            <o:lock v:ext="edit" aspectratio="t"/>
            <w10:wrap type="square"/>
          </v:shape>
          <o:OLEObject Type="Embed" ProgID="Word.Picture.8" ShapeID="_x0000_s1026" DrawAspect="Content" ObjectID="_1468075725" r:id="rId13">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57" w:firstLineChars="1850"/>
        <w:rPr>
          <w:rFonts w:ascii="仿宋" w:hAnsi="仿宋" w:eastAsia="仿宋" w:cs="仿宋_GB2312"/>
          <w:b/>
          <w:bCs/>
          <w:sz w:val="36"/>
          <w:szCs w:val="36"/>
        </w:rPr>
      </w:pPr>
      <w:r>
        <w:rPr>
          <w:rFonts w:hint="eastAsia" w:ascii="仿宋" w:hAnsi="仿宋" w:eastAsia="仿宋"/>
          <w:b/>
          <w:sz w:val="24"/>
        </w:rPr>
        <w:t>承燕会所审专字</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（2020）第 285号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"_Toc14959"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_Toc14959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"_Toc32591"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_Toc32591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"_Toc15275"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_Toc15275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"_Toc1315"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_Toc1315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"_Toc12954"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_Toc12954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"_Toc6611"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_Toc6611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"_Toc7422"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_Toc7422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"_Toc4589"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_Toc4589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"_Toc32001"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_Toc32001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"_Toc20111"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_Toc20111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"_Toc30933"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_Toc30933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"_Toc14579"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_Toc14579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"_Toc2767"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_Toc2767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"_Toc1284"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_Toc1284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"_Toc5043"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_Toc5043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"_Toc18863"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_Toc18863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"_Toc13271"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_Toc13271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"_Toc31355"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_Toc31355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"_Toc23272"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_Toc23272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"_Toc4488"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_Toc4488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"_Toc18212"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_Toc18212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"_Toc13899"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_Toc13899 </w:instrText>
          </w:r>
          <w:r>
            <w:rPr>
              <w:sz w:val="28"/>
              <w:szCs w:val="28"/>
            </w:rPr>
            <w:fldChar w:fldCharType="separate"/>
          </w:r>
          <w:r>
            <w:rPr>
              <w:sz w:val="28"/>
              <w:szCs w:val="28"/>
            </w:rPr>
            <w:t>23</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10"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11092"/>
      <w:bookmarkStart w:id="1" w:name="_Toc7123"/>
      <w:bookmarkStart w:id="2" w:name="_Toc32502"/>
      <w:bookmarkStart w:id="3" w:name="_Toc25062"/>
      <w:r>
        <w:rPr>
          <w:rFonts w:hint="eastAsia" w:ascii="宋体" w:hAnsi="宋体" w:eastAsia="宋体" w:cs="宋体"/>
          <w:b/>
          <w:bCs/>
          <w:sz w:val="36"/>
          <w:szCs w:val="36"/>
        </w:rPr>
        <w:t>围场县牌楼卸载站场地硬化工程</w:t>
      </w:r>
      <w:bookmarkEnd w:id="0"/>
    </w:p>
    <w:p>
      <w:pPr>
        <w:jc w:val="center"/>
        <w:outlineLvl w:val="0"/>
        <w:rPr>
          <w:rFonts w:ascii="宋体" w:hAnsi="宋体" w:eastAsia="宋体" w:cs="宋体"/>
          <w:b/>
          <w:bCs/>
          <w:sz w:val="36"/>
          <w:szCs w:val="36"/>
        </w:rPr>
      </w:pPr>
      <w:bookmarkStart w:id="4" w:name="_Toc26503"/>
      <w:bookmarkStart w:id="5" w:name="_Toc3241"/>
      <w:bookmarkStart w:id="6" w:name="_Toc32229"/>
      <w:r>
        <w:rPr>
          <w:rFonts w:hint="eastAsia" w:ascii="宋体" w:hAnsi="宋体" w:eastAsia="宋体" w:cs="宋体"/>
          <w:b/>
          <w:bCs/>
          <w:sz w:val="36"/>
          <w:szCs w:val="36"/>
        </w:rPr>
        <w:t>一般债券资金绩效评价报告</w:t>
      </w:r>
      <w:bookmarkEnd w:id="1"/>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牌楼卸载站场地硬化工程项目新增一般债券资金使用情况做绩效评价分析。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8932"/>
      <w:bookmarkStart w:id="8" w:name="_Toc14959"/>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32591"/>
      <w:bookmarkStart w:id="10" w:name="_Toc1188"/>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w:t>
      </w:r>
      <w:r>
        <w:rPr>
          <w:rFonts w:hint="eastAsia" w:ascii="宋体" w:hAnsi="宋体" w:eastAsia="宋体" w:cs="宋体"/>
          <w:sz w:val="28"/>
          <w:szCs w:val="28"/>
          <w:lang w:val="en-US" w:eastAsia="zh-CN"/>
        </w:rPr>
        <w:t>中华人民共和国</w:t>
      </w:r>
      <w:bookmarkStart w:id="98" w:name="_GoBack"/>
      <w:bookmarkEnd w:id="98"/>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其中投入围场县牌楼卸载站场地硬化工程项目的债券资金共计252.64万元。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围场县牌楼卸载站场地硬化工程项目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围场满族蒙古族自治县域内</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围场满族蒙古族自治县交通运输综合执法大队</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4.项目概况</w:t>
      </w:r>
    </w:p>
    <w:p>
      <w:pPr>
        <w:pStyle w:val="5"/>
        <w:ind w:left="0" w:firstLine="560" w:firstLineChars="200"/>
        <w:rPr>
          <w:rFonts w:ascii="宋体" w:hAnsi="宋体" w:eastAsia="宋体" w:cs="宋体"/>
        </w:rPr>
      </w:pPr>
      <w:r>
        <w:rPr>
          <w:rFonts w:hint="eastAsia" w:ascii="宋体" w:hAnsi="宋体" w:eastAsia="宋体" w:cs="宋体"/>
        </w:rPr>
        <w:t>围场满族蒙古族自治县牌楼卸载站场地硬化工程内容：混凝土地面硬化、沉淀池回填土方、沉渣沟、泄水井及排水管道等工程。</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围场满族蒙古族自治县牌楼卸载站卸载罩棚工程内容：彩钢压型钢板平屋面，一层，建筑高度6.5米，基础形式：带形基础、独立基础，结构类型：钢结构。</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5.项目总投资及资金来源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本工程需要资金252.64万元，全部由县财政拨付，使用政府一般债券资金。</w:t>
      </w:r>
    </w:p>
    <w:p>
      <w:pPr>
        <w:spacing w:line="600" w:lineRule="exact"/>
        <w:ind w:firstLine="643" w:firstLineChars="200"/>
        <w:outlineLvl w:val="1"/>
        <w:rPr>
          <w:rFonts w:ascii="宋体" w:hAnsi="宋体" w:eastAsia="宋体" w:cs="宋体"/>
          <w:sz w:val="28"/>
          <w:szCs w:val="28"/>
        </w:rPr>
      </w:pPr>
      <w:bookmarkStart w:id="11" w:name="_Toc15275"/>
      <w:r>
        <w:rPr>
          <w:rFonts w:hint="eastAsia" w:ascii="楷体" w:hAnsi="楷体" w:eastAsia="楷体" w:cs="楷体"/>
          <w:b/>
          <w:sz w:val="32"/>
          <w:szCs w:val="32"/>
        </w:rPr>
        <w:t>（二）项目绩效目标</w:t>
      </w:r>
      <w:bookmarkEnd w:id="11"/>
      <w:bookmarkStart w:id="12" w:name="_Toc28894"/>
      <w:bookmarkStart w:id="13" w:name="_Toc12271"/>
    </w:p>
    <w:p>
      <w:pPr>
        <w:spacing w:line="600" w:lineRule="exact"/>
        <w:ind w:firstLine="560" w:firstLineChars="200"/>
        <w:outlineLvl w:val="1"/>
        <w:rPr>
          <w:rFonts w:ascii="宋体" w:hAnsi="宋体" w:eastAsia="宋体" w:cs="宋体"/>
          <w:sz w:val="28"/>
          <w:szCs w:val="28"/>
        </w:rPr>
      </w:pPr>
      <w:bookmarkStart w:id="14" w:name="_Toc13904"/>
      <w:bookmarkStart w:id="15" w:name="_Toc10011"/>
      <w:bookmarkStart w:id="16" w:name="_Toc31882"/>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2"/>
      <w:bookmarkEnd w:id="14"/>
      <w:bookmarkEnd w:id="15"/>
      <w:bookmarkEnd w:id="16"/>
    </w:p>
    <w:p>
      <w:pPr>
        <w:spacing w:line="600" w:lineRule="exact"/>
        <w:ind w:firstLine="643" w:firstLineChars="200"/>
        <w:outlineLvl w:val="1"/>
        <w:rPr>
          <w:rFonts w:ascii="楷体" w:hAnsi="楷体" w:eastAsia="楷体" w:cs="楷体"/>
          <w:b/>
          <w:sz w:val="32"/>
          <w:szCs w:val="32"/>
        </w:rPr>
      </w:pPr>
      <w:bookmarkStart w:id="17" w:name="_Toc1315"/>
      <w:r>
        <w:rPr>
          <w:rFonts w:hint="eastAsia" w:ascii="楷体" w:hAnsi="楷体" w:eastAsia="楷体" w:cs="楷体"/>
          <w:b/>
          <w:sz w:val="32"/>
          <w:szCs w:val="32"/>
        </w:rPr>
        <w:t>（三）评价对象和时段</w:t>
      </w:r>
      <w:bookmarkEnd w:id="13"/>
      <w:bookmarkEnd w:id="17"/>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本次考核评价对象：围场县牌楼卸载站场地硬化工程项目。从项目投入、管理、产出、效益等方面进行全面的评价考核。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8" w:name="_Toc12954"/>
      <w:r>
        <w:rPr>
          <w:rFonts w:hint="eastAsia" w:ascii="黑体" w:hAnsi="黑体" w:eastAsia="黑体" w:cs="黑体"/>
          <w:b/>
          <w:bCs/>
          <w:sz w:val="32"/>
          <w:szCs w:val="32"/>
        </w:rPr>
        <w:t>二、绩效评价工作开展情况</w:t>
      </w:r>
      <w:bookmarkEnd w:id="18"/>
    </w:p>
    <w:p>
      <w:pPr>
        <w:ind w:firstLine="643" w:firstLineChars="200"/>
        <w:outlineLvl w:val="1"/>
        <w:rPr>
          <w:rFonts w:ascii="楷体" w:hAnsi="楷体" w:eastAsia="楷体" w:cs="楷体"/>
          <w:b/>
          <w:bCs/>
          <w:sz w:val="32"/>
          <w:szCs w:val="32"/>
        </w:rPr>
      </w:pPr>
      <w:bookmarkStart w:id="19" w:name="_Toc6611"/>
      <w:r>
        <w:rPr>
          <w:rFonts w:hint="eastAsia" w:ascii="楷体" w:hAnsi="楷体" w:eastAsia="楷体" w:cs="楷体"/>
          <w:b/>
          <w:bCs/>
          <w:sz w:val="32"/>
          <w:szCs w:val="32"/>
        </w:rPr>
        <w:t>（一）绩效评价指标权重和绩效评价指标体系</w:t>
      </w:r>
      <w:bookmarkEnd w:id="19"/>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项目决策管理10分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trPr>
        <w:tc>
          <w:tcPr>
            <w:tcW w:w="72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trPr>
        <w:tc>
          <w:tcPr>
            <w:tcW w:w="726"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项目决策管理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立项手续合规、方案可行得5分，立项手续不完整扣2分，方案欠佳扣2分；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项目资料（实施方案、施工合同、竣工验收报告等）完整得6分，资料不完整每有一项扣1分；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1"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5"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15、社会效益实现情况（8分）；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16、社会环境（交通环境等）改善情况（4分）；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609"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5"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bookmarkStart w:id="20" w:name="_Toc7422"/>
      <w:bookmarkStart w:id="21" w:name="_Toc12872"/>
      <w:r>
        <w:rPr>
          <w:rFonts w:hint="eastAsia" w:ascii="楷体" w:hAnsi="楷体" w:eastAsia="楷体" w:cs="楷体"/>
          <w:b/>
          <w:kern w:val="0"/>
          <w:sz w:val="32"/>
          <w:szCs w:val="32"/>
        </w:rPr>
        <w:t>（二）绩效评价目的和依据</w:t>
      </w:r>
      <w:bookmarkEnd w:id="20"/>
      <w:bookmarkEnd w:id="21"/>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仿宋" w:hAnsi="仿宋" w:eastAsia="仿宋" w:cs="仿宋"/>
          <w:szCs w:val="32"/>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r>
        <w:rPr>
          <w:rFonts w:hint="eastAsia" w:ascii="宋体" w:hAnsi="宋体" w:eastAsia="宋体" w:cs="宋体"/>
          <w:szCs w:val="28"/>
        </w:rPr>
        <w:t>。</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《中华人民共和国预算法》（2018年修正）</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《中华人民共和国环境保护法》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《中华人民共和国合同法》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《中华人民共和国建筑法》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《中华人民共和国会计法》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《中华人民共和国公司法》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《中华人民共和国招标投标法》</w:t>
      </w:r>
    </w:p>
    <w:p>
      <w:pPr>
        <w:pStyle w:val="5"/>
        <w:spacing w:line="530" w:lineRule="exact"/>
        <w:ind w:left="0" w:firstLine="56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300" w:type="dxa"/>
            <w:gridSpan w:val="2"/>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575"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39" w:type="dxa"/>
        <w:tblInd w:w="92" w:type="dxa"/>
        <w:tblLayout w:type="fixed"/>
        <w:tblCellMar>
          <w:top w:w="0" w:type="dxa"/>
          <w:left w:w="108" w:type="dxa"/>
          <w:bottom w:w="0" w:type="dxa"/>
          <w:right w:w="108" w:type="dxa"/>
        </w:tblCellMar>
      </w:tblPr>
      <w:tblGrid>
        <w:gridCol w:w="1070"/>
        <w:gridCol w:w="7269"/>
      </w:tblGrid>
      <w:tr>
        <w:tblPrEx>
          <w:tblCellMar>
            <w:top w:w="0" w:type="dxa"/>
            <w:left w:w="108" w:type="dxa"/>
            <w:bottom w:w="0" w:type="dxa"/>
            <w:right w:w="108" w:type="dxa"/>
          </w:tblCellMar>
        </w:tblPrEx>
        <w:trPr>
          <w:trHeight w:val="761" w:hRule="atLeast"/>
        </w:trPr>
        <w:tc>
          <w:tcPr>
            <w:tcW w:w="1070"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7269"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76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76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69"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项目建议书、可行性研究报告及其批复</w:t>
            </w:r>
          </w:p>
        </w:tc>
      </w:tr>
      <w:tr>
        <w:tblPrEx>
          <w:tblCellMar>
            <w:top w:w="0" w:type="dxa"/>
            <w:left w:w="108" w:type="dxa"/>
            <w:bottom w:w="0" w:type="dxa"/>
            <w:right w:w="108" w:type="dxa"/>
          </w:tblCellMar>
        </w:tblPrEx>
        <w:trPr>
          <w:trHeight w:val="76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76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69"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76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69"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项目招标采购文件及中标通知书</w:t>
            </w:r>
          </w:p>
        </w:tc>
      </w:tr>
      <w:tr>
        <w:tblPrEx>
          <w:tblCellMar>
            <w:top w:w="0" w:type="dxa"/>
            <w:left w:w="108" w:type="dxa"/>
            <w:bottom w:w="0" w:type="dxa"/>
            <w:right w:w="108" w:type="dxa"/>
          </w:tblCellMar>
        </w:tblPrEx>
        <w:trPr>
          <w:trHeight w:val="76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69"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761" w:hRule="atLeast"/>
        </w:trPr>
        <w:tc>
          <w:tcPr>
            <w:tcW w:w="1070"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69"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761" w:hRule="atLeast"/>
        </w:trPr>
        <w:tc>
          <w:tcPr>
            <w:tcW w:w="1070"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69"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施工组织方案</w:t>
            </w:r>
          </w:p>
        </w:tc>
      </w:tr>
      <w:tr>
        <w:tblPrEx>
          <w:tblCellMar>
            <w:top w:w="0" w:type="dxa"/>
            <w:left w:w="108" w:type="dxa"/>
            <w:bottom w:w="0" w:type="dxa"/>
            <w:right w:w="108" w:type="dxa"/>
          </w:tblCellMar>
        </w:tblPrEx>
        <w:trPr>
          <w:trHeight w:val="76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质量管理文件</w:t>
            </w:r>
          </w:p>
        </w:tc>
      </w:tr>
      <w:tr>
        <w:tblPrEx>
          <w:tblCellMar>
            <w:top w:w="0" w:type="dxa"/>
            <w:left w:w="108" w:type="dxa"/>
            <w:bottom w:w="0" w:type="dxa"/>
            <w:right w:w="108" w:type="dxa"/>
          </w:tblCellMar>
        </w:tblPrEx>
        <w:trPr>
          <w:trHeight w:val="76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资金收支凭证</w:t>
            </w:r>
          </w:p>
        </w:tc>
      </w:tr>
      <w:tr>
        <w:tblPrEx>
          <w:tblCellMar>
            <w:top w:w="0" w:type="dxa"/>
            <w:left w:w="108" w:type="dxa"/>
            <w:bottom w:w="0" w:type="dxa"/>
            <w:right w:w="108" w:type="dxa"/>
          </w:tblCellMar>
        </w:tblPrEx>
        <w:trPr>
          <w:trHeight w:val="76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三</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b/>
                <w:bCs/>
                <w:color w:val="000000"/>
                <w:kern w:val="0"/>
                <w:sz w:val="24"/>
              </w:rPr>
              <w:t>竣工验收资料</w:t>
            </w:r>
          </w:p>
        </w:tc>
      </w:tr>
      <w:tr>
        <w:tblPrEx>
          <w:tblCellMar>
            <w:top w:w="0" w:type="dxa"/>
            <w:left w:w="108" w:type="dxa"/>
            <w:bottom w:w="0" w:type="dxa"/>
            <w:right w:w="108" w:type="dxa"/>
          </w:tblCellMar>
        </w:tblPrEx>
        <w:trPr>
          <w:trHeight w:val="76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工程质量保修书</w:t>
            </w:r>
          </w:p>
        </w:tc>
      </w:tr>
      <w:tr>
        <w:tblPrEx>
          <w:tblCellMar>
            <w:top w:w="0" w:type="dxa"/>
            <w:left w:w="108" w:type="dxa"/>
            <w:bottom w:w="0" w:type="dxa"/>
            <w:right w:w="108" w:type="dxa"/>
          </w:tblCellMar>
        </w:tblPrEx>
        <w:trPr>
          <w:trHeight w:val="76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施工单位竣工报告</w:t>
            </w:r>
          </w:p>
        </w:tc>
      </w:tr>
      <w:tr>
        <w:tblPrEx>
          <w:tblCellMar>
            <w:top w:w="0" w:type="dxa"/>
            <w:left w:w="108" w:type="dxa"/>
            <w:bottom w:w="0" w:type="dxa"/>
            <w:right w:w="108" w:type="dxa"/>
          </w:tblCellMar>
        </w:tblPrEx>
        <w:trPr>
          <w:trHeight w:val="772"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建设单位绩效评价自评报告</w:t>
            </w:r>
          </w:p>
        </w:tc>
      </w:tr>
    </w:tbl>
    <w:p>
      <w:pPr>
        <w:pStyle w:val="4"/>
        <w:ind w:left="0" w:leftChars="0" w:firstLine="643" w:firstLineChars="200"/>
        <w:rPr>
          <w:rFonts w:hint="default" w:ascii="楷体" w:hAnsi="楷体" w:eastAsia="楷体" w:cs="楷体"/>
          <w:szCs w:val="32"/>
        </w:rPr>
      </w:pPr>
      <w:bookmarkStart w:id="22" w:name="_Toc22990"/>
      <w:bookmarkStart w:id="23" w:name="_Toc4589"/>
      <w:r>
        <w:rPr>
          <w:rFonts w:ascii="楷体" w:hAnsi="楷体" w:eastAsia="楷体" w:cs="楷体"/>
          <w:szCs w:val="32"/>
        </w:rPr>
        <w:t>（三）绩效评价工作内容和范围</w:t>
      </w:r>
      <w:bookmarkEnd w:id="22"/>
      <w:bookmarkEnd w:id="23"/>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交通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pStyle w:val="5"/>
        <w:spacing w:line="530" w:lineRule="exact"/>
        <w:ind w:left="0" w:firstLine="560" w:firstLineChars="200"/>
        <w:rPr>
          <w:rFonts w:ascii="宋体" w:hAnsi="宋体" w:eastAsia="宋体" w:cs="宋体"/>
        </w:rPr>
      </w:pPr>
      <w:r>
        <w:rPr>
          <w:rFonts w:hint="eastAsia" w:ascii="宋体" w:hAnsi="宋体" w:eastAsia="宋体" w:cs="宋体"/>
        </w:rPr>
        <w:t>评价内容包括：</w:t>
      </w:r>
    </w:p>
    <w:p>
      <w:pPr>
        <w:pStyle w:val="5"/>
        <w:spacing w:line="530" w:lineRule="exact"/>
        <w:ind w:left="0" w:firstLine="560" w:firstLineChars="200"/>
        <w:rPr>
          <w:rFonts w:ascii="宋体" w:hAnsi="宋体" w:eastAsia="宋体" w:cs="宋体"/>
        </w:rPr>
      </w:pPr>
      <w:r>
        <w:rPr>
          <w:rFonts w:hint="eastAsia" w:ascii="宋体" w:hAnsi="宋体" w:eastAsia="宋体" w:cs="宋体"/>
        </w:rPr>
        <w:t>1.决策情况；</w:t>
      </w:r>
    </w:p>
    <w:p>
      <w:pPr>
        <w:pStyle w:val="5"/>
        <w:spacing w:line="530" w:lineRule="exact"/>
        <w:ind w:left="0" w:firstLine="560" w:firstLineChars="200"/>
        <w:rPr>
          <w:rFonts w:ascii="宋体" w:hAnsi="宋体" w:eastAsia="宋体" w:cs="宋体"/>
        </w:rPr>
      </w:pPr>
      <w:r>
        <w:rPr>
          <w:rFonts w:hint="eastAsia" w:ascii="宋体" w:hAnsi="宋体" w:eastAsia="宋体" w:cs="宋体"/>
        </w:rPr>
        <w:t>2.资金管理和使用情况；</w:t>
      </w:r>
    </w:p>
    <w:p>
      <w:pPr>
        <w:pStyle w:val="5"/>
        <w:spacing w:line="530" w:lineRule="exact"/>
        <w:ind w:left="0" w:firstLine="560" w:firstLineChars="200"/>
        <w:rPr>
          <w:rFonts w:ascii="宋体" w:hAnsi="宋体" w:eastAsia="宋体" w:cs="宋体"/>
        </w:rPr>
      </w:pPr>
      <w:r>
        <w:rPr>
          <w:rFonts w:hint="eastAsia" w:ascii="宋体" w:hAnsi="宋体" w:eastAsia="宋体" w:cs="宋体"/>
        </w:rPr>
        <w:t>3.相关管理制度办法的健全性及执行情况；</w:t>
      </w:r>
    </w:p>
    <w:p>
      <w:pPr>
        <w:pStyle w:val="5"/>
        <w:spacing w:line="530" w:lineRule="exact"/>
        <w:ind w:left="0" w:firstLine="560" w:firstLineChars="200"/>
        <w:rPr>
          <w:rFonts w:ascii="宋体" w:hAnsi="宋体" w:eastAsia="宋体" w:cs="宋体"/>
        </w:rPr>
      </w:pPr>
      <w:r>
        <w:rPr>
          <w:rFonts w:hint="eastAsia" w:ascii="宋体" w:hAnsi="宋体" w:eastAsia="宋体" w:cs="宋体"/>
        </w:rPr>
        <w:t>4.实现的产出情况；</w:t>
      </w:r>
    </w:p>
    <w:p>
      <w:pPr>
        <w:pStyle w:val="5"/>
        <w:spacing w:line="530" w:lineRule="exact"/>
        <w:ind w:left="0" w:firstLine="560" w:firstLineChars="200"/>
        <w:rPr>
          <w:rFonts w:ascii="宋体" w:hAnsi="宋体" w:eastAsia="宋体" w:cs="宋体"/>
        </w:rPr>
      </w:pPr>
      <w:r>
        <w:rPr>
          <w:rFonts w:hint="eastAsia" w:ascii="宋体" w:hAnsi="宋体" w:eastAsia="宋体" w:cs="宋体"/>
        </w:rPr>
        <w:t>5.取得的效益情况；</w:t>
      </w:r>
    </w:p>
    <w:p>
      <w:pPr>
        <w:pStyle w:val="5"/>
        <w:spacing w:line="530" w:lineRule="exact"/>
        <w:ind w:left="0" w:firstLine="560" w:firstLineChars="200"/>
        <w:rPr>
          <w:rFonts w:ascii="宋体" w:hAnsi="宋体" w:eastAsia="宋体" w:cs="宋体"/>
        </w:rPr>
      </w:pPr>
      <w:r>
        <w:rPr>
          <w:rFonts w:hint="eastAsia" w:ascii="宋体" w:hAnsi="宋体" w:eastAsia="宋体" w:cs="宋体"/>
        </w:rPr>
        <w:t>6.其他相关内容；</w:t>
      </w:r>
    </w:p>
    <w:p>
      <w:pPr>
        <w:pStyle w:val="5"/>
        <w:spacing w:line="530" w:lineRule="exact"/>
        <w:ind w:left="0" w:firstLine="560" w:firstLineChars="200"/>
        <w:rPr>
          <w:rFonts w:ascii="宋体" w:hAnsi="宋体" w:eastAsia="宋体" w:cs="宋体"/>
        </w:rPr>
      </w:pPr>
      <w:r>
        <w:rPr>
          <w:rFonts w:hint="eastAsia" w:ascii="宋体" w:hAnsi="宋体" w:eastAsia="宋体" w:cs="宋体"/>
        </w:rPr>
        <w:t>评价范围包括2019年度围场县地方政府新增一般债</w:t>
      </w:r>
      <w:r>
        <w:rPr>
          <w:rFonts w:hint="eastAsia" w:ascii="宋体" w:hAnsi="宋体" w:eastAsia="宋体" w:cs="宋体"/>
          <w:lang w:eastAsia="zh-CN"/>
        </w:rPr>
        <w:t>券</w:t>
      </w:r>
      <w:r>
        <w:rPr>
          <w:rFonts w:hint="eastAsia" w:ascii="宋体" w:hAnsi="宋体" w:eastAsia="宋体" w:cs="宋体"/>
        </w:rPr>
        <w:t>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4" w:name="_Toc32001"/>
      <w:bookmarkStart w:id="25" w:name="_Toc30379"/>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4"/>
      <w:bookmarkEnd w:id="25"/>
    </w:p>
    <w:p>
      <w:pPr>
        <w:ind w:firstLine="560" w:firstLineChars="200"/>
        <w:rPr>
          <w:rFonts w:ascii="宋体" w:hAnsi="宋体" w:eastAsia="宋体" w:cs="宋体"/>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adjustRightInd w:val="0"/>
        <w:snapToGrid w:val="0"/>
        <w:spacing w:line="600" w:lineRule="exact"/>
        <w:ind w:firstLine="560" w:firstLineChars="200"/>
        <w:outlineLvl w:val="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adjustRightInd w:val="0"/>
        <w:snapToGrid w:val="0"/>
        <w:spacing w:line="600" w:lineRule="exact"/>
        <w:ind w:firstLine="560" w:firstLineChars="200"/>
        <w:outlineLvl w:val="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hAnsi="宋体" w:eastAsia="宋体" w:cs="宋体"/>
          <w:sz w:val="28"/>
          <w:szCs w:val="28"/>
        </w:rPr>
      </w:pPr>
      <w:r>
        <w:rPr>
          <w:rFonts w:hint="eastAsia" w:ascii="宋体" w:hAnsi="宋体" w:eastAsia="宋体" w:cs="宋体"/>
          <w:sz w:val="28"/>
          <w:szCs w:val="28"/>
        </w:rPr>
        <w:t>评价方法：</w:t>
      </w:r>
    </w:p>
    <w:p>
      <w:pPr>
        <w:ind w:firstLine="560" w:firstLineChars="200"/>
        <w:rPr>
          <w:rFonts w:ascii="宋体" w:hAnsi="宋体" w:eastAsia="宋体" w:cs="宋体"/>
          <w:sz w:val="28"/>
          <w:szCs w:val="28"/>
        </w:rPr>
      </w:pPr>
      <w:r>
        <w:rPr>
          <w:rFonts w:hint="eastAsia" w:ascii="宋体" w:hAnsi="宋体" w:eastAsia="宋体" w:cs="宋体"/>
          <w:sz w:val="28"/>
          <w:szCs w:val="28"/>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hAnsi="宋体" w:eastAsia="宋体" w:cs="宋体"/>
          <w:sz w:val="28"/>
          <w:szCs w:val="28"/>
        </w:rPr>
      </w:pPr>
      <w:r>
        <w:rPr>
          <w:rFonts w:hint="eastAsia" w:ascii="宋体" w:hAnsi="宋体" w:eastAsia="宋体" w:cs="宋体"/>
          <w:sz w:val="28"/>
          <w:szCs w:val="28"/>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6" w:name="_Toc20111"/>
      <w:bookmarkStart w:id="27" w:name="_Toc8164"/>
      <w:bookmarkStart w:id="28" w:name="_Toc12042"/>
      <w:bookmarkStart w:id="29"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6"/>
      <w:bookmarkEnd w:id="27"/>
      <w:bookmarkEnd w:id="28"/>
    </w:p>
    <w:p>
      <w:pPr>
        <w:adjustRightInd w:val="0"/>
        <w:snapToGrid w:val="0"/>
        <w:spacing w:line="600" w:lineRule="exact"/>
        <w:ind w:firstLine="560" w:firstLineChars="200"/>
        <w:outlineLvl w:val="0"/>
        <w:rPr>
          <w:rFonts w:ascii="宋体" w:hAnsi="宋体" w:eastAsia="宋体" w:cs="宋体"/>
          <w:sz w:val="28"/>
          <w:szCs w:val="28"/>
        </w:rPr>
      </w:pPr>
      <w:bookmarkStart w:id="30" w:name="_Toc31807"/>
      <w:bookmarkStart w:id="31" w:name="_Toc18780"/>
      <w:bookmarkStart w:id="32" w:name="_Toc4145"/>
      <w:bookmarkStart w:id="33" w:name="_Toc13042"/>
      <w:bookmarkStart w:id="34" w:name="_Toc2087"/>
      <w:bookmarkStart w:id="35" w:name="_Toc17563"/>
      <w:bookmarkStart w:id="36" w:name="_Toc22556"/>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对围场县牌楼卸载站场地硬化工程项目做以下工作：</w:t>
      </w:r>
      <w:bookmarkEnd w:id="30"/>
      <w:bookmarkEnd w:id="31"/>
      <w:bookmarkEnd w:id="32"/>
      <w:bookmarkEnd w:id="33"/>
      <w:bookmarkEnd w:id="34"/>
      <w:bookmarkEnd w:id="35"/>
      <w:bookmarkEnd w:id="36"/>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7" w:name="_Toc24972"/>
      <w:bookmarkStart w:id="38" w:name="_Toc7256"/>
      <w:bookmarkStart w:id="39" w:name="_Toc1487"/>
      <w:bookmarkStart w:id="40" w:name="_Toc15494"/>
      <w:bookmarkStart w:id="41" w:name="_Toc14297"/>
      <w:bookmarkStart w:id="42" w:name="_Toc24311"/>
      <w:bookmarkStart w:id="43" w:name="_Toc17036"/>
      <w:bookmarkStart w:id="44" w:name="_Toc19058"/>
      <w:bookmarkStart w:id="45" w:name="_Toc27413"/>
      <w:bookmarkStart w:id="46" w:name="_Toc14572"/>
      <w:bookmarkStart w:id="47" w:name="_Toc24529"/>
      <w:r>
        <w:rPr>
          <w:rFonts w:hint="eastAsia" w:ascii="宋体" w:hAnsi="宋体" w:eastAsia="宋体" w:cs="宋体"/>
          <w:b/>
          <w:bCs/>
          <w:kern w:val="0"/>
          <w:sz w:val="28"/>
          <w:szCs w:val="28"/>
        </w:rPr>
        <w:t>1、明确项目团队的职责与分工</w:t>
      </w:r>
      <w:bookmarkEnd w:id="37"/>
      <w:bookmarkEnd w:id="38"/>
      <w:bookmarkEnd w:id="39"/>
      <w:bookmarkEnd w:id="40"/>
      <w:bookmarkEnd w:id="41"/>
      <w:bookmarkEnd w:id="42"/>
      <w:bookmarkEnd w:id="43"/>
      <w:bookmarkEnd w:id="44"/>
      <w:bookmarkEnd w:id="45"/>
      <w:bookmarkEnd w:id="46"/>
      <w:bookmarkEnd w:id="47"/>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8" w:name="_Toc27143"/>
      <w:bookmarkStart w:id="49" w:name="_Toc25494"/>
      <w:bookmarkStart w:id="50" w:name="_Toc6642"/>
      <w:bookmarkStart w:id="51" w:name="_Toc29931"/>
      <w:bookmarkStart w:id="52" w:name="_Toc28394"/>
      <w:bookmarkStart w:id="53" w:name="_Toc31637"/>
      <w:bookmarkStart w:id="54" w:name="_Toc26864"/>
    </w:p>
    <w:p>
      <w:pPr>
        <w:spacing w:before="156" w:beforeLines="50" w:after="156" w:afterLines="50"/>
        <w:ind w:left="420" w:leftChars="200" w:firstLine="281" w:firstLineChars="100"/>
        <w:outlineLvl w:val="1"/>
        <w:rPr>
          <w:rFonts w:ascii="宋体" w:hAnsi="宋体" w:eastAsia="宋体" w:cs="宋体"/>
          <w:b/>
          <w:bCs/>
          <w:kern w:val="0"/>
          <w:sz w:val="28"/>
          <w:szCs w:val="28"/>
        </w:rPr>
      </w:pPr>
      <w:r>
        <w:rPr>
          <w:rFonts w:hint="eastAsia" w:ascii="宋体" w:hAnsi="宋体" w:eastAsia="宋体" w:cs="宋体"/>
          <w:b/>
          <w:bCs/>
          <w:kern w:val="0"/>
          <w:sz w:val="28"/>
          <w:szCs w:val="28"/>
        </w:rPr>
        <w:t>2、评价工作各相关当事方的职责</w:t>
      </w:r>
      <w:bookmarkEnd w:id="48"/>
      <w:bookmarkEnd w:id="49"/>
      <w:bookmarkEnd w:id="50"/>
      <w:bookmarkEnd w:id="51"/>
      <w:bookmarkEnd w:id="52"/>
      <w:bookmarkEnd w:id="53"/>
      <w:bookmarkEnd w:id="54"/>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55" w:name="_Toc27067"/>
      <w:bookmarkStart w:id="56" w:name="_Toc24530"/>
      <w:bookmarkStart w:id="57" w:name="_Toc332"/>
      <w:bookmarkStart w:id="58" w:name="_Toc17262"/>
      <w:bookmarkStart w:id="59" w:name="_Toc17781"/>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5"/>
      <w:bookmarkEnd w:id="56"/>
      <w:bookmarkEnd w:id="57"/>
      <w:bookmarkEnd w:id="58"/>
      <w:bookmarkEnd w:id="59"/>
    </w:p>
    <w:p>
      <w:pPr>
        <w:adjustRightInd w:val="0"/>
        <w:snapToGrid w:val="0"/>
        <w:spacing w:line="600" w:lineRule="exact"/>
        <w:ind w:firstLine="640" w:firstLineChars="200"/>
        <w:outlineLvl w:val="0"/>
        <w:rPr>
          <w:rFonts w:ascii="黑体" w:hAnsi="黑体" w:eastAsia="黑体" w:cs="黑体"/>
          <w:sz w:val="32"/>
          <w:szCs w:val="32"/>
        </w:rPr>
      </w:pPr>
      <w:bookmarkStart w:id="60" w:name="_Toc30933"/>
      <w:r>
        <w:rPr>
          <w:rFonts w:hint="eastAsia" w:ascii="黑体" w:hAnsi="黑体" w:eastAsia="黑体" w:cs="黑体"/>
          <w:sz w:val="32"/>
          <w:szCs w:val="32"/>
        </w:rPr>
        <w:t>三、</w:t>
      </w:r>
      <w:bookmarkEnd w:id="29"/>
      <w:r>
        <w:rPr>
          <w:rFonts w:hint="eastAsia" w:ascii="黑体" w:hAnsi="黑体" w:eastAsia="黑体" w:cs="黑体"/>
          <w:sz w:val="32"/>
          <w:szCs w:val="32"/>
        </w:rPr>
        <w:t>项目实施及资金使用情况</w:t>
      </w:r>
      <w:bookmarkEnd w:id="60"/>
    </w:p>
    <w:p>
      <w:pPr>
        <w:ind w:firstLine="643" w:firstLineChars="200"/>
        <w:outlineLvl w:val="1"/>
        <w:rPr>
          <w:rFonts w:ascii="楷体" w:hAnsi="楷体" w:eastAsia="楷体" w:cs="楷体"/>
          <w:b/>
          <w:bCs/>
          <w:sz w:val="32"/>
          <w:szCs w:val="32"/>
          <w:highlight w:val="yellow"/>
        </w:rPr>
      </w:pPr>
      <w:bookmarkStart w:id="61" w:name="_Toc6786"/>
      <w:bookmarkStart w:id="62" w:name="_Toc14579"/>
      <w:r>
        <w:rPr>
          <w:rFonts w:hint="eastAsia" w:ascii="楷体" w:hAnsi="楷体" w:eastAsia="楷体" w:cs="楷体"/>
          <w:b/>
          <w:bCs/>
          <w:sz w:val="32"/>
          <w:szCs w:val="32"/>
        </w:rPr>
        <w:t>（一）项目实施情况</w:t>
      </w:r>
      <w:bookmarkEnd w:id="61"/>
      <w:bookmarkEnd w:id="62"/>
    </w:p>
    <w:p>
      <w:pPr>
        <w:pStyle w:val="5"/>
        <w:ind w:left="0" w:firstLine="560" w:firstLineChars="200"/>
        <w:rPr>
          <w:rFonts w:ascii="宋体" w:hAnsi="宋体" w:eastAsia="宋体" w:cs="宋体"/>
        </w:rPr>
      </w:pPr>
      <w:r>
        <w:rPr>
          <w:rFonts w:hint="eastAsia" w:ascii="宋体" w:hAnsi="宋体" w:eastAsia="宋体" w:cs="宋体"/>
        </w:rPr>
        <w:t>财政局财政投资评审中心于2018年8月23日至2018年8月27日对围场县牌楼卸载站场地硬化工程招标控制价进行评审。建设单位报审招标控制总价为188.570883万元。财政局财政投资评审中心按照相关规定对围场满族蒙古族自治县牌楼卸载站场地硬化工程招标控制价进行评审，评审中心认定招标控制总价188.570883万元。此审定造价仅作为本工程招投标最高限价使用，最终以实际发生工程量及合同约定据实结算。</w:t>
      </w:r>
    </w:p>
    <w:p>
      <w:pPr>
        <w:pStyle w:val="5"/>
        <w:ind w:left="0" w:firstLine="560" w:firstLineChars="200"/>
        <w:rPr>
          <w:rFonts w:ascii="宋体" w:hAnsi="宋体" w:eastAsia="宋体" w:cs="宋体"/>
        </w:rPr>
      </w:pPr>
      <w:r>
        <w:rPr>
          <w:rFonts w:hint="eastAsia" w:ascii="宋体" w:hAnsi="宋体" w:eastAsia="宋体" w:cs="宋体"/>
        </w:rPr>
        <w:t>同年8月23日至2018年8月27日围场县财政局财政投资评审中心对围场县牌楼卸载站卸载罩棚工程招标控制价进行评审。建设单位报审招标控制总价为64.579568万元。财政局财政投资评审中心按照相关规定对围场满族蒙古族自治县牌楼卸载站卸载罩棚工程招标控制价进行评审，评审中心认定招标控制总价64.579568万元。此审定造价仅作为本工程招投标最高限价使用，最终以实际发生工程量及合同约定据实结算。</w:t>
      </w:r>
    </w:p>
    <w:p>
      <w:pPr>
        <w:pStyle w:val="5"/>
        <w:ind w:left="0" w:firstLine="560" w:firstLineChars="200"/>
        <w:rPr>
          <w:rFonts w:ascii="宋体" w:hAnsi="宋体" w:eastAsia="宋体" w:cs="宋体"/>
        </w:rPr>
      </w:pPr>
      <w:r>
        <w:rPr>
          <w:rFonts w:hint="eastAsia" w:ascii="宋体" w:hAnsi="宋体" w:eastAsia="宋体" w:cs="宋体"/>
        </w:rPr>
        <w:t>2018年9月26日，在围场满族蒙古族自治县公共资源交易中心进行政府采购，采购方式为竞争性磋商，经专家评审，确定围场满族蒙古族自治县兴源建筑安装有限公司为本项目（牌楼治超站卸载场地硬化及罩棚工程）的成交供应商，成交价：253.1万元。并于2018年9月29日与围场满族蒙古族自治县交通运输综合执法大队签订了施工合同，同时约定了工程承包范围、合同工期、质量标准、合同价款等相关事宜。</w:t>
      </w:r>
    </w:p>
    <w:p>
      <w:pPr>
        <w:pStyle w:val="5"/>
        <w:ind w:left="0" w:firstLine="560" w:firstLineChars="200"/>
        <w:rPr>
          <w:rFonts w:ascii="宋体" w:hAnsi="宋体" w:eastAsia="宋体" w:cs="宋体"/>
        </w:rPr>
      </w:pPr>
      <w:r>
        <w:rPr>
          <w:rFonts w:hint="eastAsia" w:ascii="宋体" w:hAnsi="宋体" w:eastAsia="宋体" w:cs="宋体"/>
        </w:rPr>
        <w:t>工程计划开工日期：2018年9月30日</w:t>
      </w:r>
    </w:p>
    <w:p>
      <w:pPr>
        <w:pStyle w:val="5"/>
        <w:ind w:left="0" w:firstLine="560" w:firstLineChars="200"/>
        <w:rPr>
          <w:rFonts w:ascii="宋体" w:hAnsi="宋体" w:eastAsia="宋体" w:cs="宋体"/>
        </w:rPr>
      </w:pPr>
      <w:r>
        <w:rPr>
          <w:rFonts w:hint="eastAsia" w:ascii="宋体" w:hAnsi="宋体" w:eastAsia="宋体" w:cs="宋体"/>
        </w:rPr>
        <w:t>工程计划竣工日期：2018年10月15日</w:t>
      </w:r>
    </w:p>
    <w:p>
      <w:pPr>
        <w:pStyle w:val="5"/>
        <w:ind w:left="0" w:firstLine="560" w:firstLineChars="200"/>
        <w:rPr>
          <w:rFonts w:ascii="宋体" w:hAnsi="宋体" w:eastAsia="宋体" w:cs="宋体"/>
        </w:rPr>
      </w:pPr>
      <w:r>
        <w:rPr>
          <w:rFonts w:hint="eastAsia" w:ascii="宋体" w:hAnsi="宋体" w:eastAsia="宋体" w:cs="宋体"/>
        </w:rPr>
        <w:t>本工程于2018年10月15日完工，10月20日由建设单位组织竣工验收，所有工程量均按照图纸及合同约定按时完成，质量良好，验收合格。</w:t>
      </w:r>
    </w:p>
    <w:p>
      <w:pPr>
        <w:ind w:firstLine="560" w:firstLineChars="200"/>
        <w:rPr>
          <w:rFonts w:ascii="宋体" w:hAnsi="宋体" w:eastAsia="宋体" w:cs="宋体"/>
          <w:sz w:val="28"/>
          <w:szCs w:val="28"/>
        </w:rPr>
      </w:pPr>
      <w:r>
        <w:rPr>
          <w:rFonts w:hint="eastAsia" w:ascii="宋体" w:hAnsi="宋体" w:eastAsia="宋体" w:cs="宋体"/>
          <w:sz w:val="28"/>
          <w:szCs w:val="28"/>
        </w:rPr>
        <w:t>本工程竣工验收后由河北圣拓工程造价咨询有限公司做了结算审核，送审金额：261.688107万元，审减金额9.047329万元，审定金额252.640778万元。</w:t>
      </w:r>
    </w:p>
    <w:p>
      <w:pPr>
        <w:ind w:firstLine="643" w:firstLineChars="200"/>
        <w:outlineLvl w:val="1"/>
        <w:rPr>
          <w:rFonts w:ascii="楷体" w:hAnsi="楷体" w:eastAsia="楷体" w:cs="楷体"/>
          <w:b/>
          <w:bCs/>
          <w:sz w:val="32"/>
          <w:szCs w:val="32"/>
          <w:highlight w:val="yellow"/>
        </w:rPr>
      </w:pPr>
      <w:bookmarkStart w:id="63" w:name="_Toc14809"/>
      <w:bookmarkStart w:id="64" w:name="_Toc2767"/>
      <w:r>
        <w:rPr>
          <w:rFonts w:hint="eastAsia" w:ascii="楷体" w:hAnsi="楷体" w:eastAsia="楷体" w:cs="楷体"/>
          <w:b/>
          <w:bCs/>
          <w:sz w:val="32"/>
          <w:szCs w:val="32"/>
        </w:rPr>
        <w:t>（二）资金使用情况</w:t>
      </w:r>
      <w:bookmarkEnd w:id="63"/>
      <w:bookmarkEnd w:id="64"/>
    </w:p>
    <w:p>
      <w:pPr>
        <w:pStyle w:val="5"/>
        <w:ind w:left="0" w:firstLine="560" w:firstLineChars="200"/>
        <w:rPr>
          <w:rFonts w:ascii="宋体" w:hAnsi="宋体" w:eastAsia="宋体" w:cs="宋体"/>
        </w:rPr>
      </w:pPr>
      <w:bookmarkStart w:id="65" w:name="_Toc13622"/>
      <w:bookmarkStart w:id="66" w:name="_Toc15054"/>
      <w:r>
        <w:rPr>
          <w:rFonts w:hint="eastAsia" w:ascii="宋体" w:hAnsi="宋体" w:eastAsia="宋体" w:cs="宋体"/>
        </w:rPr>
        <w:t>2019年9月20日，县财政拨付牌楼治超站卸载场地硬化及罩棚工程工程款245.040778万元。12月27日拨付牌楼治超站卸载场地硬化及罩棚工程工程款（质保金）7.6万元。</w:t>
      </w:r>
    </w:p>
    <w:p>
      <w:pPr>
        <w:pStyle w:val="5"/>
        <w:ind w:left="0" w:firstLine="560" w:firstLineChars="200"/>
        <w:rPr>
          <w:rFonts w:ascii="宋体" w:hAnsi="宋体" w:eastAsia="宋体" w:cs="宋体"/>
        </w:rPr>
      </w:pPr>
      <w:r>
        <w:rPr>
          <w:rFonts w:hint="eastAsia" w:ascii="宋体" w:hAnsi="宋体" w:eastAsia="宋体" w:cs="宋体"/>
        </w:rPr>
        <w:t>2019年9月20日，围场满族蒙古族自治县交通局支付围场满族蒙古族自治县兴源建筑安装有限公司工程款245.040778万元。</w:t>
      </w:r>
    </w:p>
    <w:p>
      <w:pPr>
        <w:ind w:firstLine="560" w:firstLineChars="200"/>
        <w:rPr>
          <w:rFonts w:ascii="楷体" w:hAnsi="楷体" w:eastAsia="楷体" w:cs="楷体"/>
          <w:b/>
          <w:bCs/>
          <w:sz w:val="32"/>
          <w:szCs w:val="32"/>
        </w:rPr>
      </w:pPr>
      <w:r>
        <w:rPr>
          <w:rFonts w:hint="eastAsia" w:ascii="宋体" w:hAnsi="宋体" w:eastAsia="宋体" w:cs="宋体"/>
          <w:sz w:val="28"/>
          <w:szCs w:val="28"/>
        </w:rPr>
        <w:t>2019年12月4日，经围场满族蒙古族自治县信诚工程建设监理有限公司认定，牌楼治超站卸载场地硬化及罩棚工程于2018年9月30日开工至2018年10月15日竣工验收合格并投入使用。本项目在质保期内使用过程中未发现质量问题。因此在2019年12月27日围场县交通局将质保金7.6万元支付给围场满族蒙古族自治县兴源建筑安装有限公司。</w:t>
      </w:r>
      <w:bookmarkEnd w:id="65"/>
      <w:bookmarkEnd w:id="66"/>
    </w:p>
    <w:p>
      <w:pPr>
        <w:ind w:firstLine="640" w:firstLineChars="200"/>
        <w:outlineLvl w:val="0"/>
        <w:rPr>
          <w:rFonts w:ascii="黑体" w:hAnsi="黑体" w:eastAsia="黑体" w:cs="黑体"/>
          <w:sz w:val="32"/>
          <w:szCs w:val="32"/>
        </w:rPr>
      </w:pPr>
      <w:bookmarkStart w:id="67" w:name="_Toc1284"/>
      <w:r>
        <w:rPr>
          <w:rFonts w:hint="eastAsia" w:ascii="黑体" w:hAnsi="黑体" w:eastAsia="黑体" w:cs="黑体"/>
          <w:sz w:val="32"/>
          <w:szCs w:val="32"/>
        </w:rPr>
        <w:t>四、绩效评价分析与结论</w:t>
      </w:r>
      <w:bookmarkEnd w:id="67"/>
    </w:p>
    <w:p>
      <w:pPr>
        <w:adjustRightInd w:val="0"/>
        <w:snapToGrid w:val="0"/>
        <w:spacing w:line="360" w:lineRule="auto"/>
        <w:ind w:firstLine="643" w:firstLineChars="200"/>
        <w:outlineLvl w:val="1"/>
        <w:rPr>
          <w:rFonts w:ascii="楷体" w:hAnsi="楷体" w:eastAsia="楷体" w:cs="楷体"/>
          <w:b/>
          <w:kern w:val="0"/>
          <w:sz w:val="32"/>
          <w:szCs w:val="32"/>
        </w:rPr>
      </w:pPr>
      <w:bookmarkStart w:id="68" w:name="_Toc5043"/>
      <w:bookmarkStart w:id="69" w:name="_Toc16548"/>
      <w:r>
        <w:rPr>
          <w:rFonts w:hint="eastAsia" w:ascii="楷体" w:hAnsi="楷体" w:eastAsia="楷体" w:cs="楷体"/>
          <w:b/>
          <w:kern w:val="0"/>
          <w:sz w:val="32"/>
          <w:szCs w:val="32"/>
        </w:rPr>
        <w:t>（一）绩效评价分析</w:t>
      </w:r>
      <w:bookmarkEnd w:id="68"/>
      <w:bookmarkEnd w:id="69"/>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8分。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本项目立项手续不完整，只有县财政投资评审中心对围场满族蒙古族自治县牌楼卸载站场地硬化工程和牌楼卸载站卸载罩棚工程招标控制价的认定和围场县公共资源交易中心竞争性磋商。</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能够严格按照计划实施，本项目为场地硬化工程和卸载站罩棚施工，牌楼治超站卸载场地硬化及罩棚工程于2018年9月30日开工至2018年10月15日竣工验收合格并投入使用。本项目在质保期内使用过程中未发现质量问题。根据验收情况并通过对围场县牌楼卸载站场地硬化工程项目的分析，我们认为本项目的建设可持续性较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管理指标绩效评价设定分值为30分，考评得分25分。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我们对围场县牌楼卸载站场地硬化工程项目资料进行了核实，发现项目前期立项审批资料不完整，绩效评价涉及到的相关资料不齐全，我方通过综合分析，本项指标扣减2分。</w:t>
      </w:r>
    </w:p>
    <w:p>
      <w:pPr>
        <w:ind w:firstLine="560" w:firstLineChars="200"/>
        <w:rPr>
          <w:rFonts w:ascii="宋体" w:hAnsi="宋体" w:eastAsia="宋体" w:cs="宋体"/>
          <w:sz w:val="28"/>
          <w:szCs w:val="28"/>
        </w:rPr>
      </w:pPr>
      <w:r>
        <w:rPr>
          <w:rFonts w:hint="eastAsia" w:ascii="宋体" w:hAnsi="宋体" w:eastAsia="宋体" w:cs="宋体"/>
          <w:sz w:val="28"/>
          <w:szCs w:val="28"/>
        </w:rPr>
        <w:t>②政务公开情况指标标准分值为3分，考评得分3分。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围场县牌楼卸载站场地硬化工程项目新增债券资金安排的情况均已公示，本项目没有发现应该招标没有招标的情况。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围场县牌楼卸载站场地硬化工程项目债券资金使用部分项目变更控制情况较好，没有对工程进度造成影响，项目能够按照资金使用情况顺利进行。</w:t>
      </w:r>
    </w:p>
    <w:p>
      <w:pPr>
        <w:ind w:firstLine="560" w:firstLineChars="200"/>
        <w:rPr>
          <w:rFonts w:ascii="宋体" w:hAnsi="宋体" w:eastAsia="宋体" w:cs="宋体"/>
          <w:sz w:val="28"/>
          <w:szCs w:val="28"/>
        </w:rPr>
      </w:pPr>
      <w:r>
        <w:rPr>
          <w:rFonts w:hint="eastAsia" w:ascii="宋体" w:hAnsi="宋体" w:eastAsia="宋体" w:cs="宋体"/>
          <w:sz w:val="28"/>
          <w:szCs w:val="28"/>
        </w:rPr>
        <w:t>④项目实施方案编制情况指标标准分值为3分，考评得分0分。</w:t>
      </w:r>
    </w:p>
    <w:p>
      <w:pPr>
        <w:pStyle w:val="15"/>
        <w:ind w:firstLine="560" w:firstLineChars="200"/>
        <w:jc w:val="both"/>
        <w:rPr>
          <w:sz w:val="28"/>
          <w:szCs w:val="28"/>
        </w:rPr>
      </w:pPr>
      <w:r>
        <w:rPr>
          <w:rFonts w:hint="eastAsia" w:hAnsi="宋体" w:cs="宋体"/>
          <w:sz w:val="28"/>
          <w:szCs w:val="28"/>
        </w:rPr>
        <w:t>我方在对围场县牌楼卸载站场地硬化工程项目资料检查过程中未发现</w:t>
      </w:r>
      <w:r>
        <w:rPr>
          <w:rFonts w:hint="eastAsia"/>
          <w:sz w:val="28"/>
          <w:szCs w:val="28"/>
        </w:rPr>
        <w:t>本项目实施方案，此项指标扣减3分。</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围场县牌楼卸载站场地硬化工程项目债券资金均未用于经常性支出，未用于中央明令禁止的项目支出，资金使用合规。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围场县牌楼卸载站场地硬化工程项目已按国库集中支付制度要求在县级财政集中支付，支付凭证清晰，未发现资金拖欠现象。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我方在检查中未发现围场县牌楼卸载站场地硬化工程项目资金有挪用、抽逃、延迟支付现象，记账凭证整理有序，项目建设资金使用合规，账务处理基本合规。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围场县牌楼卸载站场地硬化工程项目已完成的工程投资与计划实施的实际工程总投资基本吻合，主要工程量按照要求全部完成。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围场县牌楼卸载站场地硬化工程项目能够按照合同约定计划工期完成施工进度，未出现工期延误滞后现象。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本工程于2018年10月15日完工，10月20日由建设单位组织竣工验收，所有工程量均按照图纸及合同约定按时完成，质量良好，均符合相关要求验收合格。</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效益指标绩效评价设定分值为30分，考评得分29分。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围场县牌楼卸载站场地硬化工程项目现已经全部完工，按批复设定的总体目标全面实现，能够达到预期目标。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牌楼卸载站场地硬化工程项目的建设，改善了牌楼卸载站行车条件、保证了行车安全。通过项目的建设，对超载车辆进行严格管控，减少了因超载行为导致的交通安全事故，间接挽回了巨大经济损失，维护了国家和人民的利益，对维护社会稳定起到了积极作用。</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③社会环境（交通环境等）改善情况指标标准分值为4分，考评得分4分。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通过对围场县牌楼卸载站场地硬化工程的建设，合理的整治了一直以来的严重超载现象，避免了因超载行为导致的交通安全事故，项目的建设对目前的交通环境和社会环境有所改善。</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（2）经济效益指标绩效评价设定分值为10分，考评得分9分。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由于债券资金投入的项目多为社会公益性项目，依法用于公益性资本支出，本项目建设产生的直接经济效益不明显。</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由于对超载车辆进行了严格管控，大大减少了因超载行为导致的交通安全事故，将安全隐患控制在萌芽之初，御道口治超站硬化和防尘罩棚及监测用房项目的建设，间接挽回了因严重超载引起的巨大经济损失，项目建设带来的间接经济效益和社会效益相对较明显，因此本项考核得分为7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70" w:name="_Toc14098"/>
      <w:bookmarkStart w:id="71" w:name="_Toc18863"/>
      <w:r>
        <w:rPr>
          <w:rFonts w:hint="eastAsia" w:ascii="楷体" w:hAnsi="楷体" w:eastAsia="楷体" w:cs="楷体"/>
          <w:b/>
          <w:kern w:val="0"/>
          <w:sz w:val="32"/>
          <w:szCs w:val="32"/>
        </w:rPr>
        <w:t>（二）绩效评价结论</w:t>
      </w:r>
      <w:bookmarkEnd w:id="70"/>
      <w:bookmarkEnd w:id="71"/>
    </w:p>
    <w:p>
      <w:pPr>
        <w:adjustRightInd w:val="0"/>
        <w:snapToGrid w:val="0"/>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adjustRightInd w:val="0"/>
        <w:snapToGrid w:val="0"/>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绩效评价指标综合得分情况：</w:t>
      </w:r>
    </w:p>
    <w:p>
      <w:pPr>
        <w:ind w:firstLine="560" w:firstLineChars="200"/>
        <w:rPr>
          <w:rFonts w:ascii="仿宋" w:hAnsi="仿宋" w:eastAsia="仿宋" w:cs="宋体"/>
          <w:bCs/>
          <w:kern w:val="0"/>
          <w:sz w:val="32"/>
          <w:szCs w:val="32"/>
          <w:highlight w:val="yellow"/>
        </w:rPr>
      </w:pPr>
      <w:r>
        <w:rPr>
          <w:rFonts w:hint="eastAsia" w:ascii="宋体" w:hAnsi="宋体" w:eastAsia="宋体" w:cs="宋体"/>
          <w:sz w:val="28"/>
          <w:szCs w:val="28"/>
        </w:rPr>
        <w:t>围场县牌楼卸载站场地硬化工程项目绩效考评结果，其中：投入指标考评得分8分、管理指标考评得分25分、产出指标考评得分30分、效益指标考评得分29分。</w:t>
      </w:r>
      <w:r>
        <w:rPr>
          <w:rFonts w:hint="eastAsia" w:ascii="宋体" w:hAnsi="宋体" w:eastAsia="宋体" w:cs="宋体"/>
          <w:bCs/>
          <w:kern w:val="0"/>
          <w:sz w:val="28"/>
          <w:szCs w:val="28"/>
        </w:rPr>
        <w:t>通过对各项指标的具体分析评价，汇总得出本次绩效评价考核综合得分为92分，总体评价为“优”。</w:t>
      </w:r>
    </w:p>
    <w:p>
      <w:pPr>
        <w:adjustRightInd w:val="0"/>
        <w:snapToGrid w:val="0"/>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通过项目建设，对社会效益影响是长期的，促进了围场县的经济繁荣。</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评价结果表明，围场县牌楼卸载站场地硬化工程在施工过程中项目组织和管理较好，执行了相关规定要求，组织管理有序，对项目资金的监督管理总体有效，资金使用合理合规，项目实施的可持续性较强。</w:t>
      </w:r>
    </w:p>
    <w:p>
      <w:pPr>
        <w:adjustRightInd w:val="0"/>
        <w:snapToGrid w:val="0"/>
        <w:spacing w:line="360" w:lineRule="auto"/>
        <w:ind w:firstLine="640" w:firstLineChars="200"/>
        <w:outlineLvl w:val="0"/>
        <w:rPr>
          <w:rFonts w:ascii="黑体" w:hAnsi="黑体" w:eastAsia="黑体" w:cs="黑体"/>
          <w:bCs/>
          <w:kern w:val="0"/>
          <w:sz w:val="32"/>
          <w:szCs w:val="32"/>
        </w:rPr>
      </w:pPr>
      <w:bookmarkStart w:id="72" w:name="_Toc32395"/>
      <w:bookmarkStart w:id="73" w:name="_Toc13271"/>
      <w:r>
        <w:rPr>
          <w:rFonts w:hint="eastAsia" w:ascii="黑体" w:hAnsi="黑体" w:eastAsia="黑体" w:cs="黑体"/>
          <w:bCs/>
          <w:kern w:val="0"/>
          <w:sz w:val="32"/>
          <w:szCs w:val="32"/>
        </w:rPr>
        <w:t>五、</w:t>
      </w:r>
      <w:bookmarkEnd w:id="72"/>
      <w:r>
        <w:rPr>
          <w:rFonts w:hint="eastAsia" w:ascii="黑体" w:hAnsi="黑体" w:eastAsia="黑体" w:cs="黑体"/>
          <w:bCs/>
          <w:kern w:val="0"/>
          <w:sz w:val="32"/>
          <w:szCs w:val="32"/>
        </w:rPr>
        <w:t>意见及建议</w:t>
      </w:r>
      <w:bookmarkEnd w:id="73"/>
    </w:p>
    <w:p>
      <w:pPr>
        <w:adjustRightInd w:val="0"/>
        <w:snapToGrid w:val="0"/>
        <w:spacing w:line="360" w:lineRule="auto"/>
        <w:ind w:firstLine="560" w:firstLineChars="200"/>
        <w:rPr>
          <w:rFonts w:ascii="仿宋" w:hAnsi="仿宋" w:eastAsia="仿宋" w:cs="宋体"/>
          <w:bCs/>
          <w:kern w:val="0"/>
          <w:sz w:val="32"/>
          <w:szCs w:val="32"/>
        </w:rPr>
      </w:pPr>
      <w:r>
        <w:rPr>
          <w:rFonts w:hint="eastAsia" w:ascii="宋体" w:hAnsi="宋体" w:eastAsia="宋体" w:cs="宋体"/>
          <w:sz w:val="28"/>
          <w:szCs w:val="28"/>
        </w:rPr>
        <w:t>围场县牌楼卸载站场地硬化工程前期资料准备不充分，无项目实施方案，需进一步加强项目管理、完善建设程序及资金支付方面的管理</w:t>
      </w:r>
      <w:r>
        <w:rPr>
          <w:rFonts w:hint="eastAsia" w:ascii="宋体" w:hAnsi="宋体" w:eastAsia="宋体" w:cs="宋体"/>
          <w:bCs/>
          <w:kern w:val="0"/>
          <w:sz w:val="28"/>
          <w:szCs w:val="28"/>
        </w:rPr>
        <w:t>。</w:t>
      </w:r>
    </w:p>
    <w:p>
      <w:pPr>
        <w:pStyle w:val="3"/>
        <w:spacing w:line="240" w:lineRule="auto"/>
        <w:ind w:firstLine="643" w:firstLineChars="200"/>
        <w:rPr>
          <w:rFonts w:ascii="楷体" w:hAnsi="楷体" w:eastAsia="楷体" w:cs="楷体"/>
        </w:rPr>
      </w:pPr>
      <w:bookmarkStart w:id="74" w:name="_Toc31355"/>
      <w:bookmarkStart w:id="75" w:name="_Toc26763"/>
      <w:bookmarkStart w:id="76" w:name="_Toc25821"/>
      <w:bookmarkStart w:id="77" w:name="_Toc7010"/>
      <w:bookmarkStart w:id="78" w:name="_Toc5786"/>
      <w:bookmarkStart w:id="79" w:name="_Toc31396"/>
      <w:r>
        <w:rPr>
          <w:rFonts w:hint="eastAsia" w:ascii="楷体" w:hAnsi="楷体" w:eastAsia="楷体" w:cs="楷体"/>
        </w:rPr>
        <w:t>（一）强化绩效理念，深入推进评价工作</w:t>
      </w:r>
      <w:bookmarkEnd w:id="74"/>
      <w:bookmarkEnd w:id="75"/>
      <w:bookmarkEnd w:id="76"/>
      <w:bookmarkEnd w:id="77"/>
      <w:bookmarkEnd w:id="78"/>
      <w:bookmarkEnd w:id="79"/>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80" w:name="_Toc11860"/>
      <w:bookmarkStart w:id="81" w:name="_Toc10505"/>
      <w:bookmarkStart w:id="82" w:name="_Toc6863"/>
      <w:bookmarkStart w:id="83" w:name="_Toc23272"/>
      <w:bookmarkStart w:id="84" w:name="_Toc14241"/>
      <w:bookmarkStart w:id="85" w:name="_Toc21411"/>
      <w:r>
        <w:rPr>
          <w:rFonts w:hint="eastAsia" w:ascii="楷体" w:hAnsi="楷体" w:eastAsia="楷体" w:cs="楷体"/>
        </w:rPr>
        <w:t>（二）强化事前准备，切实提升评价质量</w:t>
      </w:r>
      <w:bookmarkEnd w:id="80"/>
      <w:bookmarkEnd w:id="81"/>
      <w:bookmarkEnd w:id="82"/>
      <w:bookmarkEnd w:id="83"/>
      <w:bookmarkEnd w:id="84"/>
      <w:bookmarkEnd w:id="85"/>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6" w:name="_Toc3001"/>
      <w:bookmarkStart w:id="87" w:name="_Toc11787"/>
      <w:bookmarkStart w:id="88" w:name="_Toc21034"/>
      <w:bookmarkStart w:id="89" w:name="_Toc30061"/>
      <w:bookmarkStart w:id="90" w:name="_Toc10592"/>
    </w:p>
    <w:p>
      <w:pPr>
        <w:pStyle w:val="3"/>
        <w:spacing w:line="240" w:lineRule="auto"/>
        <w:ind w:firstLine="643" w:firstLineChars="200"/>
        <w:rPr>
          <w:rFonts w:ascii="楷体" w:hAnsi="楷体" w:eastAsia="楷体" w:cs="楷体"/>
        </w:rPr>
      </w:pPr>
      <w:bookmarkStart w:id="91" w:name="_Toc4488"/>
      <w:r>
        <w:rPr>
          <w:rFonts w:hint="eastAsia" w:ascii="楷体" w:hAnsi="楷体" w:eastAsia="楷体" w:cs="楷体"/>
        </w:rPr>
        <w:t>（三）强化结果应用，不断巩固评价</w:t>
      </w:r>
      <w:bookmarkEnd w:id="86"/>
      <w:bookmarkEnd w:id="87"/>
      <w:bookmarkEnd w:id="88"/>
      <w:bookmarkEnd w:id="89"/>
      <w:bookmarkEnd w:id="90"/>
      <w:r>
        <w:rPr>
          <w:rFonts w:hint="eastAsia" w:ascii="楷体" w:hAnsi="楷体" w:eastAsia="楷体" w:cs="楷体"/>
        </w:rPr>
        <w:t>成效</w:t>
      </w:r>
      <w:bookmarkEnd w:id="91"/>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92" w:name="_Toc18212"/>
      <w:r>
        <w:rPr>
          <w:rFonts w:hint="eastAsia" w:ascii="黑体" w:hAnsi="黑体" w:eastAsia="黑体" w:cs="黑体"/>
          <w:bCs/>
          <w:kern w:val="0"/>
          <w:sz w:val="32"/>
          <w:szCs w:val="32"/>
        </w:rPr>
        <w:t>六、附件</w:t>
      </w:r>
      <w:bookmarkEnd w:id="92"/>
    </w:p>
    <w:p>
      <w:pPr>
        <w:pStyle w:val="3"/>
        <w:rPr>
          <w:rFonts w:ascii="楷体" w:hAnsi="楷体" w:eastAsia="楷体" w:cs="楷体"/>
        </w:rPr>
      </w:pPr>
      <w:bookmarkStart w:id="93" w:name="_Toc13899"/>
      <w:r>
        <w:rPr>
          <w:rFonts w:hint="eastAsia" w:ascii="楷体" w:hAnsi="楷体" w:eastAsia="楷体" w:cs="楷体"/>
        </w:rPr>
        <w:t>绩效评价指标体系得分表</w:t>
      </w:r>
      <w:bookmarkEnd w:id="93"/>
    </w:p>
    <w:p>
      <w:pPr>
        <w:rPr>
          <w:rFonts w:ascii="楷体" w:hAnsi="楷体" w:eastAsia="楷体" w:cs="楷体"/>
        </w:rPr>
      </w:pPr>
    </w:p>
    <w:p>
      <w:pPr>
        <w:rPr>
          <w:rFonts w:ascii="楷体" w:hAnsi="楷体" w:eastAsia="楷体" w:cs="楷体"/>
        </w:rPr>
      </w:pPr>
    </w:p>
    <w:p>
      <w:pPr>
        <w:rPr>
          <w:rFonts w:ascii="楷体" w:hAnsi="楷体" w:eastAsia="楷体" w:cs="楷体"/>
        </w:rPr>
      </w:pPr>
    </w:p>
    <w:p>
      <w:pPr>
        <w:adjustRightInd w:val="0"/>
        <w:snapToGrid w:val="0"/>
        <w:spacing w:line="540" w:lineRule="exact"/>
        <w:outlineLvl w:val="0"/>
        <w:rPr>
          <w:rFonts w:hint="eastAsia" w:asciiTheme="minorEastAsia" w:hAnsiTheme="minorEastAsia" w:eastAsiaTheme="minorEastAsia"/>
          <w:sz w:val="32"/>
          <w:szCs w:val="32"/>
          <w:lang w:eastAsia="zh-CN"/>
        </w:rPr>
      </w:pPr>
      <w:bookmarkStart w:id="94" w:name="_Toc15162"/>
      <w:r>
        <w:rPr>
          <w:rFonts w:hint="eastAsia" w:asciiTheme="minorEastAsia" w:hAnsiTheme="minorEastAsia"/>
          <w:sz w:val="32"/>
          <w:szCs w:val="32"/>
        </w:rPr>
        <w:t>承德燕山会计师事务所         中国注册会计师：</w:t>
      </w:r>
      <w:bookmarkEnd w:id="94"/>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95" w:name="_Toc14815"/>
      <w:r>
        <w:rPr>
          <w:rFonts w:hint="eastAsia" w:asciiTheme="minorEastAsia" w:hAnsiTheme="minorEastAsia"/>
          <w:sz w:val="32"/>
          <w:szCs w:val="32"/>
        </w:rPr>
        <w:t>有限责任公司</w:t>
      </w:r>
      <w:bookmarkEnd w:id="95"/>
    </w:p>
    <w:p>
      <w:pPr>
        <w:ind w:firstLine="640" w:firstLineChars="200"/>
        <w:outlineLvl w:val="0"/>
        <w:rPr>
          <w:rFonts w:hint="eastAsia" w:asciiTheme="minorEastAsia" w:hAnsiTheme="minorEastAsia" w:eastAsiaTheme="minorEastAsia"/>
          <w:sz w:val="32"/>
          <w:szCs w:val="32"/>
          <w:lang w:eastAsia="zh-CN"/>
        </w:rPr>
      </w:pPr>
      <w:bookmarkStart w:id="96" w:name="_Toc13463"/>
      <w:r>
        <w:rPr>
          <w:rFonts w:hint="eastAsia" w:asciiTheme="minorEastAsia" w:hAnsiTheme="minorEastAsia"/>
          <w:sz w:val="32"/>
          <w:szCs w:val="32"/>
        </w:rPr>
        <w:t>河北·承德               中国注册会计师：</w:t>
      </w:r>
      <w:bookmarkEnd w:id="96"/>
      <w:r>
        <w:rPr>
          <w:rFonts w:hint="eastAsia" w:asciiTheme="minorEastAsia" w:hAnsiTheme="minorEastAsia"/>
          <w:sz w:val="32"/>
          <w:szCs w:val="32"/>
          <w:lang w:eastAsia="zh-CN"/>
        </w:rPr>
        <w:t>白秀云</w:t>
      </w:r>
    </w:p>
    <w:p>
      <w:pPr>
        <w:ind w:firstLine="640" w:firstLineChars="200"/>
        <w:rPr>
          <w:rFonts w:asciiTheme="minorEastAsia" w:hAnsiTheme="minorEastAsia"/>
          <w:sz w:val="32"/>
          <w:szCs w:val="32"/>
        </w:rPr>
      </w:pPr>
    </w:p>
    <w:p>
      <w:pPr>
        <w:ind w:firstLine="640" w:firstLineChars="200"/>
        <w:rPr>
          <w:rFonts w:asciiTheme="minorEastAsia" w:hAnsiTheme="minorEastAsia"/>
          <w:sz w:val="32"/>
          <w:szCs w:val="32"/>
        </w:rPr>
      </w:pPr>
    </w:p>
    <w:p>
      <w:pPr>
        <w:ind w:firstLine="640" w:firstLineChars="200"/>
        <w:rPr>
          <w:rFonts w:ascii="宋体" w:hAnsi="宋体" w:eastAsia="宋体" w:cs="宋体"/>
          <w:sz w:val="28"/>
          <w:szCs w:val="28"/>
        </w:rPr>
      </w:pPr>
      <w:r>
        <w:rPr>
          <w:rFonts w:hint="eastAsia" w:asciiTheme="minorEastAsia" w:hAnsiTheme="minorEastAsia"/>
          <w:sz w:val="32"/>
          <w:szCs w:val="32"/>
        </w:rPr>
        <w:t xml:space="preserve">                      </w:t>
      </w:r>
      <w:bookmarkStart w:id="97" w:name="_Toc29542"/>
      <w:r>
        <w:rPr>
          <w:rFonts w:hint="eastAsia" w:asciiTheme="minorEastAsia" w:hAnsiTheme="minorEastAsia"/>
          <w:sz w:val="32"/>
          <w:szCs w:val="32"/>
        </w:rPr>
        <w:t>二○二〇年十二月二十八日</w:t>
      </w:r>
      <w:bookmarkEnd w:id="97"/>
    </w:p>
    <w:p>
      <w:pPr>
        <w:ind w:firstLine="560" w:firstLineChars="200"/>
        <w:rPr>
          <w:rFonts w:ascii="宋体" w:hAnsi="宋体" w:eastAsia="宋体" w:cs="宋体"/>
          <w:sz w:val="28"/>
          <w:szCs w:val="28"/>
        </w:rPr>
        <w:sectPr>
          <w:footerReference r:id="rId11" w:type="default"/>
          <w:pgSz w:w="11906" w:h="16838"/>
          <w:pgMar w:top="1440" w:right="1800" w:bottom="1440" w:left="1800" w:header="851" w:footer="992" w:gutter="0"/>
          <w:pgNumType w:start="1"/>
          <w:cols w:space="425" w:num="1"/>
          <w:docGrid w:type="lines" w:linePitch="312" w:charSpace="0"/>
        </w:sectPr>
      </w:pPr>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围场县牌楼卸载站场地硬化工程绩效评价指标体系得分表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项目决策管理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立项手续合规、方案可行得5分，立项手续不完整扣2分，方案欠佳扣2分；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项目资料（实施方案、施工合同、竣工验收报告等）完整得6分，资料不完整每有一项扣1分；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16、社会环境（交通环境等）改善情况（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92</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174775"/>
    <w:rsid w:val="001A697C"/>
    <w:rsid w:val="003F1D04"/>
    <w:rsid w:val="006E711A"/>
    <w:rsid w:val="00D13FEB"/>
    <w:rsid w:val="00E77FF7"/>
    <w:rsid w:val="03906ECE"/>
    <w:rsid w:val="03B73450"/>
    <w:rsid w:val="047E3D7B"/>
    <w:rsid w:val="064E091A"/>
    <w:rsid w:val="06B3136F"/>
    <w:rsid w:val="09DF3A36"/>
    <w:rsid w:val="0A617961"/>
    <w:rsid w:val="0CF76258"/>
    <w:rsid w:val="0E252CA5"/>
    <w:rsid w:val="0FF14209"/>
    <w:rsid w:val="105259B6"/>
    <w:rsid w:val="105E04DB"/>
    <w:rsid w:val="11CA6AB4"/>
    <w:rsid w:val="13426D82"/>
    <w:rsid w:val="134C1C6E"/>
    <w:rsid w:val="13D04FA7"/>
    <w:rsid w:val="15AD2869"/>
    <w:rsid w:val="1671287C"/>
    <w:rsid w:val="178D6B51"/>
    <w:rsid w:val="179E01C8"/>
    <w:rsid w:val="18596D27"/>
    <w:rsid w:val="18B14196"/>
    <w:rsid w:val="19B12636"/>
    <w:rsid w:val="1C0818FD"/>
    <w:rsid w:val="1DCB30AC"/>
    <w:rsid w:val="1E3912B7"/>
    <w:rsid w:val="1F3109C5"/>
    <w:rsid w:val="21C358CA"/>
    <w:rsid w:val="23962522"/>
    <w:rsid w:val="23EF5E50"/>
    <w:rsid w:val="27DD72F2"/>
    <w:rsid w:val="284D6241"/>
    <w:rsid w:val="2A2E1F00"/>
    <w:rsid w:val="2B284D4B"/>
    <w:rsid w:val="2C137100"/>
    <w:rsid w:val="327F7BC1"/>
    <w:rsid w:val="39FB1AB6"/>
    <w:rsid w:val="3B943A5F"/>
    <w:rsid w:val="3BB5552B"/>
    <w:rsid w:val="3D7533AC"/>
    <w:rsid w:val="3E49499B"/>
    <w:rsid w:val="3EE432ED"/>
    <w:rsid w:val="40A00F76"/>
    <w:rsid w:val="41764DEF"/>
    <w:rsid w:val="41A52C9E"/>
    <w:rsid w:val="46437D54"/>
    <w:rsid w:val="47C37A03"/>
    <w:rsid w:val="48771478"/>
    <w:rsid w:val="49C5006E"/>
    <w:rsid w:val="4A924A90"/>
    <w:rsid w:val="4DF57240"/>
    <w:rsid w:val="4F5D274A"/>
    <w:rsid w:val="540B264E"/>
    <w:rsid w:val="54252E1D"/>
    <w:rsid w:val="569318BE"/>
    <w:rsid w:val="577B4A42"/>
    <w:rsid w:val="593B5166"/>
    <w:rsid w:val="62280465"/>
    <w:rsid w:val="634A07FA"/>
    <w:rsid w:val="65E82C83"/>
    <w:rsid w:val="67C22A85"/>
    <w:rsid w:val="6EC845C2"/>
    <w:rsid w:val="6FBF68B2"/>
    <w:rsid w:val="710016B0"/>
    <w:rsid w:val="7297639F"/>
    <w:rsid w:val="75840E38"/>
    <w:rsid w:val="7671747E"/>
    <w:rsid w:val="772B6771"/>
    <w:rsid w:val="773529C3"/>
    <w:rsid w:val="77AB17FD"/>
    <w:rsid w:val="786D6AF7"/>
    <w:rsid w:val="7A861EB2"/>
    <w:rsid w:val="7D87276F"/>
    <w:rsid w:val="7E3E57AC"/>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autoRedefine/>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autoRedefine/>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autoRedefine/>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4"/>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11864</Words>
  <Characters>2803</Characters>
  <Lines>23</Lines>
  <Paragraphs>29</Paragraphs>
  <TotalTime>13</TotalTime>
  <ScaleCrop>false</ScaleCrop>
  <LinksUpToDate>false</LinksUpToDate>
  <CharactersWithSpaces>14638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2021-04-15T08:14:00Z</cp:lastPrinted>
  <dcterms:modified xsi:type="dcterms:W3CDTF">2023-12-28T01:51:42Z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7315B8D30CE04CDDBCAEEC92125A38C8</vt:lpwstr>
  </property>
</Properties>
</file>