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围场县国道G111线槽子沟门</w:t>
      </w:r>
    </w:p>
    <w:p>
      <w:pPr>
        <w:jc w:val="center"/>
        <w:rPr>
          <w:rFonts w:ascii="宋体" w:hAnsi="宋体" w:eastAsia="宋体" w:cs="宋体"/>
          <w:b/>
          <w:bCs/>
          <w:sz w:val="52"/>
          <w:szCs w:val="52"/>
        </w:rPr>
      </w:pPr>
      <w:r>
        <w:rPr>
          <w:rFonts w:hint="eastAsia" w:ascii="宋体" w:hAnsi="宋体" w:eastAsia="宋体" w:cs="宋体"/>
          <w:b/>
          <w:bCs/>
          <w:sz w:val="52"/>
          <w:szCs w:val="52"/>
        </w:rPr>
        <w:t>至祁家营段改建工程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16"/>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2021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03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18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报告文号：承燕会所审专字（2021）第075号</w:t>
      </w:r>
    </w:p>
    <w:p>
      <w:pPr>
        <w:ind w:firstLine="960" w:firstLineChars="300"/>
        <w:rPr>
          <w:sz w:val="32"/>
          <w:szCs w:val="32"/>
        </w:rPr>
      </w:pPr>
      <w:r>
        <w:rPr>
          <w:rFonts w:hint="eastAsia"/>
          <w:sz w:val="32"/>
          <w:szCs w:val="32"/>
        </w:rPr>
        <w:t>报告日期：2021-03-18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1" o:title=""/>
            <o:lock v:ext="edit" aspectratio="t"/>
            <w10:wrap type="square"/>
          </v:shape>
          <o:OLEObject Type="Embed" ProgID="Word.Picture.8" ShapeID="_x0000_s1026" DrawAspect="Content" ObjectID="_1468075725" r:id="rId10">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620" w:firstLineChars="22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承燕会所审专字（2021）第075号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10"/>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10"/>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10"/>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1"/>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25</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outlineLvl w:val="0"/>
        <w:rPr>
          <w:rFonts w:ascii="宋体" w:hAnsi="宋体" w:eastAsia="宋体" w:cs="宋体"/>
          <w:b/>
          <w:bCs/>
          <w:sz w:val="36"/>
          <w:szCs w:val="36"/>
        </w:rPr>
      </w:pPr>
      <w:bookmarkStart w:id="0" w:name="_Toc29565"/>
      <w:bookmarkStart w:id="1" w:name="_Toc13259"/>
      <w:bookmarkStart w:id="2" w:name="_Toc7123"/>
      <w:bookmarkStart w:id="3" w:name="_Toc32502"/>
      <w:bookmarkStart w:id="4" w:name="_Toc25062"/>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国道G111线槽子沟门至祁家营段改建工程</w:t>
      </w:r>
    </w:p>
    <w:p>
      <w:pPr>
        <w:jc w:val="center"/>
        <w:outlineLvl w:val="0"/>
        <w:rPr>
          <w:rFonts w:ascii="宋体" w:hAnsi="宋体" w:eastAsia="宋体" w:cs="宋体"/>
          <w:b/>
          <w:bCs/>
          <w:sz w:val="36"/>
          <w:szCs w:val="36"/>
        </w:rPr>
      </w:pPr>
      <w:bookmarkStart w:id="5" w:name="_Toc26503"/>
      <w:bookmarkStart w:id="6" w:name="_Toc3241"/>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为规范和加强地方政府债券项目资金管理，建立健全地方政府债券资金使用和项目管理的激励和约束机制，督促项目执行力度，完善项目管理程序，切实提高资金使用效益。根据财政部关于印发《地方政府一般债务预算管理办法》（财预〔2016〕154号），</w:t>
      </w:r>
      <w:r>
        <w:rPr>
          <w:rFonts w:hint="eastAsia" w:ascii="宋体" w:hAnsi="宋体" w:eastAsia="宋体" w:cs="宋体"/>
          <w:sz w:val="28"/>
          <w:szCs w:val="28"/>
        </w:rPr>
        <w:t>进一步提升财政支出政策的科学性、效率性。根据围场满族蒙古族自治县财政局要求，承德燕山会计师事务所有限责任公司接受贵局委托，成立了绩效评价小组，对围场县国道G111线槽子沟门至祁家营段改建工程项目新增一般债券资金使用情况做绩效评价分析。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27945"/>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3023"/>
      <w:bookmarkStart w:id="10" w:name="_Toc1188"/>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2019年省财政厅下达围场县新增一般债券资金40000万元。结合围场县政府2019年重点建设项目安排情况，本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bookmarkStart w:id="95" w:name="_GoBack"/>
      <w:bookmarkEnd w:id="95"/>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，通过对本县年度内众多项目的认真研究，为了更好地保障财政资金的使用效益，对于一些方案可行、产出比高、效益明显的重点项目予以保留，一些方案欠佳、效益一般的项目予以删减。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其中本次投入围场县国道G111线槽子沟门至祁家营段改建工程项目的债券资金共计4373.17万元。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围场县国道G111线槽子沟门至祁家营段改建工程</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围场满族蒙古族自治县域内</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围场满族蒙古族自治县交通运输局</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4.项目背景</w:t>
      </w:r>
    </w:p>
    <w:p>
      <w:pPr>
        <w:pStyle w:val="6"/>
        <w:ind w:left="0" w:leftChars="0" w:firstLine="560" w:firstLineChars="200"/>
        <w:rPr>
          <w:rFonts w:ascii="宋体" w:hAnsi="宋体" w:eastAsia="宋体" w:cs="宋体"/>
          <w:sz w:val="28"/>
          <w:szCs w:val="28"/>
        </w:rPr>
      </w:pPr>
      <w:r>
        <w:rPr>
          <w:rFonts w:hint="eastAsia" w:ascii="宋体" w:hAnsi="宋体" w:eastAsia="宋体" w:cs="宋体"/>
          <w:sz w:val="28"/>
          <w:szCs w:val="28"/>
        </w:rPr>
        <w:t>国道G111线是承德市北部地区、内蒙部分地区与北京地区政治经济交往的重要公路。路线南起北京市怀柔县南道口，北行途经怀柔、丰宁，折向东北围场、赤峰、奈曼，终点到达加格达奇，全长2034公里。承德段南起京承界丰宁南大梁，北至承蒙界围场兴聚德，长241.80公里。</w:t>
      </w:r>
    </w:p>
    <w:p>
      <w:pPr>
        <w:pStyle w:val="6"/>
        <w:ind w:left="0" w:leftChars="0" w:firstLine="560" w:firstLineChars="200"/>
        <w:rPr>
          <w:rFonts w:ascii="宋体" w:hAnsi="宋体" w:eastAsia="宋体" w:cs="宋体"/>
          <w:sz w:val="28"/>
          <w:szCs w:val="28"/>
        </w:rPr>
      </w:pPr>
      <w:r>
        <w:rPr>
          <w:rFonts w:hint="eastAsia" w:ascii="宋体" w:hAnsi="宋体" w:eastAsia="宋体" w:cs="宋体"/>
          <w:sz w:val="28"/>
          <w:szCs w:val="28"/>
        </w:rPr>
        <w:t>国道G111线南大梁至撒袋沟门段已按照一级公路技术标准进行升级改建，计划今年年底全线建成通车。撒袋沟门至毫村沟门段为承张高速公路连接线，一级公路标准，目前正在施工阶段。豪村沟门至黄旗镇段、杨树底下至槽子沟门段、祁家营至牌楼段共计86.44公里已列入2012年养护改造计划，二级公路标准，设计速度60公里/小时，路基宽度10米。牌楼至围场县城段已于2007年年底改建升级为二级公路，设计速度60公里/小时，路基宽度12米。围场至兴聚德段于1995年改建，按当时二级公路标准建设，设计速度40公里/小时，路基宽8.5米。</w:t>
      </w:r>
    </w:p>
    <w:p>
      <w:pPr>
        <w:pStyle w:val="6"/>
        <w:ind w:left="0" w:leftChars="0" w:firstLine="560" w:firstLineChars="200"/>
        <w:rPr>
          <w:rFonts w:ascii="宋体" w:hAnsi="宋体" w:eastAsia="宋体" w:cs="宋体"/>
          <w:sz w:val="28"/>
          <w:szCs w:val="28"/>
        </w:rPr>
      </w:pPr>
      <w:r>
        <w:rPr>
          <w:rFonts w:hint="eastAsia" w:ascii="宋体" w:hAnsi="宋体" w:eastAsia="宋体" w:cs="宋体"/>
          <w:sz w:val="28"/>
          <w:szCs w:val="28"/>
        </w:rPr>
        <w:t>目前国道G111线承德境内只有黄旗镇至杨树底下段、槽子沟门至祁家营段为三级公路。是111线大的越岭路段，平纵面指标低，交通事故频发，在整个111线通道中形成瓶颈，通行能力差。</w:t>
      </w:r>
    </w:p>
    <w:p>
      <w:pPr>
        <w:pStyle w:val="6"/>
        <w:ind w:left="0" w:leftChars="0" w:firstLine="560" w:firstLineChars="200"/>
        <w:rPr>
          <w:rFonts w:ascii="宋体" w:hAnsi="宋体" w:eastAsia="宋体" w:cs="宋体"/>
          <w:sz w:val="28"/>
          <w:szCs w:val="28"/>
        </w:rPr>
      </w:pPr>
      <w:r>
        <w:rPr>
          <w:rFonts w:hint="eastAsia" w:ascii="宋体" w:hAnsi="宋体" w:eastAsia="宋体" w:cs="宋体"/>
          <w:sz w:val="28"/>
          <w:szCs w:val="28"/>
        </w:rPr>
        <w:t>随着承德经济迅速发展和交通量的日益增长，本项目作为承德北部地区主干线，已经远远不能满足交通运输的需求，公路技术等级低、路基宽度窄，行车舒适度差等诸多问题急需解决，因此拟对此路段进行改建。</w:t>
      </w:r>
    </w:p>
    <w:p>
      <w:pPr>
        <w:ind w:firstLine="560" w:firstLineChars="200"/>
        <w:rPr>
          <w:rFonts w:ascii="宋体" w:hAnsi="宋体" w:eastAsia="宋体" w:cs="宋体"/>
          <w:sz w:val="28"/>
          <w:szCs w:val="28"/>
        </w:rPr>
      </w:pPr>
      <w:r>
        <w:rPr>
          <w:rFonts w:hint="eastAsia" w:ascii="宋体" w:hAnsi="宋体" w:eastAsia="宋体" w:cs="宋体"/>
          <w:sz w:val="28"/>
          <w:szCs w:val="28"/>
        </w:rPr>
        <w:t>为了进一步完善干线路网、改善国道行车状况；完善旅游基础设施，促进旅游发展；改善投资环境；此路段的改建工程势在必行。</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5.建设规模</w:t>
      </w:r>
    </w:p>
    <w:p>
      <w:pPr>
        <w:pStyle w:val="6"/>
        <w:ind w:left="0" w:leftChars="0" w:firstLine="560" w:firstLineChars="200"/>
        <w:rPr>
          <w:rFonts w:ascii="宋体" w:hAnsi="宋体" w:eastAsia="宋体" w:cs="宋体"/>
          <w:sz w:val="28"/>
          <w:szCs w:val="28"/>
        </w:rPr>
      </w:pPr>
      <w:r>
        <w:rPr>
          <w:rFonts w:hint="eastAsia" w:ascii="宋体" w:hAnsi="宋体" w:eastAsia="宋体" w:cs="宋体"/>
          <w:sz w:val="28"/>
          <w:szCs w:val="28"/>
        </w:rPr>
        <w:t>槽子沟门至祁家营</w:t>
      </w:r>
    </w:p>
    <w:p>
      <w:pPr>
        <w:pStyle w:val="6"/>
        <w:ind w:left="0" w:leftChars="0" w:firstLine="560" w:firstLineChars="200"/>
        <w:rPr>
          <w:rFonts w:ascii="宋体" w:hAnsi="宋体" w:eastAsia="宋体" w:cs="宋体"/>
          <w:sz w:val="28"/>
          <w:szCs w:val="28"/>
        </w:rPr>
      </w:pPr>
      <w:r>
        <w:rPr>
          <w:rFonts w:hint="eastAsia" w:ascii="宋体" w:hAnsi="宋体" w:eastAsia="宋体" w:cs="宋体"/>
          <w:sz w:val="28"/>
          <w:szCs w:val="28"/>
        </w:rPr>
        <w:t xml:space="preserve">起点：围场县槽子沟门，终点：围场县祁家营。 </w:t>
      </w:r>
    </w:p>
    <w:p>
      <w:pPr>
        <w:pStyle w:val="6"/>
        <w:ind w:left="0" w:leftChars="0" w:firstLine="560" w:firstLineChars="200"/>
        <w:rPr>
          <w:rFonts w:ascii="宋体" w:hAnsi="宋体" w:eastAsia="宋体" w:cs="宋体"/>
          <w:sz w:val="28"/>
          <w:szCs w:val="28"/>
        </w:rPr>
      </w:pPr>
      <w:r>
        <w:rPr>
          <w:rFonts w:hint="eastAsia" w:ascii="宋体" w:hAnsi="宋体" w:eastAsia="宋体" w:cs="宋体"/>
          <w:sz w:val="28"/>
          <w:szCs w:val="28"/>
        </w:rPr>
        <w:t>走向：路线起于槽子沟门，路线右转沿噶拜沟坡地展线，经三岔口至噶拜梁底，采用1750米隧道越岭，经梁根、卡伦至祁家营与旧路相接。路线长10.482公里，其中K76+042—K78+000、K85+598—K86+525为利用旧路拓宽，总长为2.885公里；其余路段为新建路段，长7.597公里。</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主要控制点：槽子沟门、三岔口、噶拜梁、梁根、祁家营</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6.项目总投资及资金来源</w:t>
      </w:r>
    </w:p>
    <w:p>
      <w:pPr>
        <w:pStyle w:val="6"/>
        <w:ind w:left="0" w:leftChars="0" w:firstLine="560" w:firstLineChars="200"/>
        <w:rPr>
          <w:rFonts w:ascii="宋体" w:hAnsi="宋体" w:eastAsia="宋体" w:cs="宋体"/>
          <w:sz w:val="28"/>
          <w:szCs w:val="28"/>
        </w:rPr>
      </w:pPr>
      <w:r>
        <w:rPr>
          <w:rFonts w:hint="eastAsia" w:ascii="宋体" w:hAnsi="宋体" w:eastAsia="宋体" w:cs="宋体"/>
          <w:sz w:val="28"/>
          <w:szCs w:val="28"/>
        </w:rPr>
        <w:t>本项目估算总投资49000.41万元。其中黄旗镇至杨树底下段长9.94公里，估算投资25630.45万元，平均每公里2578.52万元；槽子沟门至祁家营段长10.482公里，估算投资23369.96万元，平均每公里2229.53万元。</w:t>
      </w:r>
    </w:p>
    <w:p>
      <w:pPr>
        <w:ind w:firstLine="560" w:firstLineChars="200"/>
        <w:rPr>
          <w:rFonts w:ascii="宋体" w:hAnsi="宋体" w:eastAsia="宋体" w:cs="宋体"/>
          <w:sz w:val="28"/>
          <w:szCs w:val="28"/>
        </w:rPr>
      </w:pPr>
      <w:r>
        <w:rPr>
          <w:rFonts w:hint="eastAsia" w:ascii="宋体" w:hAnsi="宋体" w:eastAsia="宋体" w:cs="宋体"/>
          <w:sz w:val="28"/>
          <w:szCs w:val="28"/>
        </w:rPr>
        <w:t>申请河北省交通运输厅按现行干线公路标准补助，不足部分由项目沿线地方政府筹措。其中使用政府一般债券资金4372万元。</w:t>
      </w:r>
    </w:p>
    <w:p>
      <w:pPr>
        <w:spacing w:line="600" w:lineRule="exact"/>
        <w:ind w:firstLine="643" w:firstLineChars="200"/>
        <w:outlineLvl w:val="1"/>
        <w:rPr>
          <w:rFonts w:ascii="楷体" w:hAnsi="楷体" w:eastAsia="楷体" w:cs="楷体"/>
          <w:b/>
          <w:sz w:val="32"/>
          <w:szCs w:val="32"/>
        </w:rPr>
      </w:pPr>
      <w:bookmarkStart w:id="11" w:name="_Toc25308"/>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10859"/>
      <w:bookmarkStart w:id="13" w:name="_Toc30152"/>
      <w:bookmarkStart w:id="14" w:name="_Toc12271"/>
      <w:r>
        <w:rPr>
          <w:rFonts w:hint="eastAsia" w:ascii="宋体" w:hAnsi="宋体" w:eastAsia="宋体" w:cs="宋体"/>
          <w:sz w:val="28"/>
          <w:szCs w:val="28"/>
        </w:rPr>
        <w:t>本次绩效评价考核目标为槽子沟门至祁家营段，路线长10.482公里，其中K76+042—K78+000、K85+598—K86+525为利用旧路拓宽，总长为2.885公里；其余路段为新建路段，长7.597公里。</w:t>
      </w:r>
      <w:bookmarkEnd w:id="12"/>
      <w:bookmarkEnd w:id="13"/>
      <w:bookmarkStart w:id="15" w:name="_Toc28894"/>
    </w:p>
    <w:p>
      <w:pPr>
        <w:spacing w:line="600" w:lineRule="exact"/>
        <w:ind w:firstLine="560" w:firstLineChars="200"/>
        <w:outlineLvl w:val="1"/>
        <w:rPr>
          <w:rFonts w:ascii="宋体" w:hAnsi="宋体" w:eastAsia="宋体" w:cs="宋体"/>
          <w:sz w:val="28"/>
          <w:szCs w:val="28"/>
        </w:rPr>
      </w:pPr>
      <w:bookmarkStart w:id="16" w:name="_Toc10011"/>
      <w:bookmarkStart w:id="17" w:name="_Toc31882"/>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5"/>
      <w:bookmarkEnd w:id="16"/>
      <w:bookmarkEnd w:id="17"/>
    </w:p>
    <w:p>
      <w:pPr>
        <w:spacing w:line="600" w:lineRule="exact"/>
        <w:ind w:firstLine="643" w:firstLineChars="200"/>
        <w:outlineLvl w:val="1"/>
        <w:rPr>
          <w:rFonts w:ascii="楷体" w:hAnsi="楷体" w:eastAsia="楷体" w:cs="楷体"/>
          <w:b/>
          <w:sz w:val="32"/>
          <w:szCs w:val="32"/>
        </w:rPr>
      </w:pPr>
      <w:bookmarkStart w:id="18" w:name="_Toc7932"/>
      <w:r>
        <w:rPr>
          <w:rFonts w:hint="eastAsia" w:ascii="楷体" w:hAnsi="楷体" w:eastAsia="楷体" w:cs="楷体"/>
          <w:b/>
          <w:sz w:val="32"/>
          <w:szCs w:val="32"/>
        </w:rPr>
        <w:t>（三）评价对象和时段</w:t>
      </w:r>
      <w:bookmarkEnd w:id="14"/>
      <w:bookmarkEnd w:id="18"/>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本次考核评价对象：围场县国道G111线槽子沟门至祁家营段改建工程。从项目投入、管理、产出、效益等方面进行全面的评价考核。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9" w:name="_Toc29608"/>
      <w:r>
        <w:rPr>
          <w:rFonts w:hint="eastAsia" w:ascii="黑体" w:hAnsi="黑体" w:eastAsia="黑体" w:cs="黑体"/>
          <w:b/>
          <w:bCs/>
          <w:sz w:val="32"/>
          <w:szCs w:val="32"/>
        </w:rPr>
        <w:t>二、绩效评价工作开展情况</w:t>
      </w:r>
      <w:bookmarkEnd w:id="19"/>
    </w:p>
    <w:p>
      <w:pPr>
        <w:ind w:firstLine="643" w:firstLineChars="200"/>
        <w:outlineLvl w:val="1"/>
        <w:rPr>
          <w:rFonts w:ascii="楷体" w:hAnsi="楷体" w:eastAsia="楷体" w:cs="楷体"/>
          <w:b/>
          <w:bCs/>
          <w:sz w:val="32"/>
          <w:szCs w:val="32"/>
        </w:rPr>
      </w:pPr>
      <w:bookmarkStart w:id="20" w:name="_Toc28234"/>
      <w:r>
        <w:rPr>
          <w:rFonts w:hint="eastAsia" w:ascii="楷体" w:hAnsi="楷体" w:eastAsia="楷体" w:cs="楷体"/>
          <w:b/>
          <w:bCs/>
          <w:sz w:val="32"/>
          <w:szCs w:val="32"/>
        </w:rPr>
        <w:t>（一）绩效评价指标权重和绩效评价指标体系</w:t>
      </w:r>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项目决策管理10分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4"/>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21" w:name="_Toc20068"/>
            <w:bookmarkStart w:id="22"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7"/>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21"/>
      <w:bookmarkEnd w:id="22"/>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pStyle w:val="5"/>
        <w:spacing w:line="530" w:lineRule="exact"/>
        <w:ind w:left="0" w:firstLine="560" w:firstLineChars="200"/>
        <w:rPr>
          <w:rFonts w:ascii="宋体" w:hAnsi="宋体" w:eastAsia="宋体" w:cs="宋体"/>
        </w:rPr>
      </w:pPr>
      <w:r>
        <w:rPr>
          <w:rFonts w:hint="eastAsia" w:ascii="宋体" w:hAnsi="宋体" w:eastAsia="宋体" w:cs="宋体"/>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spacing w:line="530" w:lineRule="exact"/>
        <w:ind w:left="0" w:firstLine="560" w:firstLineChars="200"/>
        <w:rPr>
          <w:rFonts w:ascii="宋体" w:hAnsi="宋体" w:eastAsia="宋体" w:cs="宋体"/>
        </w:rPr>
      </w:pPr>
      <w:r>
        <w:rPr>
          <w:rFonts w:hint="eastAsia" w:ascii="宋体" w:hAnsi="宋体" w:eastAsia="宋体" w:cs="宋体"/>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4"/>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8"/>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8"/>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8"/>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8"/>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8"/>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8"/>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8"/>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8"/>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8"/>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8"/>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8"/>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8"/>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8"/>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8"/>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3"/>
        <w:tblW w:w="8319" w:type="dxa"/>
        <w:tblInd w:w="92" w:type="dxa"/>
        <w:tblLayout w:type="fixed"/>
        <w:tblCellMar>
          <w:top w:w="0" w:type="dxa"/>
          <w:left w:w="108" w:type="dxa"/>
          <w:bottom w:w="0" w:type="dxa"/>
          <w:right w:w="108" w:type="dxa"/>
        </w:tblCellMar>
      </w:tblPr>
      <w:tblGrid>
        <w:gridCol w:w="1068"/>
        <w:gridCol w:w="7251"/>
      </w:tblGrid>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51"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1"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1"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1"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1"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736"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1"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736"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1"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736"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747"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3" w:name="_Toc22990"/>
      <w:bookmarkStart w:id="24" w:name="_Toc20552"/>
    </w:p>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3"/>
      <w:bookmarkEnd w:id="24"/>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交通运输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pStyle w:val="5"/>
        <w:spacing w:line="530" w:lineRule="exact"/>
        <w:ind w:left="0" w:firstLine="560" w:firstLineChars="200"/>
        <w:rPr>
          <w:rFonts w:ascii="宋体" w:hAnsi="宋体" w:eastAsia="宋体" w:cs="宋体"/>
        </w:rPr>
      </w:pPr>
      <w:r>
        <w:rPr>
          <w:rFonts w:hint="eastAsia" w:ascii="宋体" w:hAnsi="宋体" w:eastAsia="宋体" w:cs="宋体"/>
        </w:rPr>
        <w:t>评价内容包括：</w:t>
      </w:r>
    </w:p>
    <w:p>
      <w:pPr>
        <w:pStyle w:val="5"/>
        <w:spacing w:line="530" w:lineRule="exact"/>
        <w:ind w:left="0" w:firstLine="560" w:firstLineChars="200"/>
        <w:rPr>
          <w:rFonts w:ascii="宋体" w:hAnsi="宋体" w:eastAsia="宋体" w:cs="宋体"/>
        </w:rPr>
      </w:pPr>
      <w:r>
        <w:rPr>
          <w:rFonts w:hint="eastAsia" w:ascii="宋体" w:hAnsi="宋体" w:eastAsia="宋体" w:cs="宋体"/>
        </w:rPr>
        <w:t>1.决策情况；</w:t>
      </w:r>
    </w:p>
    <w:p>
      <w:pPr>
        <w:pStyle w:val="5"/>
        <w:spacing w:line="530" w:lineRule="exact"/>
        <w:ind w:left="0" w:firstLine="560" w:firstLineChars="200"/>
        <w:rPr>
          <w:rFonts w:ascii="宋体" w:hAnsi="宋体" w:eastAsia="宋体" w:cs="宋体"/>
        </w:rPr>
      </w:pPr>
      <w:r>
        <w:rPr>
          <w:rFonts w:hint="eastAsia" w:ascii="宋体" w:hAnsi="宋体" w:eastAsia="宋体" w:cs="宋体"/>
        </w:rPr>
        <w:t>2.资金管理和使用情况；</w:t>
      </w:r>
    </w:p>
    <w:p>
      <w:pPr>
        <w:pStyle w:val="5"/>
        <w:spacing w:line="530" w:lineRule="exact"/>
        <w:ind w:left="0" w:firstLine="560" w:firstLineChars="200"/>
        <w:rPr>
          <w:rFonts w:ascii="宋体" w:hAnsi="宋体" w:eastAsia="宋体" w:cs="宋体"/>
        </w:rPr>
      </w:pPr>
      <w:r>
        <w:rPr>
          <w:rFonts w:hint="eastAsia" w:ascii="宋体" w:hAnsi="宋体" w:eastAsia="宋体" w:cs="宋体"/>
        </w:rPr>
        <w:t>3.相关管理制度办法的健全性及执行情况；</w:t>
      </w:r>
    </w:p>
    <w:p>
      <w:pPr>
        <w:pStyle w:val="5"/>
        <w:spacing w:line="530" w:lineRule="exact"/>
        <w:ind w:left="0" w:firstLine="560" w:firstLineChars="200"/>
        <w:rPr>
          <w:rFonts w:ascii="宋体" w:hAnsi="宋体" w:eastAsia="宋体" w:cs="宋体"/>
        </w:rPr>
      </w:pPr>
      <w:r>
        <w:rPr>
          <w:rFonts w:hint="eastAsia" w:ascii="宋体" w:hAnsi="宋体" w:eastAsia="宋体" w:cs="宋体"/>
        </w:rPr>
        <w:t>4.实现的产出情况；</w:t>
      </w:r>
    </w:p>
    <w:p>
      <w:pPr>
        <w:pStyle w:val="5"/>
        <w:spacing w:line="530" w:lineRule="exact"/>
        <w:ind w:left="0" w:firstLine="560" w:firstLineChars="200"/>
        <w:rPr>
          <w:rFonts w:ascii="宋体" w:hAnsi="宋体" w:eastAsia="宋体" w:cs="宋体"/>
        </w:rPr>
      </w:pPr>
      <w:r>
        <w:rPr>
          <w:rFonts w:hint="eastAsia" w:ascii="宋体" w:hAnsi="宋体" w:eastAsia="宋体" w:cs="宋体"/>
        </w:rPr>
        <w:t>5.取得的效益情况；</w:t>
      </w:r>
    </w:p>
    <w:p>
      <w:pPr>
        <w:pStyle w:val="5"/>
        <w:spacing w:line="530" w:lineRule="exact"/>
        <w:ind w:left="0" w:firstLine="560" w:firstLineChars="200"/>
        <w:rPr>
          <w:rFonts w:ascii="宋体" w:hAnsi="宋体" w:eastAsia="宋体" w:cs="宋体"/>
        </w:rPr>
      </w:pPr>
      <w:r>
        <w:rPr>
          <w:rFonts w:hint="eastAsia" w:ascii="宋体" w:hAnsi="宋体" w:eastAsia="宋体" w:cs="宋体"/>
        </w:rPr>
        <w:t>6.其他相关内容；</w:t>
      </w:r>
    </w:p>
    <w:p>
      <w:pPr>
        <w:pStyle w:val="5"/>
        <w:spacing w:line="530" w:lineRule="exact"/>
        <w:ind w:left="0" w:firstLine="560" w:firstLineChars="200"/>
        <w:rPr>
          <w:rFonts w:ascii="宋体" w:hAnsi="宋体" w:eastAsia="宋体" w:cs="宋体"/>
        </w:rPr>
      </w:pPr>
      <w:r>
        <w:rPr>
          <w:rFonts w:hint="eastAsia" w:ascii="宋体" w:hAnsi="宋体" w:eastAsia="宋体" w:cs="宋体"/>
        </w:rPr>
        <w:t>评价范围包括2019年度围场县地方政府新增一般债</w:t>
      </w:r>
      <w:r>
        <w:rPr>
          <w:rFonts w:hint="eastAsia" w:ascii="宋体" w:hAnsi="宋体" w:eastAsia="宋体" w:cs="宋体"/>
          <w:lang w:eastAsia="zh-CN"/>
        </w:rPr>
        <w:t>券</w:t>
      </w:r>
      <w:r>
        <w:rPr>
          <w:rFonts w:hint="eastAsia" w:ascii="宋体" w:hAnsi="宋体" w:eastAsia="宋体" w:cs="宋体"/>
        </w:rPr>
        <w:t>资金的预算投入、支出情况。</w:t>
      </w:r>
    </w:p>
    <w:p>
      <w:pPr>
        <w:pStyle w:val="12"/>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30379"/>
      <w:bookmarkStart w:id="26"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5"/>
      <w:bookmarkEnd w:id="26"/>
    </w:p>
    <w:p>
      <w:pPr>
        <w:ind w:firstLine="560" w:firstLineChars="200"/>
        <w:rPr>
          <w:rFonts w:ascii="宋体" w:hAnsi="宋体" w:eastAsia="宋体" w:cs="宋体"/>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2"/>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7" w:name="_Toc20778"/>
      <w:bookmarkStart w:id="28" w:name="_Toc12042"/>
      <w:bookmarkStart w:id="29" w:name="_Toc8164"/>
      <w:bookmarkStart w:id="30"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7"/>
      <w:bookmarkEnd w:id="28"/>
      <w:bookmarkEnd w:id="29"/>
    </w:p>
    <w:p>
      <w:pPr>
        <w:ind w:firstLine="560" w:firstLineChars="200"/>
        <w:rPr>
          <w:rFonts w:ascii="宋体" w:hAnsi="宋体" w:eastAsia="宋体" w:cs="宋体"/>
          <w:sz w:val="28"/>
          <w:szCs w:val="28"/>
        </w:rPr>
      </w:pPr>
      <w:bookmarkStart w:id="31" w:name="_Toc18780"/>
      <w:bookmarkStart w:id="32" w:name="_Toc31807"/>
      <w:bookmarkStart w:id="33" w:name="_Toc13042"/>
      <w:bookmarkStart w:id="34" w:name="_Toc17563"/>
      <w:bookmarkStart w:id="35" w:name="_Toc2087"/>
      <w:bookmarkStart w:id="36" w:name="_Toc22556"/>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对围场县国道G111线槽子沟门至祁家营段改建工程做以下工作：</w:t>
      </w:r>
      <w:bookmarkEnd w:id="31"/>
      <w:bookmarkEnd w:id="32"/>
      <w:bookmarkEnd w:id="33"/>
      <w:bookmarkEnd w:id="34"/>
      <w:bookmarkEnd w:id="35"/>
      <w:bookmarkEnd w:id="36"/>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7" w:name="_Toc15494"/>
      <w:bookmarkStart w:id="38" w:name="_Toc19058"/>
      <w:bookmarkStart w:id="39" w:name="_Toc24972"/>
      <w:bookmarkStart w:id="40" w:name="_Toc1487"/>
      <w:bookmarkStart w:id="41" w:name="_Toc27413"/>
      <w:bookmarkStart w:id="42" w:name="_Toc24311"/>
      <w:bookmarkStart w:id="43" w:name="_Toc17036"/>
      <w:bookmarkStart w:id="44" w:name="_Toc14297"/>
      <w:bookmarkStart w:id="45" w:name="_Toc24529"/>
      <w:bookmarkStart w:id="46" w:name="_Toc14572"/>
      <w:r>
        <w:rPr>
          <w:rFonts w:hint="eastAsia" w:ascii="宋体" w:hAnsi="宋体" w:eastAsia="宋体" w:cs="宋体"/>
          <w:b/>
          <w:bCs/>
          <w:kern w:val="0"/>
          <w:sz w:val="28"/>
          <w:szCs w:val="28"/>
        </w:rPr>
        <w:t>1、明确项目团队的职责与分工</w:t>
      </w:r>
      <w:bookmarkEnd w:id="37"/>
      <w:bookmarkEnd w:id="38"/>
      <w:bookmarkEnd w:id="39"/>
      <w:bookmarkEnd w:id="40"/>
      <w:bookmarkEnd w:id="41"/>
      <w:bookmarkEnd w:id="42"/>
      <w:bookmarkEnd w:id="43"/>
      <w:bookmarkEnd w:id="44"/>
      <w:bookmarkEnd w:id="45"/>
      <w:bookmarkEnd w:id="46"/>
    </w:p>
    <w:tbl>
      <w:tblPr>
        <w:tblStyle w:val="14"/>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703"/>
        <w:gridCol w:w="1427"/>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blHeader/>
          <w:jc w:val="center"/>
        </w:trPr>
        <w:tc>
          <w:tcPr>
            <w:tcW w:w="880"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3"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7"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08" w:type="dxa"/>
            <w:shd w:val="clear" w:color="auto" w:fill="BEBEBE" w:themeFill="background1" w:themeFillShade="BF"/>
            <w:vAlign w:val="center"/>
          </w:tcPr>
          <w:p>
            <w:pPr>
              <w:pStyle w:val="17"/>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0"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3"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7"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0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0"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3" w:type="dxa"/>
            <w:vMerge w:val="continue"/>
            <w:vAlign w:val="center"/>
          </w:tcPr>
          <w:p>
            <w:pPr>
              <w:jc w:val="center"/>
              <w:rPr>
                <w:rFonts w:ascii="宋体" w:hAnsi="宋体" w:eastAsia="宋体" w:cs="宋体"/>
                <w:kern w:val="0"/>
                <w:sz w:val="24"/>
              </w:rPr>
            </w:pPr>
          </w:p>
        </w:tc>
        <w:tc>
          <w:tcPr>
            <w:tcW w:w="1427"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80" w:type="dxa"/>
            <w:vAlign w:val="center"/>
          </w:tcPr>
          <w:p>
            <w:pPr>
              <w:pStyle w:val="17"/>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3"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7"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08"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80"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3" w:type="dxa"/>
            <w:vMerge w:val="continue"/>
            <w:vAlign w:val="center"/>
          </w:tcPr>
          <w:p>
            <w:pPr>
              <w:jc w:val="center"/>
              <w:rPr>
                <w:rFonts w:ascii="宋体" w:hAnsi="宋体" w:eastAsia="宋体" w:cs="宋体"/>
                <w:kern w:val="0"/>
                <w:sz w:val="24"/>
              </w:rPr>
            </w:pPr>
          </w:p>
        </w:tc>
        <w:tc>
          <w:tcPr>
            <w:tcW w:w="1427"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08"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0"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3" w:type="dxa"/>
            <w:vMerge w:val="restart"/>
            <w:vAlign w:val="center"/>
          </w:tcPr>
          <w:p>
            <w:pPr>
              <w:pStyle w:val="17"/>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7"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08"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0" w:type="dxa"/>
            <w:vAlign w:val="center"/>
          </w:tcPr>
          <w:p>
            <w:pPr>
              <w:pStyle w:val="17"/>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3" w:type="dxa"/>
            <w:vMerge w:val="continue"/>
            <w:vAlign w:val="center"/>
          </w:tcPr>
          <w:p>
            <w:pPr>
              <w:pStyle w:val="17"/>
              <w:ind w:firstLine="0"/>
              <w:jc w:val="center"/>
              <w:rPr>
                <w:rFonts w:ascii="宋体" w:hAnsi="宋体" w:eastAsia="宋体" w:cs="宋体"/>
                <w:kern w:val="0"/>
                <w:sz w:val="24"/>
              </w:rPr>
            </w:pPr>
          </w:p>
        </w:tc>
        <w:tc>
          <w:tcPr>
            <w:tcW w:w="1427"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0"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3"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7"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08"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0"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3" w:type="dxa"/>
            <w:vMerge w:val="continue"/>
            <w:vAlign w:val="center"/>
          </w:tcPr>
          <w:p>
            <w:pPr>
              <w:pStyle w:val="17"/>
              <w:ind w:firstLine="0"/>
              <w:jc w:val="center"/>
              <w:rPr>
                <w:rFonts w:ascii="宋体" w:hAnsi="宋体" w:eastAsia="宋体" w:cs="宋体"/>
                <w:kern w:val="0"/>
                <w:sz w:val="24"/>
              </w:rPr>
            </w:pPr>
          </w:p>
        </w:tc>
        <w:tc>
          <w:tcPr>
            <w:tcW w:w="1427"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0"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3" w:type="dxa"/>
            <w:vMerge w:val="continue"/>
            <w:vAlign w:val="center"/>
          </w:tcPr>
          <w:p>
            <w:pPr>
              <w:pStyle w:val="17"/>
              <w:ind w:firstLine="0"/>
              <w:jc w:val="center"/>
              <w:rPr>
                <w:rFonts w:ascii="宋体" w:hAnsi="宋体" w:eastAsia="宋体" w:cs="宋体"/>
                <w:kern w:val="0"/>
                <w:sz w:val="24"/>
              </w:rPr>
            </w:pPr>
          </w:p>
        </w:tc>
        <w:tc>
          <w:tcPr>
            <w:tcW w:w="1427"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0"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3" w:type="dxa"/>
            <w:vMerge w:val="continue"/>
            <w:vAlign w:val="center"/>
          </w:tcPr>
          <w:p>
            <w:pPr>
              <w:pStyle w:val="17"/>
              <w:ind w:firstLine="0"/>
              <w:jc w:val="center"/>
              <w:rPr>
                <w:rFonts w:ascii="宋体" w:hAnsi="宋体" w:eastAsia="宋体" w:cs="宋体"/>
                <w:kern w:val="0"/>
                <w:sz w:val="24"/>
              </w:rPr>
            </w:pPr>
          </w:p>
        </w:tc>
        <w:tc>
          <w:tcPr>
            <w:tcW w:w="1427"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0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80"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3" w:type="dxa"/>
            <w:vMerge w:val="continue"/>
            <w:vAlign w:val="center"/>
          </w:tcPr>
          <w:p>
            <w:pPr>
              <w:pStyle w:val="17"/>
              <w:ind w:firstLine="0"/>
              <w:jc w:val="center"/>
              <w:rPr>
                <w:rFonts w:ascii="宋体" w:hAnsi="宋体" w:eastAsia="宋体" w:cs="宋体"/>
                <w:kern w:val="0"/>
                <w:sz w:val="24"/>
              </w:rPr>
            </w:pPr>
          </w:p>
        </w:tc>
        <w:tc>
          <w:tcPr>
            <w:tcW w:w="1427"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08"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7" w:name="_Toc29931"/>
      <w:bookmarkStart w:id="48" w:name="_Toc27143"/>
      <w:bookmarkStart w:id="49" w:name="_Toc31637"/>
      <w:bookmarkStart w:id="50" w:name="_Toc25494"/>
      <w:bookmarkStart w:id="51" w:name="_Toc28394"/>
      <w:bookmarkStart w:id="52" w:name="_Toc6642"/>
      <w:r>
        <w:rPr>
          <w:rFonts w:hint="eastAsia" w:ascii="宋体" w:hAnsi="宋体" w:eastAsia="宋体" w:cs="宋体"/>
          <w:b/>
          <w:bCs/>
          <w:kern w:val="0"/>
          <w:sz w:val="28"/>
          <w:szCs w:val="28"/>
        </w:rPr>
        <w:t>2、评价工作各相关当事方的职责</w:t>
      </w:r>
      <w:bookmarkEnd w:id="47"/>
      <w:bookmarkEnd w:id="48"/>
      <w:bookmarkEnd w:id="49"/>
      <w:bookmarkEnd w:id="50"/>
      <w:bookmarkEnd w:id="51"/>
      <w:bookmarkEnd w:id="52"/>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45"/>
        <w:gridCol w:w="5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838"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45"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36"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38"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45"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36"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38"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45"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36"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838"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45"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36"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3" w:name="_Toc27067"/>
      <w:bookmarkStart w:id="54" w:name="_Toc17781"/>
      <w:bookmarkStart w:id="55" w:name="_Toc24530"/>
      <w:bookmarkStart w:id="56" w:name="_Toc332"/>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3"/>
      <w:bookmarkEnd w:id="54"/>
      <w:bookmarkEnd w:id="55"/>
      <w:bookmarkEnd w:id="56"/>
    </w:p>
    <w:p>
      <w:pPr>
        <w:adjustRightInd w:val="0"/>
        <w:snapToGrid w:val="0"/>
        <w:spacing w:line="600" w:lineRule="exact"/>
        <w:ind w:firstLine="640" w:firstLineChars="200"/>
        <w:outlineLvl w:val="0"/>
        <w:rPr>
          <w:rFonts w:ascii="黑体" w:hAnsi="黑体" w:eastAsia="黑体" w:cs="黑体"/>
          <w:sz w:val="32"/>
          <w:szCs w:val="32"/>
        </w:rPr>
      </w:pPr>
      <w:bookmarkStart w:id="57" w:name="_Toc20611"/>
      <w:r>
        <w:rPr>
          <w:rFonts w:hint="eastAsia" w:ascii="黑体" w:hAnsi="黑体" w:eastAsia="黑体" w:cs="黑体"/>
          <w:sz w:val="32"/>
          <w:szCs w:val="32"/>
        </w:rPr>
        <w:t>三、</w:t>
      </w:r>
      <w:bookmarkEnd w:id="30"/>
      <w:r>
        <w:rPr>
          <w:rFonts w:hint="eastAsia" w:ascii="黑体" w:hAnsi="黑体" w:eastAsia="黑体" w:cs="黑体"/>
          <w:sz w:val="32"/>
          <w:szCs w:val="32"/>
        </w:rPr>
        <w:t>项目实施及资金使用情况</w:t>
      </w:r>
      <w:bookmarkEnd w:id="57"/>
    </w:p>
    <w:p>
      <w:pPr>
        <w:ind w:firstLine="643" w:firstLineChars="200"/>
        <w:outlineLvl w:val="1"/>
        <w:rPr>
          <w:rFonts w:ascii="楷体" w:hAnsi="楷体" w:eastAsia="楷体" w:cs="楷体"/>
          <w:b/>
          <w:bCs/>
          <w:sz w:val="32"/>
          <w:szCs w:val="32"/>
          <w:highlight w:val="yellow"/>
        </w:rPr>
      </w:pPr>
      <w:bookmarkStart w:id="58" w:name="_Toc6786"/>
      <w:bookmarkStart w:id="59" w:name="_Toc15753"/>
      <w:r>
        <w:rPr>
          <w:rFonts w:hint="eastAsia" w:ascii="楷体" w:hAnsi="楷体" w:eastAsia="楷体" w:cs="楷体"/>
          <w:b/>
          <w:bCs/>
          <w:sz w:val="32"/>
          <w:szCs w:val="32"/>
        </w:rPr>
        <w:t>（一）项目实施情况</w:t>
      </w:r>
      <w:bookmarkEnd w:id="58"/>
      <w:bookmarkEnd w:id="59"/>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2013年4月26日，河北省发展和改革委员会对国道G111线槽子沟门至祁家营段改建工程项目建议书做了批复。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2015年7月30日，河北省发展和改革委员会对国道G111线槽子沟门至祁家营段改建工程项目可行性研究报告做了批复，同意此项目建设。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2015年12月25日，河北省交通运输厅对国道G111线槽子沟门至祁家营段改建工程一阶段施工图设计做了批复。路线全长10.483公里，其中新建7.6公里，全线采用二级公路标准进行建设，设计速度60公里/小时。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2016年10月12日围场县财政局财政投资评审中心对国道G111线槽子沟门至祁家营段改建工程进行评审，建设单位报审金额为22930.4803万元，审定金额19021.6738万元，国道G111线槽子沟门至祁家营段改建工程最高限价为15789.9429万元（含预备费372.9740万元），作为本工程招投标最高限价使用。</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2016年11月9日河北北方公路工程建设集团有限公司中标了国道G111线槽子沟门至祁家营段改建工程（一标段），中标价：7164.0240万元，并于2016年11月17日与围场满族蒙古族自治县公路工程建设管理站签订了施工合同。工程量为：国道G111线槽子沟门至祁家营段改建工程一标段路基、路面工程由K76+042.810至K82+620和K84+280至K86+525.515两段组成，全长8.823公里。工期314日历天。</w:t>
      </w:r>
    </w:p>
    <w:p>
      <w:pPr>
        <w:ind w:firstLine="560" w:firstLineChars="200"/>
        <w:rPr>
          <w:rFonts w:ascii="宋体" w:hAnsi="宋体" w:eastAsia="宋体" w:cs="宋体"/>
          <w:sz w:val="28"/>
          <w:szCs w:val="28"/>
        </w:rPr>
      </w:pPr>
      <w:r>
        <w:rPr>
          <w:rFonts w:hint="eastAsia" w:ascii="宋体" w:hAnsi="宋体" w:eastAsia="宋体" w:cs="宋体"/>
          <w:sz w:val="28"/>
          <w:szCs w:val="28"/>
        </w:rPr>
        <w:t>2016年11月9日承德路桥建设总公司中标了国道G111线槽子沟门至祁家营段改建工程（二标段），中标价：8288.3646万元，并于2016年11月18日与围场满族蒙古族自治县公路工程建设管理站签订了施工合同。工程量为：国道G111线槽子沟门至祁家营段改建工程二标段为新建隧道工程，全长1.66公里，桩号为K82+620至K84+280。工期为648日历天。</w:t>
      </w:r>
    </w:p>
    <w:p>
      <w:pPr>
        <w:ind w:firstLine="643" w:firstLineChars="200"/>
        <w:outlineLvl w:val="1"/>
        <w:rPr>
          <w:rFonts w:ascii="楷体" w:hAnsi="楷体" w:eastAsia="楷体" w:cs="楷体"/>
          <w:b/>
          <w:bCs/>
          <w:sz w:val="32"/>
          <w:szCs w:val="32"/>
          <w:highlight w:val="yellow"/>
        </w:rPr>
      </w:pPr>
      <w:bookmarkStart w:id="60" w:name="_Toc14809"/>
      <w:bookmarkStart w:id="61" w:name="_Toc11091"/>
      <w:r>
        <w:rPr>
          <w:rFonts w:hint="eastAsia" w:ascii="楷体" w:hAnsi="楷体" w:eastAsia="楷体" w:cs="楷体"/>
          <w:b/>
          <w:bCs/>
          <w:sz w:val="32"/>
          <w:szCs w:val="32"/>
        </w:rPr>
        <w:t>（二）资金使用情况</w:t>
      </w:r>
      <w:bookmarkEnd w:id="60"/>
      <w:bookmarkEnd w:id="61"/>
    </w:p>
    <w:p>
      <w:pPr>
        <w:pStyle w:val="6"/>
        <w:ind w:left="0" w:leftChars="0" w:firstLine="560" w:firstLineChars="200"/>
        <w:rPr>
          <w:rFonts w:ascii="宋体" w:hAnsi="宋体" w:eastAsia="宋体" w:cs="宋体"/>
          <w:sz w:val="28"/>
          <w:szCs w:val="28"/>
        </w:rPr>
      </w:pPr>
      <w:bookmarkStart w:id="62" w:name="_Toc13622"/>
      <w:bookmarkStart w:id="63" w:name="_Toc15054"/>
      <w:r>
        <w:rPr>
          <w:rFonts w:hint="eastAsia" w:ascii="宋体" w:hAnsi="宋体" w:eastAsia="宋体" w:cs="宋体"/>
          <w:sz w:val="28"/>
          <w:szCs w:val="28"/>
        </w:rPr>
        <w:t>2019年9月11日围场满族蒙古族自治县交通运输局收到财政专项拨款1050.2933万元和609.4073万元，同时分别支付给承德路桥建设总公司国道G111线槽子沟门至祁家营段改建工程二标段项目经理部和河北北方公路工程建设集团有限公司国道G111线槽子沟门至祁家营段改建工程一标段项目经理部工程款1050.2933万元和609.4073万元。同日收到财政拨款200万元监理费支付给承德公路工程监理有限公司。</w:t>
      </w:r>
    </w:p>
    <w:p>
      <w:pPr>
        <w:pStyle w:val="6"/>
        <w:ind w:left="0" w:leftChars="0" w:firstLine="560" w:firstLineChars="200"/>
        <w:rPr>
          <w:rFonts w:ascii="宋体" w:hAnsi="宋体" w:eastAsia="宋体" w:cs="宋体"/>
          <w:sz w:val="28"/>
          <w:szCs w:val="28"/>
        </w:rPr>
      </w:pPr>
      <w:r>
        <w:rPr>
          <w:rFonts w:hint="eastAsia" w:ascii="宋体" w:hAnsi="宋体" w:eastAsia="宋体" w:cs="宋体"/>
          <w:sz w:val="28"/>
          <w:szCs w:val="28"/>
        </w:rPr>
        <w:t>2019年9月30日收到财政专项拨款32.204万元，支付给北京中交桥宇科技有限公司检测费32.204万元。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11月13日收到财政专项拨款442.5975万元，49.1775万元，支付给承德路桥建设总公司国道G111线槽子沟门至祁家营段改建工程二标段项目经理部。同时收到财政拨款411.6555万元，109.5563万元和45.7395万元，支付给河北北方公路工程建设集团有限公司国道G111线槽子沟门至祁家营段改建工程一标段项目经理部。</w:t>
      </w:r>
    </w:p>
    <w:p>
      <w:pPr>
        <w:ind w:firstLine="560" w:firstLineChars="200"/>
        <w:rPr>
          <w:rFonts w:ascii="宋体" w:hAnsi="宋体" w:eastAsia="宋体" w:cs="宋体"/>
          <w:sz w:val="28"/>
          <w:szCs w:val="28"/>
        </w:rPr>
      </w:pPr>
      <w:r>
        <w:rPr>
          <w:rFonts w:hint="eastAsia" w:ascii="宋体" w:hAnsi="宋体" w:eastAsia="宋体" w:cs="宋体"/>
          <w:sz w:val="28"/>
          <w:szCs w:val="28"/>
        </w:rPr>
        <w:t>2021年2月4日，支付国道G111线槽子沟门至祁家营段改造工程二标段工程款559.20476万元。支付一标段工程款863.33808万元。</w:t>
      </w:r>
    </w:p>
    <w:bookmarkEnd w:id="62"/>
    <w:bookmarkEnd w:id="63"/>
    <w:p>
      <w:pPr>
        <w:ind w:firstLine="640" w:firstLineChars="200"/>
        <w:outlineLvl w:val="0"/>
        <w:rPr>
          <w:rFonts w:ascii="黑体" w:hAnsi="黑体" w:eastAsia="黑体" w:cs="黑体"/>
          <w:sz w:val="32"/>
          <w:szCs w:val="32"/>
        </w:rPr>
      </w:pPr>
      <w:bookmarkStart w:id="64" w:name="_Toc25872"/>
      <w:r>
        <w:rPr>
          <w:rFonts w:hint="eastAsia" w:ascii="黑体" w:hAnsi="黑体" w:eastAsia="黑体" w:cs="黑体"/>
          <w:sz w:val="32"/>
          <w:szCs w:val="32"/>
        </w:rPr>
        <w:t>四、绩效评价分析与结论</w:t>
      </w:r>
      <w:bookmarkEnd w:id="64"/>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16548"/>
      <w:bookmarkStart w:id="66" w:name="_Toc2427"/>
      <w:r>
        <w:rPr>
          <w:rFonts w:hint="eastAsia" w:ascii="楷体" w:hAnsi="楷体" w:eastAsia="楷体" w:cs="楷体"/>
          <w:b/>
          <w:kern w:val="0"/>
          <w:sz w:val="32"/>
          <w:szCs w:val="32"/>
        </w:rPr>
        <w:t>（一）绩效评价分析</w:t>
      </w:r>
      <w:bookmarkEnd w:id="65"/>
      <w:bookmarkEnd w:id="66"/>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2013年4月26日，河北省发展和改革委员会对国道G111线槽子沟门至祁家营段改建工程项目建议书做了批复。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2015年7月30日，河北省发展和改革委员会对国道G111线槽子沟门至祁家营段改建工程项目可行性研究报告做了批复，同意此项目建设。</w:t>
      </w:r>
    </w:p>
    <w:p>
      <w:pPr>
        <w:ind w:firstLine="560" w:firstLineChars="200"/>
        <w:rPr>
          <w:rFonts w:ascii="宋体" w:hAnsi="宋体" w:eastAsia="宋体" w:cs="宋体"/>
          <w:sz w:val="28"/>
          <w:szCs w:val="28"/>
        </w:rPr>
      </w:pPr>
      <w:r>
        <w:rPr>
          <w:rFonts w:hint="eastAsia" w:ascii="宋体" w:hAnsi="宋体" w:eastAsia="宋体" w:cs="宋体"/>
          <w:sz w:val="28"/>
          <w:szCs w:val="28"/>
        </w:rPr>
        <w:t>2015年12月25日，河北省交通运输厅对国道G111线槽子沟门至祁家营段改建工程一阶段施工图设计做了批复。</w:t>
      </w:r>
    </w:p>
    <w:p>
      <w:pPr>
        <w:ind w:firstLine="560" w:firstLineChars="200"/>
        <w:rPr>
          <w:rFonts w:ascii="宋体" w:hAnsi="宋体" w:eastAsia="宋体" w:cs="宋体"/>
          <w:sz w:val="28"/>
          <w:szCs w:val="28"/>
        </w:rPr>
      </w:pPr>
      <w:r>
        <w:rPr>
          <w:rFonts w:hint="eastAsia" w:ascii="宋体" w:hAnsi="宋体" w:eastAsia="宋体" w:cs="宋体"/>
          <w:sz w:val="28"/>
          <w:szCs w:val="28"/>
        </w:rPr>
        <w:t>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建设单位严格按照方案实施，依据绩效目标设定的绩效指标清晰、合理、细化、可衡量。通过对国道G111线槽子沟门至祁家营段改建工程项目的分析，未来可持续性强。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国道G111线槽子沟门至祁家营段改建工程绩效评价涉及到的工程资料中缺少交工验收报告。其他资料基本完整。</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本项目新增债券资金安排的情况均已公示，全部用于工程款支付，本项目没有发现应该招标没有招标的情况。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债券资金使用部分项目变更控制情况较好，没有对工程进度造成影响，项目能够按照资金使用情况顺利进行。</w:t>
      </w:r>
    </w:p>
    <w:p>
      <w:pPr>
        <w:pStyle w:val="16"/>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本项目已按国库集中支付制度要求在县级财政集中支付，部分资金出现拨付滞后现象，此项考核指标扣减1分。</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产出指标绩效评价设定分值为30分，考评得分23分。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由于本项目截止到绩效评价时间段未组织交工验收，施工单位也未提供完工证明，所以我方认为本工程具体完工时间不详，给予此项考核指标扣减2分。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我方从建设单位了解到，本项目已经完工，但还未组织交工验收，因此我方不能评价此项工程是否验收合格。按照绩效评价指标体系评分标准，完工后未经验收扣减5分。</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效益指标绩效评价设定分值为30分，考评得分25分。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（1）社会效益指标绩效评价设定分值为20分，考评得分18分。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国道G111线槽子沟门至祁家营段改建工程完工项目按批复设定的总体目标全面实现，达到预期目标。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的建设对于改变当地基础设施落后的面貌，对促进项目影响区及沿线的资源开发和经济发展，将产生一定的推动作用。项目的实施、建设与运营对沿线居民的生产生活以及生态环境产生一定程度的不利影响。项目完成通车后改善了围场县的交通条件和沿线居民的生活条件，对促进承德市、围场县以及赤峰市国民经济发展和社会进步具有重要的推动作用。此外，项目影响区内旅游资源丰富，本项目的建设增强了景区的通达性，充分发挥各景区的整体旅游效应，从而进一步促进区域旅游业的发展。</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③社会环境（交通环境等）改善情况指标标准分值为4分，考评得分2分。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大大改善了沿线地区交通出行条件，有利于充分开发和利用项目沿线的矿产资源和旅游资源，本项目建成通车后也会产生噪声、扬尘和汽车尾气，对环境造成一定负面影响，在一定程度上可能引起沿线自然环境的改变，或对自然资源的破坏而带来不利影响，通过对本项目的改造提升，对目前的社会环境有所改善，保障了人们的出行安全，对周边居民的生活环境也有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由于债券资金投入的项目多为社会公益性项目，本工程为公路改建项目，产生的直接经济效益不明显。</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公路项目经济效益指公路使用者的费用节约，主要有拟建项目和原有相关公路降低汽车营运成本效益，旅客在途时间节约效益和减少交通事故效益，本项目的建设对经济效益的提升有一定效果，因此本项考核得分为5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7" w:name="_Toc14098"/>
      <w:bookmarkStart w:id="68" w:name="_Toc22148"/>
      <w:r>
        <w:rPr>
          <w:rFonts w:hint="eastAsia" w:ascii="楷体" w:hAnsi="楷体" w:eastAsia="楷体" w:cs="楷体"/>
          <w:b/>
          <w:kern w:val="0"/>
          <w:sz w:val="32"/>
          <w:szCs w:val="32"/>
        </w:rPr>
        <w:t>（二）绩效评价结论</w:t>
      </w:r>
      <w:bookmarkEnd w:id="67"/>
      <w:bookmarkEnd w:id="68"/>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绩效评价指标综合得分情况：</w:t>
      </w:r>
    </w:p>
    <w:p>
      <w:pPr>
        <w:ind w:firstLine="560" w:firstLineChars="200"/>
        <w:rPr>
          <w:rFonts w:ascii="宋体" w:hAnsi="宋体" w:eastAsia="宋体" w:cs="宋体"/>
          <w:sz w:val="28"/>
          <w:szCs w:val="28"/>
        </w:rPr>
      </w:pPr>
      <w:r>
        <w:rPr>
          <w:rFonts w:hint="eastAsia" w:ascii="宋体" w:hAnsi="宋体" w:eastAsia="宋体" w:cs="宋体"/>
          <w:sz w:val="28"/>
          <w:szCs w:val="28"/>
        </w:rPr>
        <w:t>国道G111线槽子沟门至祁家营段改建工程项目绩效考评结果，其中：投入指标考评得分10分、管理指标考评得分28分、产出指标考评得分23分、效益指标考评得分25分。通过对各项指标的具体分析评价，汇总得出本次绩效评价考核综合得分为86分，总体评价为“优”。</w:t>
      </w:r>
    </w:p>
    <w:p>
      <w:pPr>
        <w:ind w:firstLine="560" w:firstLineChars="200"/>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ind w:firstLine="560" w:firstLineChars="200"/>
        <w:rPr>
          <w:rFonts w:ascii="仿宋" w:hAnsi="仿宋" w:eastAsia="仿宋"/>
          <w:sz w:val="28"/>
          <w:szCs w:val="28"/>
        </w:rPr>
      </w:pPr>
      <w:r>
        <w:rPr>
          <w:rFonts w:hint="eastAsia" w:ascii="宋体" w:hAnsi="宋体" w:eastAsia="宋体" w:cs="宋体"/>
          <w:sz w:val="28"/>
          <w:szCs w:val="28"/>
        </w:rPr>
        <w:t>评价结果表明，国道G111线槽子沟门至祁家营段改建工程项目组织和管理较好地执行了相关规定要求，组织管理有序，单位财务管理制度基本健全，对项目资金的监督管理总体有效，资金使用合理合规，实施的经济效益和持续性明显。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9" w:name="_Toc32395"/>
      <w:bookmarkStart w:id="70" w:name="_Toc29435"/>
      <w:r>
        <w:rPr>
          <w:rFonts w:hint="eastAsia" w:ascii="黑体" w:hAnsi="黑体" w:eastAsia="黑体" w:cs="黑体"/>
          <w:bCs/>
          <w:kern w:val="0"/>
          <w:sz w:val="32"/>
          <w:szCs w:val="32"/>
        </w:rPr>
        <w:t>五、</w:t>
      </w:r>
      <w:bookmarkEnd w:id="69"/>
      <w:r>
        <w:rPr>
          <w:rFonts w:hint="eastAsia" w:ascii="黑体" w:hAnsi="黑体" w:eastAsia="黑体" w:cs="黑体"/>
          <w:bCs/>
          <w:kern w:val="0"/>
          <w:sz w:val="32"/>
          <w:szCs w:val="32"/>
        </w:rPr>
        <w:t>意见及建议</w:t>
      </w:r>
      <w:bookmarkEnd w:id="70"/>
    </w:p>
    <w:p>
      <w:pPr>
        <w:adjustRightInd w:val="0"/>
        <w:snapToGrid w:val="0"/>
        <w:spacing w:line="360" w:lineRule="auto"/>
        <w:ind w:firstLine="560" w:firstLineChars="200"/>
        <w:rPr>
          <w:rFonts w:ascii="仿宋" w:hAnsi="仿宋" w:eastAsia="宋体" w:cs="宋体"/>
          <w:bCs/>
          <w:kern w:val="0"/>
          <w:sz w:val="32"/>
          <w:szCs w:val="32"/>
        </w:rPr>
      </w:pPr>
      <w:r>
        <w:rPr>
          <w:rFonts w:hint="eastAsia" w:ascii="宋体" w:hAnsi="宋体" w:eastAsia="宋体" w:cs="宋体"/>
          <w:bCs/>
          <w:kern w:val="0"/>
          <w:sz w:val="28"/>
          <w:szCs w:val="28"/>
        </w:rPr>
        <w:t>通过对</w:t>
      </w:r>
      <w:r>
        <w:rPr>
          <w:rFonts w:hint="eastAsia" w:ascii="宋体" w:hAnsi="宋体" w:eastAsia="宋体" w:cs="宋体"/>
          <w:sz w:val="28"/>
          <w:szCs w:val="28"/>
        </w:rPr>
        <w:t>围场县国道G111线槽子沟门至祁家营段改建工程项目分析，我方认为，应加强对项目资料的管理、完善建设程序，为了提高建设资金使用效益，建设单位应成立专项资金管理小组，设立专项账户，资金使用严格按照上级专项补助资金管理办法执行，政府有关部门和项目主管部门要加强对建设项目的监管和检查，同时加强财务管理工作。</w:t>
      </w:r>
    </w:p>
    <w:p>
      <w:pPr>
        <w:pStyle w:val="3"/>
        <w:spacing w:line="240" w:lineRule="auto"/>
        <w:ind w:firstLine="643" w:firstLineChars="200"/>
        <w:rPr>
          <w:rFonts w:ascii="楷体" w:hAnsi="楷体" w:eastAsia="楷体" w:cs="楷体"/>
        </w:rPr>
      </w:pPr>
      <w:bookmarkStart w:id="71" w:name="_Toc25821"/>
      <w:bookmarkStart w:id="72" w:name="_Toc15246"/>
      <w:bookmarkStart w:id="73" w:name="_Toc26763"/>
      <w:bookmarkStart w:id="74" w:name="_Toc31396"/>
      <w:bookmarkStart w:id="75" w:name="_Toc5786"/>
      <w:bookmarkStart w:id="76" w:name="_Toc7010"/>
      <w:r>
        <w:rPr>
          <w:rFonts w:hint="eastAsia" w:ascii="楷体" w:hAnsi="楷体" w:eastAsia="楷体" w:cs="楷体"/>
        </w:rPr>
        <w:t>（一）强化绩效理念，深入推进评价工作</w:t>
      </w:r>
      <w:bookmarkEnd w:id="71"/>
      <w:bookmarkEnd w:id="72"/>
      <w:bookmarkEnd w:id="73"/>
      <w:bookmarkEnd w:id="74"/>
      <w:bookmarkEnd w:id="75"/>
      <w:bookmarkEnd w:id="7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7" w:name="_Toc21411"/>
      <w:bookmarkStart w:id="78" w:name="_Toc6863"/>
      <w:bookmarkStart w:id="79" w:name="_Toc14241"/>
      <w:bookmarkStart w:id="80" w:name="_Toc10505"/>
      <w:bookmarkStart w:id="81" w:name="_Toc11860"/>
      <w:bookmarkStart w:id="82" w:name="_Toc19932"/>
      <w:r>
        <w:rPr>
          <w:rFonts w:hint="eastAsia" w:ascii="楷体" w:hAnsi="楷体" w:eastAsia="楷体" w:cs="楷体"/>
        </w:rPr>
        <w:t>（二）强化事前准备，切实提升评价质量</w:t>
      </w:r>
      <w:bookmarkEnd w:id="77"/>
      <w:bookmarkEnd w:id="78"/>
      <w:bookmarkEnd w:id="79"/>
      <w:bookmarkEnd w:id="80"/>
      <w:bookmarkEnd w:id="81"/>
      <w:bookmarkEnd w:id="82"/>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3" w:name="_Toc10592"/>
      <w:bookmarkStart w:id="84" w:name="_Toc21034"/>
      <w:bookmarkStart w:id="85" w:name="_Toc11787"/>
      <w:bookmarkStart w:id="86" w:name="_Toc30061"/>
      <w:bookmarkStart w:id="87" w:name="_Toc3001"/>
    </w:p>
    <w:p>
      <w:pPr>
        <w:pStyle w:val="3"/>
        <w:spacing w:line="240" w:lineRule="auto"/>
        <w:ind w:firstLine="643" w:firstLineChars="200"/>
        <w:rPr>
          <w:rFonts w:ascii="楷体" w:hAnsi="楷体" w:eastAsia="楷体" w:cs="楷体"/>
        </w:rPr>
      </w:pPr>
      <w:bookmarkStart w:id="88" w:name="_Toc16658"/>
      <w:r>
        <w:rPr>
          <w:rFonts w:hint="eastAsia" w:ascii="楷体" w:hAnsi="楷体" w:eastAsia="楷体" w:cs="楷体"/>
        </w:rPr>
        <w:t>（三）强化结果应用，不断巩固评价</w:t>
      </w:r>
      <w:bookmarkEnd w:id="83"/>
      <w:bookmarkEnd w:id="84"/>
      <w:bookmarkEnd w:id="85"/>
      <w:bookmarkEnd w:id="86"/>
      <w:bookmarkEnd w:id="87"/>
      <w:r>
        <w:rPr>
          <w:rFonts w:hint="eastAsia" w:ascii="楷体" w:hAnsi="楷体" w:eastAsia="楷体" w:cs="楷体"/>
        </w:rPr>
        <w:t>成效</w:t>
      </w:r>
      <w:bookmarkEnd w:id="88"/>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9" w:name="_Toc24195"/>
    </w:p>
    <w:p>
      <w:pPr>
        <w:adjustRightInd w:val="0"/>
        <w:snapToGrid w:val="0"/>
        <w:spacing w:line="360" w:lineRule="auto"/>
        <w:ind w:firstLine="640" w:firstLineChars="200"/>
        <w:outlineLvl w:val="0"/>
        <w:rPr>
          <w:rFonts w:ascii="黑体" w:hAnsi="黑体" w:eastAsia="黑体" w:cs="黑体"/>
          <w:bCs/>
          <w:kern w:val="0"/>
          <w:sz w:val="32"/>
          <w:szCs w:val="32"/>
        </w:rPr>
      </w:pPr>
      <w:r>
        <w:rPr>
          <w:rFonts w:hint="eastAsia" w:ascii="黑体" w:hAnsi="黑体" w:eastAsia="黑体" w:cs="黑体"/>
          <w:bCs/>
          <w:kern w:val="0"/>
          <w:sz w:val="32"/>
          <w:szCs w:val="32"/>
        </w:rPr>
        <w:t>六、附件</w:t>
      </w:r>
      <w:bookmarkEnd w:id="89"/>
    </w:p>
    <w:p>
      <w:pPr>
        <w:pStyle w:val="3"/>
        <w:rPr>
          <w:rFonts w:ascii="楷体" w:hAnsi="楷体" w:eastAsia="楷体" w:cs="楷体"/>
        </w:rPr>
      </w:pPr>
      <w:bookmarkStart w:id="90" w:name="_Toc164"/>
      <w:r>
        <w:rPr>
          <w:rFonts w:hint="eastAsia" w:ascii="楷体" w:hAnsi="楷体" w:eastAsia="楷体" w:cs="楷体"/>
        </w:rPr>
        <w:t>绩效评价指标体系得分表</w:t>
      </w:r>
      <w:bookmarkEnd w:id="90"/>
    </w:p>
    <w:p>
      <w:pPr>
        <w:rPr>
          <w:rFonts w:ascii="宋体" w:hAnsi="宋体" w:eastAsia="宋体" w:cs="宋体"/>
          <w:sz w:val="28"/>
          <w:szCs w:val="28"/>
        </w:rPr>
      </w:pPr>
    </w:p>
    <w:p>
      <w:pPr>
        <w:rPr>
          <w:rFonts w:ascii="宋体" w:hAnsi="宋体" w:eastAsia="宋体" w:cs="宋体"/>
          <w:sz w:val="28"/>
          <w:szCs w:val="28"/>
        </w:rPr>
      </w:pPr>
    </w:p>
    <w:p>
      <w:pPr>
        <w:adjustRightInd w:val="0"/>
        <w:snapToGrid w:val="0"/>
        <w:spacing w:line="540" w:lineRule="exact"/>
        <w:outlineLvl w:val="0"/>
        <w:rPr>
          <w:rFonts w:hint="default" w:asciiTheme="minorEastAsia" w:hAnsiTheme="minorEastAsia" w:eastAsiaTheme="minorEastAsia"/>
          <w:sz w:val="32"/>
          <w:szCs w:val="32"/>
          <w:lang w:val="en-US" w:eastAsia="zh-CN"/>
        </w:rPr>
      </w:pPr>
      <w:bookmarkStart w:id="91" w:name="_Toc15162"/>
      <w:r>
        <w:rPr>
          <w:rFonts w:hint="eastAsia" w:asciiTheme="minorEastAsia" w:hAnsiTheme="minorEastAsia"/>
          <w:sz w:val="32"/>
          <w:szCs w:val="32"/>
        </w:rPr>
        <w:t>承德燕山会计师事务所         中国注册会计师：</w:t>
      </w:r>
      <w:bookmarkEnd w:id="91"/>
      <w:r>
        <w:rPr>
          <w:rFonts w:hint="eastAsia" w:asciiTheme="minorEastAsia" w:hAnsiTheme="minorEastAsia"/>
          <w:sz w:val="32"/>
          <w:szCs w:val="32"/>
          <w:lang w:eastAsia="zh-CN"/>
        </w:rPr>
        <w:t>崔</w:t>
      </w:r>
      <w:r>
        <w:rPr>
          <w:rFonts w:hint="eastAsia" w:asciiTheme="minorEastAsia" w:hAnsiTheme="minorEastAsia"/>
          <w:sz w:val="32"/>
          <w:szCs w:val="32"/>
          <w:lang w:val="en-US" w:eastAsia="zh-CN"/>
        </w:rPr>
        <w:t>春华</w:t>
      </w:r>
    </w:p>
    <w:p>
      <w:pPr>
        <w:adjustRightInd w:val="0"/>
        <w:snapToGrid w:val="0"/>
        <w:spacing w:line="540" w:lineRule="exact"/>
        <w:ind w:firstLine="640" w:firstLineChars="200"/>
        <w:outlineLvl w:val="0"/>
        <w:rPr>
          <w:rFonts w:asciiTheme="minorEastAsia" w:hAnsiTheme="minorEastAsia"/>
          <w:sz w:val="32"/>
          <w:szCs w:val="32"/>
        </w:rPr>
      </w:pPr>
      <w:bookmarkStart w:id="92" w:name="_Toc14815"/>
      <w:r>
        <w:rPr>
          <w:rFonts w:hint="eastAsia" w:asciiTheme="minorEastAsia" w:hAnsiTheme="minorEastAsia"/>
          <w:sz w:val="32"/>
          <w:szCs w:val="32"/>
        </w:rPr>
        <w:t>有限责任公司</w:t>
      </w:r>
      <w:bookmarkEnd w:id="92"/>
    </w:p>
    <w:p>
      <w:pPr>
        <w:ind w:firstLine="640" w:firstLineChars="200"/>
        <w:outlineLvl w:val="0"/>
        <w:rPr>
          <w:rFonts w:hint="eastAsia" w:asciiTheme="minorEastAsia" w:hAnsiTheme="minorEastAsia" w:eastAsiaTheme="minorEastAsia"/>
          <w:sz w:val="32"/>
          <w:szCs w:val="32"/>
          <w:lang w:eastAsia="zh-CN"/>
        </w:rPr>
      </w:pPr>
      <w:bookmarkStart w:id="93" w:name="_Toc13463"/>
      <w:r>
        <w:rPr>
          <w:rFonts w:hint="eastAsia" w:asciiTheme="minorEastAsia" w:hAnsiTheme="minorEastAsia"/>
          <w:sz w:val="32"/>
          <w:szCs w:val="32"/>
        </w:rPr>
        <w:t>河北·承德               中国注册会计师：</w:t>
      </w:r>
      <w:bookmarkEnd w:id="93"/>
      <w:r>
        <w:rPr>
          <w:rFonts w:hint="eastAsia" w:asciiTheme="minorEastAsia" w:hAnsiTheme="minorEastAsia"/>
          <w:sz w:val="32"/>
          <w:szCs w:val="32"/>
          <w:lang w:eastAsia="zh-CN"/>
        </w:rPr>
        <w:t>白秀云</w:t>
      </w:r>
    </w:p>
    <w:p>
      <w:pPr>
        <w:ind w:firstLine="4160" w:firstLineChars="1300"/>
        <w:rPr>
          <w:rFonts w:asciiTheme="minorEastAsia" w:hAnsiTheme="minorEastAsia"/>
          <w:sz w:val="32"/>
          <w:szCs w:val="32"/>
        </w:rPr>
      </w:pPr>
      <w:bookmarkStart w:id="94" w:name="_Toc29542"/>
    </w:p>
    <w:p>
      <w:pPr>
        <w:ind w:firstLine="4160" w:firstLineChars="1300"/>
        <w:rPr>
          <w:rFonts w:asciiTheme="minorEastAsia" w:hAnsiTheme="minorEastAsia"/>
          <w:sz w:val="32"/>
          <w:szCs w:val="32"/>
        </w:rPr>
      </w:pPr>
    </w:p>
    <w:p>
      <w:pPr>
        <w:ind w:firstLine="4800" w:firstLineChars="15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二○二一年三月十八日</w:t>
      </w:r>
      <w:bookmarkEnd w:id="94"/>
    </w:p>
    <w:p>
      <w:pPr>
        <w:jc w:val="center"/>
        <w:rPr>
          <w:rFonts w:ascii="宋体" w:hAnsi="宋体" w:eastAsia="宋体" w:cs="宋体"/>
          <w:b/>
          <w:bCs/>
          <w:sz w:val="28"/>
          <w:szCs w:val="28"/>
          <w:highlight w:val="yellow"/>
        </w:rPr>
      </w:pPr>
      <w:r>
        <w:rPr>
          <w:rFonts w:hint="eastAsia" w:ascii="宋体" w:hAnsi="宋体" w:eastAsia="宋体" w:cs="宋体"/>
          <w:b/>
          <w:bCs/>
          <w:sz w:val="28"/>
          <w:szCs w:val="28"/>
        </w:rPr>
        <w:t>国道G111线槽子沟门至祁家营段改建工程绩效评价指标体系得分表</w:t>
      </w:r>
    </w:p>
    <w:tbl>
      <w:tblPr>
        <w:tblStyle w:val="14"/>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7"/>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rPr>
                <w:sz w:val="24"/>
              </w:rPr>
            </w:pP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7"/>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7"/>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7"/>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7"/>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asciiTheme="minorEastAsia" w:hAnsiTheme="minorEastAsia"/>
                <w:bCs/>
                <w:sz w:val="24"/>
              </w:rPr>
              <w:t>86</w:t>
            </w:r>
          </w:p>
        </w:tc>
      </w:tr>
    </w:tbl>
    <w:p>
      <w:pPr>
        <w:rPr>
          <w:rFonts w:ascii="宋体" w:hAnsi="宋体" w:eastAsia="宋体" w:cs="宋体"/>
          <w:sz w:val="28"/>
          <w:szCs w:val="28"/>
        </w:rPr>
      </w:pPr>
    </w:p>
    <w:sectPr>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673FC7"/>
    <w:rsid w:val="00DA4177"/>
    <w:rsid w:val="00EA236B"/>
    <w:rsid w:val="00F0230B"/>
    <w:rsid w:val="03906ECE"/>
    <w:rsid w:val="03B73450"/>
    <w:rsid w:val="047E3D7B"/>
    <w:rsid w:val="06B3136F"/>
    <w:rsid w:val="09DF3A36"/>
    <w:rsid w:val="0A617961"/>
    <w:rsid w:val="0CF76258"/>
    <w:rsid w:val="0E252CA5"/>
    <w:rsid w:val="0FF14209"/>
    <w:rsid w:val="105259B6"/>
    <w:rsid w:val="105E04DB"/>
    <w:rsid w:val="11CA6AB4"/>
    <w:rsid w:val="13426D82"/>
    <w:rsid w:val="13D04FA7"/>
    <w:rsid w:val="1420127B"/>
    <w:rsid w:val="15991D8B"/>
    <w:rsid w:val="1671287C"/>
    <w:rsid w:val="178D6B51"/>
    <w:rsid w:val="179E01C8"/>
    <w:rsid w:val="18596D27"/>
    <w:rsid w:val="18B14196"/>
    <w:rsid w:val="19B12636"/>
    <w:rsid w:val="1C0818FD"/>
    <w:rsid w:val="1DCB30AC"/>
    <w:rsid w:val="1E3912B7"/>
    <w:rsid w:val="1F3109C5"/>
    <w:rsid w:val="21C358CA"/>
    <w:rsid w:val="23962522"/>
    <w:rsid w:val="23EF5E50"/>
    <w:rsid w:val="27DD72F2"/>
    <w:rsid w:val="284D6241"/>
    <w:rsid w:val="2A2E1F00"/>
    <w:rsid w:val="2B284D4B"/>
    <w:rsid w:val="2C137100"/>
    <w:rsid w:val="327F7BC1"/>
    <w:rsid w:val="39FB1AB6"/>
    <w:rsid w:val="3B2357AA"/>
    <w:rsid w:val="3B4A6AC1"/>
    <w:rsid w:val="3B943A5F"/>
    <w:rsid w:val="3BB5552B"/>
    <w:rsid w:val="3D617D03"/>
    <w:rsid w:val="3D7533AC"/>
    <w:rsid w:val="3EE432ED"/>
    <w:rsid w:val="40A00F76"/>
    <w:rsid w:val="41764DEF"/>
    <w:rsid w:val="41A52C9E"/>
    <w:rsid w:val="446A119D"/>
    <w:rsid w:val="46437D54"/>
    <w:rsid w:val="47C37A03"/>
    <w:rsid w:val="48771478"/>
    <w:rsid w:val="49C5006E"/>
    <w:rsid w:val="4A924A90"/>
    <w:rsid w:val="4DF57240"/>
    <w:rsid w:val="4F5D274A"/>
    <w:rsid w:val="539712EC"/>
    <w:rsid w:val="539B1338"/>
    <w:rsid w:val="54252E1D"/>
    <w:rsid w:val="569318BE"/>
    <w:rsid w:val="56C26B7E"/>
    <w:rsid w:val="577B4A42"/>
    <w:rsid w:val="62280465"/>
    <w:rsid w:val="6613771F"/>
    <w:rsid w:val="6EA425E2"/>
    <w:rsid w:val="6EC845C2"/>
    <w:rsid w:val="710016B0"/>
    <w:rsid w:val="745E4652"/>
    <w:rsid w:val="7558295B"/>
    <w:rsid w:val="75840E38"/>
    <w:rsid w:val="772B6771"/>
    <w:rsid w:val="77AB17FD"/>
    <w:rsid w:val="785D0F33"/>
    <w:rsid w:val="7D87276F"/>
    <w:rsid w:val="7E1572CA"/>
    <w:rsid w:val="7F1C2BDE"/>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toc 3"/>
    <w:basedOn w:val="1"/>
    <w:next w:val="1"/>
    <w:unhideWhenUsed/>
    <w:qFormat/>
    <w:uiPriority w:val="39"/>
    <w:pPr>
      <w:ind w:left="840" w:leftChars="400"/>
    </w:pPr>
  </w:style>
  <w:style w:type="paragraph" w:styleId="7">
    <w:name w:val="Balloon Text"/>
    <w:basedOn w:val="1"/>
    <w:link w:val="21"/>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7">
    <w:name w:val="列出段落1"/>
    <w:basedOn w:val="1"/>
    <w:qFormat/>
    <w:uiPriority w:val="99"/>
    <w:pPr>
      <w:ind w:firstLine="420"/>
    </w:pPr>
  </w:style>
  <w:style w:type="paragraph" w:styleId="18">
    <w:name w:val="List Paragraph"/>
    <w:basedOn w:val="1"/>
    <w:unhideWhenUsed/>
    <w:qFormat/>
    <w:uiPriority w:val="99"/>
    <w:pPr>
      <w:ind w:firstLine="420" w:firstLineChars="200"/>
    </w:p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批注框文本 Char"/>
    <w:basedOn w:val="15"/>
    <w:link w:val="7"/>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12710</Words>
  <Characters>3065</Characters>
  <Lines>25</Lines>
  <Paragraphs>31</Paragraphs>
  <TotalTime>97</TotalTime>
  <ScaleCrop>false</ScaleCrop>
  <LinksUpToDate>false</LinksUpToDate>
  <CharactersWithSpaces>15744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2021-04-25T03:07:00Z</cp:lastPrinted>
  <dcterms:modified xsi:type="dcterms:W3CDTF">2023-12-28T01:49:51Z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8C624B8B6ADB498FAD3230AD717817A5</vt:lpwstr>
  </property>
</Properties>
</file>