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28"/>
          <w:szCs w:val="28"/>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bookmarkStart w:id="0" w:name="_Toc24774"/>
      <w:r>
        <w:rPr>
          <w:rFonts w:hint="eastAsia" w:ascii="方正小标宋_GBK" w:eastAsia="方正小标宋_GBK"/>
          <w:bCs/>
          <w:sz w:val="72"/>
          <w:szCs w:val="72"/>
        </w:rPr>
        <w:t>建设项目环境影响报告表</w:t>
      </w:r>
      <w:bookmarkEnd w:id="0"/>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0"/>
        <w:rPr>
          <w:rFonts w:ascii="华文仿宋" w:hAnsi="华文仿宋" w:eastAsia="华文仿宋" w:cs="华文仿宋"/>
          <w:kern w:val="44"/>
          <w:sz w:val="44"/>
          <w:szCs w:val="44"/>
        </w:rPr>
      </w:pPr>
    </w:p>
    <w:p>
      <w:pPr>
        <w:jc w:val="center"/>
        <w:rPr>
          <w:rFonts w:eastAsia="仿宋"/>
          <w:sz w:val="52"/>
          <w:szCs w:val="52"/>
        </w:rPr>
      </w:pPr>
    </w:p>
    <w:p>
      <w:pPr>
        <w:ind w:firstLine="1040"/>
        <w:rPr>
          <w:rFonts w:eastAsia="仿宋"/>
          <w:sz w:val="44"/>
          <w:szCs w:val="44"/>
        </w:rPr>
      </w:pPr>
    </w:p>
    <w:p>
      <w:pPr>
        <w:rPr>
          <w:rFonts w:eastAsia="仿宋"/>
          <w:sz w:val="44"/>
          <w:szCs w:val="44"/>
        </w:rPr>
      </w:pPr>
    </w:p>
    <w:p>
      <w:pPr>
        <w:ind w:firstLine="1040"/>
        <w:rPr>
          <w:rFonts w:eastAsia="仿宋"/>
          <w:color w:val="000000" w:themeColor="text1"/>
          <w:sz w:val="44"/>
          <w:szCs w:val="44"/>
          <w14:textFill>
            <w14:solidFill>
              <w14:schemeClr w14:val="tx1"/>
            </w14:solidFill>
          </w14:textFill>
        </w:rPr>
      </w:pPr>
    </w:p>
    <w:p>
      <w:pPr>
        <w:adjustRightInd w:val="0"/>
        <w:snapToGrid w:val="0"/>
        <w:spacing w:line="288" w:lineRule="auto"/>
        <w:ind w:left="1800" w:hanging="1800" w:hangingChars="500"/>
        <w:jc w:val="left"/>
        <w:rPr>
          <w:rFonts w:ascii="仿宋" w:hAnsi="仿宋" w:eastAsia="仿宋" w:cs="仿宋"/>
          <w:color w:val="000000" w:themeColor="text1"/>
          <w:w w:val="95"/>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项目名称：</w:t>
      </w:r>
      <w:r>
        <w:rPr>
          <w:rFonts w:hint="eastAsia" w:ascii="仿宋" w:hAnsi="仿宋" w:eastAsia="仿宋" w:cs="仿宋"/>
          <w:color w:val="000000" w:themeColor="text1"/>
          <w:w w:val="95"/>
          <w:sz w:val="36"/>
          <w:szCs w:val="36"/>
          <w:u w:val="single"/>
          <w14:textFill>
            <w14:solidFill>
              <w14:schemeClr w14:val="tx1"/>
            </w14:solidFill>
          </w14:textFill>
        </w:rPr>
        <w:t xml:space="preserve">围场满族蒙古族自治县腾兴农业发展有限 </w:t>
      </w:r>
    </w:p>
    <w:p>
      <w:pPr>
        <w:adjustRightInd w:val="0"/>
        <w:snapToGrid w:val="0"/>
        <w:spacing w:line="288" w:lineRule="auto"/>
        <w:ind w:left="1743" w:leftChars="830"/>
        <w:jc w:val="left"/>
        <w:rPr>
          <w:rFonts w:ascii="仿宋_GB2312" w:eastAsia="仿宋"/>
          <w:sz w:val="36"/>
          <w:szCs w:val="36"/>
          <w:highlight w:val="yellow"/>
          <w:u w:val="single"/>
        </w:rPr>
      </w:pPr>
      <w:r>
        <w:rPr>
          <w:rFonts w:hint="eastAsia" w:ascii="仿宋" w:hAnsi="仿宋" w:eastAsia="仿宋" w:cs="仿宋"/>
          <w:color w:val="000000" w:themeColor="text1"/>
          <w:w w:val="95"/>
          <w:sz w:val="36"/>
          <w:szCs w:val="36"/>
          <w:u w:val="single"/>
          <w14:textFill>
            <w14:solidFill>
              <w14:schemeClr w14:val="tx1"/>
            </w14:solidFill>
          </w14:textFill>
        </w:rPr>
        <w:t>公司食用菌</w:t>
      </w:r>
      <w:r>
        <w:rPr>
          <w:rFonts w:hint="eastAsia" w:ascii="仿宋" w:hAnsi="仿宋" w:eastAsia="仿宋" w:cs="仿宋"/>
          <w:w w:val="95"/>
          <w:sz w:val="36"/>
          <w:szCs w:val="36"/>
          <w:u w:val="single"/>
        </w:rPr>
        <w:t>标准化生产车间及锅炉建设项目</w:t>
      </w:r>
    </w:p>
    <w:p>
      <w:pPr>
        <w:adjustRightInd w:val="0"/>
        <w:snapToGrid w:val="0"/>
        <w:spacing w:line="288" w:lineRule="auto"/>
        <w:ind w:left="2160" w:hanging="2160" w:hangingChars="600"/>
        <w:rPr>
          <w:rFonts w:ascii="仿宋" w:hAnsi="仿宋" w:eastAsia="仿宋" w:cs="仿宋"/>
          <w:w w:val="92"/>
          <w:sz w:val="36"/>
          <w:szCs w:val="36"/>
          <w:u w:val="single"/>
        </w:rPr>
      </w:pPr>
      <w:r>
        <w:rPr>
          <w:rFonts w:hint="eastAsia" w:ascii="仿宋_GB2312" w:eastAsia="仿宋_GB2312"/>
          <w:sz w:val="36"/>
          <w:szCs w:val="36"/>
        </w:rPr>
        <w:t>建设单位（盖章）：</w:t>
      </w:r>
      <w:r>
        <w:rPr>
          <w:rFonts w:hint="eastAsia" w:ascii="仿宋" w:hAnsi="仿宋" w:eastAsia="仿宋" w:cs="仿宋"/>
          <w:w w:val="92"/>
          <w:sz w:val="36"/>
          <w:szCs w:val="36"/>
          <w:u w:val="single"/>
        </w:rPr>
        <w:t>围场</w:t>
      </w:r>
      <w:r>
        <w:rPr>
          <w:rFonts w:hint="eastAsia" w:ascii="仿宋" w:hAnsi="仿宋" w:eastAsia="仿宋" w:cs="仿宋"/>
          <w:w w:val="95"/>
          <w:sz w:val="36"/>
          <w:szCs w:val="36"/>
          <w:u w:val="single"/>
        </w:rPr>
        <w:t>满族蒙古族自治县</w:t>
      </w:r>
      <w:r>
        <w:rPr>
          <w:rFonts w:hint="eastAsia" w:ascii="仿宋" w:hAnsi="仿宋" w:eastAsia="仿宋" w:cs="仿宋"/>
          <w:w w:val="92"/>
          <w:sz w:val="36"/>
          <w:szCs w:val="36"/>
          <w:u w:val="single"/>
        </w:rPr>
        <w:t xml:space="preserve">腾兴农业 </w:t>
      </w:r>
    </w:p>
    <w:p>
      <w:pPr>
        <w:adjustRightInd w:val="0"/>
        <w:snapToGrid w:val="0"/>
        <w:spacing w:line="288" w:lineRule="auto"/>
        <w:ind w:left="2026" w:leftChars="807" w:hanging="331" w:hangingChars="100"/>
        <w:rPr>
          <w:rFonts w:ascii="仿宋_GB2312" w:eastAsia="仿宋"/>
          <w:sz w:val="36"/>
          <w:szCs w:val="36"/>
        </w:rPr>
      </w:pPr>
      <w:r>
        <w:rPr>
          <w:rFonts w:hint="eastAsia" w:ascii="仿宋" w:hAnsi="仿宋" w:eastAsia="仿宋" w:cs="仿宋"/>
          <w:w w:val="92"/>
          <w:sz w:val="36"/>
          <w:szCs w:val="36"/>
          <w:u w:val="single"/>
        </w:rPr>
        <w:t>发展有限公司</w:t>
      </w:r>
    </w:p>
    <w:p>
      <w:pPr>
        <w:adjustRightInd w:val="0"/>
        <w:snapToGrid w:val="0"/>
        <w:spacing w:line="288" w:lineRule="auto"/>
        <w:rPr>
          <w:rFonts w:ascii="仿宋_GB2312"/>
          <w:sz w:val="36"/>
          <w:szCs w:val="36"/>
          <w:u w:val="single"/>
        </w:rPr>
      </w:pPr>
      <w:r>
        <w:rPr>
          <w:rFonts w:hint="eastAsia" w:ascii="仿宋_GB2312" w:eastAsia="仿宋_GB2312"/>
          <w:sz w:val="36"/>
          <w:szCs w:val="36"/>
        </w:rPr>
        <w:t>编制日期：</w:t>
      </w:r>
      <w:r>
        <w:rPr>
          <w:rFonts w:hint="eastAsia" w:ascii="宋体" w:hAnsi="宋体" w:cs="宋体"/>
          <w:sz w:val="36"/>
          <w:szCs w:val="36"/>
          <w:u w:val="single"/>
        </w:rPr>
        <w:t xml:space="preserve">         </w:t>
      </w:r>
      <w:r>
        <w:rPr>
          <w:rFonts w:hint="eastAsia" w:ascii="仿宋" w:hAnsi="仿宋" w:eastAsia="仿宋" w:cs="仿宋"/>
          <w:sz w:val="36"/>
          <w:szCs w:val="36"/>
          <w:u w:val="single"/>
        </w:rPr>
        <w:t xml:space="preserve">2024年4月  </w:t>
      </w:r>
      <w:r>
        <w:rPr>
          <w:rFonts w:hint="eastAsia" w:ascii="宋体" w:hAnsi="宋体" w:cs="宋体"/>
          <w:sz w:val="36"/>
          <w:szCs w:val="36"/>
          <w:u w:val="single"/>
        </w:rPr>
        <w:t xml:space="preserve">              </w:t>
      </w:r>
    </w:p>
    <w:p>
      <w:pPr>
        <w:adjustRightInd w:val="0"/>
        <w:snapToGrid w:val="0"/>
        <w:spacing w:line="288" w:lineRule="auto"/>
        <w:ind w:firstLine="1040"/>
        <w:rPr>
          <w:rFonts w:ascii="仿宋_GB2312" w:eastAsia="仿宋_GB2312"/>
          <w:sz w:val="36"/>
          <w:szCs w:val="36"/>
          <w:u w:val="single"/>
        </w:rPr>
      </w:pPr>
      <w:bookmarkStart w:id="1"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rPr>
          <w:rFonts w:ascii="仿宋_GB2312" w:eastAsia="仿宋_GB2312"/>
          <w:sz w:val="36"/>
          <w:szCs w:val="36"/>
        </w:rPr>
      </w:pPr>
    </w:p>
    <w:bookmarkEnd w:id="1"/>
    <w:p>
      <w:pPr>
        <w:adjustRightInd w:val="0"/>
        <w:snapToGrid w:val="0"/>
        <w:spacing w:line="288" w:lineRule="auto"/>
        <w:jc w:val="center"/>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r>
        <w:rPr>
          <w:rFonts w:hint="eastAsia" w:ascii="楷体_GB2312" w:eastAsia="楷体_GB2312"/>
          <w:sz w:val="36"/>
          <w:szCs w:val="36"/>
        </w:rPr>
        <w:t>中华人民共和国生态环境部</w:t>
      </w:r>
    </w:p>
    <w:p>
      <w:pPr>
        <w:pStyle w:val="9"/>
        <w:tabs>
          <w:tab w:val="right" w:leader="dot" w:pos="8844"/>
        </w:tabs>
        <w:autoSpaceDE w:val="0"/>
        <w:autoSpaceDN w:val="0"/>
        <w:spacing w:after="0" w:line="360" w:lineRule="auto"/>
        <w:jc w:val="center"/>
        <w:rPr>
          <w:rFonts w:ascii="仿宋_GB2312" w:hAnsi="Times New Roman" w:eastAsia="仿宋_GB2312"/>
          <w:b/>
          <w:bCs/>
          <w:sz w:val="36"/>
          <w:szCs w:val="36"/>
        </w:rPr>
      </w:pPr>
      <w:bookmarkStart w:id="2" w:name="_Toc157070549"/>
      <w:r>
        <w:rPr>
          <w:rFonts w:hint="eastAsia" w:ascii="仿宋_GB2312" w:hAnsi="Times New Roman" w:eastAsia="仿宋_GB2312"/>
          <w:b/>
          <w:bCs/>
          <w:sz w:val="36"/>
          <w:szCs w:val="36"/>
        </w:rPr>
        <w:t>目  录</w:t>
      </w:r>
      <w:bookmarkEnd w:id="2"/>
    </w:p>
    <w:p>
      <w:pPr>
        <w:pStyle w:val="9"/>
        <w:widowControl/>
        <w:tabs>
          <w:tab w:val="right" w:leader="dot" w:pos="8844"/>
        </w:tabs>
        <w:autoSpaceDE w:val="0"/>
        <w:autoSpaceDN w:val="0"/>
        <w:spacing w:after="0" w:line="360" w:lineRule="auto"/>
        <w:jc w:val="left"/>
        <w:rPr>
          <w:rFonts w:ascii="黑体" w:hAnsi="黑体" w:eastAsia="黑体" w:cs="黑体"/>
          <w:sz w:val="24"/>
          <w:szCs w:val="36"/>
        </w:rPr>
      </w:pPr>
      <w:r>
        <w:rPr>
          <w:rFonts w:ascii="Times New Roman" w:hAnsi="Times New Roman" w:eastAsia="宋体"/>
          <w:b/>
          <w:bCs/>
          <w:sz w:val="32"/>
          <w:szCs w:val="24"/>
        </w:rPr>
        <w:fldChar w:fldCharType="begin"/>
      </w:r>
      <w:r>
        <w:rPr>
          <w:rFonts w:ascii="Times New Roman" w:hAnsi="Times New Roman" w:eastAsia="宋体"/>
          <w:b/>
          <w:bCs/>
          <w:sz w:val="32"/>
          <w:szCs w:val="24"/>
        </w:rPr>
        <w:instrText xml:space="preserve"> TOC \o "1-3" \h \z \u </w:instrText>
      </w:r>
      <w:r>
        <w:rPr>
          <w:rFonts w:ascii="Times New Roman" w:hAnsi="Times New Roman" w:eastAsia="宋体"/>
          <w:b/>
          <w:bCs/>
          <w:sz w:val="32"/>
          <w:szCs w:val="24"/>
        </w:rPr>
        <w:fldChar w:fldCharType="separate"/>
      </w:r>
      <w:r>
        <w:fldChar w:fldCharType="begin"/>
      </w:r>
      <w:r>
        <w:instrText xml:space="preserve"> HYPERLINK \l "_Toc15023" </w:instrText>
      </w:r>
      <w:r>
        <w:fldChar w:fldCharType="separate"/>
      </w:r>
      <w:r>
        <w:rPr>
          <w:rFonts w:hint="eastAsia" w:ascii="黑体" w:hAnsi="黑体" w:eastAsia="黑体" w:cs="黑体"/>
          <w:sz w:val="24"/>
          <w:szCs w:val="36"/>
        </w:rPr>
        <w:t>一、建设项目基本情况</w:t>
      </w:r>
      <w:r>
        <w:rPr>
          <w:rFonts w:hint="eastAsia" w:ascii="黑体" w:hAnsi="黑体" w:eastAsia="黑体" w:cs="黑体"/>
          <w:sz w:val="24"/>
          <w:szCs w:val="36"/>
        </w:rPr>
        <w:tab/>
      </w:r>
      <w:r>
        <w:rPr>
          <w:rFonts w:hint="eastAsia" w:ascii="黑体" w:hAnsi="黑体" w:eastAsia="黑体" w:cs="黑体"/>
          <w:sz w:val="24"/>
          <w:szCs w:val="36"/>
        </w:rPr>
        <w:fldChar w:fldCharType="begin"/>
      </w:r>
      <w:r>
        <w:rPr>
          <w:rFonts w:hint="eastAsia" w:ascii="黑体" w:hAnsi="黑体" w:eastAsia="黑体" w:cs="黑体"/>
          <w:sz w:val="24"/>
          <w:szCs w:val="36"/>
        </w:rPr>
        <w:instrText xml:space="preserve"> PAGEREF _Toc15023 \h </w:instrText>
      </w:r>
      <w:r>
        <w:rPr>
          <w:rFonts w:hint="eastAsia" w:ascii="黑体" w:hAnsi="黑体" w:eastAsia="黑体" w:cs="黑体"/>
          <w:sz w:val="24"/>
          <w:szCs w:val="36"/>
        </w:rPr>
        <w:fldChar w:fldCharType="separate"/>
      </w:r>
      <w:r>
        <w:rPr>
          <w:rFonts w:hint="eastAsia" w:ascii="黑体" w:hAnsi="黑体" w:eastAsia="黑体" w:cs="黑体"/>
          <w:sz w:val="24"/>
          <w:szCs w:val="36"/>
        </w:rPr>
        <w:t>1</w:t>
      </w:r>
      <w:r>
        <w:rPr>
          <w:rFonts w:hint="eastAsia" w:ascii="黑体" w:hAnsi="黑体" w:eastAsia="黑体" w:cs="黑体"/>
          <w:sz w:val="24"/>
          <w:szCs w:val="36"/>
        </w:rPr>
        <w:fldChar w:fldCharType="end"/>
      </w:r>
      <w:r>
        <w:rPr>
          <w:rFonts w:hint="eastAsia" w:ascii="黑体" w:hAnsi="黑体" w:eastAsia="黑体" w:cs="黑体"/>
          <w:sz w:val="24"/>
          <w:szCs w:val="36"/>
        </w:rPr>
        <w:fldChar w:fldCharType="end"/>
      </w:r>
    </w:p>
    <w:p>
      <w:pPr>
        <w:pStyle w:val="9"/>
        <w:widowControl/>
        <w:tabs>
          <w:tab w:val="right" w:leader="dot" w:pos="8844"/>
        </w:tabs>
        <w:autoSpaceDE w:val="0"/>
        <w:autoSpaceDN w:val="0"/>
        <w:spacing w:after="0" w:line="360" w:lineRule="auto"/>
        <w:jc w:val="left"/>
        <w:rPr>
          <w:rFonts w:ascii="黑体" w:hAnsi="黑体" w:eastAsia="黑体" w:cs="黑体"/>
          <w:sz w:val="24"/>
          <w:szCs w:val="36"/>
        </w:rPr>
      </w:pPr>
      <w:r>
        <w:fldChar w:fldCharType="begin"/>
      </w:r>
      <w:r>
        <w:instrText xml:space="preserve"> HYPERLINK \l "_Toc27772" </w:instrText>
      </w:r>
      <w:r>
        <w:fldChar w:fldCharType="separate"/>
      </w:r>
      <w:r>
        <w:rPr>
          <w:rFonts w:hint="eastAsia" w:ascii="黑体" w:hAnsi="黑体" w:eastAsia="黑体" w:cs="黑体"/>
          <w:sz w:val="24"/>
          <w:szCs w:val="36"/>
        </w:rPr>
        <w:t>二、建设项目工程分析</w:t>
      </w:r>
      <w:r>
        <w:rPr>
          <w:rFonts w:hint="eastAsia" w:ascii="黑体" w:hAnsi="黑体" w:eastAsia="黑体" w:cs="黑体"/>
          <w:sz w:val="24"/>
          <w:szCs w:val="36"/>
        </w:rPr>
        <w:tab/>
      </w:r>
      <w:r>
        <w:rPr>
          <w:rFonts w:hint="eastAsia" w:ascii="黑体" w:hAnsi="黑体" w:eastAsia="黑体" w:cs="黑体"/>
          <w:sz w:val="24"/>
          <w:szCs w:val="36"/>
        </w:rPr>
        <w:fldChar w:fldCharType="begin"/>
      </w:r>
      <w:r>
        <w:rPr>
          <w:rFonts w:hint="eastAsia" w:ascii="黑体" w:hAnsi="黑体" w:eastAsia="黑体" w:cs="黑体"/>
          <w:sz w:val="24"/>
          <w:szCs w:val="36"/>
        </w:rPr>
        <w:instrText xml:space="preserve"> PAGEREF _Toc27772 \h </w:instrText>
      </w:r>
      <w:r>
        <w:rPr>
          <w:rFonts w:hint="eastAsia" w:ascii="黑体" w:hAnsi="黑体" w:eastAsia="黑体" w:cs="黑体"/>
          <w:sz w:val="24"/>
          <w:szCs w:val="36"/>
        </w:rPr>
        <w:fldChar w:fldCharType="separate"/>
      </w:r>
      <w:r>
        <w:rPr>
          <w:rFonts w:hint="eastAsia" w:ascii="黑体" w:hAnsi="黑体" w:eastAsia="黑体" w:cs="黑体"/>
          <w:sz w:val="24"/>
          <w:szCs w:val="36"/>
        </w:rPr>
        <w:t>16</w:t>
      </w:r>
      <w:r>
        <w:rPr>
          <w:rFonts w:hint="eastAsia" w:ascii="黑体" w:hAnsi="黑体" w:eastAsia="黑体" w:cs="黑体"/>
          <w:sz w:val="24"/>
          <w:szCs w:val="36"/>
        </w:rPr>
        <w:fldChar w:fldCharType="end"/>
      </w:r>
      <w:r>
        <w:rPr>
          <w:rFonts w:hint="eastAsia" w:ascii="黑体" w:hAnsi="黑体" w:eastAsia="黑体" w:cs="黑体"/>
          <w:sz w:val="24"/>
          <w:szCs w:val="36"/>
        </w:rPr>
        <w:fldChar w:fldCharType="end"/>
      </w:r>
    </w:p>
    <w:p>
      <w:pPr>
        <w:pStyle w:val="9"/>
        <w:widowControl/>
        <w:tabs>
          <w:tab w:val="right" w:leader="dot" w:pos="8844"/>
        </w:tabs>
        <w:autoSpaceDE w:val="0"/>
        <w:autoSpaceDN w:val="0"/>
        <w:spacing w:after="0" w:line="360" w:lineRule="auto"/>
        <w:jc w:val="left"/>
        <w:rPr>
          <w:rFonts w:ascii="黑体" w:hAnsi="黑体" w:eastAsia="黑体" w:cs="黑体"/>
          <w:sz w:val="24"/>
          <w:szCs w:val="36"/>
        </w:rPr>
      </w:pPr>
      <w:r>
        <w:fldChar w:fldCharType="begin"/>
      </w:r>
      <w:r>
        <w:instrText xml:space="preserve"> HYPERLINK \l "_Toc12458" </w:instrText>
      </w:r>
      <w:r>
        <w:fldChar w:fldCharType="separate"/>
      </w:r>
      <w:r>
        <w:rPr>
          <w:rFonts w:hint="eastAsia" w:ascii="黑体" w:hAnsi="黑体" w:eastAsia="黑体" w:cs="黑体"/>
          <w:sz w:val="24"/>
          <w:szCs w:val="36"/>
        </w:rPr>
        <w:t>三、区域环境质量现状、环境保护目标及评价标准</w:t>
      </w:r>
      <w:r>
        <w:rPr>
          <w:rFonts w:hint="eastAsia" w:ascii="黑体" w:hAnsi="黑体" w:eastAsia="黑体" w:cs="黑体"/>
          <w:sz w:val="24"/>
          <w:szCs w:val="36"/>
        </w:rPr>
        <w:tab/>
      </w:r>
      <w:r>
        <w:rPr>
          <w:rFonts w:hint="eastAsia" w:ascii="黑体" w:hAnsi="黑体" w:eastAsia="黑体" w:cs="黑体"/>
          <w:sz w:val="24"/>
          <w:szCs w:val="36"/>
        </w:rPr>
        <w:fldChar w:fldCharType="begin"/>
      </w:r>
      <w:r>
        <w:rPr>
          <w:rFonts w:hint="eastAsia" w:ascii="黑体" w:hAnsi="黑体" w:eastAsia="黑体" w:cs="黑体"/>
          <w:sz w:val="24"/>
          <w:szCs w:val="36"/>
        </w:rPr>
        <w:instrText xml:space="preserve"> PAGEREF _Toc12458 \h </w:instrText>
      </w:r>
      <w:r>
        <w:rPr>
          <w:rFonts w:hint="eastAsia" w:ascii="黑体" w:hAnsi="黑体" w:eastAsia="黑体" w:cs="黑体"/>
          <w:sz w:val="24"/>
          <w:szCs w:val="36"/>
        </w:rPr>
        <w:fldChar w:fldCharType="separate"/>
      </w:r>
      <w:r>
        <w:rPr>
          <w:rFonts w:hint="eastAsia" w:ascii="黑体" w:hAnsi="黑体" w:eastAsia="黑体" w:cs="黑体"/>
          <w:sz w:val="24"/>
          <w:szCs w:val="36"/>
        </w:rPr>
        <w:t>29</w:t>
      </w:r>
      <w:r>
        <w:rPr>
          <w:rFonts w:hint="eastAsia" w:ascii="黑体" w:hAnsi="黑体" w:eastAsia="黑体" w:cs="黑体"/>
          <w:sz w:val="24"/>
          <w:szCs w:val="36"/>
        </w:rPr>
        <w:fldChar w:fldCharType="end"/>
      </w:r>
      <w:r>
        <w:rPr>
          <w:rFonts w:hint="eastAsia" w:ascii="黑体" w:hAnsi="黑体" w:eastAsia="黑体" w:cs="黑体"/>
          <w:sz w:val="24"/>
          <w:szCs w:val="36"/>
        </w:rPr>
        <w:fldChar w:fldCharType="end"/>
      </w:r>
    </w:p>
    <w:p>
      <w:pPr>
        <w:pStyle w:val="9"/>
        <w:widowControl/>
        <w:tabs>
          <w:tab w:val="right" w:leader="dot" w:pos="8844"/>
        </w:tabs>
        <w:autoSpaceDE w:val="0"/>
        <w:autoSpaceDN w:val="0"/>
        <w:spacing w:after="0" w:line="360" w:lineRule="auto"/>
        <w:jc w:val="left"/>
        <w:rPr>
          <w:rFonts w:ascii="黑体" w:hAnsi="黑体" w:eastAsia="黑体" w:cs="黑体"/>
          <w:sz w:val="24"/>
          <w:szCs w:val="36"/>
        </w:rPr>
      </w:pPr>
      <w:r>
        <w:fldChar w:fldCharType="begin"/>
      </w:r>
      <w:r>
        <w:instrText xml:space="preserve"> HYPERLINK \l "_Toc20172" </w:instrText>
      </w:r>
      <w:r>
        <w:fldChar w:fldCharType="separate"/>
      </w:r>
      <w:r>
        <w:rPr>
          <w:rFonts w:hint="eastAsia" w:ascii="黑体" w:hAnsi="黑体" w:eastAsia="黑体" w:cs="黑体"/>
          <w:sz w:val="24"/>
          <w:szCs w:val="36"/>
        </w:rPr>
        <w:t>四、主要环境影响和保护措施</w:t>
      </w:r>
      <w:r>
        <w:rPr>
          <w:rFonts w:hint="eastAsia" w:ascii="黑体" w:hAnsi="黑体" w:eastAsia="黑体" w:cs="黑体"/>
          <w:sz w:val="24"/>
          <w:szCs w:val="36"/>
        </w:rPr>
        <w:tab/>
      </w:r>
      <w:r>
        <w:rPr>
          <w:rFonts w:hint="eastAsia" w:ascii="黑体" w:hAnsi="黑体" w:eastAsia="黑体" w:cs="黑体"/>
          <w:sz w:val="24"/>
          <w:szCs w:val="36"/>
        </w:rPr>
        <w:fldChar w:fldCharType="begin"/>
      </w:r>
      <w:r>
        <w:rPr>
          <w:rFonts w:hint="eastAsia" w:ascii="黑体" w:hAnsi="黑体" w:eastAsia="黑体" w:cs="黑体"/>
          <w:sz w:val="24"/>
          <w:szCs w:val="36"/>
        </w:rPr>
        <w:instrText xml:space="preserve"> PAGEREF _Toc20172 \h </w:instrText>
      </w:r>
      <w:r>
        <w:rPr>
          <w:rFonts w:hint="eastAsia" w:ascii="黑体" w:hAnsi="黑体" w:eastAsia="黑体" w:cs="黑体"/>
          <w:sz w:val="24"/>
          <w:szCs w:val="36"/>
        </w:rPr>
        <w:fldChar w:fldCharType="separate"/>
      </w:r>
      <w:r>
        <w:rPr>
          <w:rFonts w:hint="eastAsia" w:ascii="黑体" w:hAnsi="黑体" w:eastAsia="黑体" w:cs="黑体"/>
          <w:sz w:val="24"/>
          <w:szCs w:val="36"/>
        </w:rPr>
        <w:t>37</w:t>
      </w:r>
      <w:r>
        <w:rPr>
          <w:rFonts w:hint="eastAsia" w:ascii="黑体" w:hAnsi="黑体" w:eastAsia="黑体" w:cs="黑体"/>
          <w:sz w:val="24"/>
          <w:szCs w:val="36"/>
        </w:rPr>
        <w:fldChar w:fldCharType="end"/>
      </w:r>
      <w:r>
        <w:rPr>
          <w:rFonts w:hint="eastAsia" w:ascii="黑体" w:hAnsi="黑体" w:eastAsia="黑体" w:cs="黑体"/>
          <w:sz w:val="24"/>
          <w:szCs w:val="36"/>
        </w:rPr>
        <w:fldChar w:fldCharType="end"/>
      </w:r>
    </w:p>
    <w:p>
      <w:pPr>
        <w:pStyle w:val="9"/>
        <w:widowControl/>
        <w:tabs>
          <w:tab w:val="right" w:leader="dot" w:pos="8844"/>
        </w:tabs>
        <w:autoSpaceDE w:val="0"/>
        <w:autoSpaceDN w:val="0"/>
        <w:spacing w:after="0" w:line="360" w:lineRule="auto"/>
        <w:jc w:val="left"/>
        <w:rPr>
          <w:rFonts w:ascii="黑体" w:hAnsi="黑体" w:eastAsia="黑体" w:cs="黑体"/>
          <w:sz w:val="24"/>
          <w:szCs w:val="36"/>
        </w:rPr>
      </w:pPr>
      <w:r>
        <w:fldChar w:fldCharType="begin"/>
      </w:r>
      <w:r>
        <w:instrText xml:space="preserve"> HYPERLINK \l "_Toc3605" </w:instrText>
      </w:r>
      <w:r>
        <w:fldChar w:fldCharType="separate"/>
      </w:r>
      <w:r>
        <w:rPr>
          <w:rFonts w:hint="eastAsia" w:ascii="黑体" w:hAnsi="黑体" w:eastAsia="黑体" w:cs="黑体"/>
          <w:sz w:val="24"/>
          <w:szCs w:val="36"/>
        </w:rPr>
        <w:t>五、环境保护措施监督检查清单</w:t>
      </w:r>
      <w:r>
        <w:rPr>
          <w:rFonts w:hint="eastAsia" w:ascii="黑体" w:hAnsi="黑体" w:eastAsia="黑体" w:cs="黑体"/>
          <w:sz w:val="24"/>
          <w:szCs w:val="36"/>
        </w:rPr>
        <w:tab/>
      </w:r>
      <w:r>
        <w:rPr>
          <w:rFonts w:hint="eastAsia" w:ascii="黑体" w:hAnsi="黑体" w:eastAsia="黑体" w:cs="黑体"/>
          <w:sz w:val="24"/>
          <w:szCs w:val="36"/>
        </w:rPr>
        <w:fldChar w:fldCharType="begin"/>
      </w:r>
      <w:r>
        <w:rPr>
          <w:rFonts w:hint="eastAsia" w:ascii="黑体" w:hAnsi="黑体" w:eastAsia="黑体" w:cs="黑体"/>
          <w:sz w:val="24"/>
          <w:szCs w:val="36"/>
        </w:rPr>
        <w:instrText xml:space="preserve"> PAGEREF _Toc3605 \h </w:instrText>
      </w:r>
      <w:r>
        <w:rPr>
          <w:rFonts w:hint="eastAsia" w:ascii="黑体" w:hAnsi="黑体" w:eastAsia="黑体" w:cs="黑体"/>
          <w:sz w:val="24"/>
          <w:szCs w:val="36"/>
        </w:rPr>
        <w:fldChar w:fldCharType="separate"/>
      </w:r>
      <w:r>
        <w:rPr>
          <w:rFonts w:hint="eastAsia" w:ascii="黑体" w:hAnsi="黑体" w:eastAsia="黑体" w:cs="黑体"/>
          <w:sz w:val="24"/>
          <w:szCs w:val="36"/>
        </w:rPr>
        <w:t>64</w:t>
      </w:r>
      <w:r>
        <w:rPr>
          <w:rFonts w:hint="eastAsia" w:ascii="黑体" w:hAnsi="黑体" w:eastAsia="黑体" w:cs="黑体"/>
          <w:sz w:val="24"/>
          <w:szCs w:val="36"/>
        </w:rPr>
        <w:fldChar w:fldCharType="end"/>
      </w:r>
      <w:r>
        <w:rPr>
          <w:rFonts w:hint="eastAsia" w:ascii="黑体" w:hAnsi="黑体" w:eastAsia="黑体" w:cs="黑体"/>
          <w:sz w:val="24"/>
          <w:szCs w:val="36"/>
        </w:rPr>
        <w:fldChar w:fldCharType="end"/>
      </w:r>
    </w:p>
    <w:p>
      <w:pPr>
        <w:pStyle w:val="9"/>
        <w:widowControl/>
        <w:tabs>
          <w:tab w:val="right" w:leader="dot" w:pos="8844"/>
        </w:tabs>
        <w:autoSpaceDE w:val="0"/>
        <w:autoSpaceDN w:val="0"/>
        <w:spacing w:after="0" w:line="360" w:lineRule="auto"/>
        <w:jc w:val="left"/>
        <w:rPr>
          <w:rFonts w:ascii="黑体" w:hAnsi="黑体" w:eastAsia="黑体" w:cs="黑体"/>
          <w:sz w:val="24"/>
          <w:szCs w:val="36"/>
          <w:lang w:val="zh-CN"/>
        </w:rPr>
      </w:pPr>
      <w:r>
        <w:fldChar w:fldCharType="begin"/>
      </w:r>
      <w:r>
        <w:instrText xml:space="preserve"> HYPERLINK \l "_Toc13850" </w:instrText>
      </w:r>
      <w:r>
        <w:fldChar w:fldCharType="separate"/>
      </w:r>
      <w:r>
        <w:rPr>
          <w:rFonts w:hint="eastAsia" w:ascii="黑体" w:hAnsi="黑体" w:eastAsia="黑体" w:cs="黑体"/>
          <w:sz w:val="24"/>
          <w:szCs w:val="36"/>
        </w:rPr>
        <w:t>六、结论</w:t>
      </w:r>
      <w:r>
        <w:rPr>
          <w:rFonts w:hint="eastAsia" w:ascii="黑体" w:hAnsi="黑体" w:eastAsia="黑体" w:cs="黑体"/>
          <w:sz w:val="24"/>
          <w:szCs w:val="36"/>
        </w:rPr>
        <w:tab/>
      </w:r>
      <w:r>
        <w:rPr>
          <w:rFonts w:hint="eastAsia" w:ascii="黑体" w:hAnsi="黑体" w:eastAsia="黑体" w:cs="黑体"/>
          <w:sz w:val="24"/>
          <w:szCs w:val="36"/>
        </w:rPr>
        <w:fldChar w:fldCharType="begin"/>
      </w:r>
      <w:r>
        <w:rPr>
          <w:rFonts w:hint="eastAsia" w:ascii="黑体" w:hAnsi="黑体" w:eastAsia="黑体" w:cs="黑体"/>
          <w:sz w:val="24"/>
          <w:szCs w:val="36"/>
        </w:rPr>
        <w:instrText xml:space="preserve"> PAGEREF _Toc13850 \h </w:instrText>
      </w:r>
      <w:r>
        <w:rPr>
          <w:rFonts w:hint="eastAsia" w:ascii="黑体" w:hAnsi="黑体" w:eastAsia="黑体" w:cs="黑体"/>
          <w:sz w:val="24"/>
          <w:szCs w:val="36"/>
        </w:rPr>
        <w:fldChar w:fldCharType="separate"/>
      </w:r>
      <w:r>
        <w:rPr>
          <w:rFonts w:hint="eastAsia" w:ascii="黑体" w:hAnsi="黑体" w:eastAsia="黑体" w:cs="黑体"/>
          <w:sz w:val="24"/>
          <w:szCs w:val="36"/>
        </w:rPr>
        <w:t>67</w:t>
      </w:r>
      <w:r>
        <w:rPr>
          <w:rFonts w:hint="eastAsia" w:ascii="黑体" w:hAnsi="黑体" w:eastAsia="黑体" w:cs="黑体"/>
          <w:sz w:val="24"/>
          <w:szCs w:val="36"/>
        </w:rPr>
        <w:fldChar w:fldCharType="end"/>
      </w:r>
      <w:r>
        <w:rPr>
          <w:rFonts w:hint="eastAsia" w:ascii="黑体" w:hAnsi="黑体" w:eastAsia="黑体" w:cs="黑体"/>
          <w:sz w:val="24"/>
          <w:szCs w:val="36"/>
        </w:rPr>
        <w:fldChar w:fldCharType="end"/>
      </w:r>
    </w:p>
    <w:p>
      <w:pPr>
        <w:pStyle w:val="9"/>
        <w:widowControl/>
        <w:tabs>
          <w:tab w:val="right" w:leader="dot" w:pos="8844"/>
        </w:tabs>
        <w:autoSpaceDE w:val="0"/>
        <w:autoSpaceDN w:val="0"/>
        <w:spacing w:after="0" w:line="360" w:lineRule="auto"/>
        <w:jc w:val="left"/>
      </w:pPr>
      <w:r>
        <w:fldChar w:fldCharType="begin"/>
      </w:r>
      <w:r>
        <w:instrText xml:space="preserve"> HYPERLINK \l "_Toc13211" </w:instrText>
      </w:r>
      <w:r>
        <w:fldChar w:fldCharType="separate"/>
      </w:r>
      <w:r>
        <w:rPr>
          <w:rFonts w:hint="eastAsia" w:ascii="黑体" w:hAnsi="黑体" w:eastAsia="黑体" w:cs="黑体"/>
          <w:sz w:val="24"/>
          <w:szCs w:val="36"/>
        </w:rPr>
        <w:t>附表  建设项目污染物排放量汇总表</w:t>
      </w:r>
      <w:r>
        <w:rPr>
          <w:rFonts w:hint="eastAsia" w:ascii="黑体" w:hAnsi="黑体" w:eastAsia="黑体" w:cs="黑体"/>
          <w:sz w:val="24"/>
          <w:szCs w:val="36"/>
        </w:rPr>
        <w:tab/>
      </w:r>
      <w:r>
        <w:rPr>
          <w:rFonts w:hint="eastAsia" w:ascii="黑体" w:hAnsi="黑体" w:eastAsia="黑体" w:cs="黑体"/>
          <w:sz w:val="24"/>
          <w:szCs w:val="36"/>
        </w:rPr>
        <w:fldChar w:fldCharType="begin"/>
      </w:r>
      <w:r>
        <w:rPr>
          <w:rFonts w:hint="eastAsia" w:ascii="黑体" w:hAnsi="黑体" w:eastAsia="黑体" w:cs="黑体"/>
          <w:sz w:val="24"/>
          <w:szCs w:val="36"/>
        </w:rPr>
        <w:instrText xml:space="preserve"> PAGEREF _Toc13211 \h </w:instrText>
      </w:r>
      <w:r>
        <w:rPr>
          <w:rFonts w:hint="eastAsia" w:ascii="黑体" w:hAnsi="黑体" w:eastAsia="黑体" w:cs="黑体"/>
          <w:sz w:val="24"/>
          <w:szCs w:val="36"/>
        </w:rPr>
        <w:fldChar w:fldCharType="separate"/>
      </w:r>
      <w:r>
        <w:rPr>
          <w:rFonts w:hint="eastAsia" w:ascii="黑体" w:hAnsi="黑体" w:eastAsia="黑体" w:cs="黑体"/>
          <w:sz w:val="24"/>
          <w:szCs w:val="36"/>
        </w:rPr>
        <w:t>68</w:t>
      </w:r>
      <w:r>
        <w:rPr>
          <w:rFonts w:hint="eastAsia" w:ascii="黑体" w:hAnsi="黑体" w:eastAsia="黑体" w:cs="黑体"/>
          <w:sz w:val="24"/>
          <w:szCs w:val="36"/>
        </w:rPr>
        <w:fldChar w:fldCharType="end"/>
      </w:r>
      <w:r>
        <w:rPr>
          <w:rFonts w:hint="eastAsia" w:ascii="黑体" w:hAnsi="黑体" w:eastAsia="黑体" w:cs="黑体"/>
          <w:sz w:val="24"/>
          <w:szCs w:val="36"/>
        </w:rPr>
        <w:fldChar w:fldCharType="end"/>
      </w:r>
    </w:p>
    <w:p>
      <w:pPr>
        <w:spacing w:line="340" w:lineRule="exact"/>
      </w:pPr>
      <w:r>
        <w:rPr>
          <w:bCs/>
          <w:lang w:val="zh-CN"/>
        </w:rPr>
        <w:fldChar w:fldCharType="end"/>
      </w:r>
      <w:bookmarkStart w:id="3" w:name="_Hlk82798062"/>
    </w:p>
    <w:bookmarkEnd w:id="3"/>
    <w:p>
      <w:pPr>
        <w:spacing w:line="400" w:lineRule="exact"/>
        <w:rPr>
          <w:b/>
          <w:bCs/>
        </w:rPr>
      </w:pPr>
      <w:bookmarkStart w:id="4" w:name="_Toc157070550"/>
      <w:r>
        <w:rPr>
          <w:rFonts w:hint="eastAsia"/>
          <w:b/>
          <w:bCs/>
        </w:rPr>
        <w:t>附件</w:t>
      </w:r>
      <w:bookmarkEnd w:id="4"/>
    </w:p>
    <w:p>
      <w:pPr>
        <w:spacing w:line="400" w:lineRule="exact"/>
      </w:pPr>
      <w:bookmarkStart w:id="5" w:name="_Hlk156166007"/>
      <w:r>
        <w:rPr>
          <w:rFonts w:hint="eastAsia"/>
        </w:rPr>
        <w:t>附件1   委托书</w:t>
      </w:r>
    </w:p>
    <w:p>
      <w:pPr>
        <w:spacing w:line="400" w:lineRule="exact"/>
        <w:ind w:left="840" w:hanging="840" w:hangingChars="400"/>
      </w:pPr>
      <w:r>
        <w:rPr>
          <w:rFonts w:hint="eastAsia"/>
        </w:rPr>
        <w:t>附件2   营业执照</w:t>
      </w:r>
    </w:p>
    <w:p>
      <w:pPr>
        <w:spacing w:line="400" w:lineRule="exact"/>
      </w:pPr>
      <w:bookmarkStart w:id="6" w:name="_Toc157070551"/>
      <w:r>
        <w:rPr>
          <w:rFonts w:hint="eastAsia"/>
        </w:rPr>
        <w:t xml:space="preserve">附件3  </w:t>
      </w:r>
      <w:bookmarkEnd w:id="6"/>
      <w:r>
        <w:rPr>
          <w:rFonts w:hint="eastAsia"/>
        </w:rPr>
        <w:t xml:space="preserve"> 本项目备案信息</w:t>
      </w:r>
    </w:p>
    <w:p>
      <w:pPr>
        <w:spacing w:line="400" w:lineRule="exact"/>
      </w:pPr>
      <w:bookmarkStart w:id="7" w:name="_Toc157070552"/>
      <w:r>
        <w:rPr>
          <w:rFonts w:hint="eastAsia"/>
        </w:rPr>
        <w:t>附件4</w:t>
      </w:r>
      <w:bookmarkEnd w:id="7"/>
      <w:r>
        <w:rPr>
          <w:rFonts w:hint="eastAsia"/>
        </w:rPr>
        <w:t xml:space="preserve">   本项目用地批复</w:t>
      </w:r>
    </w:p>
    <w:p>
      <w:pPr>
        <w:spacing w:line="400" w:lineRule="exact"/>
      </w:pPr>
      <w:bookmarkStart w:id="8" w:name="_Toc157070553"/>
      <w:r>
        <w:rPr>
          <w:rFonts w:hint="eastAsia"/>
        </w:rPr>
        <w:t>附件5   危险废物处置协议</w:t>
      </w:r>
    </w:p>
    <w:bookmarkEnd w:id="8"/>
    <w:p>
      <w:pPr>
        <w:spacing w:line="400" w:lineRule="exact"/>
        <w:rPr>
          <w:rFonts w:hint="eastAsia"/>
        </w:rPr>
      </w:pPr>
      <w:bookmarkStart w:id="9" w:name="_Toc157070554"/>
      <w:r>
        <w:rPr>
          <w:rFonts w:hint="eastAsia"/>
        </w:rPr>
        <w:t xml:space="preserve">附件6  </w:t>
      </w:r>
      <w:bookmarkEnd w:id="5"/>
      <w:bookmarkEnd w:id="9"/>
      <w:bookmarkStart w:id="10" w:name="_Toc157070555"/>
      <w:r>
        <w:rPr>
          <w:rFonts w:hint="eastAsia"/>
        </w:rPr>
        <w:t xml:space="preserve"> 生物质检测报告</w:t>
      </w:r>
    </w:p>
    <w:p>
      <w:pPr>
        <w:spacing w:line="400" w:lineRule="exact"/>
      </w:pPr>
      <w:r>
        <w:rPr>
          <w:rFonts w:hint="eastAsia"/>
        </w:rPr>
        <w:t>附件</w:t>
      </w:r>
      <w:r>
        <w:rPr>
          <w:rFonts w:hint="eastAsia"/>
          <w:lang w:val="en-US" w:eastAsia="zh-CN"/>
        </w:rPr>
        <w:t>7</w:t>
      </w:r>
      <w:r>
        <w:rPr>
          <w:rFonts w:hint="eastAsia"/>
        </w:rPr>
        <w:t xml:space="preserve">   环境空气TSP现状检测报告</w:t>
      </w:r>
    </w:p>
    <w:p>
      <w:pPr>
        <w:spacing w:line="400" w:lineRule="exact"/>
        <w:rPr>
          <w:b/>
          <w:bCs/>
        </w:rPr>
      </w:pPr>
      <w:r>
        <w:rPr>
          <w:rFonts w:hint="eastAsia"/>
          <w:b/>
          <w:bCs/>
        </w:rPr>
        <w:t>附图</w:t>
      </w:r>
    </w:p>
    <w:p>
      <w:pPr>
        <w:spacing w:line="400" w:lineRule="exact"/>
      </w:pPr>
      <w:bookmarkStart w:id="11" w:name="_Hlk82798211"/>
      <w:r>
        <w:rPr>
          <w:rFonts w:hint="eastAsia"/>
        </w:rPr>
        <w:t>附图1  项目地理位置图</w:t>
      </w:r>
    </w:p>
    <w:bookmarkEnd w:id="11"/>
    <w:p>
      <w:pPr>
        <w:spacing w:line="400" w:lineRule="exact"/>
      </w:pPr>
      <w:r>
        <w:rPr>
          <w:rFonts w:hint="eastAsia"/>
        </w:rPr>
        <w:t>附图2  项目周边关系图</w:t>
      </w:r>
    </w:p>
    <w:p>
      <w:pPr>
        <w:spacing w:line="400" w:lineRule="exact"/>
      </w:pPr>
      <w:r>
        <w:rPr>
          <w:rFonts w:hint="eastAsia"/>
        </w:rPr>
        <w:t>附图3  项目平面布置图</w:t>
      </w:r>
    </w:p>
    <w:p>
      <w:pPr>
        <w:spacing w:line="400" w:lineRule="exact"/>
      </w:pPr>
      <w:r>
        <w:rPr>
          <w:rFonts w:hint="eastAsia"/>
        </w:rPr>
        <w:t>附图4  项目选址与生态保护红线位置图</w:t>
      </w:r>
    </w:p>
    <w:p>
      <w:pPr>
        <w:spacing w:line="340" w:lineRule="exact"/>
      </w:pPr>
    </w:p>
    <w:bookmarkEnd w:id="10"/>
    <w:p>
      <w:pPr>
        <w:pStyle w:val="20"/>
        <w:jc w:val="center"/>
        <w:outlineLvl w:val="0"/>
        <w:rPr>
          <w:rFonts w:cs="宋体"/>
          <w:b/>
          <w:bCs/>
          <w:snapToGrid w:val="0"/>
          <w:szCs w:val="24"/>
        </w:rPr>
      </w:pPr>
    </w:p>
    <w:p>
      <w:pPr>
        <w:pStyle w:val="20"/>
        <w:jc w:val="center"/>
        <w:outlineLvl w:val="0"/>
        <w:rPr>
          <w:rFonts w:cs="宋体"/>
          <w:b/>
          <w:bCs/>
          <w:snapToGrid w:val="0"/>
          <w:szCs w:val="24"/>
        </w:rPr>
      </w:pPr>
    </w:p>
    <w:p>
      <w:pPr>
        <w:pStyle w:val="20"/>
        <w:jc w:val="center"/>
        <w:outlineLvl w:val="0"/>
        <w:rPr>
          <w:rFonts w:cs="宋体"/>
          <w:b/>
          <w:bCs/>
          <w:snapToGrid w:val="0"/>
          <w:szCs w:val="24"/>
        </w:rPr>
      </w:pPr>
    </w:p>
    <w:p>
      <w:pPr>
        <w:pStyle w:val="20"/>
        <w:jc w:val="center"/>
        <w:outlineLvl w:val="0"/>
        <w:rPr>
          <w:rFonts w:cs="宋体"/>
          <w:b/>
          <w:bCs/>
          <w:snapToGrid w:val="0"/>
          <w:szCs w:val="24"/>
        </w:rPr>
      </w:pPr>
    </w:p>
    <w:p>
      <w:pPr>
        <w:pStyle w:val="20"/>
        <w:jc w:val="center"/>
        <w:outlineLvl w:val="0"/>
        <w:rPr>
          <w:rFonts w:cs="宋体"/>
          <w:b/>
          <w:bCs/>
          <w:snapToGrid w:val="0"/>
          <w:szCs w:val="24"/>
        </w:rPr>
      </w:pPr>
    </w:p>
    <w:p>
      <w:pPr>
        <w:pStyle w:val="20"/>
        <w:jc w:val="both"/>
        <w:outlineLvl w:val="0"/>
        <w:rPr>
          <w:rFonts w:cs="宋体"/>
          <w:b/>
          <w:bCs/>
          <w:snapToGrid w:val="0"/>
          <w:szCs w:val="24"/>
        </w:rPr>
      </w:pPr>
    </w:p>
    <w:p>
      <w:pPr>
        <w:pStyle w:val="20"/>
        <w:jc w:val="center"/>
        <w:outlineLvl w:val="0"/>
        <w:rPr>
          <w:rFonts w:cs="宋体"/>
          <w:b/>
          <w:bCs/>
          <w:snapToGrid w:val="0"/>
          <w:szCs w:val="24"/>
        </w:rPr>
        <w:sectPr>
          <w:footerReference r:id="rId5" w:type="default"/>
          <w:pgSz w:w="11906" w:h="16838"/>
          <w:pgMar w:top="1701" w:right="1531" w:bottom="1701" w:left="1531" w:header="851" w:footer="1077" w:gutter="0"/>
          <w:pgNumType w:start="1"/>
          <w:cols w:space="720" w:num="1"/>
          <w:docGrid w:linePitch="312" w:charSpace="0"/>
        </w:sectPr>
      </w:pPr>
    </w:p>
    <w:p>
      <w:pPr>
        <w:pStyle w:val="20"/>
        <w:jc w:val="center"/>
        <w:outlineLvl w:val="0"/>
        <w:rPr>
          <w:rFonts w:cs="宋体"/>
          <w:b/>
          <w:bCs/>
          <w:snapToGrid w:val="0"/>
          <w:szCs w:val="24"/>
        </w:rPr>
      </w:pPr>
      <w:bookmarkStart w:id="12" w:name="_Toc15023"/>
      <w:r>
        <w:rPr>
          <w:rFonts w:hint="eastAsia" w:cs="宋体"/>
          <w:b/>
          <w:bCs/>
          <w:snapToGrid w:val="0"/>
          <w:szCs w:val="24"/>
        </w:rPr>
        <w:t>一、建设项目基本情况</w:t>
      </w:r>
      <w:bookmarkEnd w:id="12"/>
    </w:p>
    <w:tbl>
      <w:tblPr>
        <w:tblStyle w:val="24"/>
        <w:tblW w:w="88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84"/>
        <w:gridCol w:w="1668"/>
        <w:gridCol w:w="2517"/>
        <w:gridCol w:w="37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84" w:type="dxa"/>
            <w:noWrap/>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建设项目名称</w:t>
            </w:r>
          </w:p>
        </w:tc>
        <w:tc>
          <w:tcPr>
            <w:tcW w:w="7908" w:type="dxa"/>
            <w:gridSpan w:val="3"/>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围场满族蒙古族自治县腾兴农业发展有限公司食用菌标准化生产车间及锅炉建设项目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7" w:hRule="atLeast"/>
          <w:jc w:val="center"/>
        </w:trPr>
        <w:tc>
          <w:tcPr>
            <w:tcW w:w="984" w:type="dxa"/>
            <w:noWrap/>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项目代码</w:t>
            </w:r>
          </w:p>
        </w:tc>
        <w:tc>
          <w:tcPr>
            <w:tcW w:w="7908" w:type="dxa"/>
            <w:gridSpan w:val="3"/>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2302-130828-89-01-941435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84" w:type="dxa"/>
            <w:noWrap/>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建设单位联系人</w:t>
            </w:r>
          </w:p>
        </w:tc>
        <w:tc>
          <w:tcPr>
            <w:tcW w:w="1668" w:type="dxa"/>
            <w:noWrap/>
            <w:vAlign w:val="center"/>
          </w:tcPr>
          <w:p>
            <w:pPr>
              <w:adjustRightInd w:val="0"/>
              <w:snapToGrid w:val="0"/>
              <w:jc w:val="center"/>
              <w:rPr>
                <w:rFonts w:ascii="宋体" w:hAnsi="宋体" w:cs="宋体"/>
                <w:color w:val="000000" w:themeColor="text1"/>
                <w:szCs w:val="21"/>
                <w:highlight w:val="yellow"/>
                <w14:textFill>
                  <w14:solidFill>
                    <w14:schemeClr w14:val="tx1"/>
                  </w14:solidFill>
                </w14:textFill>
              </w:rPr>
            </w:pPr>
          </w:p>
        </w:tc>
        <w:tc>
          <w:tcPr>
            <w:tcW w:w="2517" w:type="dxa"/>
            <w:noWrap/>
            <w:vAlign w:val="center"/>
          </w:tcPr>
          <w:p>
            <w:pPr>
              <w:adjustRightInd w:val="0"/>
              <w:snapToGrid w:val="0"/>
              <w:jc w:val="center"/>
              <w:rPr>
                <w:rFonts w:ascii="宋体" w:hAnsi="宋体" w:cs="宋体"/>
                <w:color w:val="000000" w:themeColor="text1"/>
                <w:szCs w:val="21"/>
                <w:highlight w:val="yellow"/>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联系方式</w:t>
            </w:r>
          </w:p>
        </w:tc>
        <w:tc>
          <w:tcPr>
            <w:tcW w:w="3723" w:type="dxa"/>
            <w:noWrap/>
            <w:vAlign w:val="center"/>
          </w:tcPr>
          <w:p>
            <w:pPr>
              <w:adjustRightInd w:val="0"/>
              <w:snapToGrid w:val="0"/>
              <w:jc w:val="center"/>
              <w:rPr>
                <w:rFonts w:ascii="宋体" w:hAnsi="宋体" w:cs="宋体"/>
                <w:color w:val="000000" w:themeColor="text1"/>
                <w:szCs w:val="21"/>
                <w:highlight w:val="yellow"/>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84" w:type="dxa"/>
            <w:noWrap/>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建设地点</w:t>
            </w:r>
          </w:p>
        </w:tc>
        <w:tc>
          <w:tcPr>
            <w:tcW w:w="7908" w:type="dxa"/>
            <w:gridSpan w:val="3"/>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承德市围场满族蒙古族自治县新地镇大西沟村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84" w:type="dxa"/>
            <w:noWrap/>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地理坐标</w:t>
            </w:r>
          </w:p>
        </w:tc>
        <w:tc>
          <w:tcPr>
            <w:tcW w:w="7908" w:type="dxa"/>
            <w:gridSpan w:val="3"/>
            <w:noWrap/>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u w:val="single"/>
                <w14:textFill>
                  <w14:solidFill>
                    <w14:schemeClr w14:val="tx1"/>
                  </w14:solidFill>
                </w14:textFill>
              </w:rPr>
              <w:t>118</w:t>
            </w:r>
            <w:r>
              <w:rPr>
                <w:rFonts w:hint="eastAsia" w:ascii="宋体" w:hAnsi="宋体" w:cs="宋体"/>
                <w:color w:val="000000" w:themeColor="text1"/>
                <w:szCs w:val="21"/>
                <w14:textFill>
                  <w14:solidFill>
                    <w14:schemeClr w14:val="tx1"/>
                  </w14:solidFill>
                </w14:textFill>
              </w:rPr>
              <w:t>度</w:t>
            </w:r>
            <w:r>
              <w:rPr>
                <w:rFonts w:hint="eastAsia" w:ascii="宋体" w:hAnsi="宋体" w:cs="宋体"/>
                <w:color w:val="000000" w:themeColor="text1"/>
                <w:szCs w:val="21"/>
                <w:u w:val="single"/>
                <w14:textFill>
                  <w14:solidFill>
                    <w14:schemeClr w14:val="tx1"/>
                  </w14:solidFill>
                </w14:textFill>
              </w:rPr>
              <w:t>11</w:t>
            </w:r>
            <w:r>
              <w:rPr>
                <w:rFonts w:hint="eastAsia" w:ascii="宋体" w:hAnsi="宋体" w:cs="宋体"/>
                <w:color w:val="000000" w:themeColor="text1"/>
                <w:szCs w:val="21"/>
                <w14:textFill>
                  <w14:solidFill>
                    <w14:schemeClr w14:val="tx1"/>
                  </w14:solidFill>
                </w14:textFill>
              </w:rPr>
              <w:t>分</w:t>
            </w:r>
            <w:r>
              <w:rPr>
                <w:rFonts w:hint="eastAsia" w:ascii="宋体" w:hAnsi="宋体" w:cs="宋体"/>
                <w:color w:val="000000" w:themeColor="text1"/>
                <w:szCs w:val="21"/>
                <w:u w:val="single"/>
                <w14:textFill>
                  <w14:solidFill>
                    <w14:schemeClr w14:val="tx1"/>
                  </w14:solidFill>
                </w14:textFill>
              </w:rPr>
              <w:t>59.831</w:t>
            </w:r>
            <w:r>
              <w:rPr>
                <w:rFonts w:hint="eastAsia" w:ascii="宋体" w:hAnsi="宋体" w:cs="宋体"/>
                <w:color w:val="000000" w:themeColor="text1"/>
                <w:szCs w:val="21"/>
                <w14:textFill>
                  <w14:solidFill>
                    <w14:schemeClr w14:val="tx1"/>
                  </w14:solidFill>
                </w14:textFill>
              </w:rPr>
              <w:t>秒，</w:t>
            </w:r>
            <w:r>
              <w:rPr>
                <w:rFonts w:hint="eastAsia" w:ascii="宋体" w:hAnsi="宋体" w:cs="宋体"/>
                <w:color w:val="000000" w:themeColor="text1"/>
                <w:szCs w:val="21"/>
                <w:u w:val="single"/>
                <w14:textFill>
                  <w14:solidFill>
                    <w14:schemeClr w14:val="tx1"/>
                  </w14:solidFill>
                </w14:textFill>
              </w:rPr>
              <w:t>41</w:t>
            </w:r>
            <w:r>
              <w:rPr>
                <w:rFonts w:hint="eastAsia" w:ascii="宋体" w:hAnsi="宋体" w:cs="宋体"/>
                <w:color w:val="000000" w:themeColor="text1"/>
                <w:szCs w:val="21"/>
                <w14:textFill>
                  <w14:solidFill>
                    <w14:schemeClr w14:val="tx1"/>
                  </w14:solidFill>
                </w14:textFill>
              </w:rPr>
              <w:t>度</w:t>
            </w:r>
            <w:r>
              <w:rPr>
                <w:rFonts w:hint="eastAsia" w:ascii="宋体" w:hAnsi="宋体" w:cs="宋体"/>
                <w:color w:val="000000" w:themeColor="text1"/>
                <w:szCs w:val="21"/>
                <w:u w:val="single"/>
                <w14:textFill>
                  <w14:solidFill>
                    <w14:schemeClr w14:val="tx1"/>
                  </w14:solidFill>
                </w14:textFill>
              </w:rPr>
              <w:t>52</w:t>
            </w:r>
            <w:r>
              <w:rPr>
                <w:rFonts w:hint="eastAsia" w:ascii="宋体" w:hAnsi="宋体" w:cs="宋体"/>
                <w:color w:val="000000" w:themeColor="text1"/>
                <w:szCs w:val="21"/>
                <w14:textFill>
                  <w14:solidFill>
                    <w14:schemeClr w14:val="tx1"/>
                  </w14:solidFill>
                </w14:textFill>
              </w:rPr>
              <w:t>分</w:t>
            </w:r>
            <w:r>
              <w:rPr>
                <w:rFonts w:hint="eastAsia" w:ascii="宋体" w:hAnsi="宋体" w:cs="宋体"/>
                <w:color w:val="000000" w:themeColor="text1"/>
                <w:szCs w:val="21"/>
                <w:u w:val="single"/>
                <w14:textFill>
                  <w14:solidFill>
                    <w14:schemeClr w14:val="tx1"/>
                  </w14:solidFill>
                </w14:textFill>
              </w:rPr>
              <w:t>28.321</w:t>
            </w:r>
            <w:r>
              <w:rPr>
                <w:rFonts w:hint="eastAsia" w:ascii="宋体" w:hAnsi="宋体" w:cs="宋体"/>
                <w:color w:val="000000" w:themeColor="text1"/>
                <w:szCs w:val="21"/>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984" w:type="dxa"/>
            <w:noWrap/>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国民经济</w:t>
            </w:r>
          </w:p>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行业类别</w:t>
            </w:r>
          </w:p>
        </w:tc>
        <w:tc>
          <w:tcPr>
            <w:tcW w:w="1668" w:type="dxa"/>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D4430热力生产和供应；A0142食用菌种植</w:t>
            </w:r>
          </w:p>
        </w:tc>
        <w:tc>
          <w:tcPr>
            <w:tcW w:w="2517" w:type="dxa"/>
            <w:noWrap/>
            <w:vAlign w:val="center"/>
          </w:tcPr>
          <w:p>
            <w:pPr>
              <w:adjustRightInd w:val="0"/>
              <w:snapToGrid w:val="0"/>
              <w:jc w:val="center"/>
              <w:rPr>
                <w:rFonts w:ascii="宋体" w:hAnsi="宋体" w:cs="宋体"/>
                <w:color w:val="000000" w:themeColor="text1"/>
                <w:szCs w:val="21"/>
                <w14:textFill>
                  <w14:solidFill>
                    <w14:schemeClr w14:val="tx1"/>
                  </w14:solidFill>
                </w14:textFill>
              </w:rPr>
            </w:pPr>
            <w:bookmarkStart w:id="13" w:name="_Hlk49843745"/>
            <w:r>
              <w:rPr>
                <w:rFonts w:hint="eastAsia" w:ascii="宋体" w:hAnsi="宋体" w:cs="宋体"/>
                <w:color w:val="000000" w:themeColor="text1"/>
                <w:szCs w:val="21"/>
                <w14:textFill>
                  <w14:solidFill>
                    <w14:schemeClr w14:val="tx1"/>
                  </w14:solidFill>
                </w14:textFill>
              </w:rPr>
              <w:t>建设项目</w:t>
            </w:r>
          </w:p>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行业类别</w:t>
            </w:r>
            <w:bookmarkEnd w:id="13"/>
          </w:p>
        </w:tc>
        <w:tc>
          <w:tcPr>
            <w:tcW w:w="3723" w:type="dxa"/>
            <w:noWrap/>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四十一、电力、热力生产和供应，91热力生产和供应工程；一、农业01、林业02，1、农产品基地项目（含药材基地）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984" w:type="dxa"/>
            <w:noWrap/>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建设性质</w:t>
            </w:r>
          </w:p>
        </w:tc>
        <w:tc>
          <w:tcPr>
            <w:tcW w:w="1668" w:type="dxa"/>
            <w:noWrap/>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sym w:font="Wingdings 2" w:char="00A3"/>
            </w:r>
            <w:r>
              <w:rPr>
                <w:rFonts w:hint="eastAsia" w:ascii="宋体" w:hAnsi="宋体" w:cs="宋体"/>
                <w:color w:val="000000" w:themeColor="text1"/>
                <w:szCs w:val="21"/>
                <w14:textFill>
                  <w14:solidFill>
                    <w14:schemeClr w14:val="tx1"/>
                  </w14:solidFill>
                </w14:textFill>
              </w:rPr>
              <w:t>新建（迁建）</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sym w:font="Wingdings 2" w:char="00A3"/>
            </w:r>
            <w:r>
              <w:rPr>
                <w:rFonts w:hint="eastAsia" w:ascii="宋体" w:hAnsi="宋体" w:cs="宋体"/>
                <w:color w:val="000000" w:themeColor="text1"/>
                <w:szCs w:val="21"/>
                <w14:textFill>
                  <w14:solidFill>
                    <w14:schemeClr w14:val="tx1"/>
                  </w14:solidFill>
                </w14:textFill>
              </w:rPr>
              <w:t>改建</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sym w:font="Wingdings 2" w:char="0052"/>
            </w:r>
            <w:r>
              <w:rPr>
                <w:rFonts w:hint="eastAsia" w:ascii="宋体" w:hAnsi="宋体" w:cs="宋体"/>
                <w:color w:val="000000" w:themeColor="text1"/>
                <w:szCs w:val="21"/>
                <w14:textFill>
                  <w14:solidFill>
                    <w14:schemeClr w14:val="tx1"/>
                  </w14:solidFill>
                </w14:textFill>
              </w:rPr>
              <w:t>扩建</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□技术改造</w:t>
            </w:r>
          </w:p>
        </w:tc>
        <w:tc>
          <w:tcPr>
            <w:tcW w:w="2517" w:type="dxa"/>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建设项目</w:t>
            </w:r>
          </w:p>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申报情形</w:t>
            </w:r>
          </w:p>
        </w:tc>
        <w:tc>
          <w:tcPr>
            <w:tcW w:w="3723" w:type="dxa"/>
            <w:noWrap/>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☑首次申报项目             </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□不予批准后再次申报项目</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□超五年重新审核项目     </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984" w:type="dxa"/>
            <w:noWrap/>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项目审批（核准/</w:t>
            </w:r>
          </w:p>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备案）部门（选填）</w:t>
            </w:r>
          </w:p>
        </w:tc>
        <w:tc>
          <w:tcPr>
            <w:tcW w:w="1668" w:type="dxa"/>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围场满族蒙古族自治县行政审批局</w:t>
            </w:r>
          </w:p>
        </w:tc>
        <w:tc>
          <w:tcPr>
            <w:tcW w:w="2517" w:type="dxa"/>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项目审批（核准/</w:t>
            </w:r>
          </w:p>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备案）文号（选填）</w:t>
            </w:r>
          </w:p>
        </w:tc>
        <w:tc>
          <w:tcPr>
            <w:tcW w:w="3723" w:type="dxa"/>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围行审投字【2022】222号</w:t>
            </w:r>
          </w:p>
          <w:p>
            <w:pPr>
              <w:pStyle w:val="23"/>
              <w:ind w:leftChars="0"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围行审投字【2023】15号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84" w:type="dxa"/>
            <w:noWrap/>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总投资（万元）</w:t>
            </w:r>
          </w:p>
        </w:tc>
        <w:tc>
          <w:tcPr>
            <w:tcW w:w="1668" w:type="dxa"/>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800</w:t>
            </w:r>
          </w:p>
        </w:tc>
        <w:tc>
          <w:tcPr>
            <w:tcW w:w="2517" w:type="dxa"/>
            <w:noWrap/>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环保投资（万元）</w:t>
            </w:r>
          </w:p>
        </w:tc>
        <w:tc>
          <w:tcPr>
            <w:tcW w:w="3723" w:type="dxa"/>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84" w:type="dxa"/>
            <w:noWrap/>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环保投资占比（%）</w:t>
            </w:r>
          </w:p>
        </w:tc>
        <w:tc>
          <w:tcPr>
            <w:tcW w:w="1668" w:type="dxa"/>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12.44</w:t>
            </w:r>
          </w:p>
        </w:tc>
        <w:tc>
          <w:tcPr>
            <w:tcW w:w="2517" w:type="dxa"/>
            <w:noWrap/>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施工工期</w:t>
            </w:r>
          </w:p>
        </w:tc>
        <w:tc>
          <w:tcPr>
            <w:tcW w:w="3723" w:type="dxa"/>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szCs w:val="21"/>
              </w:rPr>
              <w:t>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84" w:type="dxa"/>
            <w:noWrap/>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是否开工建设</w:t>
            </w:r>
          </w:p>
        </w:tc>
        <w:tc>
          <w:tcPr>
            <w:tcW w:w="1668" w:type="dxa"/>
            <w:noWrap/>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☑否</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□是：</w:t>
            </w:r>
          </w:p>
        </w:tc>
        <w:tc>
          <w:tcPr>
            <w:tcW w:w="2517" w:type="dxa"/>
            <w:noWrap/>
            <w:tcMar>
              <w:top w:w="16" w:type="dxa"/>
              <w:left w:w="16" w:type="dxa"/>
              <w:right w:w="16" w:type="dxa"/>
            </w:tcMar>
            <w:vAlign w:val="center"/>
          </w:tcPr>
          <w:p>
            <w:pPr>
              <w:adjustRightInd w:val="0"/>
              <w:snapToGrid w:val="0"/>
              <w:jc w:val="center"/>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用地（用海）</w:t>
            </w:r>
          </w:p>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面积（m</w:t>
            </w:r>
            <w:r>
              <w:rPr>
                <w:rFonts w:hint="eastAsia" w:ascii="宋体" w:hAnsi="宋体" w:cs="宋体"/>
                <w:color w:val="000000" w:themeColor="text1"/>
                <w:spacing w:val="-6"/>
                <w:szCs w:val="21"/>
                <w:vertAlign w:val="superscript"/>
                <w14:textFill>
                  <w14:solidFill>
                    <w14:schemeClr w14:val="tx1"/>
                  </w14:solidFill>
                </w14:textFill>
              </w:rPr>
              <w:t>2</w:t>
            </w:r>
            <w:r>
              <w:rPr>
                <w:rFonts w:hint="eastAsia" w:ascii="宋体" w:hAnsi="宋体" w:cs="宋体"/>
                <w:color w:val="000000" w:themeColor="text1"/>
                <w:spacing w:val="-6"/>
                <w:szCs w:val="21"/>
                <w14:textFill>
                  <w14:solidFill>
                    <w14:schemeClr w14:val="tx1"/>
                  </w14:solidFill>
                </w14:textFill>
              </w:rPr>
              <w:t>）</w:t>
            </w:r>
          </w:p>
        </w:tc>
        <w:tc>
          <w:tcPr>
            <w:tcW w:w="3723" w:type="dxa"/>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7472.83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84" w:type="dxa"/>
            <w:noWrap/>
            <w:vAlign w:val="center"/>
          </w:tcPr>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专项评价设置情况</w:t>
            </w:r>
          </w:p>
        </w:tc>
        <w:tc>
          <w:tcPr>
            <w:tcW w:w="7908" w:type="dxa"/>
            <w:gridSpan w:val="3"/>
            <w:noWrap/>
            <w:vAlign w:val="center"/>
          </w:tcPr>
          <w:p>
            <w:pPr>
              <w:tabs>
                <w:tab w:val="left" w:pos="1655"/>
                <w:tab w:val="center" w:pos="3196"/>
              </w:tabs>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84" w:type="dxa"/>
            <w:noWrap/>
            <w:vAlign w:val="center"/>
          </w:tcPr>
          <w:p>
            <w:pPr>
              <w:autoSpaceDE w:val="0"/>
              <w:autoSpaceDN w:val="0"/>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规划</w:t>
            </w:r>
          </w:p>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情况</w:t>
            </w:r>
          </w:p>
        </w:tc>
        <w:tc>
          <w:tcPr>
            <w:tcW w:w="7908" w:type="dxa"/>
            <w:gridSpan w:val="3"/>
            <w:noWrap/>
            <w:vAlign w:val="center"/>
          </w:tcPr>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84" w:type="dxa"/>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规划环境影响</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评价情况</w:t>
            </w:r>
          </w:p>
        </w:tc>
        <w:tc>
          <w:tcPr>
            <w:tcW w:w="7908" w:type="dxa"/>
            <w:gridSpan w:val="3"/>
            <w:noWrap/>
            <w:vAlign w:val="center"/>
          </w:tcPr>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84" w:type="dxa"/>
            <w:noWrap/>
            <w:vAlign w:val="center"/>
          </w:tcPr>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规划及规划环境</w:t>
            </w:r>
          </w:p>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影响评价符合性分析</w:t>
            </w:r>
          </w:p>
        </w:tc>
        <w:tc>
          <w:tcPr>
            <w:tcW w:w="7908" w:type="dxa"/>
            <w:gridSpan w:val="3"/>
            <w:noWrap/>
            <w:vAlign w:val="center"/>
          </w:tcPr>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p>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p>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p>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无</w:t>
            </w:r>
          </w:p>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p>
          <w:p>
            <w:pPr>
              <w:autoSpaceDE w:val="0"/>
              <w:autoSpaceDN w:val="0"/>
              <w:adjustRightInd w:val="0"/>
              <w:snapToGrid w:val="0"/>
              <w:rPr>
                <w:rFonts w:ascii="宋体" w:hAnsi="宋体" w:cs="宋体"/>
                <w:color w:val="000000" w:themeColor="text1"/>
                <w:kern w:val="0"/>
                <w:szCs w:val="21"/>
                <w14:textFill>
                  <w14:solidFill>
                    <w14:schemeClr w14:val="tx1"/>
                  </w14:solidFill>
                </w14:textFill>
              </w:rPr>
            </w:pPr>
          </w:p>
          <w:p>
            <w:pPr>
              <w:autoSpaceDE w:val="0"/>
              <w:autoSpaceDN w:val="0"/>
              <w:adjustRightInd w:val="0"/>
              <w:snapToGrid w:val="0"/>
              <w:rPr>
                <w:rFonts w:ascii="宋体" w:hAnsi="宋体" w:cs="宋体"/>
                <w:color w:val="000000" w:themeColor="text1"/>
                <w:kern w:val="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88" w:hRule="atLeast"/>
          <w:jc w:val="center"/>
        </w:trPr>
        <w:tc>
          <w:tcPr>
            <w:tcW w:w="984" w:type="dxa"/>
            <w:noWrap/>
            <w:vAlign w:val="center"/>
          </w:tcPr>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其</w:t>
            </w:r>
          </w:p>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他</w:t>
            </w:r>
          </w:p>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符</w:t>
            </w:r>
          </w:p>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合</w:t>
            </w:r>
          </w:p>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性</w:t>
            </w:r>
          </w:p>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分</w:t>
            </w:r>
          </w:p>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析</w:t>
            </w:r>
          </w:p>
        </w:tc>
        <w:tc>
          <w:tcPr>
            <w:tcW w:w="7908" w:type="dxa"/>
            <w:gridSpan w:val="3"/>
            <w:noWrap/>
            <w:vAlign w:val="center"/>
          </w:tcPr>
          <w:p>
            <w:pPr>
              <w:autoSpaceDE w:val="0"/>
              <w:autoSpaceDN w:val="0"/>
              <w:adjustRightInd w:val="0"/>
              <w:snapToGrid w:val="0"/>
              <w:spacing w:line="360" w:lineRule="auto"/>
              <w:ind w:firstLine="422" w:firstLineChars="200"/>
              <w:jc w:val="left"/>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1、三线一单符合性</w:t>
            </w:r>
          </w:p>
          <w:p>
            <w:pPr>
              <w:autoSpaceDE w:val="0"/>
              <w:autoSpaceDN w:val="0"/>
              <w:adjustRightInd w:val="0"/>
              <w:snapToGrid w:val="0"/>
              <w:spacing w:line="360" w:lineRule="auto"/>
              <w:ind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根据《关于以改善环境质量为核心加强环境影响评价管理的通知》（环境保护部文件：环评【2016】150号），对“三线一单”的要求，进行项目“三线一单”符合性分析，判定内容如下表所示：</w:t>
            </w:r>
          </w:p>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表1-1   项目与“三线一单”符合性分析表</w:t>
            </w:r>
          </w:p>
          <w:tbl>
            <w:tblPr>
              <w:tblStyle w:val="24"/>
              <w:tblW w:w="79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5"/>
              <w:gridCol w:w="3329"/>
              <w:gridCol w:w="3469"/>
              <w:gridCol w:w="4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2" w:type="pct"/>
                  <w:noWrap/>
                  <w:vAlign w:val="center"/>
                </w:tcPr>
                <w:p>
                  <w:pPr>
                    <w:pStyle w:val="54"/>
                    <w:spacing w:line="32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序号</w:t>
                  </w:r>
                </w:p>
              </w:tc>
              <w:tc>
                <w:tcPr>
                  <w:tcW w:w="2106" w:type="pct"/>
                  <w:noWrap/>
                  <w:vAlign w:val="center"/>
                </w:tcPr>
                <w:p>
                  <w:pPr>
                    <w:pStyle w:val="54"/>
                    <w:spacing w:line="32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分析内容</w:t>
                  </w:r>
                </w:p>
              </w:tc>
              <w:tc>
                <w:tcPr>
                  <w:tcW w:w="2195" w:type="pct"/>
                  <w:noWrap/>
                  <w:vAlign w:val="center"/>
                </w:tcPr>
                <w:p>
                  <w:pPr>
                    <w:pStyle w:val="54"/>
                    <w:spacing w:line="32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企业情况</w:t>
                  </w:r>
                </w:p>
              </w:tc>
              <w:tc>
                <w:tcPr>
                  <w:tcW w:w="315" w:type="pct"/>
                  <w:noWrap/>
                  <w:vAlign w:val="center"/>
                </w:tcPr>
                <w:p>
                  <w:pPr>
                    <w:pStyle w:val="54"/>
                    <w:spacing w:line="32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评估结果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2" w:type="pct"/>
                  <w:noWrap/>
                  <w:vAlign w:val="center"/>
                </w:tcPr>
                <w:p>
                  <w:pPr>
                    <w:pStyle w:val="54"/>
                    <w:spacing w:line="320" w:lineRule="exact"/>
                    <w:jc w:val="center"/>
                    <w:rPr>
                      <w:rFonts w:ascii="宋体" w:hAnsi="宋体" w:cs="宋体"/>
                      <w:color w:val="000000" w:themeColor="text1"/>
                      <w:sz w:val="18"/>
                      <w:szCs w:val="18"/>
                      <w14:textFill>
                        <w14:solidFill>
                          <w14:schemeClr w14:val="tx1"/>
                        </w14:solidFill>
                      </w14:textFill>
                    </w:rPr>
                  </w:pPr>
                </w:p>
                <w:p>
                  <w:pPr>
                    <w:pStyle w:val="54"/>
                    <w:spacing w:line="32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生态保护红线</w:t>
                  </w:r>
                </w:p>
              </w:tc>
              <w:tc>
                <w:tcPr>
                  <w:tcW w:w="2106" w:type="pct"/>
                  <w:noWrap/>
                  <w:vAlign w:val="center"/>
                </w:tcPr>
                <w:p>
                  <w:pPr>
                    <w:pStyle w:val="54"/>
                    <w:spacing w:line="320" w:lineRule="exact"/>
                    <w:jc w:val="both"/>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生态保护红线是生态空间范围内具有特殊重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技改工业项目和矿产开发项目的环评文件。</w:t>
                  </w:r>
                </w:p>
              </w:tc>
              <w:tc>
                <w:tcPr>
                  <w:tcW w:w="2195" w:type="pct"/>
                  <w:noWrap/>
                  <w:vAlign w:val="center"/>
                </w:tcPr>
                <w:p>
                  <w:pPr>
                    <w:pStyle w:val="12"/>
                    <w:adjustRightInd w:val="0"/>
                    <w:spacing w:line="32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本项目位于河北省围场县新地镇大西沟村，评价范围内无自然保护区、饮用水水源地保护区和其他特别需要保护的敏感目标，本项目位于生态红线南侧相距75米处，不在生态保护红线范围内，符合生态红线要求。本项目与生态红线关系图见附图4。</w:t>
                  </w:r>
                </w:p>
              </w:tc>
              <w:tc>
                <w:tcPr>
                  <w:tcW w:w="315" w:type="pct"/>
                  <w:noWrap/>
                  <w:vAlign w:val="center"/>
                </w:tcPr>
                <w:p>
                  <w:pPr>
                    <w:pStyle w:val="54"/>
                    <w:spacing w:line="32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2" w:type="pct"/>
                  <w:noWrap/>
                  <w:vAlign w:val="center"/>
                </w:tcPr>
                <w:p>
                  <w:pPr>
                    <w:pStyle w:val="54"/>
                    <w:spacing w:line="32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环境质量底线</w:t>
                  </w:r>
                </w:p>
              </w:tc>
              <w:tc>
                <w:tcPr>
                  <w:tcW w:w="2106" w:type="pct"/>
                  <w:noWrap/>
                  <w:vAlign w:val="center"/>
                </w:tcPr>
                <w:p>
                  <w:pPr>
                    <w:pStyle w:val="54"/>
                    <w:spacing w:line="320" w:lineRule="exact"/>
                    <w:jc w:val="both"/>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195" w:type="pct"/>
                  <w:noWrap/>
                  <w:vAlign w:val="center"/>
                </w:tcPr>
                <w:p>
                  <w:pPr>
                    <w:snapToGrid w:val="0"/>
                    <w:jc w:val="center"/>
                    <w:rPr>
                      <w:rFonts w:ascii="宋体" w:hAnsi="宋体" w:cs="宋体"/>
                      <w:kern w:val="0"/>
                      <w:sz w:val="18"/>
                      <w:szCs w:val="18"/>
                    </w:rPr>
                  </w:pPr>
                  <w:r>
                    <w:rPr>
                      <w:rFonts w:hint="eastAsia" w:ascii="宋体" w:hAnsi="宋体" w:cs="宋体"/>
                      <w:sz w:val="18"/>
                      <w:szCs w:val="18"/>
                    </w:rPr>
                    <w:t>（</w:t>
                  </w:r>
                  <w:r>
                    <w:rPr>
                      <w:rFonts w:hint="eastAsia" w:ascii="宋体" w:hAnsi="宋体" w:cs="宋体"/>
                      <w:kern w:val="0"/>
                      <w:sz w:val="18"/>
                      <w:szCs w:val="18"/>
                    </w:rPr>
                    <w:t>1）大气环境：本项目所在</w:t>
                  </w:r>
                  <w:r>
                    <w:rPr>
                      <w:rFonts w:ascii="宋体" w:hAnsi="宋体" w:cs="宋体"/>
                      <w:kern w:val="0"/>
                      <w:sz w:val="18"/>
                      <w:szCs w:val="18"/>
                    </w:rPr>
                    <w:t>评价区域环境质量</w:t>
                  </w:r>
                  <w:r>
                    <w:rPr>
                      <w:rFonts w:hint="eastAsia" w:ascii="宋体" w:hAnsi="宋体" w:cs="宋体"/>
                      <w:kern w:val="0"/>
                      <w:sz w:val="18"/>
                      <w:szCs w:val="18"/>
                    </w:rPr>
                    <w:t>良好，根据《2022年承德市环境状况公报》围场满族蒙古族自治县环境空气常规数据可知，项目区属于达标区，满足《环境空气质</w:t>
                  </w:r>
                  <w:r>
                    <w:rPr>
                      <w:rFonts w:hint="eastAsia" w:ascii="宋体" w:hAnsi="宋体" w:cs="宋体"/>
                      <w:kern w:val="0"/>
                      <w:sz w:val="18"/>
                      <w:szCs w:val="18"/>
                      <w:highlight w:val="none"/>
                    </w:rPr>
                    <w:t>量标准》（GB3095-2012）中的二级标准及修改单要求</w:t>
                  </w:r>
                  <w:r>
                    <w:rPr>
                      <w:rFonts w:hint="eastAsia" w:ascii="宋体" w:hAnsi="宋体" w:cs="宋体"/>
                      <w:kern w:val="0"/>
                      <w:sz w:val="18"/>
                      <w:szCs w:val="18"/>
                      <w:highlight w:val="none"/>
                      <w:lang w:eastAsia="zh-CN"/>
                    </w:rPr>
                    <w:t>；本项目于2024年4月19日-22日委托河北俊采环境检测技术有限公司对项目TSP现状进行了检测（检测报告详见附件7），检测TSP数据均满足《环境空气质量标准》（GB3095-2012）二级标准。</w:t>
                  </w:r>
                  <w:r>
                    <w:rPr>
                      <w:rFonts w:hint="eastAsia" w:ascii="宋体" w:hAnsi="宋体" w:cs="宋体"/>
                      <w:sz w:val="18"/>
                      <w:szCs w:val="18"/>
                      <w:highlight w:val="none"/>
                    </w:rPr>
                    <w:t>废气主要为木材粉碎粉尘，粉碎工序粉尘通过布袋除尘器+15米高排气筒，出入口设置喷淋装置，封闭廊道处理后满足《大气污染物综合排放标准》（GB9078-1996）表</w:t>
                  </w:r>
                  <w:r>
                    <w:rPr>
                      <w:rFonts w:hint="eastAsia" w:ascii="宋体" w:hAnsi="宋体" w:cs="宋体"/>
                      <w:sz w:val="18"/>
                      <w:szCs w:val="18"/>
                    </w:rPr>
                    <w:t>2排</w:t>
                  </w:r>
                  <w:r>
                    <w:rPr>
                      <w:rFonts w:hint="eastAsia" w:ascii="宋体" w:hAnsi="宋体" w:cs="宋体"/>
                      <w:sz w:val="18"/>
                      <w:szCs w:val="18"/>
                      <w:highlight w:val="none"/>
                    </w:rPr>
                    <w:t>放限值达标排放；生物质锅炉废气产生的二氧化硫含硫量较低无需处理、氮</w:t>
                  </w:r>
                  <w:r>
                    <w:rPr>
                      <w:rFonts w:hint="eastAsia" w:ascii="宋体" w:hAnsi="宋体" w:cs="宋体"/>
                      <w:kern w:val="0"/>
                      <w:sz w:val="18"/>
                      <w:szCs w:val="18"/>
                      <w:highlight w:val="none"/>
                    </w:rPr>
                    <w:t>氧化物通过低氮燃烧技术处理、颗粒物通过布袋除尘器+35米高排气筒处理后满足《锅炉大气污染物排放标准》（D</w:t>
                  </w:r>
                  <w:r>
                    <w:rPr>
                      <w:rFonts w:hint="eastAsia" w:ascii="宋体" w:hAnsi="宋体" w:cs="宋体"/>
                      <w:kern w:val="0"/>
                      <w:sz w:val="18"/>
                      <w:szCs w:val="18"/>
                    </w:rPr>
                    <w:t>B13/5161-2020）表1大气污染物排放限值达标排放。</w:t>
                  </w:r>
                </w:p>
                <w:p>
                  <w:pPr>
                    <w:snapToGrid w:val="0"/>
                    <w:jc w:val="center"/>
                    <w:rPr>
                      <w:rFonts w:hint="eastAsia" w:ascii="宋体" w:hAnsi="宋体" w:eastAsia="宋体" w:cs="宋体"/>
                      <w:color w:val="000000" w:themeColor="text1"/>
                      <w:kern w:val="0"/>
                      <w:sz w:val="18"/>
                      <w:szCs w:val="18"/>
                      <w:lang w:val="en-US" w:eastAsia="zh-CN" w:bidi="ar-SA"/>
                      <w14:textFill>
                        <w14:solidFill>
                          <w14:schemeClr w14:val="tx1"/>
                        </w14:solidFill>
                      </w14:textFill>
                    </w:rPr>
                  </w:pPr>
                  <w:r>
                    <w:rPr>
                      <w:rFonts w:hint="eastAsia" w:ascii="宋体" w:hAnsi="宋体" w:cs="宋体"/>
                      <w:sz w:val="18"/>
                      <w:szCs w:val="18"/>
                    </w:rPr>
                    <w:t>（2）水环境：生产无废水产生，因锅炉产生的蒸汽作用仅</w:t>
                  </w:r>
                  <w:r>
                    <w:rPr>
                      <w:rFonts w:hint="eastAsia" w:ascii="宋体" w:hAnsi="宋体" w:cs="宋体"/>
                      <w:sz w:val="18"/>
                      <w:szCs w:val="18"/>
                      <w:lang w:eastAsia="zh-CN"/>
                    </w:rPr>
                    <w:t>为：</w:t>
                  </w:r>
                  <w:r>
                    <w:rPr>
                      <w:rFonts w:hint="eastAsia" w:ascii="宋体" w:hAnsi="宋体" w:cs="宋体"/>
                      <w:sz w:val="18"/>
                      <w:szCs w:val="18"/>
                    </w:rPr>
                    <w:t>对菌包进行高温消毒，故锅炉用水无需软化，冷凝水经回收装置返回锅炉收集循环利用；每年生产运营期结束后蒸汽锅炉需定期排空水，废水暂存于厂区储水罐内，用于粉碎工序喷淋用水；</w:t>
                  </w:r>
                  <w:r>
                    <w:rPr>
                      <w:rFonts w:hint="eastAsia" w:ascii="宋体" w:hAnsi="宋体" w:cs="宋体"/>
                      <w:color w:val="000000" w:themeColor="text1"/>
                      <w:sz w:val="18"/>
                      <w:szCs w:val="18"/>
                      <w14:textFill>
                        <w14:solidFill>
                          <w14:schemeClr w14:val="tx1"/>
                        </w14:solidFill>
                      </w14:textFill>
                    </w:rPr>
                    <w:t>生活污水排入厂区化粪池，定期由清污车运送至围场满族蒙古族自治县永溢环保科技有限责任公司克勒沟污水处理厂处理，生活污水经化粪池处理后，出水满足围场满族蒙古族自治县永溢环保科技有限责任公司克勒沟污水处理厂收水要</w:t>
                  </w:r>
                  <w:r>
                    <w:rPr>
                      <w:rFonts w:hint="eastAsia" w:ascii="宋体" w:hAnsi="宋体" w:eastAsia="宋体" w:cs="宋体"/>
                      <w:color w:val="000000" w:themeColor="text1"/>
                      <w:kern w:val="0"/>
                      <w:sz w:val="18"/>
                      <w:szCs w:val="18"/>
                      <w:lang w:val="en-US" w:eastAsia="zh-CN" w:bidi="ar-SA"/>
                      <w14:textFill>
                        <w14:solidFill>
                          <w14:schemeClr w14:val="tx1"/>
                        </w14:solidFill>
                      </w14:textFill>
                    </w:rPr>
                    <w:t>求及污水综合排放标准（GB8978-1996）。</w:t>
                  </w:r>
                </w:p>
                <w:p>
                  <w:pPr>
                    <w:snapToGrid w:val="0"/>
                    <w:jc w:val="center"/>
                    <w:rPr>
                      <w:rFonts w:hint="eastAsia" w:ascii="宋体" w:hAnsi="宋体" w:eastAsia="宋体" w:cs="宋体"/>
                      <w:color w:val="000000" w:themeColor="text1"/>
                      <w:kern w:val="0"/>
                      <w:sz w:val="18"/>
                      <w:szCs w:val="18"/>
                      <w:lang w:val="en-US" w:eastAsia="zh-CN" w:bidi="ar-SA"/>
                      <w14:textFill>
                        <w14:solidFill>
                          <w14:schemeClr w14:val="tx1"/>
                        </w14:solidFill>
                      </w14:textFill>
                    </w:rPr>
                  </w:pPr>
                  <w:r>
                    <w:rPr>
                      <w:rFonts w:hint="eastAsia" w:ascii="宋体" w:hAnsi="宋体" w:eastAsia="宋体" w:cs="宋体"/>
                      <w:color w:val="000000" w:themeColor="text1"/>
                      <w:kern w:val="0"/>
                      <w:sz w:val="18"/>
                      <w:szCs w:val="18"/>
                      <w:lang w:val="en-US" w:eastAsia="zh-CN" w:bidi="ar-SA"/>
                      <w14:textFill>
                        <w14:solidFill>
                          <w14:schemeClr w14:val="tx1"/>
                        </w14:solidFill>
                      </w14:textFill>
                    </w:rPr>
                    <w:t>（3）声环境：本项目为食用菌标准化生产车间及锅炉建设项目，新建1台6吨生物质锅炉。运营期噪声主要为设备运行产生的噪声，经距离衰减后，厂界噪声能够满足《工业企业厂界环境噪声排放标准》（GB12348-2008）2类（东、西、北厂界）、4类（南厂界）标准要求。</w:t>
                  </w:r>
                </w:p>
                <w:p>
                  <w:pPr>
                    <w:snapToGrid w:val="0"/>
                    <w:jc w:val="center"/>
                    <w:rPr>
                      <w:rFonts w:hint="eastAsia" w:ascii="宋体" w:hAnsi="宋体" w:eastAsia="宋体" w:cs="宋体"/>
                      <w:color w:val="000000" w:themeColor="text1"/>
                      <w:kern w:val="0"/>
                      <w:sz w:val="18"/>
                      <w:szCs w:val="18"/>
                      <w:lang w:val="en-US" w:eastAsia="zh-CN" w:bidi="ar-SA"/>
                      <w14:textFill>
                        <w14:solidFill>
                          <w14:schemeClr w14:val="tx1"/>
                        </w14:solidFill>
                      </w14:textFill>
                    </w:rPr>
                  </w:pPr>
                  <w:r>
                    <w:rPr>
                      <w:rFonts w:hint="eastAsia" w:ascii="宋体" w:hAnsi="宋体" w:eastAsia="宋体" w:cs="宋体"/>
                      <w:color w:val="000000" w:themeColor="text1"/>
                      <w:kern w:val="0"/>
                      <w:sz w:val="18"/>
                      <w:szCs w:val="18"/>
                      <w:lang w:val="en-US" w:eastAsia="zh-CN" w:bidi="ar-SA"/>
                      <w14:textFill>
                        <w14:solidFill>
                          <w14:schemeClr w14:val="tx1"/>
                        </w14:solidFill>
                      </w14:textFill>
                    </w:rPr>
                    <w:t>（4）土壤环境：项目做好厂区防渗处理后，项目对土壤和地下水的影响较小。</w:t>
                  </w:r>
                </w:p>
                <w:p>
                  <w:pPr>
                    <w:pStyle w:val="54"/>
                    <w:spacing w:line="320" w:lineRule="exact"/>
                    <w:jc w:val="center"/>
                    <w:rPr>
                      <w:rFonts w:hint="eastAsia" w:ascii="宋体" w:hAnsi="宋体" w:eastAsia="宋体" w:cs="宋体"/>
                      <w:color w:val="000000" w:themeColor="text1"/>
                      <w:kern w:val="0"/>
                      <w:sz w:val="18"/>
                      <w:szCs w:val="18"/>
                      <w:lang w:val="en-US" w:eastAsia="zh-CN" w:bidi="ar-SA"/>
                      <w14:textFill>
                        <w14:solidFill>
                          <w14:schemeClr w14:val="tx1"/>
                        </w14:solidFill>
                      </w14:textFill>
                    </w:rPr>
                  </w:pPr>
                  <w:r>
                    <w:rPr>
                      <w:rFonts w:hint="eastAsia" w:ascii="宋体" w:hAnsi="宋体" w:eastAsia="宋体" w:cs="宋体"/>
                      <w:color w:val="000000" w:themeColor="text1"/>
                      <w:kern w:val="0"/>
                      <w:sz w:val="18"/>
                      <w:szCs w:val="18"/>
                      <w:lang w:val="en-US" w:eastAsia="zh-CN" w:bidi="ar-SA"/>
                      <w14:textFill>
                        <w14:solidFill>
                          <w14:schemeClr w14:val="tx1"/>
                        </w14:solidFill>
                      </w14:textFill>
                    </w:rPr>
                    <w:t xml:space="preserve"> 项目产生的污染物采取相应措施后，经分析满足环境质量标准，符合环境质量底线的要求。</w:t>
                  </w:r>
                </w:p>
                <w:p>
                  <w:pPr>
                    <w:pStyle w:val="54"/>
                    <w:spacing w:line="320" w:lineRule="exact"/>
                    <w:jc w:val="center"/>
                    <w:rPr>
                      <w:rFonts w:ascii="宋体" w:hAnsi="宋体" w:cs="宋体"/>
                      <w:color w:val="000000" w:themeColor="text1"/>
                      <w:sz w:val="18"/>
                      <w:szCs w:val="18"/>
                      <w14:textFill>
                        <w14:solidFill>
                          <w14:schemeClr w14:val="tx1"/>
                        </w14:solidFill>
                      </w14:textFill>
                    </w:rPr>
                  </w:pPr>
                </w:p>
              </w:tc>
              <w:tc>
                <w:tcPr>
                  <w:tcW w:w="315" w:type="pct"/>
                  <w:noWrap/>
                  <w:vAlign w:val="center"/>
                </w:tcPr>
                <w:p>
                  <w:pPr>
                    <w:pStyle w:val="54"/>
                    <w:spacing w:line="32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2" w:type="pct"/>
                  <w:noWrap/>
                  <w:vAlign w:val="center"/>
                </w:tcPr>
                <w:p>
                  <w:pPr>
                    <w:pStyle w:val="54"/>
                    <w:spacing w:line="32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资源利用上线</w:t>
                  </w:r>
                </w:p>
              </w:tc>
              <w:tc>
                <w:tcPr>
                  <w:tcW w:w="2106" w:type="pct"/>
                  <w:noWrap/>
                  <w:vAlign w:val="center"/>
                </w:tcPr>
                <w:p>
                  <w:pPr>
                    <w:pStyle w:val="54"/>
                    <w:spacing w:line="320" w:lineRule="exact"/>
                    <w:jc w:val="both"/>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2195" w:type="pct"/>
                  <w:noWrap/>
                  <w:vAlign w:val="center"/>
                </w:tcPr>
                <w:p>
                  <w:pPr>
                    <w:pStyle w:val="12"/>
                    <w:adjustRightInd w:val="0"/>
                    <w:spacing w:line="320" w:lineRule="exac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本项目年用电量合计43.92万千瓦时，年用水量8011.36m</w:t>
                  </w:r>
                  <w:r>
                    <w:rPr>
                      <w:rFonts w:hint="eastAsia" w:ascii="宋体" w:hAnsi="宋体" w:cs="宋体"/>
                      <w:color w:val="000000" w:themeColor="text1"/>
                      <w:sz w:val="18"/>
                      <w:szCs w:val="18"/>
                      <w:vertAlign w:val="superscript"/>
                      <w14:textFill>
                        <w14:solidFill>
                          <w14:schemeClr w14:val="tx1"/>
                        </w14:solidFill>
                      </w14:textFill>
                    </w:rPr>
                    <w:t>3</w:t>
                  </w:r>
                  <w:r>
                    <w:rPr>
                      <w:rFonts w:hint="eastAsia" w:ascii="宋体" w:hAnsi="宋体" w:cs="宋体"/>
                      <w:color w:val="000000" w:themeColor="text1"/>
                      <w:sz w:val="18"/>
                      <w:szCs w:val="18"/>
                      <w14:textFill>
                        <w14:solidFill>
                          <w14:schemeClr w14:val="tx1"/>
                        </w14:solidFill>
                      </w14:textFill>
                    </w:rPr>
                    <w:t>，占地面积较小，不会达到资源利用上线。</w:t>
                  </w:r>
                </w:p>
              </w:tc>
              <w:tc>
                <w:tcPr>
                  <w:tcW w:w="315" w:type="pct"/>
                  <w:noWrap/>
                  <w:vAlign w:val="center"/>
                </w:tcPr>
                <w:p>
                  <w:pPr>
                    <w:pStyle w:val="54"/>
                    <w:spacing w:line="32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2" w:type="pct"/>
                  <w:noWrap/>
                  <w:vAlign w:val="center"/>
                </w:tcPr>
                <w:p>
                  <w:pPr>
                    <w:pStyle w:val="54"/>
                    <w:spacing w:line="32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负面清单</w:t>
                  </w:r>
                </w:p>
              </w:tc>
              <w:tc>
                <w:tcPr>
                  <w:tcW w:w="2106" w:type="pct"/>
                  <w:noWrap/>
                  <w:vAlign w:val="center"/>
                </w:tcPr>
                <w:p>
                  <w:pPr>
                    <w:pStyle w:val="54"/>
                    <w:spacing w:line="320" w:lineRule="exact"/>
                    <w:jc w:val="both"/>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环境准入负面清单是基于生态保护红线、环境质量底线和资源利用上线，以清单方式列出的禁止、限制等差别化环境准入条件和要求。</w:t>
                  </w:r>
                </w:p>
              </w:tc>
              <w:tc>
                <w:tcPr>
                  <w:tcW w:w="2195" w:type="pct"/>
                  <w:noWrap/>
                  <w:vAlign w:val="center"/>
                </w:tcPr>
                <w:p>
                  <w:pPr>
                    <w:pStyle w:val="54"/>
                    <w:spacing w:line="32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根据“关于印发《康保县等坝上六县国家重点生态功能区产业准入负面清单（试行）的通知（冀发改规划〔2017〕248 号）”，河北省围场满族蒙古族自治县国家重点生态功能区产业准入负面清单中产业准入负面清单分为限制类和禁止类，负面清单中的“限制类”和“禁止类”均未包括本项目所属行业，因此，本项目不在负面清单之列。同时本项目不在《市场准入负面清单（2022 年版）》之列，运营过程中不使用国家明令禁止淘汰类和限制类仪器和设备，符合国家产业政策。</w:t>
                  </w:r>
                </w:p>
              </w:tc>
              <w:tc>
                <w:tcPr>
                  <w:tcW w:w="315" w:type="pct"/>
                  <w:noWrap/>
                  <w:vAlign w:val="center"/>
                </w:tcPr>
                <w:p>
                  <w:pPr>
                    <w:pStyle w:val="54"/>
                    <w:spacing w:line="32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符合</w:t>
                  </w:r>
                </w:p>
              </w:tc>
            </w:tr>
          </w:tbl>
          <w:p>
            <w:pPr>
              <w:adjustRightInd w:val="0"/>
              <w:snapToGrid w:val="0"/>
              <w:spacing w:line="360" w:lineRule="auto"/>
              <w:ind w:firstLine="420" w:firstLineChars="200"/>
              <w:rPr>
                <w:bCs/>
                <w:color w:val="FF0000"/>
                <w:szCs w:val="21"/>
              </w:rPr>
            </w:pPr>
            <w:r>
              <w:rPr>
                <w:rFonts w:hint="eastAsia"/>
                <w:bCs/>
                <w:szCs w:val="21"/>
              </w:rPr>
              <w:t>由以上分析结果可知，项目符合《关于以改善环境质量为核心加强环境影响评价管理的通知》（环评【2016】150号）中关于“三线一单”的要求。</w:t>
            </w:r>
          </w:p>
          <w:p>
            <w:pPr>
              <w:autoSpaceDE w:val="0"/>
              <w:autoSpaceDN w:val="0"/>
              <w:adjustRightInd w:val="0"/>
              <w:snapToGrid w:val="0"/>
              <w:spacing w:line="360" w:lineRule="auto"/>
              <w:ind w:firstLine="422" w:firstLineChars="200"/>
              <w:jc w:val="left"/>
              <w:rPr>
                <w:rFonts w:ascii="宋体" w:hAnsi="宋体" w:cs="宋体"/>
                <w:b/>
                <w:bCs/>
                <w:szCs w:val="21"/>
              </w:rPr>
            </w:pPr>
            <w:r>
              <w:rPr>
                <w:rFonts w:hint="eastAsia" w:ascii="宋体" w:hAnsi="宋体" w:cs="宋体"/>
                <w:b/>
                <w:bCs/>
                <w:szCs w:val="21"/>
              </w:rPr>
              <w:t>2、生态环境分区管控符合性分析</w:t>
            </w:r>
          </w:p>
          <w:p>
            <w:pPr>
              <w:adjustRightInd w:val="0"/>
              <w:snapToGrid w:val="0"/>
              <w:spacing w:line="360" w:lineRule="auto"/>
              <w:ind w:firstLine="420" w:firstLineChars="200"/>
              <w:rPr>
                <w:szCs w:val="21"/>
              </w:rPr>
            </w:pPr>
            <w:r>
              <w:rPr>
                <w:rFonts w:hint="eastAsia" w:ascii="宋体" w:hAnsi="宋体" w:cs="宋体"/>
                <w:szCs w:val="21"/>
              </w:rPr>
              <w:t>围场满族蒙古族自治县腾兴农业发展有限公司食用菌标准化生产车间及锅炉建设项目</w:t>
            </w:r>
            <w:r>
              <w:rPr>
                <w:szCs w:val="21"/>
              </w:rPr>
              <w:t>位于河北省承德市</w:t>
            </w:r>
            <w:r>
              <w:rPr>
                <w:rFonts w:hint="eastAsia" w:ascii="宋体" w:hAnsi="宋体" w:cs="宋体"/>
                <w:szCs w:val="21"/>
              </w:rPr>
              <w:t>围场满族蒙古族自治县新地镇大西沟村</w:t>
            </w:r>
            <w:r>
              <w:rPr>
                <w:szCs w:val="21"/>
              </w:rPr>
              <w:t>。</w:t>
            </w:r>
            <w:r>
              <w:rPr>
                <w:bCs/>
                <w:szCs w:val="21"/>
              </w:rPr>
              <w:t>依据2021年6月18日《承德市人民政府关于加快实施“三线一单”生态环境分区管控的意见》，</w:t>
            </w:r>
            <w:r>
              <w:rPr>
                <w:szCs w:val="21"/>
              </w:rPr>
              <w:t>本项目位于一般管控单元</w:t>
            </w:r>
            <w:r>
              <w:rPr>
                <w:rFonts w:hint="eastAsia"/>
                <w:szCs w:val="21"/>
              </w:rPr>
              <w:t>，未涉及农用地优先保护区和生态保护红线区</w:t>
            </w:r>
            <w:r>
              <w:rPr>
                <w:szCs w:val="21"/>
              </w:rPr>
              <w:t>。</w:t>
            </w:r>
            <w:r>
              <w:rPr>
                <w:rFonts w:hint="eastAsia"/>
                <w:szCs w:val="21"/>
              </w:rPr>
              <w:t>本项目与管控单元生态环境准入清单相符性见表1-2，本项目选址与承德市环境管控单元位置关系示意图详见附图1。</w:t>
            </w:r>
          </w:p>
          <w:p>
            <w:pPr>
              <w:jc w:val="center"/>
              <w:rPr>
                <w:rFonts w:ascii="宋体" w:hAnsi="宋体" w:cs="宋体"/>
                <w:b/>
                <w:bCs/>
                <w:szCs w:val="21"/>
              </w:rPr>
            </w:pPr>
            <w:r>
              <w:rPr>
                <w:rFonts w:hint="eastAsia" w:ascii="宋体" w:hAnsi="宋体" w:cs="宋体"/>
                <w:b/>
                <w:bCs/>
                <w:szCs w:val="21"/>
              </w:rPr>
              <w:t>表1-2  本项目与管控单元生态环境准入清单相符性</w:t>
            </w:r>
          </w:p>
          <w:tbl>
            <w:tblPr>
              <w:tblStyle w:val="24"/>
              <w:tblpPr w:leftFromText="180" w:rightFromText="180" w:vertAnchor="text" w:horzAnchor="page" w:tblpX="20" w:tblpY="636"/>
              <w:tblOverlap w:val="never"/>
              <w:tblW w:w="7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380"/>
              <w:gridCol w:w="1380"/>
              <w:gridCol w:w="674"/>
              <w:gridCol w:w="1035"/>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69" w:type="pct"/>
                  <w:noWrap/>
                  <w:vAlign w:val="center"/>
                </w:tcPr>
                <w:p>
                  <w:pPr>
                    <w:pStyle w:val="54"/>
                    <w:jc w:val="center"/>
                    <w:rPr>
                      <w:rFonts w:ascii="宋体" w:hAnsi="宋体" w:cs="宋体"/>
                      <w:b/>
                      <w:sz w:val="18"/>
                      <w:szCs w:val="18"/>
                      <w:lang w:eastAsia="en-US"/>
                    </w:rPr>
                  </w:pPr>
                  <w:r>
                    <w:rPr>
                      <w:rFonts w:hint="eastAsia" w:ascii="宋体" w:hAnsi="宋体" w:cs="宋体"/>
                      <w:b/>
                      <w:sz w:val="18"/>
                      <w:szCs w:val="18"/>
                      <w:lang w:eastAsia="en-US"/>
                    </w:rPr>
                    <w:t>编号</w:t>
                  </w:r>
                </w:p>
              </w:tc>
              <w:tc>
                <w:tcPr>
                  <w:tcW w:w="880" w:type="pct"/>
                  <w:noWrap/>
                  <w:vAlign w:val="center"/>
                </w:tcPr>
                <w:p>
                  <w:pPr>
                    <w:pStyle w:val="54"/>
                    <w:jc w:val="center"/>
                    <w:rPr>
                      <w:rFonts w:ascii="宋体" w:hAnsi="宋体" w:cs="宋体"/>
                      <w:b/>
                      <w:sz w:val="18"/>
                      <w:szCs w:val="18"/>
                      <w:lang w:eastAsia="en-US"/>
                    </w:rPr>
                  </w:pPr>
                  <w:r>
                    <w:rPr>
                      <w:rFonts w:hint="eastAsia" w:ascii="宋体" w:hAnsi="宋体" w:cs="宋体"/>
                      <w:b/>
                      <w:sz w:val="18"/>
                      <w:szCs w:val="18"/>
                      <w:lang w:eastAsia="en-US"/>
                    </w:rPr>
                    <w:t>管控类别</w:t>
                  </w:r>
                </w:p>
              </w:tc>
              <w:tc>
                <w:tcPr>
                  <w:tcW w:w="880" w:type="pct"/>
                  <w:noWrap/>
                  <w:vAlign w:val="center"/>
                </w:tcPr>
                <w:p>
                  <w:pPr>
                    <w:pStyle w:val="54"/>
                    <w:jc w:val="center"/>
                    <w:rPr>
                      <w:rFonts w:ascii="宋体" w:hAnsi="宋体" w:cs="宋体"/>
                      <w:b/>
                      <w:sz w:val="18"/>
                      <w:szCs w:val="18"/>
                      <w:lang w:eastAsia="en-US"/>
                    </w:rPr>
                  </w:pPr>
                  <w:r>
                    <w:rPr>
                      <w:rFonts w:hint="eastAsia" w:ascii="宋体" w:hAnsi="宋体" w:cs="宋体"/>
                      <w:b/>
                      <w:sz w:val="18"/>
                      <w:szCs w:val="18"/>
                      <w:lang w:eastAsia="en-US"/>
                    </w:rPr>
                    <w:t>环境要素类别</w:t>
                  </w:r>
                </w:p>
              </w:tc>
              <w:tc>
                <w:tcPr>
                  <w:tcW w:w="430" w:type="pct"/>
                  <w:noWrap/>
                  <w:vAlign w:val="center"/>
                </w:tcPr>
                <w:p>
                  <w:pPr>
                    <w:pStyle w:val="54"/>
                    <w:jc w:val="center"/>
                    <w:rPr>
                      <w:rFonts w:ascii="宋体" w:hAnsi="宋体" w:cs="宋体"/>
                      <w:b/>
                      <w:sz w:val="18"/>
                      <w:szCs w:val="18"/>
                      <w:lang w:eastAsia="en-US"/>
                    </w:rPr>
                  </w:pPr>
                  <w:r>
                    <w:rPr>
                      <w:rFonts w:hint="eastAsia" w:ascii="宋体" w:hAnsi="宋体" w:cs="宋体"/>
                      <w:b/>
                      <w:sz w:val="18"/>
                      <w:szCs w:val="18"/>
                      <w:lang w:eastAsia="en-US"/>
                    </w:rPr>
                    <w:t>纬度</w:t>
                  </w:r>
                </w:p>
              </w:tc>
              <w:tc>
                <w:tcPr>
                  <w:tcW w:w="660" w:type="pct"/>
                  <w:noWrap/>
                  <w:vAlign w:val="center"/>
                </w:tcPr>
                <w:p>
                  <w:pPr>
                    <w:pStyle w:val="54"/>
                    <w:jc w:val="center"/>
                    <w:rPr>
                      <w:rFonts w:ascii="宋体" w:hAnsi="宋体" w:cs="宋体"/>
                      <w:b/>
                      <w:sz w:val="18"/>
                      <w:szCs w:val="18"/>
                      <w:lang w:eastAsia="en-US"/>
                    </w:rPr>
                  </w:pPr>
                  <w:r>
                    <w:rPr>
                      <w:rFonts w:hint="eastAsia" w:ascii="宋体" w:hAnsi="宋体" w:cs="宋体"/>
                      <w:b/>
                      <w:sz w:val="18"/>
                      <w:szCs w:val="18"/>
                      <w:lang w:eastAsia="en-US"/>
                    </w:rPr>
                    <w:t>管控措施</w:t>
                  </w:r>
                </w:p>
              </w:tc>
              <w:tc>
                <w:tcPr>
                  <w:tcW w:w="1479" w:type="pct"/>
                  <w:noWrap/>
                  <w:vAlign w:val="center"/>
                </w:tcPr>
                <w:p>
                  <w:pPr>
                    <w:pStyle w:val="54"/>
                    <w:jc w:val="center"/>
                    <w:rPr>
                      <w:rFonts w:ascii="宋体" w:hAnsi="宋体" w:cs="宋体"/>
                      <w:b/>
                      <w:sz w:val="18"/>
                      <w:szCs w:val="18"/>
                      <w:lang w:eastAsia="en-US"/>
                    </w:rPr>
                  </w:pPr>
                </w:p>
                <w:p>
                  <w:pPr>
                    <w:pStyle w:val="54"/>
                    <w:jc w:val="center"/>
                    <w:rPr>
                      <w:rFonts w:ascii="宋体" w:hAnsi="宋体" w:cs="宋体"/>
                      <w:b/>
                      <w:sz w:val="18"/>
                      <w:szCs w:val="18"/>
                      <w:lang w:eastAsia="en-US"/>
                    </w:rPr>
                  </w:pPr>
                  <w:r>
                    <w:rPr>
                      <w:rFonts w:hint="eastAsia" w:ascii="宋体" w:hAnsi="宋体" w:cs="宋体"/>
                      <w:b/>
                      <w:sz w:val="18"/>
                      <w:szCs w:val="18"/>
                      <w:lang w:eastAsia="en-US"/>
                    </w:rPr>
                    <w:t>本项目符合性</w:t>
                  </w:r>
                </w:p>
                <w:p>
                  <w:pPr>
                    <w:pStyle w:val="54"/>
                    <w:jc w:val="center"/>
                    <w:rPr>
                      <w:rFonts w:ascii="宋体" w:hAnsi="宋体" w:cs="宋体"/>
                      <w:b/>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5" w:hRule="atLeast"/>
              </w:trPr>
              <w:tc>
                <w:tcPr>
                  <w:tcW w:w="669" w:type="pct"/>
                  <w:vMerge w:val="restart"/>
                  <w:noWrap/>
                  <w:vAlign w:val="center"/>
                </w:tcPr>
                <w:p>
                  <w:pPr>
                    <w:pStyle w:val="16"/>
                    <w:ind w:left="0" w:leftChars="0"/>
                    <w:rPr>
                      <w:rFonts w:ascii="宋体" w:hAnsi="宋体" w:cs="宋体"/>
                      <w:color w:val="000000" w:themeColor="text1"/>
                      <w:sz w:val="18"/>
                      <w:szCs w:val="18"/>
                      <w14:textFill>
                        <w14:solidFill>
                          <w14:schemeClr w14:val="tx1"/>
                        </w14:solidFill>
                      </w14:textFill>
                    </w:rPr>
                  </w:pPr>
                </w:p>
                <w:p>
                  <w:pPr>
                    <w:pStyle w:val="16"/>
                    <w:ind w:left="0" w:leftChars="0"/>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ZH13082831479</w:t>
                  </w:r>
                </w:p>
              </w:tc>
              <w:tc>
                <w:tcPr>
                  <w:tcW w:w="880" w:type="pct"/>
                  <w:vMerge w:val="restart"/>
                  <w:noWrap/>
                  <w:vAlign w:val="center"/>
                </w:tcPr>
                <w:p>
                  <w:pPr>
                    <w:pStyle w:val="16"/>
                    <w:ind w:left="0" w:leftChars="0"/>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一般管控单元</w:t>
                  </w:r>
                </w:p>
              </w:tc>
              <w:tc>
                <w:tcPr>
                  <w:tcW w:w="880" w:type="pct"/>
                  <w:vMerge w:val="restart"/>
                  <w:noWrap/>
                  <w:vAlign w:val="center"/>
                </w:tcPr>
                <w:p>
                  <w:pPr>
                    <w:pStyle w:val="16"/>
                    <w:ind w:left="0" w:leftChars="0"/>
                    <w:jc w:val="center"/>
                    <w:rPr>
                      <w:rFonts w:ascii="宋体" w:hAnsi="宋体" w:cs="宋体"/>
                      <w:color w:val="000000" w:themeColor="text1"/>
                      <w:sz w:val="18"/>
                      <w:szCs w:val="18"/>
                      <w14:textFill>
                        <w14:solidFill>
                          <w14:schemeClr w14:val="tx1"/>
                        </w14:solidFill>
                      </w14:textFill>
                    </w:rPr>
                  </w:pPr>
                </w:p>
                <w:p>
                  <w:pPr>
                    <w:pStyle w:val="16"/>
                    <w:ind w:left="0" w:leftChars="0"/>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一般管控区部分区域涉及农用地有限保护区</w:t>
                  </w:r>
                </w:p>
              </w:tc>
              <w:tc>
                <w:tcPr>
                  <w:tcW w:w="430" w:type="pct"/>
                  <w:noWrap/>
                  <w:vAlign w:val="center"/>
                </w:tcPr>
                <w:p>
                  <w:pPr>
                    <w:pStyle w:val="16"/>
                    <w:ind w:left="0" w:leftChars="0"/>
                    <w:jc w:val="center"/>
                    <w:rPr>
                      <w:rFonts w:ascii="宋体" w:hAnsi="宋体" w:cs="宋体"/>
                      <w:sz w:val="18"/>
                      <w:szCs w:val="18"/>
                    </w:rPr>
                  </w:pPr>
                  <w:r>
                    <w:rPr>
                      <w:rFonts w:hint="eastAsia" w:ascii="宋体" w:hAnsi="宋体" w:cs="宋体"/>
                      <w:sz w:val="18"/>
                      <w:szCs w:val="18"/>
                    </w:rPr>
                    <w:t>空间布局约束</w:t>
                  </w:r>
                </w:p>
              </w:tc>
              <w:tc>
                <w:tcPr>
                  <w:tcW w:w="660" w:type="pct"/>
                  <w:vMerge w:val="restart"/>
                  <w:noWrap/>
                  <w:vAlign w:val="center"/>
                </w:tcPr>
                <w:p>
                  <w:pPr>
                    <w:pStyle w:val="16"/>
                    <w:ind w:left="0" w:leftChars="0"/>
                    <w:jc w:val="center"/>
                    <w:rPr>
                      <w:rFonts w:ascii="宋体" w:hAnsi="宋体" w:cs="宋体"/>
                      <w:sz w:val="18"/>
                      <w:szCs w:val="18"/>
                    </w:rPr>
                  </w:pPr>
                  <w:r>
                    <w:rPr>
                      <w:rFonts w:hint="eastAsia" w:ascii="宋体" w:hAnsi="宋体" w:cs="宋体"/>
                      <w:sz w:val="18"/>
                      <w:szCs w:val="18"/>
                    </w:rPr>
                    <w:t>1、严格执行国家和省关于产业准入、总量控制和污染物排放标准等管控要求。2、农用地优先保护区执行承德市总体准入清单要求。</w:t>
                  </w:r>
                </w:p>
              </w:tc>
              <w:tc>
                <w:tcPr>
                  <w:tcW w:w="1479" w:type="pct"/>
                  <w:vMerge w:val="restart"/>
                  <w:noWrap/>
                  <w:vAlign w:val="center"/>
                </w:tcPr>
                <w:p>
                  <w:pPr>
                    <w:pStyle w:val="55"/>
                    <w:ind w:firstLine="0" w:firstLineChars="0"/>
                    <w:rPr>
                      <w:rFonts w:ascii="宋体" w:hAnsi="宋体" w:cs="宋体"/>
                      <w:sz w:val="18"/>
                      <w:szCs w:val="18"/>
                    </w:rPr>
                  </w:pPr>
                  <w:r>
                    <w:rPr>
                      <w:rFonts w:hint="eastAsia" w:ascii="宋体" w:hAnsi="宋体" w:cs="宋体"/>
                      <w:sz w:val="18"/>
                      <w:szCs w:val="18"/>
                    </w:rPr>
                    <w:t>1、本项目位于河北省围场县新地镇大西沟村，该区域用途为工业用地，土地手续（见附件</w:t>
                  </w:r>
                  <w:r>
                    <w:rPr>
                      <w:rFonts w:hint="eastAsia" w:ascii="宋体" w:hAnsi="宋体" w:cs="宋体"/>
                      <w:sz w:val="18"/>
                      <w:szCs w:val="18"/>
                      <w:lang w:val="en-US" w:eastAsia="zh-CN"/>
                    </w:rPr>
                    <w:t>4</w:t>
                  </w:r>
                  <w:r>
                    <w:rPr>
                      <w:rFonts w:hint="eastAsia" w:ascii="宋体" w:hAnsi="宋体" w:cs="宋体"/>
                      <w:sz w:val="18"/>
                      <w:szCs w:val="18"/>
                    </w:rPr>
                    <w:t xml:space="preserve">），因此项目不涉及农用地范围。2、本项目为食用菌标准化生产车间及锅炉建设项目，新建1台6吨生物质锅炉。本项目行业类别为：1、农产品基地项目（含药材基地）、91、热力生产和供应工程。项目主要污染物：1.生产废气主要为木材粉碎粉尘，粉碎工序粉尘通过布袋除尘器+15米高排气筒，出入口设置喷淋装置，封闭廊道处理后满足《大气污染物综合排放标准》（GB9078-1996）表2排放限值达标排放；生物质锅炉废气产生的二氧化硫含硫量较低无需处理、氮氧化物通过低氮燃烧技术处理、颗粒物通过布袋除尘器+35米高排气筒处理后满足《锅炉大气污染物排放标准》（DB13/5161-2020）表1大气污染物排放限值达标排放；噪声主要为种植食用菌设备及锅炉风机等设备噪声，通过基础减震，封闭车间等措施，有效减少噪声；2.废水主要为生活污水，生产无废水产生，因锅炉产生的蒸汽作用仅为：对菌包进行高温消毒，故锅炉用水无需软化，冷凝水经回收装置返回锅炉收集循环利用；每年生产运营期结束后蒸汽锅炉需定期排空水，废水暂存于厂区储水罐内，用于粉碎工序喷淋用水；生活污水排入厂区化粪池，定期由清污车运送至围场满族蒙古族自治县永溢环保科技有限责任公司克勒沟污水处理厂处理；3.项目一般固废主要为生物质锅炉炉渣、锅炉水垢、废菌棒、除尘灰、生活垃圾和废培养皿，其中生物质锅炉炉渣集中收集后外售；锅炉水垢每一年清理一次，集中收集后暂存于垃圾箱统一由环卫部门清运处理；废菌棒可回用部分回用于生产，不可回用部分暂存于锅炉房用于锅炉燃料燃烧；锅炉除尘灰、生活垃圾、经蒸汽高温消毒后的废培养皿（不涉及化学试剂）经收集后统一由环卫部门清运处理，粉碎工序除尘灰回用于生产；危险废物为废油、废油桶暂存于危废间，由秦皇岛市徐山口危险废物处理有限公司拉运处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7" w:hRule="atLeast"/>
              </w:trPr>
              <w:tc>
                <w:tcPr>
                  <w:tcW w:w="669" w:type="pct"/>
                  <w:vMerge w:val="continue"/>
                  <w:noWrap/>
                  <w:vAlign w:val="center"/>
                </w:tcPr>
                <w:p>
                  <w:pPr>
                    <w:pStyle w:val="16"/>
                    <w:jc w:val="center"/>
                    <w:rPr>
                      <w:rFonts w:ascii="宋体" w:hAnsi="宋体" w:cs="宋体"/>
                      <w:color w:val="000000" w:themeColor="text1"/>
                      <w:sz w:val="18"/>
                      <w:szCs w:val="18"/>
                      <w14:textFill>
                        <w14:solidFill>
                          <w14:schemeClr w14:val="tx1"/>
                        </w14:solidFill>
                      </w14:textFill>
                    </w:rPr>
                  </w:pPr>
                </w:p>
              </w:tc>
              <w:tc>
                <w:tcPr>
                  <w:tcW w:w="880" w:type="pct"/>
                  <w:vMerge w:val="continue"/>
                  <w:noWrap/>
                  <w:vAlign w:val="center"/>
                </w:tcPr>
                <w:p>
                  <w:pPr>
                    <w:pStyle w:val="16"/>
                    <w:jc w:val="center"/>
                    <w:rPr>
                      <w:rFonts w:ascii="宋体" w:hAnsi="宋体" w:cs="宋体"/>
                      <w:color w:val="000000" w:themeColor="text1"/>
                      <w:sz w:val="18"/>
                      <w:szCs w:val="18"/>
                      <w14:textFill>
                        <w14:solidFill>
                          <w14:schemeClr w14:val="tx1"/>
                        </w14:solidFill>
                      </w14:textFill>
                    </w:rPr>
                  </w:pPr>
                </w:p>
              </w:tc>
              <w:tc>
                <w:tcPr>
                  <w:tcW w:w="880" w:type="pct"/>
                  <w:vMerge w:val="continue"/>
                  <w:noWrap/>
                  <w:vAlign w:val="center"/>
                </w:tcPr>
                <w:p>
                  <w:pPr>
                    <w:pStyle w:val="16"/>
                    <w:jc w:val="center"/>
                    <w:rPr>
                      <w:rFonts w:ascii="宋体" w:hAnsi="宋体" w:cs="宋体"/>
                      <w:color w:val="000000" w:themeColor="text1"/>
                      <w:sz w:val="18"/>
                      <w:szCs w:val="18"/>
                      <w14:textFill>
                        <w14:solidFill>
                          <w14:schemeClr w14:val="tx1"/>
                        </w14:solidFill>
                      </w14:textFill>
                    </w:rPr>
                  </w:pPr>
                </w:p>
              </w:tc>
              <w:tc>
                <w:tcPr>
                  <w:tcW w:w="430" w:type="pct"/>
                  <w:noWrap/>
                  <w:vAlign w:val="center"/>
                </w:tcPr>
                <w:p>
                  <w:pPr>
                    <w:pStyle w:val="16"/>
                    <w:ind w:left="0" w:leftChars="0"/>
                    <w:jc w:val="center"/>
                    <w:rPr>
                      <w:rFonts w:ascii="宋体" w:hAnsi="宋体" w:cs="宋体"/>
                      <w:sz w:val="18"/>
                      <w:szCs w:val="18"/>
                    </w:rPr>
                  </w:pPr>
                  <w:r>
                    <w:rPr>
                      <w:rFonts w:hint="eastAsia" w:ascii="宋体" w:hAnsi="宋体" w:cs="宋体"/>
                      <w:sz w:val="18"/>
                      <w:szCs w:val="18"/>
                    </w:rPr>
                    <w:t>污染物排放管控</w:t>
                  </w:r>
                </w:p>
              </w:tc>
              <w:tc>
                <w:tcPr>
                  <w:tcW w:w="660" w:type="pct"/>
                  <w:vMerge w:val="continue"/>
                  <w:noWrap/>
                  <w:vAlign w:val="center"/>
                </w:tcPr>
                <w:p>
                  <w:pPr>
                    <w:pStyle w:val="16"/>
                    <w:jc w:val="center"/>
                    <w:rPr>
                      <w:rFonts w:ascii="宋体" w:hAnsi="宋体" w:cs="宋体"/>
                      <w:sz w:val="18"/>
                      <w:szCs w:val="18"/>
                    </w:rPr>
                  </w:pPr>
                </w:p>
              </w:tc>
              <w:tc>
                <w:tcPr>
                  <w:tcW w:w="1479" w:type="pct"/>
                  <w:vMerge w:val="continue"/>
                  <w:noWrap/>
                  <w:vAlign w:val="center"/>
                </w:tcPr>
                <w:p>
                  <w:pPr>
                    <w:pStyle w:val="16"/>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0" w:hRule="atLeast"/>
              </w:trPr>
              <w:tc>
                <w:tcPr>
                  <w:tcW w:w="669" w:type="pct"/>
                  <w:vMerge w:val="continue"/>
                  <w:noWrap/>
                  <w:vAlign w:val="center"/>
                </w:tcPr>
                <w:p>
                  <w:pPr>
                    <w:pStyle w:val="16"/>
                    <w:jc w:val="center"/>
                    <w:rPr>
                      <w:rFonts w:ascii="宋体" w:hAnsi="宋体" w:cs="宋体"/>
                      <w:color w:val="000000" w:themeColor="text1"/>
                      <w:sz w:val="18"/>
                      <w:szCs w:val="18"/>
                      <w14:textFill>
                        <w14:solidFill>
                          <w14:schemeClr w14:val="tx1"/>
                        </w14:solidFill>
                      </w14:textFill>
                    </w:rPr>
                  </w:pPr>
                </w:p>
              </w:tc>
              <w:tc>
                <w:tcPr>
                  <w:tcW w:w="880" w:type="pct"/>
                  <w:vMerge w:val="continue"/>
                  <w:noWrap/>
                  <w:vAlign w:val="center"/>
                </w:tcPr>
                <w:p>
                  <w:pPr>
                    <w:pStyle w:val="16"/>
                    <w:jc w:val="center"/>
                    <w:rPr>
                      <w:rFonts w:ascii="宋体" w:hAnsi="宋体" w:cs="宋体"/>
                      <w:color w:val="000000" w:themeColor="text1"/>
                      <w:sz w:val="18"/>
                      <w:szCs w:val="18"/>
                      <w14:textFill>
                        <w14:solidFill>
                          <w14:schemeClr w14:val="tx1"/>
                        </w14:solidFill>
                      </w14:textFill>
                    </w:rPr>
                  </w:pPr>
                </w:p>
              </w:tc>
              <w:tc>
                <w:tcPr>
                  <w:tcW w:w="880" w:type="pct"/>
                  <w:vMerge w:val="continue"/>
                  <w:noWrap/>
                  <w:vAlign w:val="center"/>
                </w:tcPr>
                <w:p>
                  <w:pPr>
                    <w:pStyle w:val="16"/>
                    <w:jc w:val="center"/>
                    <w:rPr>
                      <w:rFonts w:ascii="宋体" w:hAnsi="宋体" w:cs="宋体"/>
                      <w:color w:val="000000" w:themeColor="text1"/>
                      <w:sz w:val="18"/>
                      <w:szCs w:val="18"/>
                      <w14:textFill>
                        <w14:solidFill>
                          <w14:schemeClr w14:val="tx1"/>
                        </w14:solidFill>
                      </w14:textFill>
                    </w:rPr>
                  </w:pPr>
                </w:p>
              </w:tc>
              <w:tc>
                <w:tcPr>
                  <w:tcW w:w="430" w:type="pct"/>
                  <w:noWrap/>
                  <w:vAlign w:val="center"/>
                </w:tcPr>
                <w:p>
                  <w:pPr>
                    <w:pStyle w:val="16"/>
                    <w:ind w:left="0" w:leftChars="0"/>
                    <w:jc w:val="center"/>
                    <w:rPr>
                      <w:rFonts w:ascii="宋体" w:hAnsi="宋体" w:cs="宋体"/>
                      <w:sz w:val="18"/>
                      <w:szCs w:val="18"/>
                    </w:rPr>
                  </w:pPr>
                  <w:r>
                    <w:rPr>
                      <w:rFonts w:hint="eastAsia" w:ascii="宋体" w:hAnsi="宋体" w:cs="宋体"/>
                      <w:sz w:val="18"/>
                      <w:szCs w:val="18"/>
                    </w:rPr>
                    <w:t>环境风险防控</w:t>
                  </w:r>
                </w:p>
              </w:tc>
              <w:tc>
                <w:tcPr>
                  <w:tcW w:w="660" w:type="pct"/>
                  <w:vMerge w:val="continue"/>
                  <w:noWrap/>
                  <w:vAlign w:val="center"/>
                </w:tcPr>
                <w:p>
                  <w:pPr>
                    <w:pStyle w:val="16"/>
                    <w:jc w:val="center"/>
                    <w:rPr>
                      <w:rFonts w:ascii="宋体" w:hAnsi="宋体" w:cs="宋体"/>
                      <w:sz w:val="18"/>
                      <w:szCs w:val="18"/>
                    </w:rPr>
                  </w:pPr>
                </w:p>
              </w:tc>
              <w:tc>
                <w:tcPr>
                  <w:tcW w:w="1479" w:type="pct"/>
                  <w:vMerge w:val="continue"/>
                  <w:noWrap/>
                  <w:vAlign w:val="center"/>
                </w:tcPr>
                <w:p>
                  <w:pPr>
                    <w:pStyle w:val="16"/>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6" w:hRule="atLeast"/>
              </w:trPr>
              <w:tc>
                <w:tcPr>
                  <w:tcW w:w="669" w:type="pct"/>
                  <w:vMerge w:val="continue"/>
                  <w:noWrap/>
                  <w:vAlign w:val="center"/>
                </w:tcPr>
                <w:p>
                  <w:pPr>
                    <w:pStyle w:val="16"/>
                    <w:jc w:val="center"/>
                    <w:rPr>
                      <w:rFonts w:ascii="宋体" w:hAnsi="宋体" w:cs="宋体"/>
                      <w:color w:val="000000" w:themeColor="text1"/>
                      <w:sz w:val="18"/>
                      <w:szCs w:val="18"/>
                      <w14:textFill>
                        <w14:solidFill>
                          <w14:schemeClr w14:val="tx1"/>
                        </w14:solidFill>
                      </w14:textFill>
                    </w:rPr>
                  </w:pPr>
                </w:p>
              </w:tc>
              <w:tc>
                <w:tcPr>
                  <w:tcW w:w="880" w:type="pct"/>
                  <w:vMerge w:val="continue"/>
                  <w:noWrap/>
                  <w:vAlign w:val="center"/>
                </w:tcPr>
                <w:p>
                  <w:pPr>
                    <w:pStyle w:val="16"/>
                    <w:jc w:val="center"/>
                    <w:rPr>
                      <w:rFonts w:ascii="宋体" w:hAnsi="宋体" w:cs="宋体"/>
                      <w:color w:val="000000" w:themeColor="text1"/>
                      <w:sz w:val="18"/>
                      <w:szCs w:val="18"/>
                      <w14:textFill>
                        <w14:solidFill>
                          <w14:schemeClr w14:val="tx1"/>
                        </w14:solidFill>
                      </w14:textFill>
                    </w:rPr>
                  </w:pPr>
                </w:p>
              </w:tc>
              <w:tc>
                <w:tcPr>
                  <w:tcW w:w="880" w:type="pct"/>
                  <w:vMerge w:val="continue"/>
                  <w:noWrap/>
                  <w:vAlign w:val="center"/>
                </w:tcPr>
                <w:p>
                  <w:pPr>
                    <w:pStyle w:val="16"/>
                    <w:jc w:val="center"/>
                    <w:rPr>
                      <w:rFonts w:ascii="宋体" w:hAnsi="宋体" w:cs="宋体"/>
                      <w:color w:val="000000" w:themeColor="text1"/>
                      <w:sz w:val="18"/>
                      <w:szCs w:val="18"/>
                      <w14:textFill>
                        <w14:solidFill>
                          <w14:schemeClr w14:val="tx1"/>
                        </w14:solidFill>
                      </w14:textFill>
                    </w:rPr>
                  </w:pPr>
                </w:p>
              </w:tc>
              <w:tc>
                <w:tcPr>
                  <w:tcW w:w="430" w:type="pct"/>
                  <w:noWrap/>
                  <w:vAlign w:val="center"/>
                </w:tcPr>
                <w:p>
                  <w:pPr>
                    <w:pStyle w:val="16"/>
                    <w:ind w:left="0" w:leftChars="0"/>
                    <w:rPr>
                      <w:rFonts w:ascii="宋体" w:hAnsi="宋体" w:cs="宋体"/>
                      <w:sz w:val="18"/>
                      <w:szCs w:val="18"/>
                    </w:rPr>
                  </w:pPr>
                  <w:r>
                    <w:rPr>
                      <w:rFonts w:hint="eastAsia" w:ascii="宋体" w:hAnsi="宋体" w:cs="宋体"/>
                      <w:sz w:val="18"/>
                      <w:szCs w:val="18"/>
                    </w:rPr>
                    <w:t>资源利用效率</w:t>
                  </w:r>
                </w:p>
              </w:tc>
              <w:tc>
                <w:tcPr>
                  <w:tcW w:w="660" w:type="pct"/>
                  <w:vMerge w:val="continue"/>
                  <w:noWrap/>
                  <w:vAlign w:val="center"/>
                </w:tcPr>
                <w:p>
                  <w:pPr>
                    <w:pStyle w:val="16"/>
                    <w:jc w:val="center"/>
                    <w:rPr>
                      <w:rFonts w:ascii="宋体" w:hAnsi="宋体" w:cs="宋体"/>
                      <w:sz w:val="18"/>
                      <w:szCs w:val="18"/>
                    </w:rPr>
                  </w:pPr>
                </w:p>
              </w:tc>
              <w:tc>
                <w:tcPr>
                  <w:tcW w:w="1479" w:type="pct"/>
                  <w:vMerge w:val="continue"/>
                  <w:noWrap/>
                  <w:vAlign w:val="center"/>
                </w:tcPr>
                <w:p>
                  <w:pPr>
                    <w:pStyle w:val="16"/>
                    <w:jc w:val="center"/>
                    <w:rPr>
                      <w:rFonts w:ascii="宋体" w:hAnsi="宋体" w:cs="宋体"/>
                      <w:sz w:val="18"/>
                      <w:szCs w:val="18"/>
                    </w:rPr>
                  </w:pPr>
                </w:p>
              </w:tc>
            </w:tr>
          </w:tbl>
          <w:p>
            <w:pPr>
              <w:pStyle w:val="20"/>
              <w:rPr>
                <w:rFonts w:cs="宋体"/>
                <w:sz w:val="21"/>
                <w:szCs w:val="21"/>
              </w:rPr>
            </w:pPr>
            <w:r>
              <w:rPr>
                <w:rFonts w:hint="eastAsia"/>
                <w:sz w:val="21"/>
                <w:szCs w:val="21"/>
              </w:rPr>
              <w:t>本项目所在区域环境管控单元识别图：</w:t>
            </w:r>
          </w:p>
          <w:p>
            <w:pPr>
              <w:autoSpaceDE w:val="0"/>
              <w:autoSpaceDN w:val="0"/>
              <w:adjustRightInd w:val="0"/>
              <w:snapToGrid w:val="0"/>
              <w:spacing w:line="360" w:lineRule="auto"/>
              <w:rPr>
                <w:rFonts w:ascii="宋体" w:hAnsi="宋体" w:cs="宋体"/>
                <w:color w:val="000000" w:themeColor="text1"/>
                <w:szCs w:val="21"/>
                <w14:textFill>
                  <w14:solidFill>
                    <w14:schemeClr w14:val="tx1"/>
                  </w14:solidFill>
                </w14:textFill>
              </w:rPr>
            </w:pPr>
            <w:r>
              <w:rPr>
                <w:sz w:val="24"/>
              </w:rPr>
              <mc:AlternateContent>
                <mc:Choice Requires="wps">
                  <w:drawing>
                    <wp:anchor distT="0" distB="0" distL="114300" distR="114300" simplePos="0" relativeHeight="251680768" behindDoc="0" locked="0" layoutInCell="1" allowOverlap="1">
                      <wp:simplePos x="0" y="0"/>
                      <wp:positionH relativeFrom="column">
                        <wp:posOffset>2507615</wp:posOffset>
                      </wp:positionH>
                      <wp:positionV relativeFrom="paragraph">
                        <wp:posOffset>3249930</wp:posOffset>
                      </wp:positionV>
                      <wp:extent cx="76200" cy="76200"/>
                      <wp:effectExtent l="12700" t="12700" r="25400" b="25400"/>
                      <wp:wrapNone/>
                      <wp:docPr id="99" name="椭圆 99"/>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7.45pt;margin-top:255.9pt;height:6pt;width:6pt;z-index:251680768;v-text-anchor:middle;mso-width-relative:page;mso-height-relative:page;" fillcolor="#000000 [3213]" filled="t" stroked="t" coordsize="21600,21600" o:gfxdata="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dw&#10;VRXZAAAACwEAAA8AAAAAAAAAAQAgAAAAIgAAAGRycy9kb3ducmV2LnhtbFBLAQIUABQAAAAIAIdO&#10;4kAQolAQWwIAAN8EAAAOAAAAAAAAAAEAIAAAACgBAABkcnMvZTJvRG9jLnhtbFBLBQYAAAAABgAG&#10;AFkBAAD1BQAAAAA=&#10;">
                      <v:fill on="t" focussize="0,0"/>
                      <v:stroke weight="2pt" color="#000000 [3213]" joinstyle="round"/>
                      <v:imagedata o:title=""/>
                      <o:lock v:ext="edit" aspectratio="f"/>
                    </v:shape>
                  </w:pict>
                </mc:Fallback>
              </mc:AlternateContent>
            </w:r>
            <w:r>
              <w:rPr>
                <w:rFonts w:hint="eastAsia" w:ascii="宋体" w:hAnsi="宋体" w:cs="宋体"/>
                <w:color w:val="000000" w:themeColor="text1"/>
                <w:szCs w:val="21"/>
                <w14:textFill>
                  <w14:solidFill>
                    <w14:schemeClr w14:val="tx1"/>
                  </w14:solidFill>
                </w14:textFill>
              </w:rPr>
              <w:drawing>
                <wp:anchor distT="0" distB="0" distL="114300" distR="114300" simplePos="0" relativeHeight="251679744" behindDoc="0" locked="0" layoutInCell="1" allowOverlap="1">
                  <wp:simplePos x="0" y="0"/>
                  <wp:positionH relativeFrom="column">
                    <wp:posOffset>2408555</wp:posOffset>
                  </wp:positionH>
                  <wp:positionV relativeFrom="paragraph">
                    <wp:posOffset>3108960</wp:posOffset>
                  </wp:positionV>
                  <wp:extent cx="2190750" cy="453390"/>
                  <wp:effectExtent l="0" t="0" r="0" b="3810"/>
                  <wp:wrapNone/>
                  <wp:docPr id="80" name="F35B0BEE-F18A-47BB-8FCB-E00DA2F2635D-1" descr="C:/Users/Administrator/AppData/Local/Temp/wps.EtsOc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35B0BEE-F18A-47BB-8FCB-E00DA2F2635D-1" descr="C:/Users/Administrator/AppData/Local/Temp/wps.EtsOcYwps"/>
                          <pic:cNvPicPr>
                            <a:picLocks noChangeAspect="1"/>
                          </pic:cNvPicPr>
                        </pic:nvPicPr>
                        <pic:blipFill>
                          <a:blip r:embed="rId10"/>
                          <a:stretch>
                            <a:fillRect/>
                          </a:stretch>
                        </pic:blipFill>
                        <pic:spPr>
                          <a:xfrm>
                            <a:off x="0" y="0"/>
                            <a:ext cx="2190750" cy="453390"/>
                          </a:xfrm>
                          <a:prstGeom prst="rect">
                            <a:avLst/>
                          </a:prstGeom>
                        </pic:spPr>
                      </pic:pic>
                    </a:graphicData>
                  </a:graphic>
                </wp:anchor>
              </w:drawing>
            </w:r>
            <w:r>
              <w:rPr>
                <w:rFonts w:hint="eastAsia" w:ascii="宋体" w:hAnsi="宋体" w:cs="宋体"/>
                <w:color w:val="000000" w:themeColor="text1"/>
                <w:szCs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2839085</wp:posOffset>
                      </wp:positionH>
                      <wp:positionV relativeFrom="paragraph">
                        <wp:posOffset>1483995</wp:posOffset>
                      </wp:positionV>
                      <wp:extent cx="868045" cy="295275"/>
                      <wp:effectExtent l="5080" t="4445" r="10795" b="127000"/>
                      <wp:wrapNone/>
                      <wp:docPr id="3" name="自选图形 248"/>
                      <wp:cNvGraphicFramePr/>
                      <a:graphic xmlns:a="http://schemas.openxmlformats.org/drawingml/2006/main">
                        <a:graphicData uri="http://schemas.microsoft.com/office/word/2010/wordprocessingShape">
                          <wps:wsp>
                            <wps:cNvSpPr/>
                            <wps:spPr>
                              <a:xfrm>
                                <a:off x="0" y="0"/>
                                <a:ext cx="868045" cy="295275"/>
                              </a:xfrm>
                              <a:prstGeom prst="wedgeRectCallout">
                                <a:avLst>
                                  <a:gd name="adj1" fmla="val -43782"/>
                                  <a:gd name="adj2" fmla="val 89356"/>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项目所在地</w:t>
                                  </w:r>
                                </w:p>
                              </w:txbxContent>
                            </wps:txbx>
                            <wps:bodyPr wrap="square" upright="1"/>
                          </wps:wsp>
                        </a:graphicData>
                      </a:graphic>
                    </wp:anchor>
                  </w:drawing>
                </mc:Choice>
                <mc:Fallback>
                  <w:pict>
                    <v:shape id="自选图形 248" o:spid="_x0000_s1026" o:spt="61" type="#_x0000_t61" style="position:absolute;left:0pt;margin-left:223.55pt;margin-top:116.85pt;height:23.25pt;width:68.35pt;z-index:251660288;mso-width-relative:page;mso-height-relative:page;" fillcolor="#FFFFFF" filled="t" stroked="t" coordsize="21600,21600" o:gfxdata="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lG1odkAAAALAQAADwAAAAAA&#10;AAABACAAAAAiAAAAZHJzL2Rvd25yZXYueG1sUEsBAhQAFAAAAAgAh07iQCl15CRLAgAAqgQAAA4A&#10;AAAAAAAAAQAgAAAAKAEAAGRycy9lMm9Eb2MueG1sUEsFBgAAAAAGAAYAWQEAAOUFAAAAAA==&#10;" adj="1343,30101">
                      <v:fill on="t" focussize="0,0"/>
                      <v:stroke color="#000000" joinstyle="miter"/>
                      <v:imagedata o:title=""/>
                      <o:lock v:ext="edit" aspectratio="f"/>
                      <v:textbox>
                        <w:txbxContent>
                          <w:p>
                            <w:pPr>
                              <w:rPr>
                                <w:sz w:val="18"/>
                                <w:szCs w:val="18"/>
                              </w:rPr>
                            </w:pPr>
                            <w:r>
                              <w:rPr>
                                <w:rFonts w:hint="eastAsia"/>
                                <w:sz w:val="18"/>
                                <w:szCs w:val="18"/>
                              </w:rPr>
                              <w:t>项目所在地</w:t>
                            </w:r>
                          </w:p>
                        </w:txbxContent>
                      </v:textbox>
                    </v:shape>
                  </w:pict>
                </mc:Fallback>
              </mc:AlternateContent>
            </w:r>
            <w:r>
              <w:rPr>
                <w:rFonts w:hint="eastAsia" w:ascii="宋体" w:hAnsi="宋体" w:cs="宋体"/>
                <w:color w:val="000000" w:themeColor="text1"/>
                <w:szCs w:val="21"/>
                <w14:textFill>
                  <w14:solidFill>
                    <w14:schemeClr w14:val="tx1"/>
                  </w14:solidFill>
                </w14:textFill>
              </w:rPr>
              <w:drawing>
                <wp:inline distT="0" distB="0" distL="114300" distR="114300">
                  <wp:extent cx="4643755" cy="3561080"/>
                  <wp:effectExtent l="0" t="0" r="4445" b="1270"/>
                  <wp:docPr id="19" name="图片 1" descr="C:/Users/Administrator/Desktop/93c81442625fbcf5d1cda855a9190b1.png93c81442625fbcf5d1cda855a919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Administrator/Desktop/93c81442625fbcf5d1cda855a9190b1.png93c81442625fbcf5d1cda855a9190b1"/>
                          <pic:cNvPicPr>
                            <a:picLocks noChangeAspect="1"/>
                          </pic:cNvPicPr>
                        </pic:nvPicPr>
                        <pic:blipFill>
                          <a:blip r:embed="rId11"/>
                          <a:srcRect l="8015" r="8015"/>
                          <a:stretch>
                            <a:fillRect/>
                          </a:stretch>
                        </pic:blipFill>
                        <pic:spPr>
                          <a:xfrm>
                            <a:off x="0" y="0"/>
                            <a:ext cx="4643755" cy="3561080"/>
                          </a:xfrm>
                          <a:prstGeom prst="rect">
                            <a:avLst/>
                          </a:prstGeom>
                          <a:noFill/>
                          <a:ln>
                            <a:noFill/>
                          </a:ln>
                        </pic:spPr>
                      </pic:pic>
                    </a:graphicData>
                  </a:graphic>
                </wp:inline>
              </w:drawing>
            </w:r>
          </w:p>
          <w:p>
            <w:pPr>
              <w:pStyle w:val="41"/>
              <w:jc w:val="center"/>
              <w:rPr>
                <w:rFonts w:ascii="宋体" w:hAnsi="宋体" w:cs="宋体"/>
                <w:b/>
                <w:bCs/>
                <w:color w:val="auto"/>
                <w:kern w:val="2"/>
                <w:sz w:val="21"/>
                <w:szCs w:val="21"/>
              </w:rPr>
            </w:pPr>
            <w:r>
              <w:rPr>
                <w:rFonts w:hint="eastAsia" w:ascii="宋体" w:hAnsi="宋体" w:cs="宋体"/>
                <w:b/>
                <w:bCs/>
                <w:color w:val="auto"/>
                <w:kern w:val="2"/>
                <w:sz w:val="21"/>
                <w:szCs w:val="21"/>
              </w:rPr>
              <w:t>图1  承德市环境管控单元图</w:t>
            </w:r>
          </w:p>
          <w:p>
            <w:pPr>
              <w:autoSpaceDE w:val="0"/>
              <w:autoSpaceDN w:val="0"/>
              <w:adjustRightInd w:val="0"/>
              <w:snapToGrid w:val="0"/>
              <w:spacing w:line="360" w:lineRule="auto"/>
              <w:ind w:firstLine="422" w:firstLineChars="200"/>
              <w:jc w:val="left"/>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3、选址合理性分析</w:t>
            </w:r>
          </w:p>
          <w:p>
            <w:pPr>
              <w:adjustRightInd w:val="0"/>
              <w:snapToGrid w:val="0"/>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本项目位于承德市围场满族蒙古族自治县新地乡大西沟村，厂址周围无名胜古迹、风景区、自然保护区等特殊环境敏感点，无明显的环境制约因素。通过环境影响分析可知，在采取相关污染防治措施的前提下，各类污染物符合达标排放要求，对区域环境质量影响较小。因此，项目选址合理。 </w:t>
            </w:r>
          </w:p>
          <w:p>
            <w:pPr>
              <w:autoSpaceDE w:val="0"/>
              <w:autoSpaceDN w:val="0"/>
              <w:adjustRightInd w:val="0"/>
              <w:snapToGrid w:val="0"/>
              <w:spacing w:line="360" w:lineRule="auto"/>
              <w:ind w:firstLine="422" w:firstLineChars="200"/>
              <w:jc w:val="left"/>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4、产业政策符合性分析</w:t>
            </w:r>
          </w:p>
          <w:p>
            <w:pPr>
              <w:snapToGrid w:val="0"/>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国家发展改革委商务部关于印发《市场准入负面清单（2022年版）》的通知（发改体改规[2022]397号）”，应严格落实“全国一张清单”管理要求，坚决维护市场准入负面清单制度的统一性、严肃性和权威性，确保"一单尽列、单外无单”。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pPr>
              <w:pStyle w:val="16"/>
              <w:spacing w:line="360" w:lineRule="auto"/>
              <w:ind w:left="0" w:leftChars="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本项目为</w:t>
            </w:r>
            <w:r>
              <w:rPr>
                <w:rFonts w:hint="eastAsia" w:ascii="宋体" w:hAnsi="宋体" w:cs="宋体"/>
                <w:szCs w:val="21"/>
              </w:rPr>
              <w:t>《国民经济行业分类》（GB/T4754-2017）中A0142食用菌种植、D4430热力生产和供应，经查阅《产业结构调整指导目录（2024年于本）》，本项</w:t>
            </w:r>
            <w:r>
              <w:rPr>
                <w:rFonts w:hint="eastAsia" w:ascii="宋体" w:hAnsi="宋体" w:cs="宋体"/>
                <w:color w:val="000000" w:themeColor="text1"/>
                <w:szCs w:val="21"/>
                <w14:textFill>
                  <w14:solidFill>
                    <w14:schemeClr w14:val="tx1"/>
                  </w14:solidFill>
                </w14:textFill>
              </w:rPr>
              <w:t>目为食用菌标准化生产车间及锅炉建设项目，项目属于热力生产和供应工程、农产品基地项目，属于允许类建设项目，不属于鼓励类、限制类、淘汰类建设项目，符合国家产业政策。该项目分别于2022年9月22日通过了由围场满族蒙古族自治县行政审批局《关于下达围场满族蒙古族自治县腾兴农业发展有限公司食用菌标准化生产车间建设项目投资计划的通知》（文号：围行审投【2022】222号），并于2023年2月20日取得由围场满族蒙古族自治县行政审批局发布的关于围场满族蒙古族自治县腾兴农业发展有限公司食用菌标准化生产车间锅炉建设项目《企业投资项目备案信息》（文号：围行审投字【2023】15号）详见附件</w:t>
            </w:r>
            <w:r>
              <w:rPr>
                <w:rFonts w:hint="eastAsia" w:ascii="宋体" w:hAnsi="宋体" w:cs="宋体"/>
                <w:color w:val="000000" w:themeColor="text1"/>
                <w:szCs w:val="21"/>
                <w:lang w:val="en-US" w:eastAsia="zh-CN"/>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。项目运营过程中不使用国家明令禁止淘汰类和限制类工艺和设备，因此本项目符合国家和地方产业政策。</w:t>
            </w:r>
          </w:p>
          <w:p>
            <w:pPr>
              <w:pStyle w:val="16"/>
              <w:spacing w:line="360" w:lineRule="auto"/>
              <w:ind w:left="0" w:leftChars="0" w:firstLine="422" w:firstLineChars="200"/>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5、《承德市城市总体规划》（2016—2030年）符合性分析</w:t>
            </w:r>
          </w:p>
          <w:p>
            <w:pPr>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承德市城市总体规划中生态功能区如下图所示：</w:t>
            </w:r>
          </w:p>
          <w:p>
            <w:pPr>
              <w:pStyle w:val="2"/>
              <w:ind w:left="0" w:leftChars="0" w:firstLine="0" w:firstLineChars="0"/>
              <w:jc w:val="both"/>
              <w:rPr>
                <w:rFonts w:hint="eastAsia" w:ascii="宋体" w:hAnsi="宋体" w:cs="宋体"/>
                <w:color w:val="000000" w:themeColor="text1"/>
                <w:szCs w:val="21"/>
                <w14:textFill>
                  <w14:solidFill>
                    <w14:schemeClr w14:val="tx1"/>
                  </w14:solidFill>
                </w14:textFill>
              </w:rPr>
            </w:pPr>
          </w:p>
          <w:p>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haracter">
                        <wp:posOffset>147955</wp:posOffset>
                      </wp:positionH>
                      <wp:positionV relativeFrom="line">
                        <wp:posOffset>88265</wp:posOffset>
                      </wp:positionV>
                      <wp:extent cx="3931285" cy="2977515"/>
                      <wp:effectExtent l="1905" t="3175" r="13970" b="6350"/>
                      <wp:wrapNone/>
                      <wp:docPr id="32" name="组合 249"/>
                      <wp:cNvGraphicFramePr/>
                      <a:graphic xmlns:a="http://schemas.openxmlformats.org/drawingml/2006/main">
                        <a:graphicData uri="http://schemas.microsoft.com/office/word/2010/wordprocessingGroup">
                          <wpg:wgp>
                            <wpg:cNvGrpSpPr/>
                            <wpg:grpSpPr>
                              <a:xfrm>
                                <a:off x="0" y="0"/>
                                <a:ext cx="3931285" cy="2977515"/>
                                <a:chOff x="2148" y="-10836"/>
                                <a:chExt cx="7631" cy="10637"/>
                              </a:xfrm>
                              <a:effectLst/>
                            </wpg:grpSpPr>
                            <pic:pic xmlns:pic="http://schemas.openxmlformats.org/drawingml/2006/picture">
                              <pic:nvPicPr>
                                <pic:cNvPr id="21" name="图片 250"/>
                                <pic:cNvPicPr>
                                  <a:picLocks noChangeAspect="1"/>
                                </pic:cNvPicPr>
                              </pic:nvPicPr>
                              <pic:blipFill>
                                <a:blip r:embed="rId12"/>
                                <a:stretch>
                                  <a:fillRect/>
                                </a:stretch>
                              </pic:blipFill>
                              <pic:spPr>
                                <a:xfrm>
                                  <a:off x="2158" y="-10826"/>
                                  <a:ext cx="7611" cy="10617"/>
                                </a:xfrm>
                                <a:prstGeom prst="rect">
                                  <a:avLst/>
                                </a:prstGeom>
                                <a:noFill/>
                                <a:ln>
                                  <a:noFill/>
                                </a:ln>
                                <a:effectLst/>
                              </pic:spPr>
                            </pic:pic>
                            <wpg:grpSp>
                              <wpg:cNvPr id="23" name="组合 251"/>
                              <wpg:cNvGrpSpPr/>
                              <wpg:grpSpPr>
                                <a:xfrm>
                                  <a:off x="2153" y="-10831"/>
                                  <a:ext cx="7621" cy="10627"/>
                                  <a:chOff x="2153" y="-10831"/>
                                  <a:chExt cx="7621" cy="10627"/>
                                </a:xfrm>
                                <a:effectLst/>
                              </wpg:grpSpPr>
                              <wps:wsp>
                                <wps:cNvPr id="22" name="任意多边形 252"/>
                                <wps:cNvSpPr/>
                                <wps:spPr>
                                  <a:xfrm>
                                    <a:off x="2153" y="-10831"/>
                                    <a:ext cx="7621" cy="10627"/>
                                  </a:xfrm>
                                  <a:custGeom>
                                    <a:avLst/>
                                    <a:gdLst/>
                                    <a:ahLst/>
                                    <a:cxnLst/>
                                    <a:rect l="0" t="0" r="0" b="0"/>
                                    <a:pathLst>
                                      <a:path w="7621" h="10627">
                                        <a:moveTo>
                                          <a:pt x="0" y="10628"/>
                                        </a:moveTo>
                                        <a:lnTo>
                                          <a:pt x="7621" y="10628"/>
                                        </a:lnTo>
                                        <a:lnTo>
                                          <a:pt x="7621" y="0"/>
                                        </a:lnTo>
                                        <a:lnTo>
                                          <a:pt x="0" y="0"/>
                                        </a:lnTo>
                                        <a:lnTo>
                                          <a:pt x="0" y="10628"/>
                                        </a:lnTo>
                                        <a:close/>
                                      </a:path>
                                    </a:pathLst>
                                  </a:custGeom>
                                  <a:noFill/>
                                  <a:ln w="6350" cap="flat" cmpd="sng">
                                    <a:solidFill>
                                      <a:srgbClr val="A6A6A6"/>
                                    </a:solidFill>
                                    <a:prstDash val="solid"/>
                                    <a:headEnd type="none" w="med" len="med"/>
                                    <a:tailEnd type="none" w="med" len="med"/>
                                  </a:ln>
                                  <a:effectLst/>
                                </wps:spPr>
                                <wps:bodyPr vert="horz" wrap="square" anchor="t" anchorCtr="0" upright="1"/>
                              </wps:wsp>
                            </wpg:grpSp>
                            <wpg:grpSp>
                              <wpg:cNvPr id="27" name="组合 253"/>
                              <wpg:cNvGrpSpPr/>
                              <wpg:grpSpPr>
                                <a:xfrm>
                                  <a:off x="5239" y="-5983"/>
                                  <a:ext cx="71" cy="71"/>
                                  <a:chOff x="5239" y="-5983"/>
                                  <a:chExt cx="71" cy="71"/>
                                </a:xfrm>
                                <a:effectLst/>
                              </wpg:grpSpPr>
                              <wps:wsp>
                                <wps:cNvPr id="24" name="任意多边形 254"/>
                                <wps:cNvSpPr/>
                                <wps:spPr>
                                  <a:xfrm>
                                    <a:off x="5239" y="-5983"/>
                                    <a:ext cx="71" cy="71"/>
                                  </a:xfrm>
                                  <a:custGeom>
                                    <a:avLst/>
                                    <a:gdLst/>
                                    <a:ahLst/>
                                    <a:cxnLst/>
                                    <a:rect l="0" t="0" r="0" b="0"/>
                                    <a:pathLst>
                                      <a:path w="71" h="71">
                                        <a:moveTo>
                                          <a:pt x="71" y="28"/>
                                        </a:moveTo>
                                        <a:lnTo>
                                          <a:pt x="0" y="28"/>
                                        </a:lnTo>
                                        <a:lnTo>
                                          <a:pt x="22" y="44"/>
                                        </a:lnTo>
                                        <a:lnTo>
                                          <a:pt x="14" y="71"/>
                                        </a:lnTo>
                                        <a:lnTo>
                                          <a:pt x="36" y="55"/>
                                        </a:lnTo>
                                        <a:lnTo>
                                          <a:pt x="52" y="55"/>
                                        </a:lnTo>
                                        <a:lnTo>
                                          <a:pt x="49" y="44"/>
                                        </a:lnTo>
                                        <a:lnTo>
                                          <a:pt x="71" y="28"/>
                                        </a:lnTo>
                                      </a:path>
                                    </a:pathLst>
                                  </a:custGeom>
                                  <a:solidFill>
                                    <a:srgbClr val="FFFF00"/>
                                  </a:solidFill>
                                  <a:ln>
                                    <a:noFill/>
                                  </a:ln>
                                  <a:effectLst/>
                                </wps:spPr>
                                <wps:bodyPr vert="horz" wrap="square" anchor="t" anchorCtr="0" upright="1"/>
                              </wps:wsp>
                              <wps:wsp>
                                <wps:cNvPr id="25" name="任意多边形 255"/>
                                <wps:cNvSpPr/>
                                <wps:spPr>
                                  <a:xfrm>
                                    <a:off x="5239" y="-5983"/>
                                    <a:ext cx="71" cy="71"/>
                                  </a:xfrm>
                                  <a:custGeom>
                                    <a:avLst/>
                                    <a:gdLst/>
                                    <a:ahLst/>
                                    <a:cxnLst/>
                                    <a:rect l="0" t="0" r="0" b="0"/>
                                    <a:pathLst>
                                      <a:path w="71" h="71">
                                        <a:moveTo>
                                          <a:pt x="52" y="55"/>
                                        </a:moveTo>
                                        <a:lnTo>
                                          <a:pt x="36" y="55"/>
                                        </a:lnTo>
                                        <a:lnTo>
                                          <a:pt x="57" y="71"/>
                                        </a:lnTo>
                                        <a:lnTo>
                                          <a:pt x="52" y="55"/>
                                        </a:lnTo>
                                      </a:path>
                                    </a:pathLst>
                                  </a:custGeom>
                                  <a:solidFill>
                                    <a:srgbClr val="FFFF00"/>
                                  </a:solidFill>
                                  <a:ln>
                                    <a:noFill/>
                                  </a:ln>
                                  <a:effectLst/>
                                </wps:spPr>
                                <wps:bodyPr vert="horz" wrap="square" anchor="t" anchorCtr="0" upright="1"/>
                              </wps:wsp>
                              <wps:wsp>
                                <wps:cNvPr id="26" name="任意多边形 256"/>
                                <wps:cNvSpPr/>
                                <wps:spPr>
                                  <a:xfrm>
                                    <a:off x="5239" y="-5983"/>
                                    <a:ext cx="71" cy="71"/>
                                  </a:xfrm>
                                  <a:custGeom>
                                    <a:avLst/>
                                    <a:gdLst/>
                                    <a:ahLst/>
                                    <a:cxnLst/>
                                    <a:rect l="0" t="0" r="0" b="0"/>
                                    <a:pathLst>
                                      <a:path w="71" h="71">
                                        <a:moveTo>
                                          <a:pt x="36" y="0"/>
                                        </a:moveTo>
                                        <a:lnTo>
                                          <a:pt x="27" y="28"/>
                                        </a:lnTo>
                                        <a:lnTo>
                                          <a:pt x="44" y="28"/>
                                        </a:lnTo>
                                        <a:lnTo>
                                          <a:pt x="36" y="0"/>
                                        </a:lnTo>
                                      </a:path>
                                    </a:pathLst>
                                  </a:custGeom>
                                  <a:solidFill>
                                    <a:srgbClr val="FFFF00"/>
                                  </a:solidFill>
                                  <a:ln>
                                    <a:noFill/>
                                  </a:ln>
                                  <a:effectLst/>
                                </wps:spPr>
                                <wps:bodyPr vert="horz" wrap="square" anchor="t" anchorCtr="0" upright="1"/>
                              </wps:wsp>
                            </wpg:grpSp>
                            <wpg:grpSp>
                              <wpg:cNvPr id="29" name="组合 257"/>
                              <wpg:cNvGrpSpPr/>
                              <wpg:grpSpPr>
                                <a:xfrm>
                                  <a:off x="5239" y="-5983"/>
                                  <a:ext cx="71" cy="71"/>
                                  <a:chOff x="5239" y="-5983"/>
                                  <a:chExt cx="71" cy="71"/>
                                </a:xfrm>
                                <a:effectLst/>
                              </wpg:grpSpPr>
                              <wps:wsp>
                                <wps:cNvPr id="28" name="任意多边形 258"/>
                                <wps:cNvSpPr/>
                                <wps:spPr>
                                  <a:xfrm>
                                    <a:off x="5239" y="-5983"/>
                                    <a:ext cx="71" cy="71"/>
                                  </a:xfrm>
                                  <a:custGeom>
                                    <a:avLst/>
                                    <a:gdLst/>
                                    <a:ahLst/>
                                    <a:cxnLst/>
                                    <a:rect l="0" t="0" r="0" b="0"/>
                                    <a:pathLst>
                                      <a:path w="71" h="71">
                                        <a:moveTo>
                                          <a:pt x="0" y="28"/>
                                        </a:moveTo>
                                        <a:lnTo>
                                          <a:pt x="27" y="28"/>
                                        </a:lnTo>
                                        <a:lnTo>
                                          <a:pt x="36" y="0"/>
                                        </a:lnTo>
                                        <a:lnTo>
                                          <a:pt x="44" y="28"/>
                                        </a:lnTo>
                                        <a:lnTo>
                                          <a:pt x="71" y="28"/>
                                        </a:lnTo>
                                        <a:lnTo>
                                          <a:pt x="49" y="44"/>
                                        </a:lnTo>
                                        <a:lnTo>
                                          <a:pt x="57" y="71"/>
                                        </a:lnTo>
                                        <a:lnTo>
                                          <a:pt x="36" y="55"/>
                                        </a:lnTo>
                                        <a:lnTo>
                                          <a:pt x="14" y="71"/>
                                        </a:lnTo>
                                        <a:lnTo>
                                          <a:pt x="22" y="44"/>
                                        </a:lnTo>
                                        <a:lnTo>
                                          <a:pt x="0" y="28"/>
                                        </a:lnTo>
                                        <a:close/>
                                      </a:path>
                                    </a:pathLst>
                                  </a:custGeom>
                                  <a:solidFill>
                                    <a:srgbClr val="0070C0"/>
                                  </a:solidFill>
                                  <a:ln w="12700">
                                    <a:noFill/>
                                  </a:ln>
                                  <a:effectLst/>
                                </wps:spPr>
                                <wps:bodyPr vert="horz" wrap="square" anchor="t" anchorCtr="0" upright="1"/>
                              </wps:wsp>
                            </wpg:grpSp>
                            <wpg:grpSp>
                              <wpg:cNvPr id="31" name="组合 259"/>
                              <wpg:cNvGrpSpPr/>
                              <wpg:grpSpPr>
                                <a:xfrm>
                                  <a:off x="3825" y="-5924"/>
                                  <a:ext cx="1454" cy="929"/>
                                  <a:chOff x="3825" y="-5924"/>
                                  <a:chExt cx="1454" cy="929"/>
                                </a:xfrm>
                                <a:effectLst/>
                              </wpg:grpSpPr>
                              <wps:wsp>
                                <wps:cNvPr id="30" name="任意多边形 260"/>
                                <wps:cNvSpPr/>
                                <wps:spPr>
                                  <a:xfrm>
                                    <a:off x="3825" y="-5924"/>
                                    <a:ext cx="1454" cy="929"/>
                                  </a:xfrm>
                                  <a:custGeom>
                                    <a:avLst/>
                                    <a:gdLst/>
                                    <a:ahLst/>
                                    <a:cxnLst/>
                                    <a:rect l="0" t="0" r="0" b="0"/>
                                    <a:pathLst>
                                      <a:path w="1454" h="929">
                                        <a:moveTo>
                                          <a:pt x="198" y="417"/>
                                        </a:moveTo>
                                        <a:lnTo>
                                          <a:pt x="113" y="426"/>
                                        </a:lnTo>
                                        <a:lnTo>
                                          <a:pt x="47" y="448"/>
                                        </a:lnTo>
                                        <a:lnTo>
                                          <a:pt x="1" y="492"/>
                                        </a:lnTo>
                                        <a:lnTo>
                                          <a:pt x="0" y="631"/>
                                        </a:lnTo>
                                        <a:lnTo>
                                          <a:pt x="0" y="844"/>
                                        </a:lnTo>
                                        <a:lnTo>
                                          <a:pt x="50" y="901"/>
                                        </a:lnTo>
                                        <a:lnTo>
                                          <a:pt x="119" y="922"/>
                                        </a:lnTo>
                                        <a:lnTo>
                                          <a:pt x="694" y="929"/>
                                        </a:lnTo>
                                        <a:lnTo>
                                          <a:pt x="991" y="929"/>
                                        </a:lnTo>
                                        <a:lnTo>
                                          <a:pt x="1076" y="921"/>
                                        </a:lnTo>
                                        <a:lnTo>
                                          <a:pt x="1142" y="899"/>
                                        </a:lnTo>
                                        <a:lnTo>
                                          <a:pt x="1188" y="854"/>
                                        </a:lnTo>
                                        <a:lnTo>
                                          <a:pt x="1189" y="631"/>
                                        </a:lnTo>
                                        <a:lnTo>
                                          <a:pt x="1189" y="503"/>
                                        </a:lnTo>
                                        <a:lnTo>
                                          <a:pt x="1139" y="446"/>
                                        </a:lnTo>
                                        <a:lnTo>
                                          <a:pt x="1070" y="424"/>
                                        </a:lnTo>
                                        <a:lnTo>
                                          <a:pt x="1014" y="418"/>
                                        </a:lnTo>
                                        <a:lnTo>
                                          <a:pt x="1454" y="0"/>
                                        </a:lnTo>
                                        <a:lnTo>
                                          <a:pt x="694" y="417"/>
                                        </a:lnTo>
                                        <a:lnTo>
                                          <a:pt x="198" y="417"/>
                                        </a:lnTo>
                                        <a:close/>
                                      </a:path>
                                    </a:pathLst>
                                  </a:custGeom>
                                  <a:noFill/>
                                  <a:ln w="12700">
                                    <a:noFill/>
                                  </a:ln>
                                  <a:effectLst/>
                                </wps:spPr>
                                <wps:bodyPr vert="horz" wrap="square" anchor="t" anchorCtr="0" upright="1"/>
                              </wps:wsp>
                            </wpg:grpSp>
                          </wpg:wgp>
                        </a:graphicData>
                      </a:graphic>
                    </wp:anchor>
                  </w:drawing>
                </mc:Choice>
                <mc:Fallback>
                  <w:pict>
                    <v:group id="组合 249" o:spid="_x0000_s1026" o:spt="203" style="position:absolute;left:0pt;margin-left:11.65pt;margin-top:6.95pt;height:234.45pt;width:309.55pt;mso-position-horizontal-relative:char;mso-position-vertical-relative:line;z-index:251663360;mso-width-relative:page;mso-height-relative:page;" coordorigin="2148,-10836" coordsize="7631,10637" o:gfxdata="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">
                      <o:lock v:ext="edit" aspectratio="f"/>
                      <v:shape id="图片 250" o:spid="_x0000_s1026" o:spt="75" type="#_x0000_t75" style="position:absolute;left:2158;top:-10826;height:10617;width:7611;" filled="f" o:preferrelative="t" stroked="f" coordsize="21600,21600" o:gfxdata="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1jbL4A&#10;AADbAAAADwAAAAAAAAABACAAAAAiAAAAZHJzL2Rvd25yZXYueG1sUEsBAhQAFAAAAAgAh07iQDMv&#10;BZ47AAAAOQAAABAAAAAAAAAAAQAgAAAADQEAAGRycy9zaGFwZXhtbC54bWxQSwUGAAAAAAYABgBb&#10;AQAAtwMAAAAA&#10;">
                        <v:fill on="f" focussize="0,0"/>
                        <v:stroke on="f"/>
                        <v:imagedata r:id="rId12" o:title=""/>
                        <o:lock v:ext="edit" aspectratio="t"/>
                      </v:shape>
                      <v:group id="组合 251" o:spid="_x0000_s1026" o:spt="203" style="position:absolute;left:2153;top:-10831;height:10627;width:7621;" coordorigin="2153,-10831" coordsize="7621,10627"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任意多边形 252" o:spid="_x0000_s1026" o:spt="100" style="position:absolute;left:2153;top:-10831;height:10627;width:7621;" filled="f" stroked="t" coordsize="7621,10627" o:gfxdata="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HstW8AAAA&#10;2wAAAA8AAAAAAAAAAQAgAAAAIgAAAGRycy9kb3ducmV2LnhtbFBLAQIUABQAAAAIAIdO4kAzLwWe&#10;OwAAADkAAAAQAAAAAAAAAAEAIAAAAAsBAABkcnMvc2hhcGV4bWwueG1sUEsFBgAAAAAGAAYAWwEA&#10;ALUDAAAAAA==&#10;" path="m0,10628l7621,10628,7621,0,0,0,0,10628xe">
                          <v:fill on="f" focussize="0,0"/>
                          <v:stroke weight="0.5pt" color="#A6A6A6" joinstyle="round"/>
                          <v:imagedata o:title=""/>
                          <o:lock v:ext="edit" aspectratio="f"/>
                        </v:shape>
                      </v:group>
                      <v:group id="组合 253" o:spid="_x0000_s1026" o:spt="203" style="position:absolute;left:5239;top:-5983;height:71;width:71;" coordorigin="5239,-5983" coordsize="71,71"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任意多边形 254" o:spid="_x0000_s1026" o:spt="100" style="position:absolute;left:5239;top:-5983;height:71;width:71;" fillcolor="#FFFF00" filled="t" stroked="f" coordsize="71,71" o:gfxdata="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JIb74A&#10;AADbAAAADwAAAAAAAAABACAAAAAiAAAAZHJzL2Rvd25yZXYueG1sUEsBAhQAFAAAAAgAh07iQDMv&#10;BZ47AAAAOQAAABAAAAAAAAAAAQAgAAAADQEAAGRycy9zaGFwZXhtbC54bWxQSwUGAAAAAAYABgBb&#10;AQAAtwMAAAAA&#10;" path="m71,28l0,28,22,44,14,71,36,55,52,55,49,44,71,28e">
                          <v:fill on="t" focussize="0,0"/>
                          <v:stroke on="f"/>
                          <v:imagedata o:title=""/>
                          <o:lock v:ext="edit" aspectratio="f"/>
                        </v:shape>
                        <v:shape id="任意多边形 255" o:spid="_x0000_s1026" o:spt="100" style="position:absolute;left:5239;top:-5983;height:71;width:71;" fillcolor="#FFFF00" filled="t" stroked="f" coordsize="71,71" o:gfxdata="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7t9L4A&#10;AADbAAAADwAAAAAAAAABACAAAAAiAAAAZHJzL2Rvd25yZXYueG1sUEsBAhQAFAAAAAgAh07iQDMv&#10;BZ47AAAAOQAAABAAAAAAAAAAAQAgAAAADQEAAGRycy9zaGFwZXhtbC54bWxQSwUGAAAAAAYABgBb&#10;AQAAtwMAAAAA&#10;" path="m52,55l36,55,57,71,52,55e">
                          <v:fill on="t" focussize="0,0"/>
                          <v:stroke on="f"/>
                          <v:imagedata o:title=""/>
                          <o:lock v:ext="edit" aspectratio="f"/>
                        </v:shape>
                        <v:shape id="任意多边形 256" o:spid="_x0000_s1026" o:spt="100" style="position:absolute;left:5239;top:-5983;height:71;width:71;" fillcolor="#FFFF00" filled="t" stroked="f" coordsize="71,71" o:gfxdata="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xzg74A&#10;AADbAAAADwAAAAAAAAABACAAAAAiAAAAZHJzL2Rvd25yZXYueG1sUEsBAhQAFAAAAAgAh07iQDMv&#10;BZ47AAAAOQAAABAAAAAAAAAAAQAgAAAADQEAAGRycy9zaGFwZXhtbC54bWxQSwUGAAAAAAYABgBb&#10;AQAAtwMAAAAA&#10;" path="m36,0l27,28,44,28,36,0e">
                          <v:fill on="t" focussize="0,0"/>
                          <v:stroke on="f"/>
                          <v:imagedata o:title=""/>
                          <o:lock v:ext="edit" aspectratio="f"/>
                        </v:shape>
                      </v:group>
                      <v:group id="组合 257" o:spid="_x0000_s1026" o:spt="203" style="position:absolute;left:5239;top:-5983;height:71;width:71;" coordorigin="5239,-5983" coordsize="71,71"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任意多边形 258" o:spid="_x0000_s1026" o:spt="100" style="position:absolute;left:5239;top:-5983;height:71;width:71;" fillcolor="#0070C0" filled="t" stroked="f" coordsize="71,71" o:gfxdata="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CPXDbgAAADbAAAA&#10;DwAAAAAAAAABACAAAAAiAAAAZHJzL2Rvd25yZXYueG1sUEsBAhQAFAAAAAgAh07iQDMvBZ47AAAA&#10;OQAAABAAAAAAAAAAAQAgAAAABwEAAGRycy9zaGFwZXhtbC54bWxQSwUGAAAAAAYABgBbAQAAsQMA&#10;AAAA&#10;" path="m0,28l27,28,36,0,44,28,71,28,49,44,57,71,36,55,14,71,22,44,0,28xe">
                          <v:fill on="t" focussize="0,0"/>
                          <v:stroke on="f" weight="1pt"/>
                          <v:imagedata o:title=""/>
                          <o:lock v:ext="edit" aspectratio="f"/>
                        </v:shape>
                      </v:group>
                      <v:group id="组合 259" o:spid="_x0000_s1026" o:spt="203" style="position:absolute;left:3825;top:-5924;height:929;width:1454;" coordorigin="3825,-5924" coordsize="1454,929"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任意多边形 260" o:spid="_x0000_s1026" o:spt="100" style="position:absolute;left:3825;top:-5924;height:929;width:1454;" filled="f" stroked="f" coordsize="1454,929" o:gfxdata="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orDK8AAAA&#10;2wAAAA8AAAAAAAAAAQAgAAAAIgAAAGRycy9kb3ducmV2LnhtbFBLAQIUABQAAAAIAIdO4kAzLwWe&#10;OwAAADkAAAAQAAAAAAAAAAEAIAAAAAsBAABkcnMvc2hhcGV4bWwueG1sUEsFBgAAAAAGAAYAWwEA&#10;ALUDAAAAAA==&#10;" path="m198,417l113,426,47,448,1,492,0,631,0,844,50,901,119,922,694,929,991,929,1076,921,1142,899,1188,854,1189,631,1189,503,1139,446,1070,424,1014,418,1454,0,694,417,198,417xe">
                          <v:fill on="f" focussize="0,0"/>
                          <v:stroke on="f" weight="1pt"/>
                          <v:imagedata o:title=""/>
                          <o:lock v:ext="edit" aspectratio="f"/>
                        </v:shape>
                      </v:group>
                    </v:group>
                  </w:pict>
                </mc:Fallback>
              </mc:AlternateContent>
            </w:r>
          </w:p>
          <w:p>
            <w:pPr>
              <w:spacing w:line="400" w:lineRule="exact"/>
              <w:ind w:firstLine="420" w:firstLineChars="200"/>
              <w:rPr>
                <w:rFonts w:ascii="宋体" w:hAnsi="宋体" w:cs="宋体"/>
                <w:color w:val="000000" w:themeColor="text1"/>
                <w:szCs w:val="21"/>
                <w14:textFill>
                  <w14:solidFill>
                    <w14:schemeClr w14:val="tx1"/>
                  </w14:solidFill>
                </w14:textFill>
              </w:rPr>
            </w:pPr>
          </w:p>
          <w:p>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2316480</wp:posOffset>
                      </wp:positionH>
                      <wp:positionV relativeFrom="paragraph">
                        <wp:posOffset>111760</wp:posOffset>
                      </wp:positionV>
                      <wp:extent cx="723900" cy="266700"/>
                      <wp:effectExtent l="4445" t="4445" r="18415" b="231775"/>
                      <wp:wrapNone/>
                      <wp:docPr id="33" name="自选图形 261"/>
                      <wp:cNvGraphicFramePr/>
                      <a:graphic xmlns:a="http://schemas.openxmlformats.org/drawingml/2006/main">
                        <a:graphicData uri="http://schemas.microsoft.com/office/word/2010/wordprocessingShape">
                          <wps:wsp>
                            <wps:cNvSpPr/>
                            <wps:spPr>
                              <a:xfrm>
                                <a:off x="3811270" y="5644515"/>
                                <a:ext cx="723900" cy="266700"/>
                              </a:xfrm>
                              <a:prstGeom prst="wedgeRectCallout">
                                <a:avLst>
                                  <a:gd name="adj1" fmla="val 42806"/>
                                  <a:gd name="adj2" fmla="val 127144"/>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项目位置</w:t>
                                  </w:r>
                                </w:p>
                              </w:txbxContent>
                            </wps:txbx>
                            <wps:bodyPr wrap="square" upright="1"/>
                          </wps:wsp>
                        </a:graphicData>
                      </a:graphic>
                    </wp:anchor>
                  </w:drawing>
                </mc:Choice>
                <mc:Fallback>
                  <w:pict>
                    <v:shape id="自选图形 261" o:spid="_x0000_s1026" o:spt="61" type="#_x0000_t61" style="position:absolute;left:0pt;margin-left:182.4pt;margin-top:8.8pt;height:21pt;width:57pt;z-index:251664384;mso-width-relative:page;mso-height-relative:page;" fillcolor="#FFFFFF" filled="t" stroked="t" coordsize="21600,21600" o:gfxdata="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OcBA9kA&#10;AAAJAQAADwAAAAAAAAABACAAAAAiAAAAZHJzL2Rvd25yZXYueG1sUEsBAhQAFAAAAAgAh07iQKEG&#10;ZEBXAgAAtwQAAA4AAAAAAAAAAQAgAAAAKAEAAGRycy9lMm9Eb2MueG1sUEsFBgAAAAAGAAYAWQEA&#10;APEFAAAAAA==&#10;" adj="20046,38263">
                      <v:fill on="t" focussize="0,0"/>
                      <v:stroke color="#000000" joinstyle="miter"/>
                      <v:imagedata o:title=""/>
                      <o:lock v:ext="edit" aspectratio="f"/>
                      <v:textbox>
                        <w:txbxContent>
                          <w:p>
                            <w:pPr>
                              <w:rPr>
                                <w:sz w:val="18"/>
                                <w:szCs w:val="18"/>
                              </w:rPr>
                            </w:pPr>
                            <w:r>
                              <w:rPr>
                                <w:rFonts w:hint="eastAsia"/>
                                <w:sz w:val="18"/>
                                <w:szCs w:val="18"/>
                              </w:rPr>
                              <w:t>项目位置</w:t>
                            </w:r>
                          </w:p>
                        </w:txbxContent>
                      </v:textbox>
                    </v:shape>
                  </w:pict>
                </mc:Fallback>
              </mc:AlternateContent>
            </w:r>
          </w:p>
          <w:p>
            <w:pPr>
              <w:spacing w:line="400" w:lineRule="exact"/>
              <w:ind w:firstLine="420" w:firstLineChars="200"/>
              <w:rPr>
                <w:rFonts w:ascii="宋体" w:hAnsi="宋体" w:cs="宋体"/>
                <w:color w:val="000000" w:themeColor="text1"/>
                <w:szCs w:val="21"/>
                <w14:textFill>
                  <w14:solidFill>
                    <w14:schemeClr w14:val="tx1"/>
                  </w14:solidFill>
                </w14:textFill>
              </w:rPr>
            </w:pPr>
          </w:p>
          <w:p>
            <w:pPr>
              <w:spacing w:line="400" w:lineRule="exact"/>
              <w:ind w:firstLine="420" w:firstLineChars="200"/>
              <w:rPr>
                <w:rFonts w:ascii="宋体" w:hAnsi="宋体" w:cs="宋体"/>
                <w:color w:val="000000" w:themeColor="text1"/>
                <w:szCs w:val="21"/>
                <w14:textFill>
                  <w14:solidFill>
                    <w14:schemeClr w14:val="tx1"/>
                  </w14:solidFill>
                </w14:textFill>
              </w:rPr>
            </w:pPr>
          </w:p>
          <w:p>
            <w:pPr>
              <w:spacing w:line="400" w:lineRule="exact"/>
              <w:ind w:firstLine="420" w:firstLineChars="200"/>
              <w:rPr>
                <w:rFonts w:ascii="宋体" w:hAnsi="宋体" w:cs="宋体"/>
                <w:color w:val="000000" w:themeColor="text1"/>
                <w:szCs w:val="21"/>
                <w14:textFill>
                  <w14:solidFill>
                    <w14:schemeClr w14:val="tx1"/>
                  </w14:solidFill>
                </w14:textFill>
              </w:rPr>
            </w:pPr>
          </w:p>
          <w:p>
            <w:pPr>
              <w:spacing w:line="400" w:lineRule="exact"/>
              <w:ind w:firstLine="420" w:firstLineChars="200"/>
              <w:rPr>
                <w:rFonts w:ascii="宋体" w:hAnsi="宋体" w:cs="宋体"/>
                <w:color w:val="000000" w:themeColor="text1"/>
                <w:szCs w:val="21"/>
                <w14:textFill>
                  <w14:solidFill>
                    <w14:schemeClr w14:val="tx1"/>
                  </w14:solidFill>
                </w14:textFill>
              </w:rPr>
            </w:pPr>
          </w:p>
          <w:p>
            <w:pPr>
              <w:spacing w:line="400" w:lineRule="exact"/>
              <w:rPr>
                <w:rFonts w:ascii="宋体" w:hAnsi="宋体" w:cs="宋体"/>
                <w:color w:val="000000" w:themeColor="text1"/>
                <w:szCs w:val="21"/>
                <w14:textFill>
                  <w14:solidFill>
                    <w14:schemeClr w14:val="tx1"/>
                  </w14:solidFill>
                </w14:textFill>
              </w:rPr>
            </w:pPr>
          </w:p>
          <w:p>
            <w:pPr>
              <w:pStyle w:val="2"/>
              <w:ind w:left="420"/>
              <w:rPr>
                <w:rFonts w:ascii="宋体" w:hAnsi="宋体" w:cs="宋体"/>
                <w:color w:val="000000" w:themeColor="text1"/>
                <w:sz w:val="21"/>
                <w:szCs w:val="21"/>
                <w14:textFill>
                  <w14:solidFill>
                    <w14:schemeClr w14:val="tx1"/>
                  </w14:solidFill>
                </w14:textFill>
              </w:rPr>
            </w:pPr>
          </w:p>
          <w:p>
            <w:pPr>
              <w:pStyle w:val="2"/>
              <w:ind w:left="420"/>
              <w:rPr>
                <w:rFonts w:ascii="宋体" w:hAnsi="宋体" w:cs="宋体"/>
                <w:color w:val="000000" w:themeColor="text1"/>
                <w:sz w:val="21"/>
                <w:szCs w:val="21"/>
                <w14:textFill>
                  <w14:solidFill>
                    <w14:schemeClr w14:val="tx1"/>
                  </w14:solidFill>
                </w14:textFill>
              </w:rPr>
            </w:pPr>
          </w:p>
          <w:p>
            <w:pPr>
              <w:pStyle w:val="2"/>
              <w:ind w:left="420"/>
              <w:rPr>
                <w:rFonts w:ascii="宋体" w:hAnsi="宋体" w:cs="宋体"/>
                <w:color w:val="000000" w:themeColor="text1"/>
                <w:sz w:val="21"/>
                <w:szCs w:val="21"/>
                <w14:textFill>
                  <w14:solidFill>
                    <w14:schemeClr w14:val="tx1"/>
                  </w14:solidFill>
                </w14:textFill>
              </w:rPr>
            </w:pPr>
          </w:p>
          <w:p>
            <w:pPr>
              <w:pStyle w:val="2"/>
              <w:ind w:left="420"/>
              <w:rPr>
                <w:rFonts w:ascii="宋体" w:hAnsi="宋体" w:cs="宋体"/>
                <w:color w:val="000000" w:themeColor="text1"/>
                <w:sz w:val="21"/>
                <w:szCs w:val="21"/>
                <w14:textFill>
                  <w14:solidFill>
                    <w14:schemeClr w14:val="tx1"/>
                  </w14:solidFill>
                </w14:textFill>
              </w:rPr>
            </w:pPr>
          </w:p>
          <w:p>
            <w:pPr>
              <w:pStyle w:val="2"/>
              <w:ind w:left="420"/>
              <w:rPr>
                <w:rFonts w:ascii="宋体" w:hAnsi="宋体" w:cs="宋体"/>
                <w:color w:val="000000" w:themeColor="text1"/>
                <w:sz w:val="21"/>
                <w:szCs w:val="21"/>
                <w14:textFill>
                  <w14:solidFill>
                    <w14:schemeClr w14:val="tx1"/>
                  </w14:solidFill>
                </w14:textFill>
              </w:rPr>
            </w:pPr>
          </w:p>
          <w:p>
            <w:pPr>
              <w:pStyle w:val="2"/>
              <w:ind w:left="420"/>
              <w:rPr>
                <w:rFonts w:ascii="宋体" w:hAnsi="宋体" w:cs="宋体"/>
                <w:color w:val="000000" w:themeColor="text1"/>
                <w:sz w:val="21"/>
                <w:szCs w:val="21"/>
                <w14:textFill>
                  <w14:solidFill>
                    <w14:schemeClr w14:val="tx1"/>
                  </w14:solidFill>
                </w14:textFill>
              </w:rPr>
            </w:pPr>
          </w:p>
          <w:p>
            <w:pPr>
              <w:pStyle w:val="2"/>
              <w:ind w:left="420"/>
              <w:rPr>
                <w:rFonts w:ascii="宋体" w:hAnsi="宋体" w:cs="宋体"/>
                <w:color w:val="000000" w:themeColor="text1"/>
                <w:sz w:val="21"/>
                <w:szCs w:val="21"/>
                <w14:textFill>
                  <w14:solidFill>
                    <w14:schemeClr w14:val="tx1"/>
                  </w14:solidFill>
                </w14:textFill>
              </w:rPr>
            </w:pPr>
          </w:p>
          <w:p>
            <w:pPr>
              <w:pStyle w:val="16"/>
              <w:spacing w:line="360" w:lineRule="auto"/>
              <w:ind w:left="0" w:leftChars="0"/>
              <w:jc w:val="center"/>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图2  项目选址与承德市生态功能区位置关系示意</w:t>
            </w:r>
            <w:r>
              <w:rPr>
                <w:rFonts w:hint="eastAsia" w:ascii="宋体" w:hAnsi="宋体" w:cs="宋体"/>
                <w:color w:val="000000" w:themeColor="text1"/>
                <w:szCs w:val="21"/>
                <w14:textFill>
                  <w14:solidFill>
                    <w14:schemeClr w14:val="tx1"/>
                  </w14:solidFill>
                </w14:textFill>
              </w:rPr>
              <w:t>图</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承德市城市总体规划》（2016-2030）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建设项目位于承德市围场满族蒙古族自治县新地镇大西沟村，根据《承德市生态功能区划》中关于生态功能分区描述，该区域生态分区属于坝上高原东部森林草原生态亚区”。该功能区生态服务功能为：沙漠化控制、生物多样性保护、水源涵养。其建设方向及措施为：通过人工造林，提高森林覆盖率，保持水土，控制沙漠化，保护生物多样性。本项目运营期通过采取硬化，厂区绿化可有效保持土壤，营业期无明显废气、废水产生，与《承德市城市总体规划》（2016-2030）中的生态功能区划中该区域的生态服务功能和建设的方向不冲突。</w:t>
            </w:r>
          </w:p>
          <w:p>
            <w:pPr>
              <w:pStyle w:val="16"/>
              <w:spacing w:line="360" w:lineRule="auto"/>
              <w:ind w:left="0" w:leftChars="0" w:firstLine="422" w:firstLineChars="200"/>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6、《承德市重点水源涵养生态功能保护区规划》符合性分析</w:t>
            </w:r>
          </w:p>
          <w:p>
            <w:pPr>
              <w:pStyle w:val="16"/>
              <w:spacing w:line="360" w:lineRule="auto"/>
              <w:ind w:left="0" w:leftChars="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承德市重点水源涵养生态功能保护区规划》（2010年4月）（承德市环境保护局），承德市重点水源涵养生态功能保护区涉及滦平县、隆化县、丰宁县、围场县、兴隆县、平泉县、宽城县、承德县、双桥区、双滦区，包含61个乡镇，保护区总面积8015.92km</w:t>
            </w:r>
            <w:r>
              <w:rPr>
                <w:rFonts w:hint="eastAsia" w:ascii="宋体" w:hAnsi="宋体" w:cs="宋体"/>
                <w:color w:val="000000" w:themeColor="text1"/>
                <w:szCs w:val="21"/>
                <w:vertAlign w:val="superscript"/>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w:t>
            </w:r>
          </w:p>
          <w:p>
            <w:pPr>
              <w:spacing w:line="360" w:lineRule="auto"/>
              <w:ind w:firstLine="420" w:firstLineChars="200"/>
              <w:rPr>
                <w:rFonts w:ascii="宋体" w:hAnsi="宋体" w:cs="宋体"/>
                <w:szCs w:val="21"/>
              </w:rPr>
            </w:pPr>
            <w:r>
              <w:rPr>
                <w:rFonts w:hint="eastAsia" w:ascii="宋体" w:hAnsi="宋体" w:cs="宋体"/>
                <w:szCs w:val="21"/>
              </w:rPr>
              <w:t>项目占地不在承德市重点水源涵养生态功能保护区范围内，且项目生产无废水产生，因锅炉产生的蒸汽作用仅为：对菌包进行高温消毒，锅炉用水无需软化，冷凝水经回收装置返回锅炉收集循环利用；每年生产运营期结束后蒸汽锅炉需定期排空水，废水暂存于厂区储水罐内，用于粉碎工序喷淋用水，不含有毒物质，不会对区域水环境造成污染，生活污水排入厂区化粪池，定期由清污车运送至围场满族蒙古族自治县永溢环保科技有限责任公司克勒沟污水处理厂处理，满足《污水综合排放标准》（GB8978-1996）表1、表4三级标准及围场满族蒙古族自治县永溢环保科技有限责任公司克勒沟污水处理厂收水要求，符合承德市重点水源涵养生态功能保护区规划要求。本项目实施水土流失防治，不仅将新增的水土流失进行防治，还结合水土和空间上形成一个完整的水土保持防治体系。本项目的建设不会对流失重点防治区的划分和治理规划的要求，对项目区原有的水土流失进行治理。项目建设过程中的水土流失防治按照水土流失防治分区，针对不同区域、不同工程部位，因地制宜布置水土流失防治措施。采取工程措施、植物措施、临时措施和预防保护措施相结合的综合防治措施，在时间该生态功能区及重点水源涵养生态功能保护区产生明显的环境影响。</w:t>
            </w:r>
          </w:p>
          <w:p>
            <w:pPr>
              <w:pStyle w:val="16"/>
              <w:spacing w:line="360" w:lineRule="auto"/>
              <w:ind w:left="0" w:leftChars="0" w:firstLine="420" w:firstLineChars="200"/>
              <w:rPr>
                <w:rFonts w:ascii="宋体" w:hAnsi="宋体" w:cs="宋体"/>
                <w:szCs w:val="21"/>
              </w:rPr>
            </w:pPr>
            <w:r>
              <w:rPr>
                <w:rFonts w:hint="eastAsia" w:ascii="宋体" w:hAnsi="宋体" w:cs="宋体"/>
                <w:szCs w:val="21"/>
              </w:rPr>
              <w:t>承德市重点水源涵养生态功能保护区分布图如下图所示：</w:t>
            </w:r>
          </w:p>
          <w:p>
            <w:pPr>
              <w:pStyle w:val="8"/>
              <w:ind w:firstLine="0"/>
              <w:rPr>
                <w:rFonts w:ascii="宋体" w:hAnsi="宋体" w:cs="宋体"/>
                <w:sz w:val="21"/>
                <w:szCs w:val="21"/>
              </w:rPr>
            </w:pPr>
            <w:r>
              <w:rPr>
                <w:rFonts w:hint="eastAsia" w:ascii="宋体" w:hAnsi="宋体" w:cs="宋体"/>
                <w:sz w:val="21"/>
                <w:szCs w:val="21"/>
              </w:rPr>
              <mc:AlternateContent>
                <mc:Choice Requires="wps">
                  <w:drawing>
                    <wp:anchor distT="0" distB="0" distL="114300" distR="114300" simplePos="0" relativeHeight="251661312" behindDoc="0" locked="0" layoutInCell="1" allowOverlap="1">
                      <wp:simplePos x="0" y="0"/>
                      <wp:positionH relativeFrom="column">
                        <wp:posOffset>2534285</wp:posOffset>
                      </wp:positionH>
                      <wp:positionV relativeFrom="paragraph">
                        <wp:posOffset>1044575</wp:posOffset>
                      </wp:positionV>
                      <wp:extent cx="723900" cy="266700"/>
                      <wp:effectExtent l="4445" t="4445" r="18415" b="231775"/>
                      <wp:wrapNone/>
                      <wp:docPr id="34" name="自选图形 262"/>
                      <wp:cNvGraphicFramePr/>
                      <a:graphic xmlns:a="http://schemas.openxmlformats.org/drawingml/2006/main">
                        <a:graphicData uri="http://schemas.microsoft.com/office/word/2010/wordprocessingShape">
                          <wps:wsp>
                            <wps:cNvSpPr/>
                            <wps:spPr>
                              <a:xfrm>
                                <a:off x="0" y="0"/>
                                <a:ext cx="723900" cy="266700"/>
                              </a:xfrm>
                              <a:prstGeom prst="wedgeRectCallout">
                                <a:avLst>
                                  <a:gd name="adj1" fmla="val 42806"/>
                                  <a:gd name="adj2" fmla="val 127144"/>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项目位置</w:t>
                                  </w:r>
                                </w:p>
                              </w:txbxContent>
                            </wps:txbx>
                            <wps:bodyPr wrap="square" upright="1"/>
                          </wps:wsp>
                        </a:graphicData>
                      </a:graphic>
                    </wp:anchor>
                  </w:drawing>
                </mc:Choice>
                <mc:Fallback>
                  <w:pict>
                    <v:shape id="自选图形 262" o:spid="_x0000_s1026" o:spt="61" type="#_x0000_t61" style="position:absolute;left:0pt;margin-left:199.55pt;margin-top:82.25pt;height:21pt;width:57pt;z-index:251661312;mso-width-relative:page;mso-height-relative:page;" fillcolor="#FFFFFF" filled="t" stroked="t" coordsize="21600,21600" o:gfxdata="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lHhX52gAAAAsBAAAPAAAA&#10;AAAAAAEAIAAAACIAAABkcnMvZG93bnJldi54bWxQSwECFAAUAAAACACHTuJAqrbXq0wCAACrBAAA&#10;DgAAAAAAAAABACAAAAApAQAAZHJzL2Uyb0RvYy54bWxQSwUGAAAAAAYABgBZAQAA5wUAAAAA&#10;" adj="20046,38263">
                      <v:fill on="t" focussize="0,0"/>
                      <v:stroke color="#000000" joinstyle="miter"/>
                      <v:imagedata o:title=""/>
                      <o:lock v:ext="edit" aspectratio="f"/>
                      <v:textbox>
                        <w:txbxContent>
                          <w:p>
                            <w:pPr>
                              <w:rPr>
                                <w:sz w:val="18"/>
                                <w:szCs w:val="18"/>
                              </w:rPr>
                            </w:pPr>
                            <w:r>
                              <w:rPr>
                                <w:rFonts w:hint="eastAsia"/>
                                <w:sz w:val="18"/>
                                <w:szCs w:val="18"/>
                              </w:rPr>
                              <w:t>项目位置</w:t>
                            </w:r>
                          </w:p>
                        </w:txbxContent>
                      </v:textbox>
                    </v:shape>
                  </w:pict>
                </mc:Fallback>
              </mc:AlternateContent>
            </w:r>
            <w:r>
              <w:rPr>
                <w:rFonts w:hint="eastAsia" w:ascii="宋体" w:hAnsi="宋体" w:cs="宋体"/>
                <w:sz w:val="21"/>
                <w:szCs w:val="21"/>
              </w:rPr>
              <w:t xml:space="preserve">  </w:t>
            </w:r>
            <w:r>
              <w:rPr>
                <w:rFonts w:hint="eastAsia" w:ascii="宋体" w:hAnsi="宋体" w:cs="宋体"/>
                <w:sz w:val="21"/>
                <w:szCs w:val="21"/>
              </w:rPr>
              <w:drawing>
                <wp:inline distT="0" distB="0" distL="114300" distR="114300">
                  <wp:extent cx="4521200" cy="5022850"/>
                  <wp:effectExtent l="0" t="0" r="12700" b="635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3"/>
                          <a:stretch>
                            <a:fillRect/>
                          </a:stretch>
                        </pic:blipFill>
                        <pic:spPr>
                          <a:xfrm>
                            <a:off x="0" y="0"/>
                            <a:ext cx="4521200" cy="5022850"/>
                          </a:xfrm>
                          <a:prstGeom prst="rect">
                            <a:avLst/>
                          </a:prstGeom>
                          <a:noFill/>
                          <a:ln>
                            <a:noFill/>
                          </a:ln>
                        </pic:spPr>
                      </pic:pic>
                    </a:graphicData>
                  </a:graphic>
                </wp:inline>
              </w:drawing>
            </w:r>
          </w:p>
          <w:p>
            <w:pPr>
              <w:pStyle w:val="7"/>
              <w:jc w:val="center"/>
              <w:rPr>
                <w:rFonts w:ascii="宋体" w:hAnsi="宋体" w:cs="宋体"/>
                <w:szCs w:val="21"/>
              </w:rPr>
            </w:pPr>
          </w:p>
          <w:p>
            <w:pPr>
              <w:pStyle w:val="16"/>
              <w:spacing w:line="360" w:lineRule="auto"/>
              <w:ind w:left="0" w:leftChars="0"/>
              <w:jc w:val="center"/>
              <w:rPr>
                <w:rFonts w:ascii="宋体" w:hAnsi="宋体" w:cs="宋体"/>
                <w:b/>
                <w:bCs/>
                <w:szCs w:val="21"/>
              </w:rPr>
            </w:pPr>
            <w:r>
              <w:rPr>
                <w:rFonts w:hint="eastAsia" w:ascii="宋体" w:hAnsi="宋体" w:cs="宋体"/>
                <w:b/>
                <w:bCs/>
                <w:szCs w:val="21"/>
              </w:rPr>
              <w:t>图3  承德市重点水源涵养生态功能保护区功能分区图</w:t>
            </w:r>
          </w:p>
          <w:p>
            <w:pPr>
              <w:pStyle w:val="16"/>
              <w:spacing w:line="360" w:lineRule="auto"/>
              <w:ind w:left="0" w:leftChars="0" w:firstLine="422" w:firstLineChars="200"/>
              <w:rPr>
                <w:rFonts w:ascii="宋体" w:hAnsi="宋体" w:cs="宋体"/>
                <w:b/>
                <w:bCs/>
                <w:szCs w:val="21"/>
              </w:rPr>
            </w:pPr>
            <w:r>
              <w:rPr>
                <w:rFonts w:hint="eastAsia" w:ascii="宋体" w:hAnsi="宋体" w:cs="宋体"/>
                <w:b/>
                <w:bCs/>
                <w:szCs w:val="21"/>
              </w:rPr>
              <w:t>7、与《全国防沙治沙规划（2021-2030 年）》符合性分析</w:t>
            </w:r>
          </w:p>
          <w:p>
            <w:pPr>
              <w:pStyle w:val="11"/>
              <w:spacing w:before="0" w:after="0" w:line="360" w:lineRule="auto"/>
              <w:ind w:right="0" w:firstLine="420" w:firstLineChars="200"/>
              <w:rPr>
                <w:rFonts w:ascii="宋体" w:hAnsi="宋体" w:cs="宋体"/>
                <w:kern w:val="2"/>
                <w:sz w:val="21"/>
                <w:szCs w:val="21"/>
              </w:rPr>
            </w:pPr>
            <w:r>
              <w:rPr>
                <w:rFonts w:hint="eastAsia" w:ascii="宋体" w:hAnsi="宋体" w:cs="宋体"/>
                <w:kern w:val="2"/>
                <w:sz w:val="21"/>
                <w:szCs w:val="21"/>
              </w:rPr>
              <w:t>根据国家林业和草原局等七部委《关于印发&lt;全国防沙治沙规划（2021-2030年）&gt;的通知》（林规发〔2022〕115号），围场满族蒙古族自治县坝上部分属于“半干早沙化土地类型区”，本区是全省防沙治沙重点区域，任务繁重。按照以草先行、草灌乔相结合的生态治理模式，大力推进草原修复，不断优化林分结构，有效提升森林质量，科学开展防沙治沙工作。在造林模式上，推广灌草结合模式，充分考虑树种生态习性和树种间生态互补性，营造混交林，避免营造大面积纯林。采用混交造林模式，优先选用深根系树种和浅根系树种混交、乔木树种和灌木混交、针叶树种和阔叶树种混交。混交方式可采用带状混交、块状混交、不规则混交或网格混交。在预防措施上，根据土地沙化和草原退化现状，加强现有植被管护，严格实行禁牧、禁垦、禁樵制度，沙区开发建设项目要同步实施防沙治沙措施。通过“退、封、造、改、限、舍”等多种途径，补植补造和退化林修复等多种措施，恢复、重建沙区林草植被，初步建成带网片结合、乔灌草搭配、多层次多功能的综合生态屏障，遏制土地沙化、减轻风沙危害，有效保护农牧业生产。在治理工作上，继续实施禁牧政策，积极引导舍饲圈养，结合自然保护地和湿地保护与恢复建设，采取封山（滩）育林（草）措施，加大沙生植被保护力度；进一步加强重点公益林保护工作，对枯死树比例超过半数的杨树退化防护林采取采伐更新、择伐抚育造林等方式进行更新，提高其防风固沙能力；对适宜造林的荒山、荒沙、荒滩及水库、道路等重要基础设施周围的沙化土地进行人工造林；建立科学的用水制度，推广应用节水措施，合理安排工农业生产和人民生活用水，保证湿地生态用水；生态脆弱地区，有步骤的实行生态移民，减轻生态压力。</w:t>
            </w:r>
          </w:p>
          <w:p>
            <w:pPr>
              <w:pStyle w:val="16"/>
              <w:spacing w:line="360" w:lineRule="auto"/>
              <w:ind w:left="0" w:leftChars="0" w:firstLine="420" w:firstLineChars="200"/>
              <w:rPr>
                <w:rFonts w:ascii="宋体" w:hAnsi="宋体" w:cs="宋体"/>
                <w:szCs w:val="21"/>
              </w:rPr>
            </w:pPr>
            <w:r>
              <w:rPr>
                <w:rFonts w:hint="eastAsia" w:ascii="宋体" w:hAnsi="宋体" w:cs="宋体"/>
                <w:szCs w:val="21"/>
              </w:rPr>
              <w:t>本项目选址为河北省承德市围场满族蒙古族自治县新地镇大西沟村，本项目未占用沙化土地，因此项目建设符合规划要求。</w:t>
            </w:r>
          </w:p>
          <w:p>
            <w:pPr>
              <w:autoSpaceDE w:val="0"/>
              <w:autoSpaceDN w:val="0"/>
              <w:adjustRightInd w:val="0"/>
              <w:snapToGrid w:val="0"/>
              <w:spacing w:line="360" w:lineRule="auto"/>
              <w:ind w:firstLine="422" w:firstLineChars="200"/>
              <w:jc w:val="left"/>
              <w:rPr>
                <w:rFonts w:ascii="宋体" w:hAnsi="宋体" w:cs="宋体"/>
                <w:b/>
                <w:bCs/>
                <w:szCs w:val="21"/>
              </w:rPr>
            </w:pPr>
            <w:r>
              <w:rPr>
                <w:rFonts w:hint="eastAsia" w:ascii="宋体" w:hAnsi="宋体" w:cs="宋体"/>
                <w:b/>
                <w:bCs/>
                <w:szCs w:val="21"/>
              </w:rPr>
              <w:t xml:space="preserve">8、与《河北省生态环境保护“十四五”规划》相符性分析 </w:t>
            </w:r>
          </w:p>
          <w:p>
            <w:pPr>
              <w:pStyle w:val="16"/>
              <w:spacing w:line="360" w:lineRule="auto"/>
              <w:ind w:left="0" w:leftChars="0" w:firstLine="420" w:firstLineChars="200"/>
              <w:rPr>
                <w:rFonts w:ascii="宋体" w:hAnsi="宋体" w:cs="宋体"/>
                <w:szCs w:val="21"/>
              </w:rPr>
            </w:pPr>
            <w:r>
              <w:rPr>
                <w:rFonts w:hint="eastAsia" w:ascii="宋体" w:hAnsi="宋体" w:cs="宋体"/>
                <w:szCs w:val="21"/>
              </w:rPr>
              <w:t xml:space="preserve">规划目标：绿色低碳转型成效显著。国土空间开发保护格局得到优化，绿色低碳发展加快推进，能源资源配置更加合理、利用效率大幅提高，单位地区生产总值能源消耗和碳排放强度持续降低，简约适度、绿色低碳的生活方式加快形成。 </w:t>
            </w:r>
          </w:p>
          <w:p>
            <w:pPr>
              <w:pStyle w:val="16"/>
              <w:spacing w:line="360" w:lineRule="auto"/>
              <w:ind w:left="0" w:leftChars="0" w:firstLine="420" w:firstLineChars="200"/>
              <w:rPr>
                <w:rFonts w:ascii="宋体" w:hAnsi="宋体" w:cs="宋体"/>
                <w:szCs w:val="21"/>
              </w:rPr>
            </w:pPr>
            <w:r>
              <w:rPr>
                <w:rFonts w:hint="eastAsia" w:ascii="宋体" w:hAnsi="宋体" w:cs="宋体"/>
                <w:szCs w:val="21"/>
              </w:rPr>
              <w:t xml:space="preserve">生态环境质量持续改善。主要污染物排放持续减少，环境空气质量全面改善，优良天数比率持续提高，基本消除重污染天气。水环境质量稳步提升，水生态功能初步得到恢复，海洋生态环境稳中向好，城乡人居环境明显改善。 </w:t>
            </w:r>
          </w:p>
          <w:p>
            <w:pPr>
              <w:pStyle w:val="16"/>
              <w:spacing w:line="360" w:lineRule="auto"/>
              <w:ind w:left="0" w:leftChars="0" w:firstLine="420" w:firstLineChars="200"/>
              <w:rPr>
                <w:rFonts w:ascii="宋体" w:hAnsi="宋体" w:cs="宋体"/>
                <w:szCs w:val="21"/>
              </w:rPr>
            </w:pPr>
            <w:r>
              <w:rPr>
                <w:rFonts w:hint="eastAsia" w:ascii="宋体" w:hAnsi="宋体" w:cs="宋体"/>
                <w:szCs w:val="21"/>
              </w:rPr>
              <w:t xml:space="preserve">生态服务功能稳步提升。生态安全屏障更加牢固，生物多样性得到有效保护，自然保护地体系逐步完善，塞罕坝二次创业取得新成果，首都水源涵养功能区、京津冀生态环境支撑区建设取得明显成效。 </w:t>
            </w:r>
          </w:p>
          <w:p>
            <w:pPr>
              <w:pStyle w:val="16"/>
              <w:spacing w:line="360" w:lineRule="auto"/>
              <w:ind w:left="0" w:leftChars="0" w:firstLine="420" w:firstLineChars="200"/>
              <w:rPr>
                <w:rFonts w:ascii="宋体" w:hAnsi="宋体" w:cs="宋体"/>
                <w:szCs w:val="21"/>
              </w:rPr>
            </w:pPr>
            <w:r>
              <w:rPr>
                <w:rFonts w:hint="eastAsia" w:ascii="宋体" w:hAnsi="宋体" w:cs="宋体"/>
                <w:szCs w:val="21"/>
              </w:rPr>
              <w:t xml:space="preserve">环境风险得到有效防控。土壤污染风险得到有效管控，危险废物和新污染物治理能力明显增强，核与辐射环境风险有效管控，防范化解生态环境风险能力显著增强。 </w:t>
            </w:r>
          </w:p>
          <w:p>
            <w:pPr>
              <w:pStyle w:val="16"/>
              <w:spacing w:line="360" w:lineRule="auto"/>
              <w:ind w:left="0" w:leftChars="0" w:firstLine="420" w:firstLineChars="200"/>
              <w:rPr>
                <w:rFonts w:ascii="宋体" w:hAnsi="宋体" w:cs="宋体"/>
                <w:szCs w:val="21"/>
              </w:rPr>
            </w:pPr>
            <w:r>
              <w:rPr>
                <w:rFonts w:hint="eastAsia" w:ascii="宋体" w:hAnsi="宋体" w:cs="宋体"/>
                <w:szCs w:val="21"/>
              </w:rPr>
              <w:t xml:space="preserve">现代环境治理体系加快形成。生态环境监管和应急能力短板加快补齐，共建共治共享的生态环境治理体系更加健全，生态环境治理效能得到新提升。 </w:t>
            </w:r>
          </w:p>
          <w:p>
            <w:pPr>
              <w:pStyle w:val="16"/>
              <w:spacing w:line="360" w:lineRule="auto"/>
              <w:ind w:left="0" w:leftChars="0" w:firstLine="420" w:firstLineChars="200"/>
              <w:rPr>
                <w:rFonts w:ascii="宋体" w:hAnsi="宋体" w:cs="宋体"/>
                <w:szCs w:val="21"/>
              </w:rPr>
            </w:pPr>
            <w:r>
              <w:rPr>
                <w:rFonts w:hint="eastAsia" w:ascii="宋体" w:hAnsi="宋体" w:cs="宋体"/>
                <w:szCs w:val="21"/>
              </w:rPr>
              <w:t xml:space="preserve">重点工作中包括：强化工业企业土壤污染风险防控。新（改、扩）建项目涉及有毒有害物质可能造成土壤污染的，落实土壤和地下水污染防治要求。开展典型行业企业用地及周边土壤污染状况调查，持续推进耕地周边涉重金属行业企业排查整治。动态更新土壤污染重点监管单位名录，将土壤污染防治义务依法纳入排污许可管理。加强企业拆除活动污染防治监管，落实拆除活动污染防治措施。严格控制重金属排放总量。新（改、扩）建涉重金属重点行业建设项目实施污染物排放减量替代。推动涉重金属企业清洁生产技术改造，实施强制性清洁生产审核。新（扩）建铅锌冶炼、铜冶炼建设项目执行颗粒物、重点重金属污染物特别排放限值。加快有色金属行业企业提升改造，加强钢铁、硫酸、磷肥等行业废水总铊治理深入推进电镀、铅蓄电池制造、制革等行业整治提升。到2025年，重点行业重点重金属污染物排放量下降比例达到国家要求。 </w:t>
            </w:r>
          </w:p>
          <w:p>
            <w:pPr>
              <w:spacing w:line="360" w:lineRule="auto"/>
              <w:ind w:firstLine="420" w:firstLineChars="200"/>
              <w:jc w:val="left"/>
              <w:rPr>
                <w:rFonts w:ascii="宋体" w:hAnsi="宋体" w:cs="宋体"/>
                <w:szCs w:val="21"/>
              </w:rPr>
            </w:pPr>
            <w:r>
              <w:rPr>
                <w:rFonts w:hint="eastAsia" w:ascii="宋体" w:hAnsi="宋体" w:cs="宋体"/>
                <w:szCs w:val="21"/>
              </w:rPr>
              <w:t>本项目为食用菌标准化生产车间及锅炉建设项目，本项目行业类别为：1、农产品基地项目（含药材基地）、91、热力生产和供应工程。项目生产废气主要为木材粉碎粉尘，粉碎工序粉尘通过布袋除尘</w:t>
            </w:r>
            <w:r>
              <w:rPr>
                <w:rFonts w:hint="eastAsia" w:ascii="宋体" w:hAnsi="宋体" w:cs="宋体"/>
                <w:szCs w:val="21"/>
                <w:highlight w:val="none"/>
              </w:rPr>
              <w:t>器+15米高排气筒，出入口设置喷淋装置，封闭廊道处理后达标排放；生物质锅炉废气产生的二氧化硫含硫量较低无需处理、氮氧化物通过锅炉低氮燃烧技术将部分燃烧后的烟气重新引入锅炉内部,与新鲜的空气混合后再次进行燃烧，有效降低燃烧温度和氧化剂浓度(去除率约为 40%)，从而有效地减少燃烧过程中氮氧化物的生成，颗粒物通过布袋除尘器+35米高排气筒处理后达标排放；噪声主要为种植食用菌设备及锅炉风机等设备噪声，通过基础减震，封闭车间等措施，有效减少噪声；废水主要为生活污水，生活污</w:t>
            </w:r>
            <w:r>
              <w:rPr>
                <w:rFonts w:hint="eastAsia" w:ascii="宋体" w:hAnsi="宋体" w:cs="宋体"/>
                <w:szCs w:val="21"/>
              </w:rPr>
              <w:t>水排入厂区化粪池，定期由清污车运送至围场满族蒙古族自治县永溢环保科技有限责任公司克勒沟污水处理厂处理，生产无废水产生，因锅炉产生的蒸汽作用仅为：对菌包进行高温消毒，锅炉用水无需软化，冷凝水经回收装置返回锅炉收集循环利用；每年生产结束后蒸汽锅炉需定期排空水，废水暂存于厂区储水罐内，用于粉碎工序喷淋用水；项目一般固废主要为生物质锅炉炉渣、锅炉水垢、废菌棒、除尘灰、生活垃圾和废培养皿。其中生物质锅炉炉渣集中收集后外售；锅炉水垢每一年清理一次，集中收集后暂存于垃圾箱统一由环卫部门清运处理；废菌棒可回用部分回用于生产，不可回收部分暂存于锅炉房用于锅炉燃料燃烧；锅炉除尘灰、生活垃圾、经蒸汽高温消毒后的废培养皿（不涉及化学试剂）经收集后统一由环卫部门清运处理，粉碎工序除尘灰回用于生产；危险废物为废油、废油桶暂存于危废间，由秦皇岛市徐山口危险废物处理有限公司拉运处理（危废处理协议详见附件</w:t>
            </w:r>
            <w:r>
              <w:rPr>
                <w:rFonts w:hint="eastAsia" w:ascii="宋体" w:hAnsi="宋体" w:cs="宋体"/>
                <w:szCs w:val="21"/>
                <w:lang w:val="en-US" w:eastAsia="zh-CN"/>
              </w:rPr>
              <w:t>5</w:t>
            </w:r>
            <w:r>
              <w:rPr>
                <w:rFonts w:hint="eastAsia" w:ascii="宋体" w:hAnsi="宋体" w:cs="宋体"/>
                <w:szCs w:val="21"/>
              </w:rPr>
              <w:t>）。项目选址位于围场满族蒙古族自治县新地镇大西沟村，现有已经开发平整的建设用地地块，不重新开拓地块，不新增生态环境影响。项目现有厂区已进行地面硬化，主要的工程建设内容是车间厂房建设，及扩建厂区地面硬化等，项目的建设本身产生的生态环境影响较小。项目的建设不会对区域生态环境产生较大影响。</w:t>
            </w:r>
          </w:p>
          <w:p>
            <w:pPr>
              <w:spacing w:line="360" w:lineRule="auto"/>
              <w:ind w:firstLine="420" w:firstLineChars="200"/>
              <w:jc w:val="left"/>
              <w:rPr>
                <w:rFonts w:ascii="宋体" w:hAnsi="宋体" w:cs="宋体"/>
                <w:szCs w:val="21"/>
              </w:rPr>
            </w:pPr>
            <w:r>
              <w:rPr>
                <w:rFonts w:hint="eastAsia" w:ascii="宋体" w:hAnsi="宋体" w:cs="宋体"/>
                <w:szCs w:val="21"/>
              </w:rPr>
              <w:t>因此，项目符合《“十四五”生态环境保护规划》相关要求。</w:t>
            </w:r>
          </w:p>
          <w:p>
            <w:pPr>
              <w:autoSpaceDE w:val="0"/>
              <w:autoSpaceDN w:val="0"/>
              <w:adjustRightInd w:val="0"/>
              <w:snapToGrid w:val="0"/>
              <w:spacing w:line="360" w:lineRule="auto"/>
              <w:ind w:firstLine="422" w:firstLineChars="200"/>
              <w:jc w:val="left"/>
              <w:rPr>
                <w:rFonts w:ascii="宋体" w:hAnsi="宋体" w:cs="宋体"/>
                <w:b/>
                <w:bCs/>
                <w:szCs w:val="21"/>
              </w:rPr>
            </w:pPr>
            <w:r>
              <w:rPr>
                <w:rFonts w:hint="eastAsia" w:ascii="宋体" w:hAnsi="宋体" w:cs="宋体"/>
                <w:b/>
                <w:bCs/>
                <w:szCs w:val="21"/>
              </w:rPr>
              <w:t>9、与《承德市生态环境保护“十四五”规划》相符性分析</w:t>
            </w:r>
          </w:p>
          <w:p>
            <w:pPr>
              <w:pStyle w:val="16"/>
              <w:spacing w:line="360" w:lineRule="auto"/>
              <w:ind w:left="0" w:leftChars="0" w:firstLine="420" w:firstLineChars="200"/>
              <w:rPr>
                <w:rFonts w:ascii="宋体" w:hAnsi="宋体" w:cs="宋体"/>
                <w:szCs w:val="21"/>
              </w:rPr>
            </w:pPr>
            <w:r>
              <w:rPr>
                <w:rFonts w:hint="eastAsia" w:ascii="宋体" w:hAnsi="宋体" w:cs="宋体"/>
                <w:szCs w:val="21"/>
              </w:rPr>
              <w:t>规划目标：规划期末，生态文明建设显著进步，国土空间开发布局得 到优化，“两区”建设取得重大进展，全域水源涵养能力不断 提升，滦潮河流域环境整治取得明显成效，大气环境质量持续改善，探索实践“绿水青山就是金山银山”的路径模式取得重 大进展，生态文明思想深入人心，“承德山水”生态品牌影响力和知名度持续提升，绿色发展的产业体系和体制机制基本形 成。全市 PM2.5平均浓度稳定达到国家二级标准（其中市区 PM2.5 平均浓度和优良天数巩固改善），国、省考地表水断面达到或好于Ⅲ类水质比例达到省考核目标要求，受污染耕地安全利用率完成国家下达任务，重点建设用地安全利用得到有效保障， 主要污染物排放总量持续减少，全市生态环境安全得到有效维护。展望二〇三五年，广泛形成绿色生产生活方式，碳排放达峰后稳中有降，生态环境根本好转，美丽承德建设目标基本实现。节约资源和保护环境的空间格局、产业结构、生产方式、 生活方式总体形成，绿色低碳发展水平和应对气候变化能力显著提高，环境空气质量根本改善，水环境质量全面改善，水生态恢复取得明显成效，土壤环境安全有效保障，环境风险得到全面管控，山水林田湖草沙生态系统功能总体恢复，蓝天白云、 绿水青山成为常态，基本满足人民群众对优美生态环境的需要。</w:t>
            </w:r>
          </w:p>
          <w:p>
            <w:pPr>
              <w:pStyle w:val="16"/>
              <w:spacing w:line="360" w:lineRule="auto"/>
              <w:ind w:left="0" w:leftChars="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szCs w:val="21"/>
              </w:rPr>
              <w:t>基本原则：生态优先，绿色发展。全面践行“绿水青山就是金山银山” 发展理念，坚定不移推动“两区”建设，切实扛起首都政治“护城河”重大政治责任和历史使命，统筹山水林田湖草沙系统治理，以生态环境改善促进经济高质量发展，以稳定发展增强生态建设和环境保护能力，建立生态优先决策机制，实行严格的 环境保护制度。加快推动产业、能源、交通运输结构调整，强化国土空间规划和用途管控，全面提高资源利用效率，推动能源清洁低碳安全高效利用，着力推进减污降碳协同增效，构建生态文明新景观。 统筹协调，标本兼治。充分发挥承德生态环境京津冀领先优势，坚持立足当前与着眼长远相结合，统筹考虑承德市环境功能定位、“三区两</w:t>
            </w:r>
            <w:r>
              <w:rPr>
                <w:rFonts w:hint="eastAsia" w:ascii="宋体" w:hAnsi="宋体" w:cs="宋体"/>
                <w:color w:val="000000" w:themeColor="text1"/>
                <w:szCs w:val="21"/>
                <w14:textFill>
                  <w14:solidFill>
                    <w14:schemeClr w14:val="tx1"/>
                  </w14:solidFill>
                </w14:textFill>
              </w:rPr>
              <w:t xml:space="preserve">城”和“1266”战略目标，坚持治理与保护并举，城市与乡村并重，整体推进与重点突破相结合，减污和降碳协同治理，系统推进环境治理和生态修复，促进人与自然和谐发展。 目标导向，以人为本。坚持把增进城乡居民福祉、促进人的全面发展作为环境保护高质量发展的出发点和落脚点。发挥 本地资源、环境、区位优势，突出地方特色，通过生态文明建 设，以改善生态环境质量为核心，关注民生，加快解决人民群众和社会各界高度关注的突出环境问题，全面提升生态环境质量，不断增强人民群众对生态环境的获得感、幸福感、安全感。 强化法治，分类施策。加强环境立法、环境司法、环境执法，从硬从严，重拳出击，促进全社会遵纪守法。依靠法律和制度加强生态环境保护，实现源头严防、过程严管、后果严惩。 完善执法效能，建立系统完整、责权清晰、监管有效的管理格局，实施差异化管理，分区分类管控，分级分项施策，提升精 细化管理水平。 问题导向，社会共治。抓住承德资源、环境和生态领域存 在的问题及差距，提高政治站位，强化项目支撑，补齐短板， 厘清职责，狠抓落实，突出靶向施策和精准施治，定期开展绩 效评估，提高资金使用效益，构筑各职能部门相互配合、共同发力的环保统一战线，建立公众参与制度，形成政府、企业、 社会多元共治共享的环境治理模式。环境风险得到有效防控。土壤污染风险得到有效管控，危险废物和新污染物治理能力明显增强，核与辐射环境风险有效管控，防范化解生态环境风险能力显著增强。 </w:t>
            </w:r>
          </w:p>
          <w:p>
            <w:pPr>
              <w:pStyle w:val="16"/>
              <w:spacing w:line="360" w:lineRule="auto"/>
              <w:ind w:left="0" w:leftChars="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重点工作中包括：着力加强生态文明建设，践行绿色低碳发展</w:t>
            </w:r>
          </w:p>
          <w:p>
            <w:pPr>
              <w:pStyle w:val="16"/>
              <w:spacing w:line="360" w:lineRule="auto"/>
              <w:ind w:left="0" w:leftChars="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1、推进国家生态文明和“两山”实践创新基地建设2、推动京津冀协同绿色发展3、加快产业绿色转型升级4、推动能源清洁高效利用5、完善绿色综合交通体系6、全面践行绿色生产生活方式。</w:t>
            </w:r>
          </w:p>
          <w:p>
            <w:pPr>
              <w:pStyle w:val="16"/>
              <w:spacing w:line="360" w:lineRule="auto"/>
              <w:ind w:left="0" w:leftChars="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落实降碳减排行动，积极应对气候变化</w:t>
            </w:r>
          </w:p>
          <w:p>
            <w:pPr>
              <w:pStyle w:val="16"/>
              <w:spacing w:line="360" w:lineRule="auto"/>
              <w:ind w:left="0" w:leftChars="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1、全力落实碳排放达峰行动。2、多领域控制温室气体排放。3、主动适应气候变化。4、强化应对气候变化管理。</w:t>
            </w:r>
          </w:p>
          <w:p>
            <w:pPr>
              <w:pStyle w:val="16"/>
              <w:spacing w:line="360" w:lineRule="auto"/>
              <w:ind w:left="0" w:leftChars="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深入打好蓝天保卫战，强化协同共治</w:t>
            </w:r>
          </w:p>
          <w:p>
            <w:pPr>
              <w:pStyle w:val="16"/>
              <w:spacing w:line="360" w:lineRule="auto"/>
              <w:ind w:left="0" w:leftChars="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1、大力推进工业源污染治理。2、强化移动源污染治理。3、加强社会生活污染控制。4、协同处置臭氧排放。5、有效应对重污染天气。</w:t>
            </w:r>
          </w:p>
          <w:p>
            <w:pPr>
              <w:pStyle w:val="16"/>
              <w:spacing w:line="360" w:lineRule="auto"/>
              <w:ind w:left="0" w:leftChars="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强化生态空间管控，提升生态系统功能</w:t>
            </w:r>
          </w:p>
          <w:p>
            <w:pPr>
              <w:pStyle w:val="16"/>
              <w:spacing w:line="360" w:lineRule="auto"/>
              <w:ind w:left="0" w:leftChars="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1、严格生态红线管控，维护区域生态安全，落实“三线一单” ，严守生态红线。严格落实“三线一单” 55 管控措施，加强禁止开发区域环境管理，严禁不符合主体功能 定位的各类开发活动，严禁任意改变用途，确保生态功能不降低、面积不减少、性质不改变。积极推进生态保护红线勘界定 标工作，逐步对生态保护红线开展定期评价和保护成效考核， 健全生态保护红线管控制度，实现一条红线管控重要生态空间。严格环境准入，对涉及生态功能区的各类开发建设项目环 评审批严格把关，严禁非法侵占自然保护区、风景名胜区、重要河流湖库管理范围、饮用水水源保护区和生态保护红线。到 2025年，基本形成完善的生态保护红线制度体系。</w:t>
            </w:r>
          </w:p>
          <w:p>
            <w:pPr>
              <w:adjustRightInd w:val="0"/>
              <w:snapToGrid w:val="0"/>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本项目不在饮用水水源地保护范围内，项目符合《承德市建设国家绿色矿业发展示范区攻坚行动（2019年）实施方案》相应措施，有利于生态环境恢复、减少污染物排放。 因此，项目符合《承德市生态环境保护“十四五”规划》相关要求。</w:t>
            </w:r>
          </w:p>
          <w:p>
            <w:pPr>
              <w:pStyle w:val="2"/>
              <w:ind w:left="0" w:leftChars="0"/>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drawing>
                <wp:inline distT="0" distB="0" distL="114300" distR="114300">
                  <wp:extent cx="4911090" cy="5122545"/>
                  <wp:effectExtent l="0" t="0" r="11430" b="13335"/>
                  <wp:docPr id="76" name="图片 76" descr="167098314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670983141092"/>
                          <pic:cNvPicPr>
                            <a:picLocks noChangeAspect="1"/>
                          </pic:cNvPicPr>
                        </pic:nvPicPr>
                        <pic:blipFill>
                          <a:blip r:embed="rId14"/>
                          <a:stretch>
                            <a:fillRect/>
                          </a:stretch>
                        </pic:blipFill>
                        <pic:spPr>
                          <a:xfrm>
                            <a:off x="0" y="0"/>
                            <a:ext cx="4911090" cy="5122545"/>
                          </a:xfrm>
                          <a:prstGeom prst="rect">
                            <a:avLst/>
                          </a:prstGeom>
                        </pic:spPr>
                      </pic:pic>
                    </a:graphicData>
                  </a:graphic>
                </wp:inline>
              </w:drawing>
            </w:r>
          </w:p>
          <w:p>
            <w:pPr>
              <w:autoSpaceDE w:val="0"/>
              <w:autoSpaceDN w:val="0"/>
              <w:adjustRightInd w:val="0"/>
              <w:snapToGrid w:val="0"/>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图4  生态红线距离图</w:t>
            </w:r>
          </w:p>
          <w:p>
            <w:pPr>
              <w:pStyle w:val="31"/>
              <w:ind w:firstLine="0" w:firstLineChars="0"/>
              <w:rPr>
                <w:rFonts w:ascii="宋体" w:hAnsi="宋体" w:cs="宋体"/>
                <w:b/>
                <w:color w:val="000000" w:themeColor="text1"/>
                <w:szCs w:val="21"/>
                <w14:textFill>
                  <w14:solidFill>
                    <w14:schemeClr w14:val="tx1"/>
                  </w14:solidFill>
                </w14:textFill>
              </w:rPr>
            </w:pPr>
          </w:p>
        </w:tc>
      </w:tr>
    </w:tbl>
    <w:p>
      <w:pPr>
        <w:spacing w:line="360" w:lineRule="auto"/>
        <w:outlineLvl w:val="0"/>
        <w:rPr>
          <w:rFonts w:eastAsia="黑体"/>
          <w:sz w:val="30"/>
        </w:rPr>
        <w:sectPr>
          <w:footerReference r:id="rId6" w:type="default"/>
          <w:pgSz w:w="11906" w:h="16838"/>
          <w:pgMar w:top="1701" w:right="1531" w:bottom="1701" w:left="1531" w:header="851" w:footer="1077" w:gutter="0"/>
          <w:pgNumType w:start="1"/>
          <w:cols w:space="720" w:num="1"/>
          <w:docGrid w:linePitch="312" w:charSpace="0"/>
        </w:sectPr>
      </w:pPr>
    </w:p>
    <w:p>
      <w:pPr>
        <w:pStyle w:val="20"/>
        <w:jc w:val="center"/>
        <w:outlineLvl w:val="0"/>
        <w:rPr>
          <w:rFonts w:cs="宋体"/>
          <w:b/>
          <w:bCs/>
          <w:snapToGrid w:val="0"/>
          <w:szCs w:val="24"/>
        </w:rPr>
      </w:pPr>
      <w:bookmarkStart w:id="14" w:name="_Toc27772"/>
      <w:r>
        <w:rPr>
          <w:rFonts w:hint="eastAsia" w:cs="宋体"/>
          <w:b/>
          <w:bCs/>
          <w:snapToGrid w:val="0"/>
          <w:szCs w:val="24"/>
        </w:rPr>
        <w:t>二、建设项目工程分析</w:t>
      </w:r>
      <w:bookmarkEnd w:id="14"/>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9"/>
        <w:gridCol w:w="86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46" w:hRule="atLeast"/>
          <w:jc w:val="center"/>
        </w:trPr>
        <w:tc>
          <w:tcPr>
            <w:tcW w:w="439" w:type="dxa"/>
            <w:noWrap/>
            <w:vAlign w:val="center"/>
          </w:tcPr>
          <w:p>
            <w:pPr>
              <w:pStyle w:val="2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621" w:type="dxa"/>
            <w:noWrap/>
          </w:tcPr>
          <w:p>
            <w:pPr>
              <w:spacing w:line="360" w:lineRule="auto"/>
              <w:ind w:firstLine="422" w:firstLineChars="200"/>
              <w:jc w:val="left"/>
              <w:rPr>
                <w:rFonts w:ascii="宋体" w:hAnsi="宋体" w:cs="宋体"/>
                <w:b/>
                <w:bCs/>
                <w:szCs w:val="21"/>
              </w:rPr>
            </w:pPr>
            <w:r>
              <w:rPr>
                <w:rFonts w:hint="eastAsia" w:ascii="宋体" w:hAnsi="宋体" w:cs="宋体"/>
                <w:b/>
                <w:bCs/>
                <w:szCs w:val="21"/>
              </w:rPr>
              <w:t>1、本项目基本情况</w:t>
            </w:r>
          </w:p>
          <w:p>
            <w:pPr>
              <w:pStyle w:val="8"/>
              <w:spacing w:line="360" w:lineRule="auto"/>
              <w:ind w:firstLineChars="200"/>
              <w:rPr>
                <w:rFonts w:ascii="宋体" w:hAnsi="宋体" w:cs="宋体"/>
                <w:sz w:val="21"/>
                <w:szCs w:val="21"/>
              </w:rPr>
            </w:pPr>
            <w:r>
              <w:rPr>
                <w:rFonts w:hint="eastAsia" w:ascii="宋体" w:hAnsi="宋体" w:cs="宋体"/>
                <w:sz w:val="21"/>
                <w:szCs w:val="21"/>
              </w:rPr>
              <w:t>本项目位于承德市围场满族蒙古族自治县新地镇大西沟村，拟投资800万元，建设食用菌标准化生产车间及锅炉建设项目。该项目分别于2022年10月24日取得由围场满族蒙古族自治县行政审批局出具的《关于围场满族蒙古族自治县腾兴农业发展有限公司食用菌标准化生产车间建设项目》企业投资项目备案信息（文号：围审批备字【2022】172号），并于2023年2月20日取得由围场满族蒙古族自治县行政审批局出具的《关于围场满族蒙古族自治县腾兴农业发展有限公司食用菌标准化生产车间锅炉建设项目》企业投资项目备案信息（文号：围行审投字【2023】15号）详见附件</w:t>
            </w:r>
            <w:r>
              <w:rPr>
                <w:rFonts w:hint="eastAsia" w:ascii="宋体" w:hAnsi="宋体" w:cs="宋体"/>
                <w:sz w:val="21"/>
                <w:szCs w:val="21"/>
                <w:lang w:val="en-US" w:eastAsia="zh-CN"/>
              </w:rPr>
              <w:t>3</w:t>
            </w:r>
            <w:r>
              <w:rPr>
                <w:rFonts w:hint="eastAsia" w:ascii="宋体" w:hAnsi="宋体" w:cs="宋体"/>
                <w:sz w:val="21"/>
                <w:szCs w:val="21"/>
              </w:rPr>
              <w:t>。本项目在腾兴农业发展有限公司现有厂区基础上企业进行扩建，新增土地为原厂区西侧的工业用地，占地面积约7472.83平方米（用地批复详见附件</w:t>
            </w:r>
            <w:r>
              <w:rPr>
                <w:rFonts w:hint="eastAsia" w:ascii="宋体" w:hAnsi="宋体" w:cs="宋体"/>
                <w:sz w:val="21"/>
                <w:szCs w:val="21"/>
                <w:lang w:val="en-US" w:eastAsia="zh-CN"/>
              </w:rPr>
              <w:t>4</w:t>
            </w:r>
            <w:r>
              <w:rPr>
                <w:rFonts w:hint="eastAsia" w:ascii="宋体" w:hAnsi="宋体" w:cs="宋体"/>
                <w:sz w:val="21"/>
                <w:szCs w:val="21"/>
              </w:rPr>
              <w:t>），项目整合资金用于设备采购及安装拌料装袋设备1套、灭菌设备6套、液体制种设备1套、接种设备1套、实验室设备1套、全过程净化设备1套，在生产车间北侧新增1台6吨生物质锅炉用于生产过程中的蒸汽高温消毒。</w:t>
            </w:r>
          </w:p>
          <w:p>
            <w:pPr>
              <w:pStyle w:val="7"/>
              <w:spacing w:line="360" w:lineRule="auto"/>
              <w:ind w:firstLine="420" w:firstLineChars="200"/>
              <w:rPr>
                <w:rFonts w:ascii="宋体" w:hAnsi="宋体" w:cs="宋体"/>
                <w:b w:val="0"/>
                <w:bCs w:val="0"/>
                <w:iCs w:val="0"/>
                <w:kern w:val="0"/>
                <w:szCs w:val="21"/>
              </w:rPr>
            </w:pPr>
            <w:r>
              <w:rPr>
                <w:rFonts w:hint="eastAsia" w:ascii="宋体" w:hAnsi="宋体" w:cs="宋体"/>
                <w:b w:val="0"/>
                <w:bCs w:val="0"/>
                <w:iCs w:val="0"/>
                <w:kern w:val="0"/>
                <w:szCs w:val="21"/>
              </w:rPr>
              <w:t>（1）项目名称：围场满族蒙古族自治县腾兴农业发展有限公司食用菌标准化生产车间及锅炉建设项目</w:t>
            </w:r>
          </w:p>
          <w:p>
            <w:pPr>
              <w:pStyle w:val="7"/>
              <w:spacing w:line="360" w:lineRule="auto"/>
              <w:ind w:firstLine="420" w:firstLineChars="200"/>
              <w:rPr>
                <w:rFonts w:ascii="宋体" w:hAnsi="宋体" w:cs="宋体"/>
                <w:b w:val="0"/>
                <w:bCs w:val="0"/>
                <w:iCs w:val="0"/>
                <w:kern w:val="0"/>
                <w:szCs w:val="21"/>
              </w:rPr>
            </w:pPr>
            <w:r>
              <w:rPr>
                <w:rFonts w:hint="eastAsia" w:ascii="宋体" w:hAnsi="宋体" w:cs="宋体"/>
                <w:b w:val="0"/>
                <w:bCs w:val="0"/>
                <w:iCs w:val="0"/>
                <w:kern w:val="0"/>
                <w:szCs w:val="21"/>
              </w:rPr>
              <w:t>（2）建设地点：承德市围场满族蒙古族自治县新地镇大西沟村，项目中心坐标：118°11′59.831″E，41° 52′28.321″N。项目地理位置图见附图1。</w:t>
            </w:r>
          </w:p>
          <w:p>
            <w:pPr>
              <w:pStyle w:val="7"/>
              <w:spacing w:line="360" w:lineRule="auto"/>
              <w:ind w:firstLine="420" w:firstLineChars="200"/>
              <w:rPr>
                <w:rFonts w:ascii="宋体" w:hAnsi="宋体" w:cs="宋体"/>
                <w:b w:val="0"/>
                <w:bCs w:val="0"/>
                <w:iCs w:val="0"/>
                <w:kern w:val="0"/>
                <w:szCs w:val="21"/>
              </w:rPr>
            </w:pPr>
            <w:r>
              <w:rPr>
                <w:rFonts w:hint="eastAsia" w:ascii="宋体" w:hAnsi="宋体" w:cs="宋体"/>
                <w:b w:val="0"/>
                <w:bCs w:val="0"/>
                <w:iCs w:val="0"/>
                <w:kern w:val="0"/>
                <w:szCs w:val="21"/>
              </w:rPr>
              <w:t>（3）项目占地：本项目占地7472.83平方米，改扩建后总建筑面积为10602平方米，其中新增建筑面积为6642平方米，利旧建筑为3960平方米；原料堆场占地面积为5亩（3333.35平方米）为厂区原有堆料场，用于堆存生产所用木材，除木材外其他原辅材料均不在此堆存，储存于库房内，生物质颗粒以袋装形式暂存于锅炉房内。</w:t>
            </w:r>
          </w:p>
          <w:p>
            <w:pPr>
              <w:pStyle w:val="7"/>
              <w:spacing w:line="360" w:lineRule="auto"/>
              <w:ind w:firstLine="420" w:firstLineChars="200"/>
              <w:rPr>
                <w:rFonts w:ascii="宋体" w:hAnsi="宋体" w:cs="宋体"/>
                <w:b w:val="0"/>
                <w:bCs w:val="0"/>
                <w:iCs w:val="0"/>
                <w:kern w:val="0"/>
                <w:szCs w:val="21"/>
              </w:rPr>
            </w:pPr>
            <w:r>
              <w:rPr>
                <w:rFonts w:hint="eastAsia" w:ascii="宋体" w:hAnsi="宋体" w:cs="宋体"/>
                <w:b w:val="0"/>
                <w:bCs w:val="0"/>
                <w:iCs w:val="0"/>
                <w:kern w:val="0"/>
                <w:szCs w:val="21"/>
              </w:rPr>
              <w:t>（4）项目规模：项目年产食用菌棒1000万袋。</w:t>
            </w:r>
          </w:p>
          <w:p>
            <w:pPr>
              <w:pStyle w:val="7"/>
              <w:spacing w:line="360" w:lineRule="auto"/>
              <w:ind w:firstLine="420" w:firstLineChars="200"/>
              <w:rPr>
                <w:rFonts w:ascii="宋体" w:hAnsi="宋体" w:cs="宋体"/>
                <w:b w:val="0"/>
                <w:bCs w:val="0"/>
                <w:iCs w:val="0"/>
                <w:kern w:val="0"/>
                <w:szCs w:val="21"/>
              </w:rPr>
            </w:pPr>
            <w:r>
              <w:rPr>
                <w:rFonts w:hint="eastAsia" w:ascii="宋体" w:hAnsi="宋体" w:cs="宋体"/>
                <w:b w:val="0"/>
                <w:bCs w:val="0"/>
                <w:iCs w:val="0"/>
                <w:kern w:val="0"/>
                <w:szCs w:val="21"/>
              </w:rPr>
              <w:t>（5）四邻关系：本项目北侧紧邻荒山，东西两侧为空地，南侧紧邻公路。距离本项目最近的敏感点为西侧510米大西沟村，项目周边关系图见附图2；</w:t>
            </w:r>
          </w:p>
          <w:p>
            <w:pPr>
              <w:spacing w:line="360" w:lineRule="auto"/>
              <w:ind w:firstLine="420" w:firstLineChars="200"/>
              <w:rPr>
                <w:rFonts w:ascii="宋体" w:hAnsi="宋体" w:cs="宋体"/>
                <w:kern w:val="0"/>
                <w:szCs w:val="21"/>
              </w:rPr>
            </w:pPr>
            <w:r>
              <w:rPr>
                <w:rFonts w:hint="eastAsia" w:ascii="宋体" w:hAnsi="宋体" w:cs="宋体"/>
                <w:kern w:val="0"/>
                <w:szCs w:val="21"/>
              </w:rPr>
              <w:t>（6）建设性质：扩建；</w:t>
            </w:r>
          </w:p>
          <w:p>
            <w:pPr>
              <w:pStyle w:val="8"/>
              <w:spacing w:line="360" w:lineRule="auto"/>
              <w:ind w:firstLineChars="200"/>
              <w:rPr>
                <w:rFonts w:ascii="宋体" w:hAnsi="宋体" w:cs="宋体"/>
                <w:sz w:val="21"/>
                <w:szCs w:val="21"/>
              </w:rPr>
            </w:pPr>
            <w:r>
              <w:rPr>
                <w:rFonts w:hint="eastAsia" w:ascii="宋体" w:hAnsi="宋体" w:cs="宋体"/>
                <w:sz w:val="21"/>
                <w:szCs w:val="21"/>
              </w:rPr>
              <w:t>（7）项目投资：项目总投资800万元，环保投资99.5万元，占总投资的12.44%；</w:t>
            </w:r>
          </w:p>
          <w:p>
            <w:pPr>
              <w:spacing w:line="360" w:lineRule="auto"/>
              <w:ind w:firstLine="422" w:firstLineChars="200"/>
              <w:jc w:val="left"/>
              <w:rPr>
                <w:rFonts w:ascii="宋体" w:hAnsi="宋体" w:cs="宋体"/>
                <w:b/>
                <w:szCs w:val="21"/>
              </w:rPr>
            </w:pPr>
            <w:r>
              <w:rPr>
                <w:rFonts w:hint="eastAsia" w:ascii="宋体" w:hAnsi="宋体" w:cs="宋体"/>
                <w:b/>
                <w:bCs/>
                <w:szCs w:val="21"/>
              </w:rPr>
              <w:t>2、本项目建设工程基本情况见下表2-1。</w:t>
            </w:r>
          </w:p>
          <w:p>
            <w:pPr>
              <w:spacing w:line="360" w:lineRule="auto"/>
              <w:jc w:val="center"/>
              <w:rPr>
                <w:rFonts w:ascii="宋体" w:hAnsi="宋体" w:cs="宋体"/>
                <w:b/>
                <w:szCs w:val="21"/>
              </w:rPr>
            </w:pPr>
            <w:r>
              <w:rPr>
                <w:rFonts w:hint="eastAsia" w:ascii="宋体" w:hAnsi="宋体" w:cs="宋体"/>
                <w:b/>
                <w:szCs w:val="21"/>
              </w:rPr>
              <w:t>表2-1  本项目建设工程基本情况一览表</w:t>
            </w:r>
          </w:p>
          <w:tbl>
            <w:tblPr>
              <w:tblStyle w:val="24"/>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721"/>
              <w:gridCol w:w="3898"/>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工程名称</w:t>
                  </w:r>
                </w:p>
              </w:tc>
              <w:tc>
                <w:tcPr>
                  <w:tcW w:w="1721"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名称</w:t>
                  </w:r>
                </w:p>
              </w:tc>
              <w:tc>
                <w:tcPr>
                  <w:tcW w:w="3898"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建设内容</w:t>
                  </w:r>
                </w:p>
              </w:tc>
              <w:tc>
                <w:tcPr>
                  <w:tcW w:w="1271"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restart"/>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主体工程</w:t>
                  </w:r>
                </w:p>
                <w:p>
                  <w:pPr>
                    <w:adjustRightInd w:val="0"/>
                    <w:snapToGrid w:val="0"/>
                    <w:ind w:right="-105" w:rightChars="-50"/>
                    <w:jc w:val="center"/>
                    <w:rPr>
                      <w:rFonts w:ascii="宋体" w:hAnsi="宋体" w:cs="宋体"/>
                      <w:sz w:val="18"/>
                      <w:szCs w:val="18"/>
                    </w:rPr>
                  </w:pPr>
                </w:p>
              </w:tc>
              <w:tc>
                <w:tcPr>
                  <w:tcW w:w="1721" w:type="dxa"/>
                  <w:noWrap/>
                  <w:vAlign w:val="center"/>
                </w:tcPr>
                <w:p>
                  <w:pPr>
                    <w:pStyle w:val="63"/>
                    <w:rPr>
                      <w:rFonts w:ascii="宋体" w:hAnsi="宋体" w:cs="宋体"/>
                      <w:sz w:val="18"/>
                      <w:szCs w:val="18"/>
                    </w:rPr>
                  </w:pPr>
                  <w:r>
                    <w:rPr>
                      <w:rFonts w:hint="eastAsia" w:ascii="宋体" w:hAnsi="宋体" w:cs="宋体"/>
                      <w:sz w:val="18"/>
                      <w:szCs w:val="18"/>
                    </w:rPr>
                    <w:t>粉碎车间</w:t>
                  </w:r>
                </w:p>
              </w:tc>
              <w:tc>
                <w:tcPr>
                  <w:tcW w:w="3898" w:type="dxa"/>
                  <w:noWrap/>
                  <w:vAlign w:val="center"/>
                </w:tcPr>
                <w:p>
                  <w:pPr>
                    <w:pStyle w:val="63"/>
                    <w:rPr>
                      <w:rFonts w:ascii="宋体" w:hAnsi="宋体" w:cs="宋体"/>
                      <w:sz w:val="18"/>
                      <w:szCs w:val="18"/>
                    </w:rPr>
                  </w:pPr>
                  <w:r>
                    <w:rPr>
                      <w:rFonts w:hint="eastAsia" w:ascii="宋体" w:hAnsi="宋体" w:cs="宋体"/>
                      <w:sz w:val="18"/>
                      <w:szCs w:val="18"/>
                    </w:rPr>
                    <w:t>新建1层面积为150m</w:t>
                  </w:r>
                  <w:r>
                    <w:rPr>
                      <w:rFonts w:hint="eastAsia" w:ascii="宋体" w:hAnsi="宋体" w:cs="宋体"/>
                      <w:sz w:val="18"/>
                      <w:szCs w:val="18"/>
                      <w:vertAlign w:val="superscript"/>
                    </w:rPr>
                    <w:t>2</w:t>
                  </w:r>
                  <w:r>
                    <w:rPr>
                      <w:rFonts w:hint="eastAsia" w:ascii="宋体" w:hAnsi="宋体" w:cs="宋体"/>
                      <w:sz w:val="18"/>
                      <w:szCs w:val="18"/>
                    </w:rPr>
                    <w:t>，全封闭彩钢结构</w:t>
                  </w:r>
                </w:p>
                <w:p>
                  <w:pPr>
                    <w:pStyle w:val="63"/>
                    <w:rPr>
                      <w:rFonts w:ascii="宋体" w:hAnsi="宋体" w:cs="宋体"/>
                      <w:sz w:val="18"/>
                      <w:szCs w:val="18"/>
                    </w:rPr>
                  </w:pPr>
                  <w:r>
                    <w:rPr>
                      <w:rFonts w:hint="eastAsia" w:ascii="宋体" w:hAnsi="宋体" w:cs="宋体"/>
                      <w:sz w:val="18"/>
                      <w:szCs w:val="18"/>
                    </w:rPr>
                    <w:t>（原料木材粉碎车间）。</w:t>
                  </w:r>
                </w:p>
              </w:tc>
              <w:tc>
                <w:tcPr>
                  <w:tcW w:w="1271" w:type="dxa"/>
                  <w:noWrap/>
                  <w:vAlign w:val="center"/>
                </w:tcPr>
                <w:p>
                  <w:pPr>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continue"/>
                  <w:noWrap/>
                  <w:vAlign w:val="center"/>
                </w:tcPr>
                <w:p>
                  <w:pPr>
                    <w:adjustRightInd w:val="0"/>
                    <w:snapToGrid w:val="0"/>
                    <w:ind w:right="-105" w:rightChars="-50"/>
                    <w:jc w:val="center"/>
                    <w:rPr>
                      <w:rFonts w:ascii="宋体" w:hAnsi="宋体" w:cs="宋体"/>
                      <w:sz w:val="18"/>
                      <w:szCs w:val="18"/>
                    </w:rPr>
                  </w:pPr>
                </w:p>
              </w:tc>
              <w:tc>
                <w:tcPr>
                  <w:tcW w:w="1721" w:type="dxa"/>
                  <w:noWrap/>
                  <w:vAlign w:val="center"/>
                </w:tcPr>
                <w:p>
                  <w:pPr>
                    <w:pStyle w:val="63"/>
                    <w:rPr>
                      <w:rFonts w:ascii="宋体" w:hAnsi="宋体" w:cs="宋体"/>
                      <w:sz w:val="18"/>
                      <w:szCs w:val="18"/>
                    </w:rPr>
                  </w:pPr>
                  <w:r>
                    <w:rPr>
                      <w:rFonts w:hint="eastAsia" w:ascii="宋体" w:hAnsi="宋体" w:cs="宋体"/>
                      <w:sz w:val="18"/>
                      <w:szCs w:val="18"/>
                    </w:rPr>
                    <w:t>1-8号生产车间</w:t>
                  </w:r>
                </w:p>
              </w:tc>
              <w:tc>
                <w:tcPr>
                  <w:tcW w:w="3898" w:type="dxa"/>
                  <w:noWrap/>
                  <w:vAlign w:val="center"/>
                </w:tcPr>
                <w:p>
                  <w:pPr>
                    <w:pStyle w:val="63"/>
                    <w:rPr>
                      <w:rFonts w:ascii="宋体" w:hAnsi="宋体" w:cs="宋体"/>
                      <w:sz w:val="18"/>
                      <w:szCs w:val="18"/>
                    </w:rPr>
                  </w:pPr>
                  <w:r>
                    <w:rPr>
                      <w:rFonts w:hint="eastAsia" w:ascii="宋体" w:hAnsi="宋体" w:cs="宋体"/>
                      <w:sz w:val="18"/>
                      <w:szCs w:val="18"/>
                    </w:rPr>
                    <w:t>现有生产车间1-8号面积为495m</w:t>
                  </w:r>
                  <w:r>
                    <w:rPr>
                      <w:rFonts w:hint="eastAsia" w:ascii="宋体" w:hAnsi="宋体" w:cs="宋体"/>
                      <w:sz w:val="18"/>
                      <w:szCs w:val="18"/>
                      <w:vertAlign w:val="superscript"/>
                    </w:rPr>
                    <w:t>2</w:t>
                  </w:r>
                  <w:r>
                    <w:rPr>
                      <w:rFonts w:hint="eastAsia" w:ascii="宋体" w:hAnsi="宋体" w:cs="宋体"/>
                      <w:sz w:val="18"/>
                      <w:szCs w:val="18"/>
                    </w:rPr>
                    <w:t>/个×8，全封闭彩钢结构（养菌车间）。</w:t>
                  </w:r>
                </w:p>
              </w:tc>
              <w:tc>
                <w:tcPr>
                  <w:tcW w:w="1271" w:type="dxa"/>
                  <w:noWrap/>
                  <w:vAlign w:val="center"/>
                </w:tcPr>
                <w:p>
                  <w:pPr>
                    <w:jc w:val="center"/>
                    <w:rPr>
                      <w:rFonts w:ascii="宋体" w:hAnsi="宋体" w:cs="宋体"/>
                      <w:sz w:val="18"/>
                      <w:szCs w:val="18"/>
                    </w:rPr>
                  </w:pPr>
                  <w:r>
                    <w:rPr>
                      <w:rFonts w:hint="eastAsia" w:ascii="宋体" w:hAnsi="宋体" w:cs="宋体"/>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continue"/>
                  <w:noWrap/>
                  <w:vAlign w:val="center"/>
                </w:tcPr>
                <w:p>
                  <w:pPr>
                    <w:adjustRightInd w:val="0"/>
                    <w:snapToGrid w:val="0"/>
                    <w:ind w:right="-105" w:rightChars="-50"/>
                    <w:jc w:val="center"/>
                    <w:rPr>
                      <w:rFonts w:ascii="宋体" w:hAnsi="宋体" w:cs="宋体"/>
                      <w:sz w:val="18"/>
                      <w:szCs w:val="18"/>
                    </w:rPr>
                  </w:pPr>
                </w:p>
              </w:tc>
              <w:tc>
                <w:tcPr>
                  <w:tcW w:w="1721"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生产车间</w:t>
                  </w:r>
                </w:p>
              </w:tc>
              <w:tc>
                <w:tcPr>
                  <w:tcW w:w="3898" w:type="dxa"/>
                  <w:noWrap/>
                  <w:vAlign w:val="center"/>
                </w:tcPr>
                <w:p>
                  <w:pPr>
                    <w:jc w:val="center"/>
                    <w:rPr>
                      <w:rFonts w:ascii="宋体" w:hAnsi="宋体" w:cs="宋体"/>
                      <w:sz w:val="18"/>
                      <w:szCs w:val="18"/>
                    </w:rPr>
                  </w:pPr>
                  <w:r>
                    <w:rPr>
                      <w:rFonts w:hint="eastAsia" w:ascii="宋体" w:hAnsi="宋体" w:cs="宋体"/>
                      <w:sz w:val="18"/>
                      <w:szCs w:val="18"/>
                    </w:rPr>
                    <w:t>新建1层面积为2500m</w:t>
                  </w:r>
                  <w:r>
                    <w:rPr>
                      <w:rFonts w:hint="eastAsia" w:ascii="宋体" w:hAnsi="宋体" w:cs="宋体"/>
                      <w:sz w:val="18"/>
                      <w:szCs w:val="18"/>
                      <w:vertAlign w:val="superscript"/>
                    </w:rPr>
                    <w:t>2</w:t>
                  </w:r>
                  <w:r>
                    <w:rPr>
                      <w:rFonts w:hint="eastAsia" w:ascii="宋体" w:hAnsi="宋体" w:cs="宋体"/>
                      <w:sz w:val="18"/>
                      <w:szCs w:val="18"/>
                    </w:rPr>
                    <w:t>，全封闭彩钢结构；内设实验室（60m</w:t>
                  </w:r>
                  <w:r>
                    <w:rPr>
                      <w:rFonts w:hint="eastAsia" w:ascii="宋体" w:hAnsi="宋体" w:cs="宋体"/>
                      <w:sz w:val="18"/>
                      <w:szCs w:val="18"/>
                      <w:vertAlign w:val="superscript"/>
                    </w:rPr>
                    <w:t>2</w:t>
                  </w:r>
                  <w:r>
                    <w:rPr>
                      <w:rFonts w:hint="eastAsia" w:ascii="宋体" w:hAnsi="宋体" w:cs="宋体"/>
                      <w:sz w:val="18"/>
                      <w:szCs w:val="18"/>
                    </w:rPr>
                    <w:t>），不涉及生物、理化试验，只进行简单的菌种培养。</w:t>
                  </w:r>
                </w:p>
              </w:tc>
              <w:tc>
                <w:tcPr>
                  <w:tcW w:w="1271" w:type="dxa"/>
                  <w:vMerge w:val="restart"/>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continue"/>
                  <w:noWrap/>
                  <w:vAlign w:val="center"/>
                </w:tcPr>
                <w:p>
                  <w:pPr>
                    <w:adjustRightInd w:val="0"/>
                    <w:snapToGrid w:val="0"/>
                    <w:ind w:right="-105" w:rightChars="-50"/>
                    <w:jc w:val="center"/>
                    <w:rPr>
                      <w:rFonts w:ascii="宋体" w:hAnsi="宋体" w:cs="宋体"/>
                      <w:sz w:val="18"/>
                      <w:szCs w:val="18"/>
                    </w:rPr>
                  </w:pPr>
                </w:p>
              </w:tc>
              <w:tc>
                <w:tcPr>
                  <w:tcW w:w="1721" w:type="dxa"/>
                  <w:noWrap/>
                  <w:vAlign w:val="center"/>
                </w:tcPr>
                <w:p>
                  <w:pPr>
                    <w:pStyle w:val="63"/>
                    <w:rPr>
                      <w:rFonts w:ascii="宋体" w:hAnsi="宋体" w:cs="宋体"/>
                      <w:sz w:val="18"/>
                      <w:szCs w:val="18"/>
                    </w:rPr>
                  </w:pPr>
                  <w:r>
                    <w:rPr>
                      <w:rFonts w:hint="eastAsia" w:ascii="宋体" w:hAnsi="宋体" w:cs="宋体"/>
                      <w:sz w:val="18"/>
                      <w:szCs w:val="18"/>
                    </w:rPr>
                    <w:t>养菌生产车间</w:t>
                  </w:r>
                </w:p>
              </w:tc>
              <w:tc>
                <w:tcPr>
                  <w:tcW w:w="3898" w:type="dxa"/>
                  <w:noWrap/>
                  <w:vAlign w:val="center"/>
                </w:tcPr>
                <w:p>
                  <w:pPr>
                    <w:pStyle w:val="63"/>
                    <w:rPr>
                      <w:rFonts w:ascii="宋体" w:hAnsi="宋体" w:cs="宋体"/>
                      <w:sz w:val="18"/>
                      <w:szCs w:val="18"/>
                    </w:rPr>
                  </w:pPr>
                  <w:r>
                    <w:rPr>
                      <w:rFonts w:hint="eastAsia" w:ascii="宋体" w:hAnsi="宋体" w:cs="宋体"/>
                      <w:sz w:val="18"/>
                      <w:szCs w:val="18"/>
                    </w:rPr>
                    <w:t>新建1层，面积为900m</w:t>
                  </w:r>
                  <w:r>
                    <w:rPr>
                      <w:rFonts w:hint="eastAsia" w:ascii="宋体" w:hAnsi="宋体" w:cs="宋体"/>
                      <w:sz w:val="18"/>
                      <w:szCs w:val="18"/>
                      <w:vertAlign w:val="superscript"/>
                    </w:rPr>
                    <w:t>2</w:t>
                  </w:r>
                  <w:r>
                    <w:rPr>
                      <w:rFonts w:hint="eastAsia" w:ascii="宋体" w:hAnsi="宋体" w:cs="宋体"/>
                      <w:sz w:val="18"/>
                      <w:szCs w:val="18"/>
                    </w:rPr>
                    <w:t>/个×3，全封闭彩钢结构（养菌车间）。</w:t>
                  </w:r>
                </w:p>
              </w:tc>
              <w:tc>
                <w:tcPr>
                  <w:tcW w:w="1271" w:type="dxa"/>
                  <w:vMerge w:val="continue"/>
                  <w:noWrap/>
                  <w:vAlign w:val="center"/>
                </w:tcPr>
                <w:p>
                  <w:pPr>
                    <w:adjustRightInd w:val="0"/>
                    <w:snapToGrid w:val="0"/>
                    <w:ind w:right="-105" w:rightChars="-5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restart"/>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辅助工程</w:t>
                  </w:r>
                </w:p>
              </w:tc>
              <w:tc>
                <w:tcPr>
                  <w:tcW w:w="1721"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仓库</w:t>
                  </w:r>
                </w:p>
              </w:tc>
              <w:tc>
                <w:tcPr>
                  <w:tcW w:w="3898" w:type="dxa"/>
                  <w:noWrap/>
                  <w:vAlign w:val="center"/>
                </w:tcPr>
                <w:p>
                  <w:pPr>
                    <w:jc w:val="center"/>
                    <w:rPr>
                      <w:rFonts w:ascii="宋体" w:hAnsi="宋体" w:cs="宋体"/>
                      <w:sz w:val="18"/>
                      <w:szCs w:val="18"/>
                    </w:rPr>
                  </w:pPr>
                  <w:r>
                    <w:rPr>
                      <w:rFonts w:hint="eastAsia" w:ascii="宋体" w:hAnsi="宋体" w:cs="宋体"/>
                      <w:sz w:val="18"/>
                      <w:szCs w:val="18"/>
                    </w:rPr>
                    <w:t>1座，建筑面积800m</w:t>
                  </w:r>
                  <w:r>
                    <w:rPr>
                      <w:rFonts w:hint="eastAsia" w:ascii="宋体" w:hAnsi="宋体" w:cs="宋体"/>
                      <w:sz w:val="18"/>
                      <w:szCs w:val="18"/>
                      <w:vertAlign w:val="superscript"/>
                    </w:rPr>
                    <w:t>2</w:t>
                  </w:r>
                  <w:r>
                    <w:rPr>
                      <w:rFonts w:hint="eastAsia" w:ascii="宋体" w:hAnsi="宋体" w:cs="宋体"/>
                      <w:sz w:val="18"/>
                      <w:szCs w:val="18"/>
                    </w:rPr>
                    <w:t>，1F钢结构，用于堆存袋装豆粕等原料。</w:t>
                  </w:r>
                </w:p>
              </w:tc>
              <w:tc>
                <w:tcPr>
                  <w:tcW w:w="1271" w:type="dxa"/>
                  <w:vMerge w:val="restart"/>
                  <w:noWrap/>
                  <w:vAlign w:val="center"/>
                </w:tcPr>
                <w:p>
                  <w:pPr>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continue"/>
                  <w:noWrap/>
                  <w:vAlign w:val="center"/>
                </w:tcPr>
                <w:p>
                  <w:pPr>
                    <w:adjustRightInd w:val="0"/>
                    <w:snapToGrid w:val="0"/>
                    <w:ind w:right="-105" w:rightChars="-50"/>
                    <w:jc w:val="center"/>
                    <w:rPr>
                      <w:rFonts w:ascii="宋体" w:hAnsi="宋体" w:cs="宋体"/>
                      <w:sz w:val="18"/>
                      <w:szCs w:val="18"/>
                    </w:rPr>
                  </w:pPr>
                </w:p>
              </w:tc>
              <w:tc>
                <w:tcPr>
                  <w:tcW w:w="1721"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锅炉房</w:t>
                  </w:r>
                </w:p>
              </w:tc>
              <w:tc>
                <w:tcPr>
                  <w:tcW w:w="3898" w:type="dxa"/>
                  <w:noWrap/>
                  <w:vAlign w:val="center"/>
                </w:tcPr>
                <w:p>
                  <w:pPr>
                    <w:jc w:val="center"/>
                    <w:rPr>
                      <w:rFonts w:ascii="宋体" w:hAnsi="宋体" w:cs="宋体"/>
                      <w:sz w:val="18"/>
                      <w:szCs w:val="18"/>
                    </w:rPr>
                  </w:pPr>
                  <w:r>
                    <w:rPr>
                      <w:rFonts w:hint="eastAsia" w:ascii="宋体" w:hAnsi="宋体" w:cs="宋体"/>
                      <w:sz w:val="18"/>
                      <w:szCs w:val="18"/>
                    </w:rPr>
                    <w:t>1座，建筑面积24m</w:t>
                  </w:r>
                  <w:r>
                    <w:rPr>
                      <w:rFonts w:hint="eastAsia" w:ascii="宋体" w:hAnsi="宋体" w:cs="宋体"/>
                      <w:sz w:val="18"/>
                      <w:szCs w:val="18"/>
                      <w:vertAlign w:val="superscript"/>
                    </w:rPr>
                    <w:t>2</w:t>
                  </w:r>
                  <w:r>
                    <w:rPr>
                      <w:rFonts w:hint="eastAsia" w:ascii="宋体" w:hAnsi="宋体" w:cs="宋体"/>
                      <w:sz w:val="18"/>
                      <w:szCs w:val="18"/>
                    </w:rPr>
                    <w:t>，1F钢结构的锅炉房。</w:t>
                  </w:r>
                </w:p>
              </w:tc>
              <w:tc>
                <w:tcPr>
                  <w:tcW w:w="1271" w:type="dxa"/>
                  <w:vMerge w:val="continue"/>
                  <w:noWrap/>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continue"/>
                  <w:noWrap/>
                  <w:vAlign w:val="center"/>
                </w:tcPr>
                <w:p>
                  <w:pPr>
                    <w:adjustRightInd w:val="0"/>
                    <w:snapToGrid w:val="0"/>
                    <w:ind w:right="-105" w:rightChars="-50"/>
                    <w:jc w:val="center"/>
                    <w:rPr>
                      <w:rFonts w:ascii="宋体" w:hAnsi="宋体" w:cs="宋体"/>
                      <w:sz w:val="18"/>
                      <w:szCs w:val="18"/>
                    </w:rPr>
                  </w:pPr>
                </w:p>
              </w:tc>
              <w:tc>
                <w:tcPr>
                  <w:tcW w:w="1721"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危废间</w:t>
                  </w:r>
                </w:p>
              </w:tc>
              <w:tc>
                <w:tcPr>
                  <w:tcW w:w="3898" w:type="dxa"/>
                  <w:noWrap/>
                  <w:vAlign w:val="center"/>
                </w:tcPr>
                <w:p>
                  <w:pPr>
                    <w:jc w:val="center"/>
                    <w:rPr>
                      <w:rFonts w:ascii="宋体" w:hAnsi="宋体" w:cs="宋体"/>
                      <w:sz w:val="18"/>
                      <w:szCs w:val="18"/>
                    </w:rPr>
                  </w:pPr>
                  <w:r>
                    <w:rPr>
                      <w:rFonts w:hint="eastAsia" w:ascii="宋体" w:hAnsi="宋体" w:cs="宋体"/>
                      <w:sz w:val="18"/>
                      <w:szCs w:val="18"/>
                    </w:rPr>
                    <w:t>1座，建筑面积8m</w:t>
                  </w:r>
                  <w:r>
                    <w:rPr>
                      <w:rFonts w:hint="eastAsia" w:ascii="宋体" w:hAnsi="宋体" w:cs="宋体"/>
                      <w:sz w:val="18"/>
                      <w:szCs w:val="18"/>
                      <w:vertAlign w:val="superscript"/>
                    </w:rPr>
                    <w:t>2</w:t>
                  </w:r>
                  <w:r>
                    <w:rPr>
                      <w:rFonts w:hint="eastAsia" w:ascii="宋体" w:hAnsi="宋体" w:cs="宋体"/>
                      <w:sz w:val="18"/>
                      <w:szCs w:val="18"/>
                    </w:rPr>
                    <w:t>，防渗处理，防渗层至少1m厚黏土层（渗透系数不大于10</w:t>
                  </w:r>
                  <w:r>
                    <w:rPr>
                      <w:rFonts w:hint="eastAsia" w:ascii="宋体" w:hAnsi="宋体" w:cs="宋体"/>
                      <w:sz w:val="18"/>
                      <w:szCs w:val="18"/>
                      <w:vertAlign w:val="superscript"/>
                    </w:rPr>
                    <w:t>-7</w:t>
                  </w:r>
                  <w:r>
                    <w:rPr>
                      <w:rFonts w:hint="eastAsia" w:ascii="宋体" w:hAnsi="宋体" w:cs="宋体"/>
                      <w:sz w:val="18"/>
                      <w:szCs w:val="18"/>
                    </w:rPr>
                    <w:t>cm/s），或至少2mm厚高密度聚乙烯膜等人工防渗材料（渗透系数不大于10</w:t>
                  </w:r>
                  <w:r>
                    <w:rPr>
                      <w:rFonts w:hint="eastAsia" w:ascii="宋体" w:hAnsi="宋体" w:cs="宋体"/>
                      <w:sz w:val="18"/>
                      <w:szCs w:val="18"/>
                      <w:vertAlign w:val="superscript"/>
                    </w:rPr>
                    <w:t>-10</w:t>
                  </w:r>
                  <w:r>
                    <w:rPr>
                      <w:rFonts w:hint="eastAsia" w:ascii="宋体" w:hAnsi="宋体" w:cs="宋体"/>
                      <w:sz w:val="18"/>
                      <w:szCs w:val="18"/>
                    </w:rPr>
                    <w:t>cm/s），或其他防渗性能等效的材料。</w:t>
                  </w:r>
                </w:p>
              </w:tc>
              <w:tc>
                <w:tcPr>
                  <w:tcW w:w="1271" w:type="dxa"/>
                  <w:vMerge w:val="continue"/>
                  <w:noWrap/>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continue"/>
                  <w:noWrap/>
                  <w:vAlign w:val="center"/>
                </w:tcPr>
                <w:p>
                  <w:pPr>
                    <w:adjustRightInd w:val="0"/>
                    <w:snapToGrid w:val="0"/>
                    <w:ind w:right="-105" w:rightChars="-50"/>
                    <w:jc w:val="center"/>
                    <w:rPr>
                      <w:rFonts w:ascii="宋体" w:hAnsi="宋体" w:cs="宋体"/>
                      <w:sz w:val="18"/>
                      <w:szCs w:val="18"/>
                    </w:rPr>
                  </w:pPr>
                </w:p>
              </w:tc>
              <w:tc>
                <w:tcPr>
                  <w:tcW w:w="1721"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办公及生活区</w:t>
                  </w:r>
                </w:p>
              </w:tc>
              <w:tc>
                <w:tcPr>
                  <w:tcW w:w="3898" w:type="dxa"/>
                  <w:noWrap/>
                  <w:vAlign w:val="center"/>
                </w:tcPr>
                <w:p>
                  <w:pPr>
                    <w:jc w:val="center"/>
                    <w:rPr>
                      <w:rFonts w:ascii="宋体" w:hAnsi="宋体" w:cs="宋体"/>
                      <w:sz w:val="18"/>
                      <w:szCs w:val="18"/>
                    </w:rPr>
                  </w:pPr>
                  <w:r>
                    <w:rPr>
                      <w:rFonts w:hint="eastAsia" w:ascii="宋体" w:hAnsi="宋体" w:cs="宋体"/>
                      <w:sz w:val="18"/>
                      <w:szCs w:val="18"/>
                    </w:rPr>
                    <w:t>1座，建筑面积460m</w:t>
                  </w:r>
                  <w:r>
                    <w:rPr>
                      <w:rFonts w:hint="eastAsia" w:ascii="宋体" w:hAnsi="宋体" w:cs="宋体"/>
                      <w:sz w:val="18"/>
                      <w:szCs w:val="18"/>
                      <w:vertAlign w:val="superscript"/>
                    </w:rPr>
                    <w:t>2</w:t>
                  </w:r>
                  <w:r>
                    <w:rPr>
                      <w:rFonts w:hint="eastAsia" w:ascii="宋体" w:hAnsi="宋体" w:cs="宋体"/>
                      <w:sz w:val="18"/>
                      <w:szCs w:val="18"/>
                    </w:rPr>
                    <w:t>，钢结构</w:t>
                  </w:r>
                </w:p>
              </w:tc>
              <w:tc>
                <w:tcPr>
                  <w:tcW w:w="1271" w:type="dxa"/>
                  <w:vMerge w:val="continue"/>
                  <w:noWrap/>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continue"/>
                  <w:noWrap/>
                  <w:vAlign w:val="center"/>
                </w:tcPr>
                <w:p>
                  <w:pPr>
                    <w:adjustRightInd w:val="0"/>
                    <w:snapToGrid w:val="0"/>
                    <w:ind w:right="-105" w:rightChars="-50"/>
                    <w:jc w:val="center"/>
                    <w:rPr>
                      <w:rFonts w:ascii="宋体" w:hAnsi="宋体" w:cs="宋体"/>
                      <w:sz w:val="18"/>
                      <w:szCs w:val="18"/>
                    </w:rPr>
                  </w:pPr>
                </w:p>
              </w:tc>
              <w:tc>
                <w:tcPr>
                  <w:tcW w:w="1721"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化粪池</w:t>
                  </w:r>
                </w:p>
              </w:tc>
              <w:tc>
                <w:tcPr>
                  <w:tcW w:w="3898" w:type="dxa"/>
                  <w:noWrap/>
                  <w:vAlign w:val="center"/>
                </w:tcPr>
                <w:p>
                  <w:pPr>
                    <w:jc w:val="center"/>
                    <w:rPr>
                      <w:rFonts w:ascii="宋体" w:hAnsi="宋体" w:cs="宋体"/>
                      <w:sz w:val="18"/>
                      <w:szCs w:val="18"/>
                    </w:rPr>
                  </w:pPr>
                  <w:r>
                    <w:rPr>
                      <w:rFonts w:hint="eastAsia" w:ascii="宋体" w:hAnsi="宋体" w:cs="宋体"/>
                      <w:sz w:val="18"/>
                      <w:szCs w:val="18"/>
                    </w:rPr>
                    <w:t>1座，容积50m</w:t>
                  </w:r>
                  <w:r>
                    <w:rPr>
                      <w:rFonts w:hint="eastAsia" w:ascii="宋体" w:hAnsi="宋体" w:cs="宋体"/>
                      <w:sz w:val="18"/>
                      <w:szCs w:val="18"/>
                      <w:vertAlign w:val="superscript"/>
                    </w:rPr>
                    <w:t>3</w:t>
                  </w:r>
                  <w:r>
                    <w:rPr>
                      <w:rFonts w:hint="eastAsia" w:ascii="宋体" w:hAnsi="宋体" w:cs="宋体"/>
                      <w:sz w:val="18"/>
                      <w:szCs w:val="18"/>
                    </w:rPr>
                    <w:t>，防渗处理，防渗层为等效黏土层Mb≥1.5m、K≤1.0×10-7cm/s。</w:t>
                  </w:r>
                </w:p>
              </w:tc>
              <w:tc>
                <w:tcPr>
                  <w:tcW w:w="1271" w:type="dxa"/>
                  <w:noWrap/>
                  <w:vAlign w:val="center"/>
                </w:tcPr>
                <w:p>
                  <w:pPr>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储运工程</w:t>
                  </w:r>
                </w:p>
              </w:tc>
              <w:tc>
                <w:tcPr>
                  <w:tcW w:w="1721"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原料堆场</w:t>
                  </w:r>
                </w:p>
              </w:tc>
              <w:tc>
                <w:tcPr>
                  <w:tcW w:w="3898" w:type="dxa"/>
                  <w:noWrap/>
                  <w:vAlign w:val="center"/>
                </w:tcPr>
                <w:p>
                  <w:pPr>
                    <w:jc w:val="center"/>
                    <w:rPr>
                      <w:rFonts w:ascii="宋体" w:hAnsi="宋体" w:cs="宋体"/>
                      <w:sz w:val="18"/>
                      <w:szCs w:val="18"/>
                    </w:rPr>
                  </w:pPr>
                  <w:r>
                    <w:rPr>
                      <w:rFonts w:hint="eastAsia" w:ascii="宋体" w:hAnsi="宋体" w:cs="宋体"/>
                      <w:sz w:val="18"/>
                      <w:szCs w:val="18"/>
                    </w:rPr>
                    <w:t>占地面积3333.35m</w:t>
                  </w:r>
                  <w:r>
                    <w:rPr>
                      <w:rFonts w:hint="eastAsia" w:ascii="宋体" w:hAnsi="宋体" w:cs="宋体"/>
                      <w:sz w:val="18"/>
                      <w:szCs w:val="18"/>
                      <w:vertAlign w:val="superscript"/>
                    </w:rPr>
                    <w:t>2</w:t>
                  </w:r>
                  <w:r>
                    <w:rPr>
                      <w:rFonts w:hint="eastAsia" w:ascii="宋体" w:hAnsi="宋体" w:cs="宋体"/>
                      <w:sz w:val="18"/>
                      <w:szCs w:val="18"/>
                    </w:rPr>
                    <w:t>，地面硬化处理，仅堆存长约55cm的木段，由于每节木段底面直径为20cm，约合占地面积0.11m</w:t>
                  </w:r>
                  <w:r>
                    <w:rPr>
                      <w:rFonts w:hint="eastAsia" w:ascii="宋体" w:hAnsi="宋体" w:cs="宋体"/>
                      <w:sz w:val="18"/>
                      <w:szCs w:val="18"/>
                      <w:vertAlign w:val="superscript"/>
                    </w:rPr>
                    <w:t>2</w:t>
                  </w:r>
                  <w:r>
                    <w:rPr>
                      <w:rFonts w:hint="eastAsia" w:ascii="宋体" w:hAnsi="宋体" w:cs="宋体"/>
                      <w:sz w:val="18"/>
                      <w:szCs w:val="18"/>
                    </w:rPr>
                    <w:t>，而每节木段重量为2.5kg，木材最大储存量为5000t，则木段最大储存数量为20000段，经计算得知本项目储存木材的占地面积需要2200m</w:t>
                  </w:r>
                  <w:r>
                    <w:rPr>
                      <w:rFonts w:hint="eastAsia" w:ascii="宋体" w:hAnsi="宋体" w:cs="宋体"/>
                      <w:sz w:val="18"/>
                      <w:szCs w:val="18"/>
                      <w:vertAlign w:val="superscript"/>
                    </w:rPr>
                    <w:t>2</w:t>
                  </w:r>
                  <w:r>
                    <w:rPr>
                      <w:rFonts w:hint="eastAsia" w:ascii="宋体" w:hAnsi="宋体" w:cs="宋体"/>
                      <w:sz w:val="18"/>
                      <w:szCs w:val="18"/>
                    </w:rPr>
                    <w:t>（20000*0.11m</w:t>
                  </w:r>
                  <w:r>
                    <w:rPr>
                      <w:rFonts w:hint="eastAsia" w:ascii="宋体" w:hAnsi="宋体" w:cs="宋体"/>
                      <w:sz w:val="18"/>
                      <w:szCs w:val="18"/>
                      <w:vertAlign w:val="superscript"/>
                    </w:rPr>
                    <w:t>2</w:t>
                  </w:r>
                  <w:r>
                    <w:rPr>
                      <w:rFonts w:hint="eastAsia" w:ascii="宋体" w:hAnsi="宋体" w:cs="宋体"/>
                      <w:sz w:val="18"/>
                      <w:szCs w:val="18"/>
                    </w:rPr>
                    <w:t>=2200m</w:t>
                  </w:r>
                  <w:r>
                    <w:rPr>
                      <w:rFonts w:hint="eastAsia" w:ascii="宋体" w:hAnsi="宋体" w:cs="宋体"/>
                      <w:sz w:val="18"/>
                      <w:szCs w:val="18"/>
                      <w:vertAlign w:val="superscript"/>
                    </w:rPr>
                    <w:t>2</w:t>
                  </w:r>
                  <w:r>
                    <w:rPr>
                      <w:rFonts w:hint="eastAsia" w:ascii="宋体" w:hAnsi="宋体" w:cs="宋体"/>
                      <w:sz w:val="18"/>
                      <w:szCs w:val="18"/>
                    </w:rPr>
                    <w:t>），因此原料堆场的</w:t>
                  </w:r>
                </w:p>
                <w:p>
                  <w:pPr>
                    <w:jc w:val="center"/>
                    <w:rPr>
                      <w:rFonts w:ascii="宋体" w:hAnsi="宋体" w:cs="宋体"/>
                      <w:sz w:val="18"/>
                      <w:szCs w:val="18"/>
                    </w:rPr>
                  </w:pPr>
                  <w:r>
                    <w:rPr>
                      <w:rFonts w:hint="eastAsia" w:ascii="宋体" w:hAnsi="宋体" w:cs="宋体"/>
                      <w:sz w:val="18"/>
                      <w:szCs w:val="18"/>
                    </w:rPr>
                    <w:t>面积能够满足本项目使用。</w:t>
                  </w:r>
                </w:p>
              </w:tc>
              <w:tc>
                <w:tcPr>
                  <w:tcW w:w="1271" w:type="dxa"/>
                  <w:noWrap/>
                  <w:vAlign w:val="center"/>
                </w:tcPr>
                <w:p>
                  <w:pPr>
                    <w:jc w:val="center"/>
                    <w:rPr>
                      <w:rFonts w:ascii="宋体" w:hAnsi="宋体" w:cs="宋体"/>
                      <w:sz w:val="18"/>
                      <w:szCs w:val="18"/>
                    </w:rPr>
                  </w:pPr>
                  <w:r>
                    <w:rPr>
                      <w:rFonts w:hint="eastAsia" w:ascii="宋体" w:hAnsi="宋体" w:cs="宋体"/>
                      <w:sz w:val="18"/>
                      <w:szCs w:val="18"/>
                    </w:rPr>
                    <w:t>利旧，全部用于堆存长约55cm已经剪裁好的木段。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restart"/>
                  <w:noWrap/>
                  <w:vAlign w:val="center"/>
                </w:tcPr>
                <w:p>
                  <w:pPr>
                    <w:widowControl/>
                    <w:adjustRightInd w:val="0"/>
                    <w:snapToGrid w:val="0"/>
                    <w:spacing w:before="100" w:after="100"/>
                    <w:ind w:right="-105" w:rightChars="-50"/>
                    <w:jc w:val="center"/>
                    <w:rPr>
                      <w:rFonts w:ascii="宋体" w:hAnsi="宋体" w:cs="宋体"/>
                      <w:sz w:val="18"/>
                      <w:szCs w:val="18"/>
                    </w:rPr>
                  </w:pPr>
                  <w:r>
                    <w:rPr>
                      <w:rFonts w:hint="eastAsia" w:ascii="宋体" w:hAnsi="宋体" w:cs="宋体"/>
                      <w:sz w:val="18"/>
                      <w:szCs w:val="18"/>
                    </w:rPr>
                    <w:t>公用工程</w:t>
                  </w:r>
                </w:p>
              </w:tc>
              <w:tc>
                <w:tcPr>
                  <w:tcW w:w="1721" w:type="dxa"/>
                  <w:noWrap/>
                  <w:vAlign w:val="center"/>
                </w:tcPr>
                <w:p>
                  <w:pPr>
                    <w:jc w:val="center"/>
                    <w:rPr>
                      <w:rFonts w:ascii="宋体" w:hAnsi="宋体" w:cs="宋体"/>
                      <w:sz w:val="18"/>
                      <w:szCs w:val="18"/>
                    </w:rPr>
                  </w:pPr>
                  <w:r>
                    <w:rPr>
                      <w:rFonts w:hint="eastAsia" w:ascii="宋体" w:hAnsi="宋体" w:cs="宋体"/>
                      <w:sz w:val="18"/>
                      <w:szCs w:val="18"/>
                    </w:rPr>
                    <w:t>给排水</w:t>
                  </w:r>
                </w:p>
              </w:tc>
              <w:tc>
                <w:tcPr>
                  <w:tcW w:w="3898" w:type="dxa"/>
                  <w:noWrap/>
                  <w:vAlign w:val="center"/>
                </w:tcPr>
                <w:p>
                  <w:pPr>
                    <w:jc w:val="center"/>
                    <w:rPr>
                      <w:rFonts w:ascii="宋体" w:hAnsi="宋体" w:cs="宋体"/>
                      <w:sz w:val="18"/>
                      <w:szCs w:val="18"/>
                    </w:rPr>
                  </w:pPr>
                  <w:r>
                    <w:rPr>
                      <w:rFonts w:hint="eastAsia" w:ascii="宋体" w:hAnsi="宋体" w:cs="宋体"/>
                      <w:sz w:val="18"/>
                      <w:szCs w:val="18"/>
                    </w:rPr>
                    <w:t>自备水井。生产无废水产生，因锅炉产生的蒸汽作用仅为：对菌包进行高温消毒，锅炉用水无需软化，冷凝水经回收装置返回锅炉收集循环利用；每年生产运营期结束后蒸汽锅炉需定期排空水，废水暂存于厂区储水罐内，用于粉碎工序喷淋用水；生活污水排入厂区化粪池，定期由清污车运送至围场满族蒙古族自治县永溢环保科技有限责任公司克勒沟污水处理厂处理，满足《污水综合排放标准》（GB8978-1996）表1、表4三级标准及围场满族蒙古族自治县永溢环保科技有限责任公司克勒沟污水处理厂收水要求。</w:t>
                  </w:r>
                </w:p>
              </w:tc>
              <w:tc>
                <w:tcPr>
                  <w:tcW w:w="1271" w:type="dxa"/>
                  <w:noWrap/>
                  <w:vAlign w:val="center"/>
                </w:tcPr>
                <w:p>
                  <w:pPr>
                    <w:jc w:val="center"/>
                    <w:rPr>
                      <w:rFonts w:ascii="宋体" w:hAnsi="宋体" w:cs="宋体"/>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continue"/>
                  <w:noWrap/>
                  <w:vAlign w:val="center"/>
                </w:tcPr>
                <w:p>
                  <w:pPr>
                    <w:widowControl/>
                    <w:adjustRightInd w:val="0"/>
                    <w:snapToGrid w:val="0"/>
                    <w:spacing w:before="100" w:after="100"/>
                    <w:ind w:left="-105" w:leftChars="-50" w:right="-105" w:rightChars="-50"/>
                    <w:jc w:val="center"/>
                    <w:rPr>
                      <w:rFonts w:ascii="宋体" w:hAnsi="宋体" w:cs="宋体"/>
                      <w:sz w:val="18"/>
                      <w:szCs w:val="18"/>
                    </w:rPr>
                  </w:pPr>
                </w:p>
              </w:tc>
              <w:tc>
                <w:tcPr>
                  <w:tcW w:w="1721" w:type="dxa"/>
                  <w:noWrap/>
                  <w:vAlign w:val="center"/>
                </w:tcPr>
                <w:p>
                  <w:pPr>
                    <w:jc w:val="center"/>
                    <w:rPr>
                      <w:rFonts w:ascii="宋体" w:hAnsi="宋体" w:cs="宋体"/>
                      <w:sz w:val="18"/>
                      <w:szCs w:val="18"/>
                    </w:rPr>
                  </w:pPr>
                  <w:r>
                    <w:rPr>
                      <w:rFonts w:hint="eastAsia" w:ascii="宋体" w:hAnsi="宋体" w:cs="宋体"/>
                      <w:sz w:val="18"/>
                      <w:szCs w:val="18"/>
                    </w:rPr>
                    <w:t>供电系统</w:t>
                  </w:r>
                </w:p>
              </w:tc>
              <w:tc>
                <w:tcPr>
                  <w:tcW w:w="3898" w:type="dxa"/>
                  <w:noWrap/>
                  <w:vAlign w:val="center"/>
                </w:tcPr>
                <w:p>
                  <w:pPr>
                    <w:jc w:val="center"/>
                    <w:rPr>
                      <w:rFonts w:ascii="宋体" w:hAnsi="宋体" w:cs="宋体"/>
                      <w:sz w:val="18"/>
                      <w:szCs w:val="18"/>
                    </w:rPr>
                  </w:pPr>
                  <w:r>
                    <w:rPr>
                      <w:rFonts w:hint="eastAsia" w:ascii="宋体" w:hAnsi="宋体" w:cs="宋体"/>
                      <w:sz w:val="18"/>
                      <w:szCs w:val="18"/>
                    </w:rPr>
                    <w:t>市政电网供给。</w:t>
                  </w:r>
                </w:p>
              </w:tc>
              <w:tc>
                <w:tcPr>
                  <w:tcW w:w="1271" w:type="dxa"/>
                  <w:noWrap/>
                  <w:vAlign w:val="center"/>
                </w:tcPr>
                <w:p>
                  <w:pPr>
                    <w:jc w:val="center"/>
                    <w:rPr>
                      <w:rFonts w:ascii="宋体" w:hAnsi="宋体" w:cs="宋体"/>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continue"/>
                  <w:noWrap/>
                  <w:vAlign w:val="center"/>
                </w:tcPr>
                <w:p>
                  <w:pPr>
                    <w:widowControl/>
                    <w:adjustRightInd w:val="0"/>
                    <w:snapToGrid w:val="0"/>
                    <w:spacing w:before="100" w:after="100"/>
                    <w:ind w:left="-105" w:leftChars="-50" w:right="-105" w:rightChars="-50"/>
                    <w:jc w:val="center"/>
                    <w:rPr>
                      <w:rFonts w:ascii="宋体" w:hAnsi="宋体" w:cs="宋体"/>
                      <w:sz w:val="18"/>
                      <w:szCs w:val="18"/>
                    </w:rPr>
                  </w:pPr>
                </w:p>
              </w:tc>
              <w:tc>
                <w:tcPr>
                  <w:tcW w:w="1721" w:type="dxa"/>
                  <w:noWrap/>
                  <w:vAlign w:val="center"/>
                </w:tcPr>
                <w:p>
                  <w:pPr>
                    <w:jc w:val="center"/>
                    <w:rPr>
                      <w:rFonts w:ascii="宋体" w:hAnsi="宋体" w:cs="宋体"/>
                      <w:sz w:val="18"/>
                      <w:szCs w:val="18"/>
                    </w:rPr>
                  </w:pPr>
                  <w:r>
                    <w:rPr>
                      <w:rFonts w:hint="eastAsia" w:ascii="宋体" w:hAnsi="宋体" w:cs="宋体"/>
                      <w:sz w:val="18"/>
                      <w:szCs w:val="18"/>
                    </w:rPr>
                    <w:t>供热系统</w:t>
                  </w:r>
                </w:p>
              </w:tc>
              <w:tc>
                <w:tcPr>
                  <w:tcW w:w="3898" w:type="dxa"/>
                  <w:noWrap/>
                  <w:vAlign w:val="center"/>
                </w:tcPr>
                <w:p>
                  <w:pPr>
                    <w:jc w:val="center"/>
                    <w:rPr>
                      <w:rFonts w:ascii="宋体" w:hAnsi="宋体" w:cs="宋体"/>
                      <w:sz w:val="18"/>
                      <w:szCs w:val="18"/>
                    </w:rPr>
                  </w:pPr>
                  <w:r>
                    <w:rPr>
                      <w:rFonts w:hint="eastAsia" w:ascii="宋体" w:hAnsi="宋体" w:cs="宋体"/>
                      <w:sz w:val="18"/>
                      <w:szCs w:val="18"/>
                    </w:rPr>
                    <w:t>生产车间冬季不取暖，办公及生活区采用空气能取暖。</w:t>
                  </w:r>
                </w:p>
              </w:tc>
              <w:tc>
                <w:tcPr>
                  <w:tcW w:w="1271" w:type="dxa"/>
                  <w:noWrap/>
                  <w:vAlign w:val="center"/>
                </w:tcPr>
                <w:p>
                  <w:pPr>
                    <w:jc w:val="center"/>
                    <w:rPr>
                      <w:rFonts w:ascii="宋体" w:hAnsi="宋体" w:cs="宋体"/>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continue"/>
                  <w:noWrap/>
                  <w:vAlign w:val="center"/>
                </w:tcPr>
                <w:p>
                  <w:pPr>
                    <w:widowControl/>
                    <w:adjustRightInd w:val="0"/>
                    <w:snapToGrid w:val="0"/>
                    <w:spacing w:before="100" w:after="100"/>
                    <w:ind w:left="-105" w:leftChars="-50" w:right="-105" w:rightChars="-50"/>
                    <w:jc w:val="center"/>
                    <w:rPr>
                      <w:rFonts w:ascii="宋体" w:hAnsi="宋体" w:cs="宋体"/>
                      <w:sz w:val="18"/>
                      <w:szCs w:val="18"/>
                    </w:rPr>
                  </w:pPr>
                </w:p>
              </w:tc>
              <w:tc>
                <w:tcPr>
                  <w:tcW w:w="1721" w:type="dxa"/>
                  <w:noWrap/>
                  <w:vAlign w:val="center"/>
                </w:tcPr>
                <w:p>
                  <w:pPr>
                    <w:pStyle w:val="63"/>
                    <w:rPr>
                      <w:rFonts w:ascii="宋体" w:hAnsi="宋体" w:cs="宋体"/>
                      <w:sz w:val="18"/>
                      <w:szCs w:val="18"/>
                    </w:rPr>
                  </w:pPr>
                  <w:r>
                    <w:rPr>
                      <w:rFonts w:hint="eastAsia" w:ascii="宋体" w:hAnsi="宋体" w:cs="宋体"/>
                      <w:sz w:val="18"/>
                      <w:szCs w:val="18"/>
                    </w:rPr>
                    <w:t>消毒工程</w:t>
                  </w:r>
                </w:p>
              </w:tc>
              <w:tc>
                <w:tcPr>
                  <w:tcW w:w="3898" w:type="dxa"/>
                  <w:noWrap/>
                  <w:vAlign w:val="center"/>
                </w:tcPr>
                <w:p>
                  <w:pPr>
                    <w:pStyle w:val="63"/>
                    <w:rPr>
                      <w:rFonts w:ascii="宋体" w:hAnsi="宋体" w:cs="宋体"/>
                      <w:sz w:val="18"/>
                      <w:szCs w:val="18"/>
                    </w:rPr>
                  </w:pPr>
                  <w:r>
                    <w:rPr>
                      <w:rFonts w:hint="eastAsia" w:ascii="宋体" w:hAnsi="宋体" w:cs="宋体"/>
                      <w:sz w:val="18"/>
                      <w:szCs w:val="18"/>
                    </w:rPr>
                    <w:t>新建1台6吨生物质锅炉全部用于蒸汽高温消毒，运行时间为4h/d（400h/a），年工作时间为11月-2月上旬共计100天。</w:t>
                  </w:r>
                </w:p>
              </w:tc>
              <w:tc>
                <w:tcPr>
                  <w:tcW w:w="1271" w:type="dxa"/>
                  <w:noWrap/>
                  <w:vAlign w:val="center"/>
                </w:tcPr>
                <w:p>
                  <w:pPr>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restart"/>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环保工程</w:t>
                  </w:r>
                </w:p>
              </w:tc>
              <w:tc>
                <w:tcPr>
                  <w:tcW w:w="1721"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废气</w:t>
                  </w:r>
                </w:p>
              </w:tc>
              <w:tc>
                <w:tcPr>
                  <w:tcW w:w="3898" w:type="dxa"/>
                  <w:noWrap/>
                  <w:vAlign w:val="center"/>
                </w:tcPr>
                <w:p>
                  <w:pPr>
                    <w:jc w:val="center"/>
                    <w:rPr>
                      <w:rFonts w:ascii="宋体" w:hAnsi="宋体" w:cs="宋体"/>
                      <w:sz w:val="18"/>
                      <w:szCs w:val="18"/>
                    </w:rPr>
                  </w:pPr>
                  <w:r>
                    <w:rPr>
                      <w:rFonts w:hint="eastAsia" w:ascii="宋体" w:hAnsi="宋体" w:cs="宋体"/>
                      <w:sz w:val="18"/>
                      <w:szCs w:val="18"/>
                    </w:rPr>
                    <w:t>生物质锅炉产生废气中的二氧化硫含硫量较低无需处理、氮氧化物通过低氮燃烧处理、颗粒物通过布袋除尘器+35米高排气筒处理后达标排放；粉碎工序粉尘通过布袋除尘器+15米高排气筒，出入口设置喷淋装置，封闭廊道处理后达标排放,。</w:t>
                  </w:r>
                </w:p>
              </w:tc>
              <w:tc>
                <w:tcPr>
                  <w:tcW w:w="1271" w:type="dxa"/>
                  <w:noWrap/>
                  <w:vAlign w:val="center"/>
                </w:tcPr>
                <w:p>
                  <w:pPr>
                    <w:widowControl/>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continue"/>
                  <w:noWrap/>
                  <w:vAlign w:val="center"/>
                </w:tcPr>
                <w:p>
                  <w:pPr>
                    <w:adjustRightInd w:val="0"/>
                    <w:snapToGrid w:val="0"/>
                    <w:ind w:left="-105" w:leftChars="-50" w:right="-105" w:rightChars="-50"/>
                    <w:jc w:val="center"/>
                    <w:rPr>
                      <w:rFonts w:ascii="宋体" w:hAnsi="宋体" w:cs="宋体"/>
                      <w:sz w:val="18"/>
                      <w:szCs w:val="18"/>
                    </w:rPr>
                  </w:pPr>
                </w:p>
              </w:tc>
              <w:tc>
                <w:tcPr>
                  <w:tcW w:w="1721"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废水</w:t>
                  </w:r>
                </w:p>
              </w:tc>
              <w:tc>
                <w:tcPr>
                  <w:tcW w:w="3898" w:type="dxa"/>
                  <w:noWrap/>
                  <w:vAlign w:val="center"/>
                </w:tcPr>
                <w:p>
                  <w:pPr>
                    <w:widowControl/>
                    <w:jc w:val="center"/>
                    <w:rPr>
                      <w:rFonts w:ascii="宋体" w:hAnsi="宋体" w:cs="宋体"/>
                      <w:sz w:val="18"/>
                      <w:szCs w:val="18"/>
                    </w:rPr>
                  </w:pPr>
                  <w:r>
                    <w:rPr>
                      <w:rFonts w:hint="eastAsia" w:ascii="宋体" w:hAnsi="宋体" w:cs="宋体"/>
                      <w:sz w:val="18"/>
                      <w:szCs w:val="18"/>
                    </w:rPr>
                    <w:t xml:space="preserve"> 锅炉为蒸汽锅炉，用于蒸汽高温消毒，补充新水全部蒸发，不外排；因锅炉产生的蒸汽作用仅为：对菌包进行高温消毒，锅炉用水无需软化，冷凝水经回收装置返回锅炉收集循环利用；每年生产运营期结束后蒸汽锅炉需定期排空水，废水暂存于厂区储水罐内，用于粉碎工序喷淋用水。生活污水排入厂区化粪池，定期由清污车运送至围场满族蒙古族自治县永溢环保科技有限责任公司克勒沟污水处理厂处理，满足《污水综合排放标准》（GB8978-1996）表1、表4三级标准及围场满族蒙古族自治县永溢环保科技有限责任公司克勒沟污水处理厂收水要求。</w:t>
                  </w:r>
                </w:p>
              </w:tc>
              <w:tc>
                <w:tcPr>
                  <w:tcW w:w="1271" w:type="dxa"/>
                  <w:noWrap/>
                  <w:vAlign w:val="center"/>
                </w:tcPr>
                <w:p>
                  <w:pPr>
                    <w:widowControl/>
                    <w:jc w:val="center"/>
                    <w:rPr>
                      <w:rFonts w:ascii="宋体" w:hAnsi="宋体" w:cs="宋体"/>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continue"/>
                  <w:noWrap/>
                  <w:vAlign w:val="center"/>
                </w:tcPr>
                <w:p>
                  <w:pPr>
                    <w:adjustRightInd w:val="0"/>
                    <w:snapToGrid w:val="0"/>
                    <w:ind w:left="-105" w:leftChars="-50" w:right="-105" w:rightChars="-50"/>
                    <w:jc w:val="center"/>
                    <w:rPr>
                      <w:rFonts w:ascii="宋体" w:hAnsi="宋体" w:cs="宋体"/>
                      <w:sz w:val="18"/>
                      <w:szCs w:val="18"/>
                    </w:rPr>
                  </w:pPr>
                </w:p>
              </w:tc>
              <w:tc>
                <w:tcPr>
                  <w:tcW w:w="1721"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噪声</w:t>
                  </w:r>
                </w:p>
              </w:tc>
              <w:tc>
                <w:tcPr>
                  <w:tcW w:w="3898"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设备均置于密闭的房间，产噪设备加装基础减振垫。</w:t>
                  </w:r>
                </w:p>
              </w:tc>
              <w:tc>
                <w:tcPr>
                  <w:tcW w:w="1271" w:type="dxa"/>
                  <w:noWrap/>
                  <w:vAlign w:val="center"/>
                </w:tcPr>
                <w:p>
                  <w:pPr>
                    <w:adjustRightInd w:val="0"/>
                    <w:snapToGrid w:val="0"/>
                    <w:ind w:left="-105" w:leftChars="-50" w:right="-105" w:rightChars="-50"/>
                    <w:jc w:val="center"/>
                    <w:rPr>
                      <w:rFonts w:ascii="宋体" w:hAnsi="宋体" w:cs="宋体"/>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3" w:type="dxa"/>
                  <w:vMerge w:val="continue"/>
                  <w:noWrap/>
                  <w:vAlign w:val="center"/>
                </w:tcPr>
                <w:p>
                  <w:pPr>
                    <w:adjustRightInd w:val="0"/>
                    <w:snapToGrid w:val="0"/>
                    <w:ind w:left="-105" w:leftChars="-50" w:right="-105" w:rightChars="-50"/>
                    <w:jc w:val="center"/>
                    <w:rPr>
                      <w:rFonts w:ascii="宋体" w:hAnsi="宋体" w:cs="宋体"/>
                      <w:sz w:val="18"/>
                      <w:szCs w:val="18"/>
                    </w:rPr>
                  </w:pPr>
                </w:p>
              </w:tc>
              <w:tc>
                <w:tcPr>
                  <w:tcW w:w="1721"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固体废料</w:t>
                  </w:r>
                </w:p>
              </w:tc>
              <w:tc>
                <w:tcPr>
                  <w:tcW w:w="3898" w:type="dxa"/>
                  <w:noWrap/>
                  <w:vAlign w:val="center"/>
                </w:tcPr>
                <w:p>
                  <w:pPr>
                    <w:adjustRightInd w:val="0"/>
                    <w:snapToGrid w:val="0"/>
                    <w:ind w:right="-105" w:rightChars="-50"/>
                    <w:jc w:val="center"/>
                    <w:rPr>
                      <w:rFonts w:ascii="宋体" w:hAnsi="宋体" w:cs="宋体"/>
                      <w:sz w:val="18"/>
                      <w:szCs w:val="18"/>
                    </w:rPr>
                  </w:pPr>
                  <w:r>
                    <w:rPr>
                      <w:rFonts w:hint="eastAsia" w:ascii="宋体" w:hAnsi="宋体" w:cs="宋体"/>
                      <w:sz w:val="18"/>
                      <w:szCs w:val="18"/>
                    </w:rPr>
                    <w:t>项目一般固体废物主要为生物质锅炉炉渣、锅炉水垢、废菌棒、除尘灰、生活垃圾和废培养皿。其中生物质锅炉炉渣集中收集后外售；锅炉水垢每一年清理一次，集中收集后暂存于垃圾箱统一由环卫部门清运处理；废菌棒一部分可回收回用于生产，不可回收部分暂存于锅炉房用于锅炉燃料燃烧；生物质锅炉除尘灰、生活垃圾、经蒸汽高温消毒后的废培养皿（不涉及化学试剂）经收集后统一由环卫部门清运处理，粉碎工序除尘灰回用于生产；危险废物为</w:t>
                  </w:r>
                  <w:r>
                    <w:rPr>
                      <w:rFonts w:hint="eastAsia" w:ascii="宋体" w:hAnsi="宋体" w:cs="宋体"/>
                      <w:kern w:val="24"/>
                      <w:sz w:val="18"/>
                      <w:szCs w:val="18"/>
                    </w:rPr>
                    <w:t>废润滑油和废润滑油桶暂存于危险废物贮存间内，委托秦皇岛市徐山口危险废物处理有限公司拉运处置（危废处理协议详见附件</w:t>
                  </w:r>
                  <w:r>
                    <w:rPr>
                      <w:rFonts w:hint="eastAsia" w:ascii="宋体" w:hAnsi="宋体" w:cs="宋体"/>
                      <w:kern w:val="24"/>
                      <w:sz w:val="18"/>
                      <w:szCs w:val="18"/>
                      <w:lang w:val="en-US" w:eastAsia="zh-CN"/>
                    </w:rPr>
                    <w:t>5</w:t>
                  </w:r>
                  <w:r>
                    <w:rPr>
                      <w:rFonts w:hint="eastAsia" w:ascii="宋体" w:hAnsi="宋体" w:cs="宋体"/>
                      <w:kern w:val="24"/>
                      <w:sz w:val="18"/>
                      <w:szCs w:val="18"/>
                    </w:rPr>
                    <w:t>）。</w:t>
                  </w:r>
                </w:p>
              </w:tc>
              <w:tc>
                <w:tcPr>
                  <w:tcW w:w="1271" w:type="dxa"/>
                  <w:noWrap/>
                  <w:vAlign w:val="center"/>
                </w:tcPr>
                <w:p>
                  <w:pPr>
                    <w:adjustRightInd w:val="0"/>
                    <w:snapToGrid w:val="0"/>
                    <w:ind w:left="-105" w:leftChars="-50" w:right="-105" w:rightChars="-50"/>
                    <w:jc w:val="center"/>
                    <w:rPr>
                      <w:rFonts w:ascii="宋体" w:hAnsi="宋体" w:cs="宋体"/>
                      <w:sz w:val="18"/>
                      <w:szCs w:val="18"/>
                    </w:rPr>
                  </w:pPr>
                  <w:r>
                    <w:rPr>
                      <w:rFonts w:hint="eastAsia" w:ascii="宋体" w:hAnsi="宋体" w:cs="宋体"/>
                      <w:sz w:val="18"/>
                      <w:szCs w:val="18"/>
                    </w:rPr>
                    <w:t>——</w:t>
                  </w:r>
                </w:p>
              </w:tc>
            </w:tr>
          </w:tbl>
          <w:p>
            <w:pPr>
              <w:spacing w:line="360" w:lineRule="auto"/>
              <w:ind w:firstLine="422" w:firstLineChars="200"/>
              <w:jc w:val="left"/>
              <w:rPr>
                <w:rFonts w:ascii="宋体" w:hAnsi="宋体" w:cs="宋体"/>
                <w:b/>
                <w:bCs/>
                <w:szCs w:val="21"/>
              </w:rPr>
            </w:pPr>
            <w:r>
              <w:rPr>
                <w:rFonts w:hint="eastAsia" w:ascii="宋体" w:hAnsi="宋体" w:cs="宋体"/>
                <w:b/>
                <w:bCs/>
                <w:szCs w:val="21"/>
              </w:rPr>
              <w:t>3、主要原辅材料及能源消耗</w:t>
            </w:r>
          </w:p>
          <w:p>
            <w:pPr>
              <w:adjustRightInd w:val="0"/>
              <w:snapToGrid w:val="0"/>
              <w:spacing w:line="360" w:lineRule="auto"/>
              <w:ind w:firstLine="420" w:firstLineChars="200"/>
              <w:jc w:val="left"/>
              <w:rPr>
                <w:rFonts w:ascii="宋体" w:hAnsi="宋体" w:cs="宋体"/>
                <w:b/>
                <w:szCs w:val="21"/>
              </w:rPr>
            </w:pPr>
            <w:r>
              <w:rPr>
                <w:rFonts w:hint="eastAsia" w:ascii="宋体" w:hAnsi="宋体" w:cs="宋体"/>
                <w:szCs w:val="21"/>
              </w:rPr>
              <w:t>项目主要原辅材料及能源消耗见下表2-2。</w:t>
            </w:r>
          </w:p>
          <w:p>
            <w:pPr>
              <w:adjustRightInd w:val="0"/>
              <w:snapToGrid w:val="0"/>
              <w:spacing w:line="360" w:lineRule="auto"/>
              <w:ind w:firstLine="422" w:firstLineChars="200"/>
              <w:jc w:val="center"/>
              <w:rPr>
                <w:rFonts w:ascii="宋体" w:hAnsi="宋体" w:cs="宋体"/>
                <w:b/>
                <w:szCs w:val="21"/>
              </w:rPr>
            </w:pPr>
            <w:r>
              <w:rPr>
                <w:rFonts w:hint="eastAsia" w:ascii="宋体" w:hAnsi="宋体" w:cs="宋体"/>
                <w:b/>
                <w:szCs w:val="21"/>
              </w:rPr>
              <w:t>表2-2  现有项目与本项目扩建后主要原辅材料及能源使用情况一览表</w:t>
            </w:r>
          </w:p>
          <w:tbl>
            <w:tblPr>
              <w:tblStyle w:val="24"/>
              <w:tblW w:w="8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353"/>
              <w:gridCol w:w="1288"/>
              <w:gridCol w:w="1512"/>
              <w:gridCol w:w="1487"/>
              <w:gridCol w:w="1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4" w:type="pct"/>
                  <w:noWrap/>
                  <w:vAlign w:val="center"/>
                </w:tcPr>
                <w:p>
                  <w:pPr>
                    <w:jc w:val="center"/>
                    <w:rPr>
                      <w:rFonts w:ascii="宋体" w:hAnsi="宋体" w:cs="宋体"/>
                      <w:sz w:val="18"/>
                      <w:szCs w:val="18"/>
                    </w:rPr>
                  </w:pPr>
                  <w:r>
                    <w:rPr>
                      <w:rFonts w:hint="eastAsia" w:ascii="宋体" w:hAnsi="宋体" w:cs="宋体"/>
                      <w:sz w:val="18"/>
                      <w:szCs w:val="18"/>
                    </w:rPr>
                    <w:t>项目</w:t>
                  </w:r>
                </w:p>
              </w:tc>
              <w:tc>
                <w:tcPr>
                  <w:tcW w:w="798" w:type="pct"/>
                  <w:noWrap/>
                  <w:vAlign w:val="center"/>
                </w:tcPr>
                <w:p>
                  <w:pPr>
                    <w:jc w:val="center"/>
                    <w:rPr>
                      <w:rFonts w:ascii="宋体" w:hAnsi="宋体" w:cs="宋体"/>
                      <w:sz w:val="18"/>
                      <w:szCs w:val="18"/>
                    </w:rPr>
                  </w:pPr>
                  <w:r>
                    <w:rPr>
                      <w:rFonts w:hint="eastAsia" w:ascii="宋体" w:hAnsi="宋体" w:cs="宋体"/>
                      <w:sz w:val="18"/>
                      <w:szCs w:val="18"/>
                    </w:rPr>
                    <w:t>名称</w:t>
                  </w:r>
                </w:p>
              </w:tc>
              <w:tc>
                <w:tcPr>
                  <w:tcW w:w="760" w:type="pct"/>
                  <w:noWrap/>
                  <w:vAlign w:val="center"/>
                </w:tcPr>
                <w:p>
                  <w:pPr>
                    <w:jc w:val="center"/>
                    <w:rPr>
                      <w:rFonts w:ascii="宋体" w:hAnsi="宋体" w:cs="宋体"/>
                      <w:sz w:val="18"/>
                      <w:szCs w:val="18"/>
                    </w:rPr>
                  </w:pPr>
                  <w:r>
                    <w:rPr>
                      <w:rFonts w:hint="eastAsia" w:ascii="宋体" w:hAnsi="宋体" w:cs="宋体"/>
                      <w:sz w:val="18"/>
                      <w:szCs w:val="18"/>
                    </w:rPr>
                    <w:t>单位</w:t>
                  </w:r>
                </w:p>
              </w:tc>
              <w:tc>
                <w:tcPr>
                  <w:tcW w:w="891" w:type="pct"/>
                  <w:noWrap/>
                  <w:vAlign w:val="center"/>
                </w:tcPr>
                <w:p>
                  <w:pPr>
                    <w:jc w:val="center"/>
                    <w:rPr>
                      <w:rFonts w:ascii="宋体" w:hAnsi="宋体" w:cs="宋体"/>
                      <w:sz w:val="18"/>
                      <w:szCs w:val="18"/>
                    </w:rPr>
                  </w:pPr>
                  <w:r>
                    <w:rPr>
                      <w:rFonts w:hint="eastAsia" w:ascii="宋体" w:hAnsi="宋体" w:cs="宋体"/>
                      <w:sz w:val="18"/>
                      <w:szCs w:val="18"/>
                    </w:rPr>
                    <w:t>现有项目年用量</w:t>
                  </w:r>
                </w:p>
              </w:tc>
              <w:tc>
                <w:tcPr>
                  <w:tcW w:w="876" w:type="pct"/>
                  <w:noWrap/>
                  <w:vAlign w:val="center"/>
                </w:tcPr>
                <w:p>
                  <w:pPr>
                    <w:jc w:val="center"/>
                    <w:rPr>
                      <w:rFonts w:ascii="宋体" w:hAnsi="宋体" w:cs="宋体"/>
                      <w:sz w:val="18"/>
                      <w:szCs w:val="18"/>
                    </w:rPr>
                  </w:pPr>
                  <w:r>
                    <w:rPr>
                      <w:rFonts w:hint="eastAsia" w:ascii="宋体" w:hAnsi="宋体" w:cs="宋体"/>
                      <w:sz w:val="18"/>
                      <w:szCs w:val="18"/>
                    </w:rPr>
                    <w:t>本项目年用量</w:t>
                  </w:r>
                </w:p>
              </w:tc>
              <w:tc>
                <w:tcPr>
                  <w:tcW w:w="1038" w:type="pct"/>
                  <w:noWrap/>
                  <w:vAlign w:val="center"/>
                </w:tcPr>
                <w:p>
                  <w:pPr>
                    <w:jc w:val="center"/>
                    <w:rPr>
                      <w:rFonts w:ascii="宋体" w:hAnsi="宋体" w:cs="宋体"/>
                      <w:sz w:val="18"/>
                      <w:szCs w:val="18"/>
                    </w:rPr>
                  </w:pPr>
                  <w:r>
                    <w:rPr>
                      <w:rFonts w:hint="eastAsia" w:ascii="宋体" w:hAnsi="宋体" w:cs="宋体"/>
                      <w:sz w:val="18"/>
                      <w:szCs w:val="1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4" w:type="pct"/>
                  <w:vMerge w:val="restart"/>
                  <w:noWrap/>
                  <w:vAlign w:val="center"/>
                </w:tcPr>
                <w:p>
                  <w:pPr>
                    <w:jc w:val="center"/>
                    <w:rPr>
                      <w:rFonts w:ascii="宋体" w:hAnsi="宋体" w:cs="宋体"/>
                      <w:sz w:val="18"/>
                      <w:szCs w:val="18"/>
                    </w:rPr>
                  </w:pPr>
                  <w:r>
                    <w:rPr>
                      <w:rFonts w:hint="eastAsia" w:ascii="宋体" w:hAnsi="宋体" w:cs="宋体"/>
                      <w:sz w:val="18"/>
                      <w:szCs w:val="18"/>
                    </w:rPr>
                    <w:t>原辅材料</w:t>
                  </w:r>
                </w:p>
              </w:tc>
              <w:tc>
                <w:tcPr>
                  <w:tcW w:w="798" w:type="pct"/>
                  <w:noWrap/>
                  <w:vAlign w:val="center"/>
                </w:tcPr>
                <w:p>
                  <w:pPr>
                    <w:jc w:val="center"/>
                    <w:rPr>
                      <w:rFonts w:ascii="宋体" w:hAnsi="宋体" w:cs="宋体"/>
                      <w:sz w:val="18"/>
                      <w:szCs w:val="18"/>
                    </w:rPr>
                  </w:pPr>
                  <w:r>
                    <w:rPr>
                      <w:rFonts w:hint="eastAsia" w:ascii="宋体" w:hAnsi="宋体" w:cs="宋体"/>
                      <w:sz w:val="18"/>
                      <w:szCs w:val="18"/>
                    </w:rPr>
                    <w:t>木材</w:t>
                  </w:r>
                </w:p>
              </w:tc>
              <w:tc>
                <w:tcPr>
                  <w:tcW w:w="760" w:type="pct"/>
                  <w:noWrap/>
                  <w:vAlign w:val="center"/>
                </w:tcPr>
                <w:p>
                  <w:pPr>
                    <w:jc w:val="center"/>
                    <w:rPr>
                      <w:rFonts w:ascii="宋体" w:hAnsi="宋体" w:cs="宋体"/>
                      <w:sz w:val="18"/>
                      <w:szCs w:val="18"/>
                    </w:rPr>
                  </w:pPr>
                  <w:r>
                    <w:rPr>
                      <w:rFonts w:hint="eastAsia" w:ascii="宋体" w:hAnsi="宋体" w:cs="宋体"/>
                      <w:sz w:val="18"/>
                      <w:szCs w:val="18"/>
                    </w:rPr>
                    <w:t>t/a</w:t>
                  </w:r>
                </w:p>
              </w:tc>
              <w:tc>
                <w:tcPr>
                  <w:tcW w:w="891" w:type="pct"/>
                  <w:noWrap/>
                  <w:vAlign w:val="center"/>
                </w:tcPr>
                <w:p>
                  <w:pPr>
                    <w:jc w:val="center"/>
                    <w:rPr>
                      <w:rFonts w:ascii="宋体" w:hAnsi="宋体" w:cs="宋体"/>
                      <w:sz w:val="18"/>
                      <w:szCs w:val="18"/>
                    </w:rPr>
                  </w:pPr>
                  <w:r>
                    <w:rPr>
                      <w:rFonts w:hint="eastAsia" w:ascii="宋体" w:hAnsi="宋体" w:cs="宋体"/>
                      <w:sz w:val="18"/>
                      <w:szCs w:val="18"/>
                    </w:rPr>
                    <w:t>2500</w:t>
                  </w:r>
                </w:p>
              </w:tc>
              <w:tc>
                <w:tcPr>
                  <w:tcW w:w="876" w:type="pct"/>
                  <w:noWrap/>
                  <w:vAlign w:val="center"/>
                </w:tcPr>
                <w:p>
                  <w:pPr>
                    <w:jc w:val="center"/>
                    <w:rPr>
                      <w:rFonts w:ascii="宋体" w:hAnsi="宋体" w:cs="宋体"/>
                      <w:sz w:val="18"/>
                      <w:szCs w:val="18"/>
                    </w:rPr>
                  </w:pPr>
                  <w:r>
                    <w:rPr>
                      <w:rFonts w:hint="eastAsia" w:ascii="宋体" w:hAnsi="宋体" w:cs="宋体"/>
                      <w:sz w:val="18"/>
                      <w:szCs w:val="18"/>
                    </w:rPr>
                    <w:t>5000</w:t>
                  </w:r>
                </w:p>
              </w:tc>
              <w:tc>
                <w:tcPr>
                  <w:tcW w:w="1038" w:type="pct"/>
                  <w:vMerge w:val="restart"/>
                  <w:noWrap/>
                  <w:vAlign w:val="center"/>
                </w:tcPr>
                <w:p>
                  <w:pPr>
                    <w:jc w:val="center"/>
                    <w:rPr>
                      <w:rFonts w:ascii="宋体" w:hAnsi="宋体" w:cs="宋体"/>
                      <w:sz w:val="18"/>
                      <w:szCs w:val="18"/>
                    </w:rPr>
                  </w:pPr>
                  <w:r>
                    <w:rPr>
                      <w:rFonts w:hint="eastAsia" w:ascii="宋体" w:hAnsi="宋体" w:cs="宋体"/>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4" w:type="pct"/>
                  <w:vMerge w:val="continue"/>
                  <w:noWrap/>
                  <w:vAlign w:val="center"/>
                </w:tcPr>
                <w:p>
                  <w:pPr>
                    <w:jc w:val="center"/>
                    <w:rPr>
                      <w:rFonts w:ascii="宋体" w:hAnsi="宋体" w:cs="宋体"/>
                      <w:sz w:val="18"/>
                      <w:szCs w:val="18"/>
                    </w:rPr>
                  </w:pPr>
                </w:p>
              </w:tc>
              <w:tc>
                <w:tcPr>
                  <w:tcW w:w="798" w:type="pct"/>
                  <w:noWrap/>
                  <w:vAlign w:val="center"/>
                </w:tcPr>
                <w:p>
                  <w:pPr>
                    <w:jc w:val="center"/>
                    <w:rPr>
                      <w:rFonts w:ascii="宋体" w:hAnsi="宋体" w:cs="宋体"/>
                      <w:sz w:val="18"/>
                      <w:szCs w:val="18"/>
                    </w:rPr>
                  </w:pPr>
                  <w:r>
                    <w:rPr>
                      <w:rFonts w:hint="eastAsia" w:ascii="宋体" w:hAnsi="宋体" w:cs="宋体"/>
                      <w:sz w:val="18"/>
                      <w:szCs w:val="18"/>
                    </w:rPr>
                    <w:t>豆粕</w:t>
                  </w:r>
                </w:p>
              </w:tc>
              <w:tc>
                <w:tcPr>
                  <w:tcW w:w="760" w:type="pct"/>
                  <w:noWrap/>
                  <w:vAlign w:val="center"/>
                </w:tcPr>
                <w:p>
                  <w:pPr>
                    <w:jc w:val="center"/>
                    <w:rPr>
                      <w:rFonts w:ascii="宋体" w:hAnsi="宋体" w:cs="宋体"/>
                      <w:sz w:val="18"/>
                      <w:szCs w:val="18"/>
                    </w:rPr>
                  </w:pPr>
                  <w:r>
                    <w:rPr>
                      <w:rFonts w:hint="eastAsia" w:ascii="宋体" w:hAnsi="宋体" w:cs="宋体"/>
                      <w:sz w:val="18"/>
                      <w:szCs w:val="18"/>
                    </w:rPr>
                    <w:t>t/a</w:t>
                  </w:r>
                </w:p>
              </w:tc>
              <w:tc>
                <w:tcPr>
                  <w:tcW w:w="891" w:type="pct"/>
                  <w:noWrap/>
                  <w:vAlign w:val="center"/>
                </w:tcPr>
                <w:p>
                  <w:pPr>
                    <w:jc w:val="center"/>
                    <w:rPr>
                      <w:rFonts w:ascii="宋体" w:hAnsi="宋体" w:cs="宋体"/>
                      <w:sz w:val="18"/>
                      <w:szCs w:val="18"/>
                    </w:rPr>
                  </w:pPr>
                  <w:r>
                    <w:rPr>
                      <w:rFonts w:hint="eastAsia" w:ascii="宋体" w:hAnsi="宋体" w:cs="宋体"/>
                      <w:sz w:val="18"/>
                      <w:szCs w:val="18"/>
                    </w:rPr>
                    <w:t>40</w:t>
                  </w:r>
                </w:p>
              </w:tc>
              <w:tc>
                <w:tcPr>
                  <w:tcW w:w="876" w:type="pct"/>
                  <w:noWrap/>
                  <w:vAlign w:val="center"/>
                </w:tcPr>
                <w:p>
                  <w:pPr>
                    <w:jc w:val="center"/>
                    <w:rPr>
                      <w:rFonts w:ascii="宋体" w:hAnsi="宋体" w:cs="宋体"/>
                      <w:sz w:val="18"/>
                      <w:szCs w:val="18"/>
                    </w:rPr>
                  </w:pPr>
                  <w:r>
                    <w:rPr>
                      <w:rFonts w:hint="eastAsia" w:ascii="宋体" w:hAnsi="宋体" w:cs="宋体"/>
                      <w:sz w:val="18"/>
                      <w:szCs w:val="18"/>
                    </w:rPr>
                    <w:t>80</w:t>
                  </w:r>
                </w:p>
              </w:tc>
              <w:tc>
                <w:tcPr>
                  <w:tcW w:w="1038" w:type="pct"/>
                  <w:vMerge w:val="continue"/>
                  <w:noWrap/>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4" w:type="pct"/>
                  <w:vMerge w:val="continue"/>
                  <w:noWrap/>
                  <w:vAlign w:val="center"/>
                </w:tcPr>
                <w:p>
                  <w:pPr>
                    <w:jc w:val="center"/>
                    <w:rPr>
                      <w:rFonts w:ascii="宋体" w:hAnsi="宋体" w:cs="宋体"/>
                      <w:sz w:val="18"/>
                      <w:szCs w:val="18"/>
                    </w:rPr>
                  </w:pPr>
                </w:p>
              </w:tc>
              <w:tc>
                <w:tcPr>
                  <w:tcW w:w="798" w:type="pct"/>
                  <w:noWrap/>
                  <w:vAlign w:val="center"/>
                </w:tcPr>
                <w:p>
                  <w:pPr>
                    <w:jc w:val="center"/>
                    <w:rPr>
                      <w:rFonts w:ascii="宋体" w:hAnsi="宋体" w:cs="宋体"/>
                      <w:sz w:val="18"/>
                      <w:szCs w:val="18"/>
                    </w:rPr>
                  </w:pPr>
                  <w:r>
                    <w:rPr>
                      <w:rFonts w:hint="eastAsia" w:ascii="宋体" w:hAnsi="宋体" w:cs="宋体"/>
                      <w:sz w:val="18"/>
                      <w:szCs w:val="18"/>
                    </w:rPr>
                    <w:t>红糖</w:t>
                  </w:r>
                </w:p>
              </w:tc>
              <w:tc>
                <w:tcPr>
                  <w:tcW w:w="760" w:type="pct"/>
                  <w:noWrap/>
                  <w:vAlign w:val="center"/>
                </w:tcPr>
                <w:p>
                  <w:pPr>
                    <w:jc w:val="center"/>
                    <w:rPr>
                      <w:rFonts w:ascii="宋体" w:hAnsi="宋体" w:cs="宋体"/>
                      <w:sz w:val="18"/>
                      <w:szCs w:val="18"/>
                    </w:rPr>
                  </w:pPr>
                  <w:r>
                    <w:rPr>
                      <w:rFonts w:hint="eastAsia" w:ascii="宋体" w:hAnsi="宋体" w:cs="宋体"/>
                      <w:sz w:val="18"/>
                      <w:szCs w:val="18"/>
                    </w:rPr>
                    <w:t>t/a</w:t>
                  </w:r>
                </w:p>
              </w:tc>
              <w:tc>
                <w:tcPr>
                  <w:tcW w:w="891" w:type="pct"/>
                  <w:noWrap/>
                  <w:vAlign w:val="center"/>
                </w:tcPr>
                <w:p>
                  <w:pPr>
                    <w:jc w:val="center"/>
                    <w:rPr>
                      <w:rFonts w:ascii="宋体" w:hAnsi="宋体" w:cs="宋体"/>
                      <w:sz w:val="18"/>
                      <w:szCs w:val="18"/>
                    </w:rPr>
                  </w:pPr>
                  <w:r>
                    <w:rPr>
                      <w:rFonts w:hint="eastAsia" w:ascii="宋体" w:hAnsi="宋体" w:cs="宋体"/>
                      <w:sz w:val="18"/>
                      <w:szCs w:val="18"/>
                    </w:rPr>
                    <w:t>0.5</w:t>
                  </w:r>
                </w:p>
              </w:tc>
              <w:tc>
                <w:tcPr>
                  <w:tcW w:w="876" w:type="pct"/>
                  <w:noWrap/>
                  <w:vAlign w:val="center"/>
                </w:tcPr>
                <w:p>
                  <w:pPr>
                    <w:jc w:val="center"/>
                    <w:rPr>
                      <w:rFonts w:ascii="宋体" w:hAnsi="宋体" w:cs="宋体"/>
                      <w:sz w:val="18"/>
                      <w:szCs w:val="18"/>
                    </w:rPr>
                  </w:pPr>
                  <w:r>
                    <w:rPr>
                      <w:rFonts w:hint="eastAsia" w:ascii="宋体" w:hAnsi="宋体" w:cs="宋体"/>
                      <w:sz w:val="18"/>
                      <w:szCs w:val="18"/>
                    </w:rPr>
                    <w:t>1</w:t>
                  </w:r>
                </w:p>
              </w:tc>
              <w:tc>
                <w:tcPr>
                  <w:tcW w:w="1038" w:type="pct"/>
                  <w:vMerge w:val="continue"/>
                  <w:noWrap/>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4" w:type="pct"/>
                  <w:vMerge w:val="continue"/>
                  <w:noWrap/>
                  <w:vAlign w:val="center"/>
                </w:tcPr>
                <w:p>
                  <w:pPr>
                    <w:jc w:val="center"/>
                    <w:rPr>
                      <w:rFonts w:ascii="宋体" w:hAnsi="宋体" w:cs="宋体"/>
                      <w:sz w:val="18"/>
                      <w:szCs w:val="18"/>
                    </w:rPr>
                  </w:pPr>
                </w:p>
              </w:tc>
              <w:tc>
                <w:tcPr>
                  <w:tcW w:w="798" w:type="pct"/>
                  <w:noWrap/>
                  <w:vAlign w:val="center"/>
                </w:tcPr>
                <w:p>
                  <w:pPr>
                    <w:jc w:val="center"/>
                    <w:rPr>
                      <w:rFonts w:ascii="宋体" w:hAnsi="宋体" w:cs="宋体"/>
                      <w:sz w:val="18"/>
                      <w:szCs w:val="18"/>
                    </w:rPr>
                  </w:pPr>
                  <w:r>
                    <w:rPr>
                      <w:rFonts w:hint="eastAsia" w:ascii="宋体" w:hAnsi="宋体" w:cs="宋体"/>
                      <w:sz w:val="18"/>
                      <w:szCs w:val="18"/>
                    </w:rPr>
                    <w:t>生物质颗粒</w:t>
                  </w:r>
                </w:p>
              </w:tc>
              <w:tc>
                <w:tcPr>
                  <w:tcW w:w="760" w:type="pct"/>
                  <w:noWrap/>
                  <w:vAlign w:val="center"/>
                </w:tcPr>
                <w:p>
                  <w:pPr>
                    <w:jc w:val="center"/>
                    <w:rPr>
                      <w:rFonts w:ascii="宋体" w:hAnsi="宋体" w:cs="宋体"/>
                      <w:sz w:val="18"/>
                      <w:szCs w:val="18"/>
                    </w:rPr>
                  </w:pPr>
                  <w:r>
                    <w:rPr>
                      <w:rFonts w:hint="eastAsia" w:ascii="宋体" w:hAnsi="宋体" w:cs="宋体"/>
                      <w:sz w:val="18"/>
                      <w:szCs w:val="18"/>
                    </w:rPr>
                    <w:t>t/a</w:t>
                  </w:r>
                </w:p>
              </w:tc>
              <w:tc>
                <w:tcPr>
                  <w:tcW w:w="891" w:type="pct"/>
                  <w:noWrap/>
                  <w:vAlign w:val="center"/>
                </w:tcPr>
                <w:p>
                  <w:pPr>
                    <w:jc w:val="center"/>
                    <w:rPr>
                      <w:rFonts w:ascii="宋体" w:hAnsi="宋体" w:cs="宋体"/>
                      <w:sz w:val="18"/>
                      <w:szCs w:val="18"/>
                    </w:rPr>
                  </w:pPr>
                  <w:r>
                    <w:rPr>
                      <w:rFonts w:hint="eastAsia" w:ascii="宋体" w:hAnsi="宋体" w:cs="宋体"/>
                      <w:sz w:val="18"/>
                      <w:szCs w:val="18"/>
                    </w:rPr>
                    <w:t>250</w:t>
                  </w:r>
                </w:p>
              </w:tc>
              <w:tc>
                <w:tcPr>
                  <w:tcW w:w="876" w:type="pct"/>
                  <w:noWrap/>
                  <w:vAlign w:val="center"/>
                </w:tcPr>
                <w:p>
                  <w:pPr>
                    <w:jc w:val="center"/>
                    <w:rPr>
                      <w:rFonts w:ascii="宋体" w:hAnsi="宋体" w:cs="宋体"/>
                      <w:sz w:val="18"/>
                      <w:szCs w:val="18"/>
                    </w:rPr>
                  </w:pPr>
                  <w:r>
                    <w:rPr>
                      <w:rFonts w:hint="eastAsia" w:ascii="宋体" w:hAnsi="宋体" w:cs="宋体"/>
                      <w:sz w:val="18"/>
                      <w:szCs w:val="18"/>
                    </w:rPr>
                    <w:t>432</w:t>
                  </w:r>
                </w:p>
              </w:tc>
              <w:tc>
                <w:tcPr>
                  <w:tcW w:w="1038" w:type="pct"/>
                  <w:vMerge w:val="continue"/>
                  <w:noWrap/>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4" w:type="pct"/>
                  <w:vMerge w:val="continue"/>
                  <w:noWrap/>
                  <w:vAlign w:val="center"/>
                </w:tcPr>
                <w:p>
                  <w:pPr>
                    <w:jc w:val="center"/>
                    <w:rPr>
                      <w:rFonts w:ascii="宋体" w:hAnsi="宋体" w:cs="宋体"/>
                      <w:sz w:val="18"/>
                      <w:szCs w:val="18"/>
                    </w:rPr>
                  </w:pPr>
                </w:p>
              </w:tc>
              <w:tc>
                <w:tcPr>
                  <w:tcW w:w="798" w:type="pct"/>
                  <w:noWrap/>
                  <w:vAlign w:val="center"/>
                </w:tcPr>
                <w:p>
                  <w:pPr>
                    <w:jc w:val="center"/>
                    <w:rPr>
                      <w:rFonts w:ascii="宋体" w:hAnsi="宋体" w:cs="宋体"/>
                      <w:sz w:val="18"/>
                      <w:szCs w:val="18"/>
                    </w:rPr>
                  </w:pPr>
                  <w:r>
                    <w:rPr>
                      <w:rFonts w:hint="eastAsia" w:ascii="宋体" w:hAnsi="宋体" w:cs="宋体"/>
                      <w:sz w:val="18"/>
                      <w:szCs w:val="18"/>
                    </w:rPr>
                    <w:t>培养皿</w:t>
                  </w:r>
                </w:p>
              </w:tc>
              <w:tc>
                <w:tcPr>
                  <w:tcW w:w="760" w:type="pct"/>
                  <w:noWrap/>
                  <w:vAlign w:val="center"/>
                </w:tcPr>
                <w:p>
                  <w:pPr>
                    <w:jc w:val="center"/>
                    <w:rPr>
                      <w:rFonts w:ascii="宋体" w:hAnsi="宋体" w:cs="宋体"/>
                      <w:sz w:val="18"/>
                      <w:szCs w:val="18"/>
                    </w:rPr>
                  </w:pPr>
                  <w:r>
                    <w:rPr>
                      <w:rFonts w:hint="eastAsia" w:ascii="宋体" w:hAnsi="宋体" w:cs="宋体"/>
                      <w:sz w:val="18"/>
                      <w:szCs w:val="18"/>
                    </w:rPr>
                    <w:t>t/a</w:t>
                  </w:r>
                </w:p>
              </w:tc>
              <w:tc>
                <w:tcPr>
                  <w:tcW w:w="891" w:type="pct"/>
                  <w:noWrap/>
                  <w:vAlign w:val="center"/>
                </w:tcPr>
                <w:p>
                  <w:pPr>
                    <w:jc w:val="center"/>
                    <w:rPr>
                      <w:rFonts w:ascii="宋体" w:hAnsi="宋体" w:cs="宋体"/>
                      <w:sz w:val="18"/>
                      <w:szCs w:val="18"/>
                    </w:rPr>
                  </w:pPr>
                  <w:r>
                    <w:rPr>
                      <w:rFonts w:hint="eastAsia" w:ascii="宋体" w:hAnsi="宋体" w:cs="宋体"/>
                      <w:sz w:val="18"/>
                      <w:szCs w:val="18"/>
                    </w:rPr>
                    <w:t>0.05</w:t>
                  </w:r>
                </w:p>
              </w:tc>
              <w:tc>
                <w:tcPr>
                  <w:tcW w:w="876" w:type="pct"/>
                  <w:noWrap/>
                  <w:vAlign w:val="center"/>
                </w:tcPr>
                <w:p>
                  <w:pPr>
                    <w:jc w:val="center"/>
                    <w:rPr>
                      <w:rFonts w:ascii="宋体" w:hAnsi="宋体" w:cs="宋体"/>
                      <w:sz w:val="18"/>
                      <w:szCs w:val="18"/>
                    </w:rPr>
                  </w:pPr>
                  <w:r>
                    <w:rPr>
                      <w:rFonts w:hint="eastAsia" w:ascii="宋体" w:hAnsi="宋体" w:cs="宋体"/>
                      <w:sz w:val="18"/>
                      <w:szCs w:val="18"/>
                    </w:rPr>
                    <w:t>0.1</w:t>
                  </w:r>
                </w:p>
              </w:tc>
              <w:tc>
                <w:tcPr>
                  <w:tcW w:w="1038" w:type="pct"/>
                  <w:vMerge w:val="continue"/>
                  <w:noWrap/>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4" w:type="pct"/>
                  <w:vMerge w:val="restart"/>
                  <w:noWrap/>
                  <w:vAlign w:val="center"/>
                </w:tcPr>
                <w:p>
                  <w:pPr>
                    <w:jc w:val="center"/>
                    <w:rPr>
                      <w:rFonts w:ascii="宋体" w:hAnsi="宋体" w:cs="宋体"/>
                      <w:sz w:val="18"/>
                      <w:szCs w:val="18"/>
                    </w:rPr>
                  </w:pPr>
                  <w:r>
                    <w:rPr>
                      <w:rFonts w:hint="eastAsia" w:ascii="宋体" w:hAnsi="宋体" w:cs="宋体"/>
                      <w:sz w:val="18"/>
                      <w:szCs w:val="18"/>
                    </w:rPr>
                    <w:t>能源</w:t>
                  </w:r>
                </w:p>
              </w:tc>
              <w:tc>
                <w:tcPr>
                  <w:tcW w:w="798" w:type="pct"/>
                  <w:noWrap/>
                  <w:vAlign w:val="center"/>
                </w:tcPr>
                <w:p>
                  <w:pPr>
                    <w:jc w:val="center"/>
                    <w:rPr>
                      <w:rFonts w:ascii="宋体" w:hAnsi="宋体" w:cs="宋体"/>
                      <w:sz w:val="18"/>
                      <w:szCs w:val="18"/>
                    </w:rPr>
                  </w:pPr>
                  <w:r>
                    <w:rPr>
                      <w:rFonts w:hint="eastAsia" w:ascii="宋体" w:hAnsi="宋体" w:cs="宋体"/>
                      <w:sz w:val="18"/>
                      <w:szCs w:val="18"/>
                    </w:rPr>
                    <w:t>电</w:t>
                  </w:r>
                </w:p>
              </w:tc>
              <w:tc>
                <w:tcPr>
                  <w:tcW w:w="760" w:type="pct"/>
                  <w:noWrap/>
                  <w:vAlign w:val="center"/>
                </w:tcPr>
                <w:p>
                  <w:pPr>
                    <w:jc w:val="center"/>
                    <w:rPr>
                      <w:rFonts w:ascii="宋体" w:hAnsi="宋体" w:cs="宋体"/>
                      <w:sz w:val="18"/>
                      <w:szCs w:val="18"/>
                    </w:rPr>
                  </w:pPr>
                  <w:r>
                    <w:rPr>
                      <w:rFonts w:hint="eastAsia" w:ascii="宋体" w:hAnsi="宋体" w:cs="宋体"/>
                      <w:sz w:val="18"/>
                      <w:szCs w:val="18"/>
                    </w:rPr>
                    <w:t>万kWh/a</w:t>
                  </w:r>
                </w:p>
              </w:tc>
              <w:tc>
                <w:tcPr>
                  <w:tcW w:w="891" w:type="pct"/>
                  <w:noWrap/>
                  <w:vAlign w:val="center"/>
                </w:tcPr>
                <w:p>
                  <w:pPr>
                    <w:jc w:val="center"/>
                    <w:rPr>
                      <w:rFonts w:ascii="宋体" w:hAnsi="宋体" w:cs="宋体"/>
                      <w:sz w:val="18"/>
                      <w:szCs w:val="18"/>
                    </w:rPr>
                  </w:pPr>
                  <w:r>
                    <w:rPr>
                      <w:rFonts w:hint="eastAsia" w:ascii="宋体" w:hAnsi="宋体" w:cs="宋体"/>
                      <w:sz w:val="18"/>
                      <w:szCs w:val="18"/>
                    </w:rPr>
                    <w:t>23.92</w:t>
                  </w:r>
                </w:p>
              </w:tc>
              <w:tc>
                <w:tcPr>
                  <w:tcW w:w="876" w:type="pct"/>
                  <w:noWrap/>
                  <w:vAlign w:val="center"/>
                </w:tcPr>
                <w:p>
                  <w:pPr>
                    <w:jc w:val="center"/>
                    <w:rPr>
                      <w:rFonts w:ascii="宋体" w:hAnsi="宋体" w:cs="宋体"/>
                      <w:sz w:val="18"/>
                      <w:szCs w:val="18"/>
                    </w:rPr>
                  </w:pPr>
                  <w:r>
                    <w:rPr>
                      <w:rFonts w:hint="eastAsia" w:ascii="宋体" w:hAnsi="宋体" w:cs="宋体"/>
                      <w:sz w:val="18"/>
                      <w:szCs w:val="18"/>
                    </w:rPr>
                    <w:t>43.92</w:t>
                  </w:r>
                </w:p>
              </w:tc>
              <w:tc>
                <w:tcPr>
                  <w:tcW w:w="1038" w:type="pct"/>
                  <w:noWrap/>
                  <w:vAlign w:val="center"/>
                </w:tcPr>
                <w:p>
                  <w:pPr>
                    <w:jc w:val="center"/>
                    <w:rPr>
                      <w:rFonts w:ascii="宋体" w:hAnsi="宋体" w:cs="宋体"/>
                      <w:sz w:val="18"/>
                      <w:szCs w:val="18"/>
                    </w:rPr>
                  </w:pPr>
                  <w:r>
                    <w:rPr>
                      <w:rFonts w:hint="eastAsia" w:ascii="宋体" w:hAnsi="宋体" w:cs="宋体"/>
                      <w:sz w:val="18"/>
                      <w:szCs w:val="18"/>
                    </w:rPr>
                    <w:t>由市政电网供给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4" w:type="pct"/>
                  <w:vMerge w:val="continue"/>
                  <w:noWrap/>
                  <w:vAlign w:val="center"/>
                </w:tcPr>
                <w:p>
                  <w:pPr>
                    <w:jc w:val="center"/>
                    <w:rPr>
                      <w:rFonts w:ascii="宋体" w:hAnsi="宋体" w:cs="宋体"/>
                      <w:sz w:val="18"/>
                      <w:szCs w:val="18"/>
                    </w:rPr>
                  </w:pPr>
                </w:p>
              </w:tc>
              <w:tc>
                <w:tcPr>
                  <w:tcW w:w="798" w:type="pct"/>
                  <w:noWrap/>
                  <w:vAlign w:val="center"/>
                </w:tcPr>
                <w:p>
                  <w:pPr>
                    <w:jc w:val="center"/>
                    <w:rPr>
                      <w:rFonts w:ascii="宋体" w:hAnsi="宋体" w:cs="宋体"/>
                      <w:sz w:val="18"/>
                      <w:szCs w:val="18"/>
                    </w:rPr>
                  </w:pPr>
                  <w:r>
                    <w:rPr>
                      <w:rFonts w:hint="eastAsia" w:ascii="宋体" w:hAnsi="宋体" w:cs="宋体"/>
                      <w:sz w:val="18"/>
                      <w:szCs w:val="18"/>
                    </w:rPr>
                    <w:t>新鲜水量</w:t>
                  </w:r>
                </w:p>
              </w:tc>
              <w:tc>
                <w:tcPr>
                  <w:tcW w:w="760" w:type="pct"/>
                  <w:noWrap/>
                  <w:vAlign w:val="center"/>
                </w:tcPr>
                <w:p>
                  <w:pPr>
                    <w:jc w:val="center"/>
                    <w:rPr>
                      <w:rFonts w:ascii="宋体" w:hAnsi="宋体" w:cs="宋体"/>
                      <w:sz w:val="18"/>
                      <w:szCs w:val="18"/>
                    </w:rPr>
                  </w:pPr>
                  <w:r>
                    <w:rPr>
                      <w:rFonts w:hint="eastAsia" w:ascii="宋体" w:hAnsi="宋体" w:cs="宋体"/>
                      <w:sz w:val="18"/>
                      <w:szCs w:val="18"/>
                    </w:rPr>
                    <w:t>m³/a</w:t>
                  </w:r>
                </w:p>
              </w:tc>
              <w:tc>
                <w:tcPr>
                  <w:tcW w:w="891" w:type="pct"/>
                  <w:noWrap/>
                  <w:vAlign w:val="center"/>
                </w:tcPr>
                <w:p>
                  <w:pPr>
                    <w:jc w:val="center"/>
                    <w:rPr>
                      <w:rFonts w:ascii="宋体" w:hAnsi="宋体" w:cs="宋体"/>
                      <w:sz w:val="18"/>
                      <w:szCs w:val="18"/>
                    </w:rPr>
                  </w:pPr>
                  <w:r>
                    <w:rPr>
                      <w:rFonts w:hint="eastAsia" w:ascii="宋体" w:hAnsi="宋体" w:cs="宋体"/>
                      <w:sz w:val="18"/>
                      <w:szCs w:val="18"/>
                    </w:rPr>
                    <w:t>3500</w:t>
                  </w:r>
                </w:p>
              </w:tc>
              <w:tc>
                <w:tcPr>
                  <w:tcW w:w="876" w:type="pct"/>
                  <w:noWrap/>
                  <w:vAlign w:val="center"/>
                </w:tcPr>
                <w:p>
                  <w:pPr>
                    <w:jc w:val="center"/>
                    <w:rPr>
                      <w:rFonts w:ascii="宋体" w:hAnsi="宋体" w:cs="宋体"/>
                      <w:sz w:val="18"/>
                      <w:szCs w:val="18"/>
                    </w:rPr>
                  </w:pPr>
                  <w:r>
                    <w:rPr>
                      <w:rFonts w:hint="eastAsia" w:ascii="宋体" w:hAnsi="宋体" w:cs="宋体"/>
                      <w:sz w:val="18"/>
                      <w:szCs w:val="18"/>
                    </w:rPr>
                    <w:t>8011.36</w:t>
                  </w:r>
                </w:p>
              </w:tc>
              <w:tc>
                <w:tcPr>
                  <w:tcW w:w="1038" w:type="pct"/>
                  <w:noWrap/>
                  <w:vAlign w:val="center"/>
                </w:tcPr>
                <w:p>
                  <w:pPr>
                    <w:jc w:val="center"/>
                    <w:rPr>
                      <w:rFonts w:ascii="宋体" w:hAnsi="宋体" w:cs="宋体"/>
                      <w:sz w:val="18"/>
                      <w:szCs w:val="18"/>
                    </w:rPr>
                  </w:pPr>
                  <w:r>
                    <w:rPr>
                      <w:rFonts w:hint="eastAsia" w:ascii="宋体" w:hAnsi="宋体" w:cs="宋体"/>
                      <w:sz w:val="18"/>
                      <w:szCs w:val="18"/>
                    </w:rPr>
                    <w:t>自备水井</w:t>
                  </w:r>
                </w:p>
              </w:tc>
            </w:tr>
          </w:tbl>
          <w:p>
            <w:pPr>
              <w:adjustRightInd w:val="0"/>
              <w:snapToGrid w:val="0"/>
              <w:spacing w:line="360" w:lineRule="auto"/>
              <w:ind w:firstLine="422" w:firstLineChars="200"/>
              <w:rPr>
                <w:rFonts w:ascii="宋体" w:hAnsi="宋体" w:cs="宋体"/>
                <w:b/>
                <w:szCs w:val="21"/>
              </w:rPr>
            </w:pPr>
            <w:r>
              <w:rPr>
                <w:rFonts w:hint="eastAsia" w:ascii="宋体" w:hAnsi="宋体" w:cs="宋体"/>
                <w:b/>
                <w:szCs w:val="21"/>
              </w:rPr>
              <w:t xml:space="preserve">4、生产设备    </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 xml:space="preserve">主要生产设备情况见表2-3。    </w:t>
            </w:r>
          </w:p>
          <w:p>
            <w:pPr>
              <w:adjustRightInd w:val="0"/>
              <w:snapToGrid w:val="0"/>
              <w:spacing w:line="360" w:lineRule="auto"/>
              <w:jc w:val="center"/>
              <w:rPr>
                <w:rFonts w:ascii="宋体" w:hAnsi="宋体" w:cs="宋体"/>
                <w:b/>
                <w:szCs w:val="21"/>
              </w:rPr>
            </w:pPr>
            <w:r>
              <w:rPr>
                <w:rFonts w:hint="eastAsia" w:ascii="宋体" w:hAnsi="宋体" w:cs="宋体"/>
                <w:b/>
                <w:szCs w:val="21"/>
              </w:rPr>
              <w:t>表2-3  主要生产设备一览表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161"/>
              <w:gridCol w:w="2016"/>
              <w:gridCol w:w="1271"/>
              <w:gridCol w:w="1019"/>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序号</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名称</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型号</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数量</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功率（kw）</w:t>
                  </w:r>
                </w:p>
              </w:tc>
              <w:tc>
                <w:tcPr>
                  <w:tcW w:w="722" w:type="pct"/>
                  <w:noWrap/>
                  <w:vAlign w:val="center"/>
                </w:tcPr>
                <w:p>
                  <w:pPr>
                    <w:pStyle w:val="8"/>
                    <w:ind w:firstLine="0"/>
                    <w:jc w:val="center"/>
                    <w:rPr>
                      <w:rFonts w:ascii="宋体" w:hAnsi="宋体" w:cs="宋体"/>
                      <w:sz w:val="18"/>
                      <w:szCs w:val="18"/>
                    </w:rPr>
                  </w:pPr>
                  <w:r>
                    <w:rPr>
                      <w:rFonts w:hint="eastAsia" w:ascii="宋体" w:hAnsi="宋体" w:cs="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noWrap/>
                  <w:vAlign w:val="center"/>
                </w:tcPr>
                <w:p>
                  <w:pPr>
                    <w:pStyle w:val="8"/>
                    <w:ind w:firstLine="0"/>
                    <w:jc w:val="center"/>
                    <w:rPr>
                      <w:rFonts w:ascii="宋体" w:hAnsi="宋体" w:cs="宋体"/>
                      <w:sz w:val="18"/>
                      <w:szCs w:val="18"/>
                    </w:rPr>
                  </w:pPr>
                  <w:r>
                    <w:rPr>
                      <w:rFonts w:hint="eastAsia" w:ascii="宋体" w:hAnsi="宋体" w:cs="宋体"/>
                      <w:sz w:val="18"/>
                      <w:szCs w:val="18"/>
                    </w:rPr>
                    <w:t>一、筛料、粉碎、拌料、输送设备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1</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滚筒原料筛选机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LT-4-10</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4.0</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2</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筛料提升机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LT-4-11</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4.0</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3</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木材粉碎机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30.0</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4</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原料搅拌机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LT-18-X9</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2台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18.5×2</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5</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储料搅拌机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LT-18-Z9</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18.5</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6</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布料提升机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LT-4-15</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2台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4.0×2</w:t>
                  </w:r>
                </w:p>
              </w:tc>
              <w:tc>
                <w:tcPr>
                  <w:tcW w:w="722" w:type="pct"/>
                  <w:noWrap/>
                  <w:vAlign w:val="center"/>
                </w:tcPr>
                <w:p>
                  <w:pPr>
                    <w:pStyle w:val="8"/>
                    <w:ind w:firstLine="0"/>
                    <w:jc w:val="center"/>
                    <w:rPr>
                      <w:rFonts w:ascii="宋体" w:hAnsi="宋体" w:cs="宋体"/>
                      <w:sz w:val="18"/>
                      <w:szCs w:val="18"/>
                    </w:rPr>
                  </w:pPr>
                </w:p>
              </w:tc>
            </w:tr>
            <w:tr>
              <w:tblPrEx>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7</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分料机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LT-4-12</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2台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4.0×2</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8</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余料返回机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LT-4-17</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2台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1.5×2</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9</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辅料搅拌机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LT-4-19</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4.0</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10</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辅料提升机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LT-4-20</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1.5</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11</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7工位布料机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LT-4-16</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2台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4.0×2</w:t>
                  </w:r>
                </w:p>
              </w:tc>
              <w:tc>
                <w:tcPr>
                  <w:tcW w:w="722" w:type="pct"/>
                  <w:noWrap/>
                  <w:vAlign w:val="center"/>
                </w:tcPr>
                <w:p>
                  <w:pPr>
                    <w:pStyle w:val="8"/>
                    <w:ind w:firstLine="0"/>
                    <w:jc w:val="center"/>
                    <w:rPr>
                      <w:rFonts w:ascii="宋体" w:hAnsi="宋体" w:cs="宋体"/>
                      <w:sz w:val="18"/>
                      <w:szCs w:val="18"/>
                    </w:rPr>
                  </w:pPr>
                </w:p>
              </w:tc>
            </w:tr>
            <w:tr>
              <w:tblPrEx>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12</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地下回料提升机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LT-4-18</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4.0</w:t>
                  </w:r>
                </w:p>
              </w:tc>
              <w:tc>
                <w:tcPr>
                  <w:tcW w:w="722" w:type="pct"/>
                  <w:noWrap/>
                  <w:vAlign w:val="center"/>
                </w:tcPr>
                <w:p>
                  <w:pPr>
                    <w:pStyle w:val="8"/>
                    <w:ind w:firstLine="0"/>
                    <w:jc w:val="center"/>
                    <w:rPr>
                      <w:rFonts w:ascii="宋体" w:hAnsi="宋体" w:cs="宋体"/>
                      <w:sz w:val="18"/>
                      <w:szCs w:val="18"/>
                    </w:rPr>
                  </w:pPr>
                </w:p>
              </w:tc>
            </w:tr>
            <w:tr>
              <w:tblPrEx>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13</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地下回料设备</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LT-4-18</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4.0</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14</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水箱</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7吨</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r>
                    <w:rPr>
                      <w:rFonts w:hint="eastAsia" w:ascii="宋体" w:hAnsi="宋体" w:cs="宋体"/>
                      <w:sz w:val="18"/>
                      <w:szCs w:val="18"/>
                    </w:rPr>
                    <w:t>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15</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配电柜</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XL--21</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2台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noWrap/>
                  <w:vAlign w:val="center"/>
                </w:tcPr>
                <w:p>
                  <w:pPr>
                    <w:pStyle w:val="8"/>
                    <w:ind w:firstLine="0"/>
                    <w:jc w:val="center"/>
                    <w:rPr>
                      <w:rFonts w:ascii="宋体" w:hAnsi="宋体" w:cs="宋体"/>
                      <w:sz w:val="18"/>
                      <w:szCs w:val="18"/>
                    </w:rPr>
                  </w:pPr>
                  <w:r>
                    <w:rPr>
                      <w:rFonts w:hint="eastAsia" w:ascii="宋体" w:hAnsi="宋体" w:cs="宋体"/>
                      <w:sz w:val="18"/>
                      <w:szCs w:val="18"/>
                    </w:rPr>
                    <w:t>二、装袋窝口设备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1</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装袋窝口插棒一体机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ZX-7</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14台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5.5×14</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2</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草坪带设备</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CS-1-5</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2台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0.75×2</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noWrap/>
                  <w:vAlign w:val="center"/>
                </w:tcPr>
                <w:p>
                  <w:pPr>
                    <w:pStyle w:val="8"/>
                    <w:ind w:firstLine="0"/>
                    <w:jc w:val="center"/>
                    <w:rPr>
                      <w:rFonts w:ascii="宋体" w:hAnsi="宋体" w:cs="宋体"/>
                      <w:sz w:val="18"/>
                      <w:szCs w:val="18"/>
                    </w:rPr>
                  </w:pPr>
                  <w:r>
                    <w:rPr>
                      <w:rFonts w:hint="eastAsia" w:ascii="宋体" w:hAnsi="宋体" w:cs="宋体"/>
                      <w:sz w:val="18"/>
                      <w:szCs w:val="18"/>
                    </w:rPr>
                    <w:t>三、菌包输送、装车、卸车设备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1</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上筐机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FX-SJJ</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2台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3.1×2</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2</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下筐机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FX-XJJ</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2台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2.6×2</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3</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翻筐机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FX-FKJ</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2台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2.6×2</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4</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滚轮输送机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FX-SJJ2</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5台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0.75×5</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noWrap/>
                  <w:vAlign w:val="center"/>
                </w:tcPr>
                <w:p>
                  <w:pPr>
                    <w:pStyle w:val="8"/>
                    <w:ind w:firstLine="0"/>
                    <w:jc w:val="center"/>
                    <w:rPr>
                      <w:rFonts w:ascii="宋体" w:hAnsi="宋体" w:cs="宋体"/>
                      <w:sz w:val="18"/>
                      <w:szCs w:val="18"/>
                    </w:rPr>
                  </w:pPr>
                  <w:r>
                    <w:rPr>
                      <w:rFonts w:hint="eastAsia" w:ascii="宋体" w:hAnsi="宋体" w:cs="宋体"/>
                      <w:sz w:val="18"/>
                      <w:szCs w:val="18"/>
                    </w:rPr>
                    <w:t>四、菌包灭菌设备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1</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常压灭菌锅</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5台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p>
              </w:tc>
            </w:tr>
            <w:tr>
              <w:tblPrEx>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2</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不锈钢灭菌周转车</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1.94×0.5×1.9m</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550个</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3</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耐高温塑料筐</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475×475×100mm</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40000个</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4</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液体专用菌棒</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160mm×20mm</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500000个</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r>
                    <w:rPr>
                      <w:rFonts w:hint="eastAsia" w:ascii="宋体" w:hAnsi="宋体" w:cs="宋体"/>
                      <w:sz w:val="18"/>
                      <w:szCs w:val="18"/>
                    </w:rPr>
                    <w:t>聚氯乙烯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5</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蒸汽锅炉</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6吨</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noWrap/>
                  <w:vAlign w:val="center"/>
                </w:tcPr>
                <w:p>
                  <w:pPr>
                    <w:pStyle w:val="8"/>
                    <w:ind w:firstLine="0"/>
                    <w:jc w:val="center"/>
                    <w:rPr>
                      <w:rFonts w:ascii="宋体" w:hAnsi="宋体" w:cs="宋体"/>
                      <w:sz w:val="18"/>
                      <w:szCs w:val="18"/>
                    </w:rPr>
                  </w:pPr>
                  <w:r>
                    <w:rPr>
                      <w:rFonts w:hint="eastAsia" w:ascii="宋体" w:hAnsi="宋体" w:cs="宋体"/>
                      <w:sz w:val="18"/>
                      <w:szCs w:val="18"/>
                    </w:rPr>
                    <w:t>五、液体培养设备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1</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液体菌种发酵罐</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圆柱形800升</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24台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2</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数显回旋式震荡器</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4台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60×4</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3</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磁力搅拌器</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10台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30×10</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4</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医用无油空压机</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BK-37kw</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37</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5</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超净工作台</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1.2×1.2×1.2m</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2个</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6</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全自动高压灭菌锅</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4.5</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7</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恒温培养箱</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0.8×0.8×1.2m</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2台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8</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冷藏柜</w:t>
                  </w:r>
                </w:p>
              </w:tc>
              <w:tc>
                <w:tcPr>
                  <w:tcW w:w="1201" w:type="pct"/>
                  <w:noWrap/>
                  <w:vAlign w:val="center"/>
                </w:tcPr>
                <w:p>
                  <w:pPr>
                    <w:pStyle w:val="8"/>
                    <w:ind w:firstLine="0"/>
                    <w:jc w:val="center"/>
                    <w:rPr>
                      <w:rFonts w:ascii="宋体" w:hAnsi="宋体" w:cs="宋体"/>
                      <w:kern w:val="2"/>
                      <w:sz w:val="18"/>
                      <w:szCs w:val="18"/>
                    </w:rPr>
                  </w:pPr>
                  <w:r>
                    <w:rPr>
                      <w:rFonts w:hint="eastAsia" w:ascii="宋体" w:hAnsi="宋体" w:cs="宋体"/>
                      <w:sz w:val="18"/>
                      <w:szCs w:val="18"/>
                    </w:rPr>
                    <w:t>1.5×0.8×1.2m</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1台</w:t>
                  </w:r>
                </w:p>
              </w:tc>
              <w:tc>
                <w:tcPr>
                  <w:tcW w:w="607" w:type="pct"/>
                  <w:noWrap/>
                  <w:vAlign w:val="center"/>
                </w:tcPr>
                <w:p>
                  <w:pPr>
                    <w:pStyle w:val="8"/>
                    <w:ind w:firstLine="0"/>
                    <w:jc w:val="center"/>
                    <w:rPr>
                      <w:rFonts w:ascii="宋体" w:hAnsi="宋体" w:cs="宋体"/>
                      <w:sz w:val="18"/>
                      <w:szCs w:val="18"/>
                    </w:rPr>
                  </w:pP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noWrap/>
                  <w:vAlign w:val="center"/>
                </w:tcPr>
                <w:p>
                  <w:pPr>
                    <w:pStyle w:val="8"/>
                    <w:ind w:firstLine="0"/>
                    <w:jc w:val="center"/>
                    <w:rPr>
                      <w:rFonts w:ascii="宋体" w:hAnsi="宋体" w:cs="宋体"/>
                      <w:sz w:val="18"/>
                      <w:szCs w:val="18"/>
                    </w:rPr>
                  </w:pPr>
                  <w:r>
                    <w:rPr>
                      <w:rFonts w:hint="eastAsia" w:ascii="宋体" w:hAnsi="宋体" w:cs="宋体"/>
                      <w:sz w:val="18"/>
                      <w:szCs w:val="18"/>
                    </w:rPr>
                    <w:t>六、实验室仪器设备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1</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显微镜</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2</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定量接菌枪</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4台</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3</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培养器皿</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noWrap/>
                  <w:vAlign w:val="center"/>
                </w:tcPr>
                <w:p>
                  <w:pPr>
                    <w:pStyle w:val="8"/>
                    <w:ind w:firstLine="0"/>
                    <w:jc w:val="center"/>
                    <w:rPr>
                      <w:rFonts w:ascii="宋体" w:hAnsi="宋体" w:cs="宋体"/>
                      <w:sz w:val="18"/>
                      <w:szCs w:val="18"/>
                    </w:rPr>
                  </w:pPr>
                  <w:r>
                    <w:rPr>
                      <w:rFonts w:hint="eastAsia" w:ascii="宋体" w:hAnsi="宋体" w:cs="宋体"/>
                      <w:sz w:val="18"/>
                      <w:szCs w:val="18"/>
                    </w:rPr>
                    <w:t>七、净化车间设备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1</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车间净化设备</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1800㎡</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2</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净化空调设备</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1800㎡</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3</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连接管风管设备</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1800㎡</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4</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电气设备</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1800㎡</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1" w:type="pct"/>
                  <w:noWrap/>
                  <w:vAlign w:val="center"/>
                </w:tcPr>
                <w:p>
                  <w:pPr>
                    <w:pStyle w:val="8"/>
                    <w:ind w:firstLine="0"/>
                    <w:jc w:val="center"/>
                    <w:rPr>
                      <w:rFonts w:ascii="宋体" w:hAnsi="宋体" w:cs="宋体"/>
                      <w:sz w:val="18"/>
                      <w:szCs w:val="18"/>
                    </w:rPr>
                  </w:pPr>
                  <w:r>
                    <w:rPr>
                      <w:rFonts w:hint="eastAsia" w:ascii="宋体" w:hAnsi="宋体" w:cs="宋体"/>
                      <w:sz w:val="18"/>
                      <w:szCs w:val="18"/>
                    </w:rPr>
                    <w:t>5</w:t>
                  </w:r>
                </w:p>
              </w:tc>
              <w:tc>
                <w:tcPr>
                  <w:tcW w:w="1288" w:type="pct"/>
                  <w:noWrap/>
                  <w:vAlign w:val="center"/>
                </w:tcPr>
                <w:p>
                  <w:pPr>
                    <w:pStyle w:val="8"/>
                    <w:ind w:firstLine="0"/>
                    <w:jc w:val="center"/>
                    <w:rPr>
                      <w:rFonts w:ascii="宋体" w:hAnsi="宋体" w:cs="宋体"/>
                      <w:sz w:val="18"/>
                      <w:szCs w:val="18"/>
                    </w:rPr>
                  </w:pPr>
                  <w:r>
                    <w:rPr>
                      <w:rFonts w:hint="eastAsia" w:ascii="宋体" w:hAnsi="宋体" w:cs="宋体"/>
                      <w:sz w:val="18"/>
                      <w:szCs w:val="18"/>
                    </w:rPr>
                    <w:t>配套设备</w:t>
                  </w:r>
                </w:p>
              </w:tc>
              <w:tc>
                <w:tcPr>
                  <w:tcW w:w="1201"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57" w:type="pct"/>
                  <w:noWrap/>
                  <w:vAlign w:val="center"/>
                </w:tcPr>
                <w:p>
                  <w:pPr>
                    <w:pStyle w:val="8"/>
                    <w:ind w:firstLine="0"/>
                    <w:jc w:val="center"/>
                    <w:rPr>
                      <w:rFonts w:ascii="宋体" w:hAnsi="宋体" w:cs="宋体"/>
                      <w:sz w:val="18"/>
                      <w:szCs w:val="18"/>
                    </w:rPr>
                  </w:pPr>
                  <w:r>
                    <w:rPr>
                      <w:rFonts w:hint="eastAsia" w:ascii="宋体" w:hAnsi="宋体" w:cs="宋体"/>
                      <w:sz w:val="18"/>
                      <w:szCs w:val="18"/>
                    </w:rPr>
                    <w:t>1800㎡</w:t>
                  </w:r>
                </w:p>
              </w:tc>
              <w:tc>
                <w:tcPr>
                  <w:tcW w:w="607" w:type="pct"/>
                  <w:noWrap/>
                  <w:vAlign w:val="center"/>
                </w:tcPr>
                <w:p>
                  <w:pPr>
                    <w:pStyle w:val="8"/>
                    <w:ind w:firstLine="0"/>
                    <w:jc w:val="center"/>
                    <w:rPr>
                      <w:rFonts w:ascii="宋体" w:hAnsi="宋体" w:cs="宋体"/>
                      <w:sz w:val="18"/>
                      <w:szCs w:val="18"/>
                    </w:rPr>
                  </w:pPr>
                  <w:r>
                    <w:rPr>
                      <w:rFonts w:hint="eastAsia" w:ascii="宋体" w:hAnsi="宋体" w:cs="宋体"/>
                      <w:sz w:val="18"/>
                      <w:szCs w:val="18"/>
                    </w:rPr>
                    <w:t>——</w:t>
                  </w:r>
                </w:p>
              </w:tc>
              <w:tc>
                <w:tcPr>
                  <w:tcW w:w="722" w:type="pct"/>
                  <w:noWrap/>
                  <w:vAlign w:val="center"/>
                </w:tcPr>
                <w:p>
                  <w:pPr>
                    <w:pStyle w:val="8"/>
                    <w:ind w:firstLine="0"/>
                    <w:jc w:val="center"/>
                    <w:rPr>
                      <w:rFonts w:ascii="宋体" w:hAnsi="宋体" w:cs="宋体"/>
                      <w:sz w:val="18"/>
                      <w:szCs w:val="18"/>
                    </w:rPr>
                  </w:pPr>
                </w:p>
              </w:tc>
            </w:tr>
          </w:tbl>
          <w:p>
            <w:pPr>
              <w:pStyle w:val="41"/>
              <w:spacing w:line="360" w:lineRule="auto"/>
              <w:ind w:firstLine="422" w:firstLineChars="200"/>
              <w:jc w:val="both"/>
              <w:rPr>
                <w:rFonts w:ascii="宋体" w:hAnsi="宋体" w:cs="宋体"/>
                <w:b/>
                <w:bCs/>
                <w:color w:val="auto"/>
                <w:sz w:val="21"/>
                <w:szCs w:val="21"/>
              </w:rPr>
            </w:pPr>
            <w:r>
              <w:rPr>
                <w:rFonts w:hint="eastAsia" w:ascii="宋体" w:hAnsi="宋体" w:cs="宋体"/>
                <w:b/>
                <w:bCs/>
                <w:color w:val="auto"/>
                <w:sz w:val="21"/>
                <w:szCs w:val="21"/>
              </w:rPr>
              <w:t>5、劳动定员及工作制度</w:t>
            </w:r>
          </w:p>
          <w:p>
            <w:pPr>
              <w:pStyle w:val="41"/>
              <w:spacing w:line="360" w:lineRule="auto"/>
              <w:ind w:firstLine="420" w:firstLineChars="200"/>
              <w:jc w:val="both"/>
              <w:rPr>
                <w:rFonts w:ascii="宋体" w:hAnsi="宋体" w:cs="宋体"/>
                <w:b/>
                <w:bCs/>
                <w:color w:val="auto"/>
                <w:sz w:val="21"/>
                <w:szCs w:val="21"/>
              </w:rPr>
            </w:pPr>
            <w:r>
              <w:rPr>
                <w:rFonts w:hint="eastAsia" w:ascii="宋体" w:hAnsi="宋体" w:cs="宋体"/>
                <w:color w:val="auto"/>
                <w:sz w:val="21"/>
                <w:szCs w:val="21"/>
              </w:rPr>
              <w:t>本项目运营后人员合计20人，年有效工作时间100天（11月-2月上旬），三班制，每班工作8小时（锅炉运行时间：4h/d）。</w:t>
            </w:r>
          </w:p>
          <w:p>
            <w:pPr>
              <w:pStyle w:val="41"/>
              <w:spacing w:line="360" w:lineRule="auto"/>
              <w:ind w:left="420" w:leftChars="200"/>
              <w:jc w:val="both"/>
              <w:rPr>
                <w:rFonts w:ascii="宋体" w:hAnsi="宋体" w:cs="宋体"/>
                <w:b/>
                <w:bCs/>
                <w:color w:val="auto"/>
                <w:sz w:val="21"/>
                <w:szCs w:val="21"/>
              </w:rPr>
            </w:pPr>
            <w:r>
              <w:rPr>
                <w:rFonts w:hint="eastAsia" w:ascii="宋体" w:hAnsi="宋体" w:cs="宋体"/>
                <w:b/>
                <w:bCs/>
                <w:color w:val="auto"/>
                <w:sz w:val="21"/>
                <w:szCs w:val="21"/>
              </w:rPr>
              <w:t>6、平面布置</w:t>
            </w:r>
          </w:p>
          <w:p>
            <w:pPr>
              <w:pStyle w:val="41"/>
              <w:spacing w:line="360" w:lineRule="auto"/>
              <w:ind w:firstLine="420" w:firstLineChars="200"/>
              <w:jc w:val="both"/>
              <w:rPr>
                <w:rFonts w:ascii="宋体" w:hAnsi="宋体" w:cs="宋体"/>
                <w:b/>
                <w:bCs/>
                <w:color w:val="auto"/>
                <w:sz w:val="21"/>
                <w:szCs w:val="21"/>
              </w:rPr>
            </w:pPr>
            <w:r>
              <w:rPr>
                <w:rFonts w:hint="eastAsia" w:ascii="宋体" w:hAnsi="宋体" w:cs="宋体"/>
                <w:color w:val="auto"/>
                <w:sz w:val="21"/>
                <w:szCs w:val="21"/>
              </w:rPr>
              <w:t>大门位于厂区南侧，原料堆场位于厂区南侧，新建3个养菌车间位于厂区西侧（自北向南依次排列），办公及生活区位于厂区西北侧，化粪池位于生活区北侧，新建生产车间位于厂区北侧（实验室位于新建生产车间内部西北角），锅炉房、危废间位于新建生产车间北侧，粉碎车间位于新建生产车间南侧偏东，仓库位于粉碎车间东侧，现有1-8号车间位于厂区东侧自北向南依次排列。详见附图 3。</w:t>
            </w:r>
          </w:p>
          <w:p>
            <w:pPr>
              <w:pStyle w:val="41"/>
              <w:spacing w:line="360" w:lineRule="auto"/>
              <w:ind w:firstLine="422" w:firstLineChars="200"/>
              <w:jc w:val="both"/>
              <w:rPr>
                <w:rFonts w:ascii="宋体" w:hAnsi="宋体" w:cs="宋体"/>
                <w:b/>
                <w:bCs/>
                <w:color w:val="auto"/>
                <w:sz w:val="21"/>
                <w:szCs w:val="21"/>
              </w:rPr>
            </w:pPr>
            <w:r>
              <w:rPr>
                <w:rFonts w:hint="eastAsia" w:ascii="宋体" w:hAnsi="宋体" w:cs="宋体"/>
                <w:b/>
                <w:bCs/>
                <w:color w:val="auto"/>
                <w:sz w:val="21"/>
                <w:szCs w:val="21"/>
              </w:rPr>
              <w:t>7、公用工程</w:t>
            </w:r>
          </w:p>
          <w:p>
            <w:pPr>
              <w:autoSpaceDE w:val="0"/>
              <w:autoSpaceDN w:val="0"/>
              <w:adjustRightInd w:val="0"/>
              <w:spacing w:line="360" w:lineRule="auto"/>
              <w:ind w:firstLine="420" w:firstLineChars="200"/>
              <w:jc w:val="left"/>
              <w:textAlignment w:val="baseline"/>
              <w:rPr>
                <w:rFonts w:ascii="宋体" w:hAnsi="宋体" w:cs="宋体"/>
                <w:snapToGrid w:val="0"/>
                <w:kern w:val="0"/>
                <w:szCs w:val="21"/>
              </w:rPr>
            </w:pPr>
            <w:r>
              <w:rPr>
                <w:rFonts w:hint="eastAsia" w:ascii="宋体" w:hAnsi="宋体" w:cs="宋体"/>
                <w:snapToGrid w:val="0"/>
                <w:kern w:val="0"/>
                <w:szCs w:val="21"/>
              </w:rPr>
              <w:t>（1）给排水</w:t>
            </w:r>
          </w:p>
          <w:p>
            <w:pPr>
              <w:spacing w:line="360" w:lineRule="auto"/>
              <w:ind w:firstLine="420" w:firstLineChars="200"/>
              <w:rPr>
                <w:rFonts w:ascii="宋体" w:hAnsi="宋体" w:cs="宋体"/>
                <w:szCs w:val="21"/>
              </w:rPr>
            </w:pPr>
            <w:r>
              <w:rPr>
                <w:rFonts w:hint="eastAsia" w:ascii="宋体" w:hAnsi="宋体" w:cs="宋体"/>
                <w:snapToGrid w:val="0"/>
                <w:kern w:val="0"/>
                <w:szCs w:val="21"/>
              </w:rPr>
              <w:t>项目新鲜水来自自备水井，水质能够满足项目实施后正常生产需要。</w:t>
            </w:r>
          </w:p>
          <w:p>
            <w:pPr>
              <w:numPr>
                <w:ilvl w:val="0"/>
                <w:numId w:val="2"/>
              </w:numPr>
              <w:spacing w:line="360" w:lineRule="auto"/>
              <w:ind w:firstLine="420" w:firstLineChars="200"/>
              <w:rPr>
                <w:rFonts w:ascii="宋体" w:hAnsi="宋体" w:cs="宋体"/>
                <w:snapToGrid w:val="0"/>
                <w:szCs w:val="21"/>
              </w:rPr>
            </w:pPr>
            <w:r>
              <w:rPr>
                <w:rFonts w:hint="eastAsia" w:ascii="宋体" w:hAnsi="宋体" w:cs="宋体"/>
                <w:snapToGrid w:val="0"/>
                <w:szCs w:val="21"/>
              </w:rPr>
              <w:t>给水：</w:t>
            </w:r>
          </w:p>
          <w:p>
            <w:pPr>
              <w:spacing w:line="360" w:lineRule="auto"/>
              <w:ind w:firstLine="420" w:firstLineChars="200"/>
              <w:rPr>
                <w:rFonts w:ascii="宋体" w:hAnsi="宋体" w:cs="宋体"/>
                <w:szCs w:val="21"/>
              </w:rPr>
            </w:pPr>
            <w:r>
              <w:rPr>
                <w:rFonts w:hint="eastAsia" w:ascii="宋体" w:hAnsi="宋体" w:cs="宋体"/>
                <w:szCs w:val="21"/>
              </w:rPr>
              <w:t>①：生活用水</w:t>
            </w:r>
          </w:p>
          <w:p>
            <w:pPr>
              <w:spacing w:line="360" w:lineRule="auto"/>
              <w:ind w:firstLine="420" w:firstLineChars="200"/>
              <w:rPr>
                <w:rFonts w:ascii="宋体" w:hAnsi="宋体" w:cs="宋体"/>
                <w:snapToGrid w:val="0"/>
                <w:szCs w:val="21"/>
              </w:rPr>
            </w:pPr>
            <w:r>
              <w:rPr>
                <w:rFonts w:hint="eastAsia" w:ascii="宋体" w:hAnsi="宋体" w:cs="宋体"/>
                <w:snapToGrid w:val="0"/>
                <w:szCs w:val="21"/>
              </w:rPr>
              <w:t>项目职工生活用水结合《河北省用水定额：生活与服务业用水定额》（2021版）农村居民进行计算。项目运营后人员合计20人，日常用水定额按照18.5m</w:t>
            </w:r>
            <w:r>
              <w:rPr>
                <w:rFonts w:hint="eastAsia" w:ascii="宋体" w:hAnsi="宋体" w:cs="宋体"/>
                <w:snapToGrid w:val="0"/>
                <w:szCs w:val="21"/>
                <w:vertAlign w:val="superscript"/>
              </w:rPr>
              <w:t>3</w:t>
            </w:r>
            <w:r>
              <w:rPr>
                <w:rFonts w:hint="eastAsia" w:ascii="宋体" w:hAnsi="宋体" w:cs="宋体"/>
                <w:snapToGrid w:val="0"/>
                <w:szCs w:val="21"/>
              </w:rPr>
              <w:t>/人·a，本项目年生产时间为100天，则本项目总用水量为101.36m³/a。</w:t>
            </w:r>
          </w:p>
          <w:p>
            <w:pPr>
              <w:spacing w:line="360" w:lineRule="auto"/>
              <w:ind w:firstLine="420" w:firstLineChars="200"/>
              <w:rPr>
                <w:snapToGrid w:val="0"/>
                <w:szCs w:val="21"/>
              </w:rPr>
            </w:pPr>
            <w:r>
              <w:rPr>
                <w:rFonts w:hint="eastAsia"/>
                <w:szCs w:val="21"/>
              </w:rPr>
              <w:t>②：生产用水</w:t>
            </w:r>
          </w:p>
          <w:p>
            <w:pPr>
              <w:spacing w:line="360" w:lineRule="auto"/>
              <w:ind w:firstLine="420" w:firstLineChars="200"/>
              <w:rPr>
                <w:rFonts w:ascii="宋体" w:hAnsi="宋体" w:cs="宋体"/>
                <w:snapToGrid w:val="0"/>
                <w:szCs w:val="21"/>
              </w:rPr>
            </w:pPr>
            <w:r>
              <w:rPr>
                <w:rFonts w:hint="eastAsia"/>
                <w:snapToGrid w:val="0"/>
                <w:szCs w:val="21"/>
              </w:rPr>
              <w:t>根据企业提供资料生产用水包括预湿用水：用水量为2.5</w:t>
            </w:r>
            <w:r>
              <w:rPr>
                <w:snapToGrid w:val="0"/>
                <w:szCs w:val="21"/>
              </w:rPr>
              <w:t>m³</w:t>
            </w:r>
            <w:r>
              <w:rPr>
                <w:rFonts w:hint="eastAsia"/>
                <w:snapToGrid w:val="0"/>
                <w:szCs w:val="21"/>
              </w:rPr>
              <w:t>/万袋食用菌棒，则年产1000万袋食用菌棒预湿年用水量为2500</w:t>
            </w:r>
            <w:r>
              <w:rPr>
                <w:snapToGrid w:val="0"/>
                <w:szCs w:val="21"/>
              </w:rPr>
              <w:t>m³/a</w:t>
            </w:r>
            <w:r>
              <w:rPr>
                <w:rFonts w:hint="eastAsia"/>
                <w:snapToGrid w:val="0"/>
                <w:szCs w:val="21"/>
              </w:rPr>
              <w:t>；装袋用水：用水量为3</w:t>
            </w:r>
            <w:r>
              <w:rPr>
                <w:snapToGrid w:val="0"/>
                <w:szCs w:val="21"/>
              </w:rPr>
              <w:t>m³</w:t>
            </w:r>
            <w:r>
              <w:rPr>
                <w:rFonts w:hint="eastAsia"/>
                <w:snapToGrid w:val="0"/>
                <w:szCs w:val="21"/>
              </w:rPr>
              <w:t>/万袋食用菌棒，则年产1000</w:t>
            </w:r>
            <w:r>
              <w:rPr>
                <w:rFonts w:hint="eastAsia" w:ascii="宋体" w:hAnsi="宋体" w:cs="宋体"/>
                <w:snapToGrid w:val="0"/>
                <w:szCs w:val="21"/>
              </w:rPr>
              <w:t>万袋食用菌棒装袋年用水量为3000m³/a；</w:t>
            </w:r>
          </w:p>
          <w:p>
            <w:pPr>
              <w:spacing w:line="360" w:lineRule="auto"/>
              <w:ind w:firstLine="420" w:firstLineChars="200"/>
              <w:rPr>
                <w:rFonts w:ascii="宋体" w:hAnsi="宋体" w:cs="宋体"/>
                <w:szCs w:val="21"/>
              </w:rPr>
            </w:pPr>
            <w:r>
              <w:rPr>
                <w:rFonts w:hint="eastAsia" w:ascii="宋体" w:hAnsi="宋体" w:cs="宋体"/>
                <w:snapToGrid w:val="0"/>
                <w:szCs w:val="21"/>
              </w:rPr>
              <w:t>蒸汽锅炉用水：</w:t>
            </w:r>
            <w:r>
              <w:rPr>
                <w:rFonts w:hint="eastAsia" w:ascii="宋体" w:hAnsi="宋体" w:cs="宋体"/>
                <w:szCs w:val="21"/>
              </w:rPr>
              <w:t>本项目设置1台6t蒸汽锅炉，介质为生物质，额定蒸发量为6t/h，蒸汽锅炉参照《工业锅炉房设计手册》，蒸汽锅炉补水量包括管网及蒸汽损失量、定期排污量，其中管网及蒸汽损失量按额定蒸发量90%计，则需补水量为5.4t/h，年工作时间为400h/a</w:t>
            </w:r>
            <w:r>
              <w:rPr>
                <w:rFonts w:hint="eastAsia" w:ascii="宋体" w:hAnsi="宋体" w:cs="宋体"/>
                <w:snapToGrid w:val="0"/>
                <w:szCs w:val="21"/>
              </w:rPr>
              <w:t>（蒸汽锅炉每天工作时间为4h，年工作时间为100d）</w:t>
            </w:r>
            <w:r>
              <w:rPr>
                <w:rFonts w:hint="eastAsia" w:ascii="宋体" w:hAnsi="宋体" w:cs="宋体"/>
                <w:szCs w:val="21"/>
              </w:rPr>
              <w:t>，年用水量为2160t/a。定期排污量为额定蒸发量10%计，则需补水量为0.6t/h，年工作时间为400h/a，年用水量为240t/a。合计补水量为2400t/a。</w:t>
            </w:r>
          </w:p>
          <w:p>
            <w:pPr>
              <w:spacing w:line="360" w:lineRule="auto"/>
              <w:ind w:firstLine="420" w:firstLineChars="200"/>
              <w:rPr>
                <w:rFonts w:ascii="宋体" w:hAnsi="宋体" w:cs="宋体"/>
                <w:snapToGrid w:val="0"/>
                <w:szCs w:val="21"/>
                <w:highlight w:val="yellow"/>
              </w:rPr>
            </w:pPr>
            <w:r>
              <w:rPr>
                <w:rFonts w:hint="eastAsia" w:ascii="宋体" w:hAnsi="宋体" w:cs="宋体"/>
                <w:snapToGrid w:val="0"/>
                <w:szCs w:val="21"/>
              </w:rPr>
              <w:t>粉碎工序喷淋用水：设置喷淋装置，0.13m³/d（年工作时间为100d），喷淋装置年用水量为13m³/a（其中新鲜水量10m³/a，锅炉排空水3m³/a）；</w:t>
            </w:r>
          </w:p>
          <w:p>
            <w:pPr>
              <w:spacing w:line="360" w:lineRule="auto"/>
              <w:ind w:firstLine="420" w:firstLineChars="200"/>
              <w:rPr>
                <w:rFonts w:ascii="宋体" w:hAnsi="宋体" w:cs="宋体"/>
                <w:snapToGrid w:val="0"/>
                <w:szCs w:val="21"/>
              </w:rPr>
            </w:pPr>
            <w:r>
              <w:rPr>
                <w:rFonts w:hint="eastAsia" w:ascii="宋体" w:hAnsi="宋体" w:cs="宋体"/>
                <w:snapToGrid w:val="0"/>
                <w:szCs w:val="21"/>
              </w:rPr>
              <w:t>合计：本项目年总用水量为8011.36m</w:t>
            </w:r>
            <w:r>
              <w:rPr>
                <w:rFonts w:hint="eastAsia" w:ascii="宋体" w:hAnsi="宋体" w:cs="宋体"/>
                <w:snapToGrid w:val="0"/>
                <w:szCs w:val="21"/>
                <w:vertAlign w:val="superscript"/>
              </w:rPr>
              <w:t>3</w:t>
            </w:r>
            <w:r>
              <w:rPr>
                <w:rFonts w:hint="eastAsia" w:ascii="宋体" w:hAnsi="宋体" w:cs="宋体"/>
                <w:snapToGrid w:val="0"/>
                <w:szCs w:val="21"/>
              </w:rPr>
              <w:t>/a。</w:t>
            </w:r>
          </w:p>
          <w:p>
            <w:pPr>
              <w:numPr>
                <w:ilvl w:val="0"/>
                <w:numId w:val="2"/>
              </w:numPr>
              <w:spacing w:line="360" w:lineRule="auto"/>
              <w:ind w:firstLine="420" w:firstLineChars="200"/>
              <w:rPr>
                <w:rFonts w:ascii="宋体" w:hAnsi="宋体" w:cs="宋体"/>
                <w:szCs w:val="21"/>
              </w:rPr>
            </w:pPr>
            <w:r>
              <w:rPr>
                <w:rFonts w:hint="eastAsia" w:ascii="宋体" w:hAnsi="宋体" w:cs="宋体"/>
                <w:snapToGrid w:val="0"/>
                <w:szCs w:val="21"/>
              </w:rPr>
              <w:t>排水：本项目预湿用水、装袋用水均随产品带走，无生产废水产生；因锅炉产生的蒸汽作用仅为：对菌包进行高温消毒，锅炉用水无需软化，冷凝水经回收装置返回锅炉收集循环利用；每年生产运营期结束后蒸汽锅炉需定期排空水，排空水量约为3m</w:t>
            </w:r>
            <w:r>
              <w:rPr>
                <w:rFonts w:hint="eastAsia" w:ascii="宋体" w:hAnsi="宋体" w:cs="宋体"/>
                <w:snapToGrid w:val="0"/>
                <w:szCs w:val="21"/>
                <w:vertAlign w:val="superscript"/>
              </w:rPr>
              <w:t>3</w:t>
            </w:r>
            <w:r>
              <w:rPr>
                <w:rFonts w:hint="eastAsia" w:ascii="宋体" w:hAnsi="宋体" w:cs="宋体"/>
                <w:snapToGrid w:val="0"/>
                <w:szCs w:val="21"/>
              </w:rPr>
              <w:t>/a，废水暂存于厂区储水罐内，用于粉碎工序喷淋用水。</w:t>
            </w:r>
          </w:p>
          <w:p>
            <w:pPr>
              <w:spacing w:line="360" w:lineRule="auto"/>
              <w:ind w:firstLine="420" w:firstLineChars="200"/>
              <w:rPr>
                <w:rFonts w:ascii="宋体" w:hAnsi="宋体" w:cs="宋体"/>
                <w:szCs w:val="21"/>
              </w:rPr>
            </w:pPr>
            <w:r>
              <w:rPr>
                <w:rFonts w:hint="eastAsia" w:ascii="宋体" w:hAnsi="宋体" w:cs="宋体"/>
                <w:szCs w:val="21"/>
              </w:rPr>
              <w:t>生活污水按用水量80%计算，则本项目新增生活污水年排放量为80.68</w:t>
            </w:r>
            <w:r>
              <w:rPr>
                <w:rFonts w:hint="eastAsia" w:ascii="宋体" w:hAnsi="宋体" w:cs="宋体"/>
                <w:snapToGrid w:val="0"/>
                <w:szCs w:val="21"/>
              </w:rPr>
              <w:t>m</w:t>
            </w:r>
            <w:r>
              <w:rPr>
                <w:rFonts w:hint="eastAsia" w:ascii="宋体" w:hAnsi="宋体" w:cs="宋体"/>
                <w:snapToGrid w:val="0"/>
                <w:szCs w:val="21"/>
                <w:vertAlign w:val="superscript"/>
              </w:rPr>
              <w:t>3</w:t>
            </w:r>
            <w:r>
              <w:rPr>
                <w:rFonts w:hint="eastAsia" w:ascii="宋体" w:hAnsi="宋体" w:cs="宋体"/>
                <w:snapToGrid w:val="0"/>
                <w:szCs w:val="21"/>
              </w:rPr>
              <w:t>/a，生活污水排入厂区化粪池，定期由清污车运送至围场满族蒙古族自治县永溢环保科技有限责任公司克勒</w:t>
            </w:r>
            <w:r>
              <w:rPr>
                <w:rFonts w:hint="eastAsia" w:ascii="宋体" w:hAnsi="宋体" w:cs="宋体"/>
                <w:szCs w:val="21"/>
              </w:rPr>
              <w:t>沟污水处理厂处理，满足《污水综合排放标准》（GB8978-1996）表1、表4三级标准及围场满族蒙古族自治县永溢环保科技有限责任公司克勒沟污水处理厂收水要求。</w:t>
            </w:r>
          </w:p>
          <w:p>
            <w:pPr>
              <w:spacing w:line="360" w:lineRule="auto"/>
              <w:ind w:firstLine="420" w:firstLineChars="200"/>
              <w:rPr>
                <w:rFonts w:ascii="宋体" w:hAnsi="宋体" w:cs="宋体"/>
                <w:szCs w:val="21"/>
              </w:rPr>
            </w:pPr>
            <w:r>
              <w:rPr>
                <w:rFonts w:hint="eastAsia" w:ascii="宋体" w:hAnsi="宋体" w:cs="宋体"/>
                <w:szCs w:val="21"/>
              </w:rPr>
              <w:t>合计本项目扩建后年排水量为83.68m3/a。</w:t>
            </w:r>
          </w:p>
          <w:p>
            <w:pPr>
              <w:spacing w:line="360" w:lineRule="auto"/>
              <w:ind w:firstLine="420" w:firstLineChars="200"/>
              <w:rPr>
                <w:rFonts w:ascii="宋体" w:hAnsi="宋体" w:cs="宋体"/>
                <w:szCs w:val="21"/>
              </w:rPr>
            </w:pPr>
            <w:r>
              <w:rPr>
                <w:rFonts w:hint="eastAsia" w:ascii="宋体" w:hAnsi="宋体" w:cs="宋体"/>
                <w:szCs w:val="21"/>
              </w:rPr>
              <w:t>项目给排水平衡见图5。</w:t>
            </w:r>
          </w:p>
          <w:p>
            <w:pPr>
              <w:spacing w:line="360" w:lineRule="auto"/>
              <w:ind w:firstLine="420" w:firstLineChars="200"/>
              <w:rPr>
                <w:rFonts w:ascii="宋体" w:hAnsi="宋体" w:cs="宋体"/>
                <w:szCs w:val="21"/>
              </w:rPr>
            </w:pPr>
            <w:r>
              <w:rPr>
                <w:rFonts w:hint="eastAsia" w:ascii="宋体" w:hAnsi="宋体" w:cs="宋体"/>
                <w:szCs w:val="21"/>
              </w:rPr>
              <w:t>（2）供电：项目用电由市政电网供给，年用电量为43.92万kwh。</w:t>
            </w:r>
          </w:p>
          <w:p>
            <w:pPr>
              <w:spacing w:line="360" w:lineRule="auto"/>
              <w:ind w:firstLine="420" w:firstLineChars="200"/>
              <w:rPr>
                <w:rFonts w:ascii="宋体" w:hAnsi="宋体" w:cs="宋体"/>
                <w:szCs w:val="21"/>
              </w:rPr>
            </w:pPr>
            <w:r>
              <w:rPr>
                <w:rFonts w:hint="eastAsia" w:ascii="宋体" w:hAnsi="宋体" w:cs="宋体"/>
                <w:szCs w:val="21"/>
              </w:rPr>
              <w:t>（3）供热：生产车间冬季不取暖，办公及生活区采用空气能取暖。生产用热新增1台6t/h生物质锅炉用于菌包灭菌。生物质锅炉运行时间：4h/d（400h/a），1台6t/h生物质锅炉燃烧1小时需要消耗大概1080kg生物质颗粒，年工作时间为400h，因此本项目所需生物质颗粒大概为432t/a。</w:t>
            </w:r>
          </w:p>
          <w:p>
            <w:pPr>
              <w:adjustRightInd w:val="0"/>
              <w:snapToGrid w:val="0"/>
              <w:spacing w:line="360" w:lineRule="auto"/>
              <w:ind w:firstLine="420" w:firstLineChars="200"/>
              <w:rPr>
                <w:rFonts w:ascii="宋体" w:hAnsi="宋体" w:cs="宋体"/>
                <w:b/>
                <w:szCs w:val="21"/>
              </w:rPr>
            </w:pPr>
            <w:r>
              <w:rPr>
                <w:rFonts w:hint="eastAsia" w:ascii="宋体" w:hAnsi="宋体" w:cs="宋体"/>
                <w:szCs w:val="21"/>
              </w:rPr>
              <w:t xml:space="preserve">生物质颗粒燃料成分见表2-4。     </w:t>
            </w:r>
          </w:p>
          <w:p>
            <w:pPr>
              <w:adjustRightInd w:val="0"/>
              <w:snapToGrid w:val="0"/>
              <w:spacing w:line="360" w:lineRule="auto"/>
              <w:ind w:firstLine="422" w:firstLineChars="200"/>
              <w:jc w:val="center"/>
              <w:rPr>
                <w:rFonts w:ascii="宋体" w:hAnsi="宋体" w:cs="宋体"/>
                <w:b/>
                <w:szCs w:val="21"/>
              </w:rPr>
            </w:pPr>
            <w:r>
              <w:rPr>
                <w:rFonts w:hint="eastAsia" w:ascii="宋体" w:hAnsi="宋体" w:cs="宋体"/>
                <w:b/>
                <w:szCs w:val="21"/>
              </w:rPr>
              <w:t>表2-4  生物质成分一览表</w:t>
            </w:r>
          </w:p>
          <w:tbl>
            <w:tblPr>
              <w:tblStyle w:val="2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826"/>
              <w:gridCol w:w="870"/>
              <w:gridCol w:w="989"/>
              <w:gridCol w:w="1065"/>
              <w:gridCol w:w="750"/>
              <w:gridCol w:w="1200"/>
              <w:gridCol w:w="120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25" w:type="pct"/>
                  <w:vAlign w:val="center"/>
                </w:tcPr>
                <w:p>
                  <w:pPr>
                    <w:jc w:val="center"/>
                    <w:rPr>
                      <w:rFonts w:ascii="宋体" w:hAnsi="宋体" w:cs="宋体"/>
                      <w:b/>
                      <w:bCs/>
                      <w:sz w:val="18"/>
                      <w:szCs w:val="18"/>
                    </w:rPr>
                  </w:pPr>
                  <w:r>
                    <w:rPr>
                      <w:rFonts w:hint="eastAsia" w:ascii="宋体" w:hAnsi="宋体" w:cs="宋体"/>
                      <w:b/>
                      <w:bCs/>
                      <w:sz w:val="18"/>
                      <w:szCs w:val="18"/>
                    </w:rPr>
                    <w:t>成分</w:t>
                  </w:r>
                </w:p>
              </w:tc>
              <w:tc>
                <w:tcPr>
                  <w:tcW w:w="484" w:type="pct"/>
                  <w:vAlign w:val="center"/>
                </w:tcPr>
                <w:p>
                  <w:pPr>
                    <w:jc w:val="center"/>
                    <w:rPr>
                      <w:rFonts w:ascii="宋体" w:hAnsi="宋体" w:cs="宋体"/>
                      <w:sz w:val="18"/>
                      <w:szCs w:val="18"/>
                    </w:rPr>
                  </w:pPr>
                  <w:r>
                    <w:rPr>
                      <w:rFonts w:hint="eastAsia" w:ascii="宋体" w:hAnsi="宋体" w:cs="宋体"/>
                      <w:sz w:val="18"/>
                      <w:szCs w:val="18"/>
                    </w:rPr>
                    <w:t>全水分</w:t>
                  </w:r>
                </w:p>
                <w:p>
                  <w:pPr>
                    <w:jc w:val="center"/>
                    <w:rPr>
                      <w:rFonts w:ascii="宋体" w:hAnsi="宋体" w:cs="宋体"/>
                      <w:sz w:val="18"/>
                      <w:szCs w:val="18"/>
                    </w:rPr>
                  </w:pPr>
                  <w:r>
                    <w:rPr>
                      <w:rFonts w:hint="eastAsia" w:ascii="宋体" w:hAnsi="宋体" w:cs="宋体"/>
                      <w:sz w:val="18"/>
                      <w:szCs w:val="18"/>
                    </w:rPr>
                    <w:t>%</w:t>
                  </w:r>
                </w:p>
              </w:tc>
              <w:tc>
                <w:tcPr>
                  <w:tcW w:w="510" w:type="pct"/>
                  <w:vAlign w:val="center"/>
                </w:tcPr>
                <w:p>
                  <w:pPr>
                    <w:jc w:val="center"/>
                    <w:rPr>
                      <w:rFonts w:ascii="宋体" w:hAnsi="宋体" w:cs="宋体"/>
                      <w:sz w:val="18"/>
                      <w:szCs w:val="18"/>
                    </w:rPr>
                  </w:pPr>
                  <w:r>
                    <w:rPr>
                      <w:rFonts w:hint="eastAsia" w:ascii="宋体" w:hAnsi="宋体" w:cs="宋体"/>
                      <w:sz w:val="18"/>
                      <w:szCs w:val="18"/>
                    </w:rPr>
                    <w:t>干燥基灰分%</w:t>
                  </w:r>
                </w:p>
              </w:tc>
              <w:tc>
                <w:tcPr>
                  <w:tcW w:w="580" w:type="pct"/>
                  <w:vAlign w:val="center"/>
                </w:tcPr>
                <w:p>
                  <w:pPr>
                    <w:jc w:val="center"/>
                    <w:rPr>
                      <w:rFonts w:ascii="宋体" w:hAnsi="宋体" w:cs="宋体"/>
                      <w:sz w:val="18"/>
                      <w:szCs w:val="18"/>
                    </w:rPr>
                  </w:pPr>
                  <w:r>
                    <w:rPr>
                      <w:rFonts w:hint="eastAsia" w:ascii="宋体" w:hAnsi="宋体" w:cs="宋体"/>
                      <w:sz w:val="18"/>
                      <w:szCs w:val="18"/>
                    </w:rPr>
                    <w:t>空气干燥基挥发分%</w:t>
                  </w:r>
                </w:p>
              </w:tc>
              <w:tc>
                <w:tcPr>
                  <w:tcW w:w="625" w:type="pct"/>
                  <w:vAlign w:val="center"/>
                </w:tcPr>
                <w:p>
                  <w:pPr>
                    <w:jc w:val="center"/>
                    <w:rPr>
                      <w:rFonts w:ascii="宋体" w:hAnsi="宋体" w:cs="宋体"/>
                      <w:sz w:val="18"/>
                      <w:szCs w:val="18"/>
                    </w:rPr>
                  </w:pPr>
                  <w:r>
                    <w:rPr>
                      <w:rFonts w:hint="eastAsia" w:ascii="宋体" w:hAnsi="宋体" w:cs="宋体"/>
                      <w:sz w:val="18"/>
                      <w:szCs w:val="18"/>
                    </w:rPr>
                    <w:t>干燥无灰基挥发分%</w:t>
                  </w:r>
                </w:p>
              </w:tc>
              <w:tc>
                <w:tcPr>
                  <w:tcW w:w="440" w:type="pct"/>
                  <w:vAlign w:val="center"/>
                </w:tcPr>
                <w:p>
                  <w:pPr>
                    <w:jc w:val="center"/>
                    <w:rPr>
                      <w:rFonts w:ascii="宋体" w:hAnsi="宋体" w:cs="宋体"/>
                      <w:sz w:val="18"/>
                      <w:szCs w:val="18"/>
                    </w:rPr>
                  </w:pPr>
                  <w:r>
                    <w:rPr>
                      <w:rFonts w:hint="eastAsia" w:ascii="宋体" w:hAnsi="宋体" w:cs="宋体"/>
                      <w:sz w:val="18"/>
                      <w:szCs w:val="18"/>
                    </w:rPr>
                    <w:t>焦渣</w:t>
                  </w:r>
                </w:p>
                <w:p>
                  <w:pPr>
                    <w:jc w:val="center"/>
                    <w:rPr>
                      <w:rFonts w:ascii="宋体" w:hAnsi="宋体" w:cs="宋体"/>
                      <w:sz w:val="18"/>
                      <w:szCs w:val="18"/>
                    </w:rPr>
                  </w:pPr>
                  <w:r>
                    <w:rPr>
                      <w:rFonts w:hint="eastAsia" w:ascii="宋体" w:hAnsi="宋体" w:cs="宋体"/>
                      <w:sz w:val="18"/>
                      <w:szCs w:val="18"/>
                    </w:rPr>
                    <w:t>特性</w:t>
                  </w:r>
                </w:p>
              </w:tc>
              <w:tc>
                <w:tcPr>
                  <w:tcW w:w="704" w:type="pct"/>
                  <w:vAlign w:val="center"/>
                </w:tcPr>
                <w:p>
                  <w:pPr>
                    <w:jc w:val="center"/>
                    <w:rPr>
                      <w:rFonts w:ascii="宋体" w:hAnsi="宋体" w:cs="宋体"/>
                      <w:sz w:val="18"/>
                      <w:szCs w:val="18"/>
                    </w:rPr>
                  </w:pPr>
                  <w:r>
                    <w:rPr>
                      <w:rFonts w:hint="eastAsia" w:ascii="宋体" w:hAnsi="宋体" w:cs="宋体"/>
                      <w:sz w:val="18"/>
                      <w:szCs w:val="18"/>
                    </w:rPr>
                    <w:t>干基高位发热量Kcal</w:t>
                  </w:r>
                </w:p>
              </w:tc>
              <w:tc>
                <w:tcPr>
                  <w:tcW w:w="704" w:type="pct"/>
                  <w:vAlign w:val="center"/>
                </w:tcPr>
                <w:p>
                  <w:pPr>
                    <w:jc w:val="center"/>
                    <w:rPr>
                      <w:rFonts w:ascii="宋体" w:hAnsi="宋体" w:cs="宋体"/>
                      <w:sz w:val="18"/>
                      <w:szCs w:val="18"/>
                    </w:rPr>
                  </w:pPr>
                  <w:r>
                    <w:rPr>
                      <w:rFonts w:hint="eastAsia" w:ascii="宋体" w:hAnsi="宋体" w:cs="宋体"/>
                      <w:sz w:val="18"/>
                      <w:szCs w:val="18"/>
                    </w:rPr>
                    <w:t>干基</w:t>
                  </w:r>
                  <w:r>
                    <w:rPr>
                      <w:rFonts w:hint="eastAsia" w:ascii="宋体" w:hAnsi="宋体" w:cs="宋体"/>
                      <w:sz w:val="18"/>
                      <w:szCs w:val="18"/>
                      <w:highlight w:val="none"/>
                    </w:rPr>
                    <w:t>全</w:t>
                  </w:r>
                  <w:r>
                    <w:rPr>
                      <w:rFonts w:hint="eastAsia" w:ascii="宋体" w:hAnsi="宋体" w:cs="宋体"/>
                      <w:sz w:val="18"/>
                      <w:szCs w:val="18"/>
                      <w:highlight w:val="none"/>
                      <w:lang w:eastAsia="zh-CN"/>
                    </w:rPr>
                    <w:t>硫</w:t>
                  </w:r>
                  <w:r>
                    <w:rPr>
                      <w:rFonts w:hint="eastAsia" w:ascii="宋体" w:hAnsi="宋体" w:cs="宋体"/>
                      <w:sz w:val="18"/>
                      <w:szCs w:val="18"/>
                    </w:rPr>
                    <w:t>量%</w:t>
                  </w:r>
                </w:p>
              </w:tc>
              <w:tc>
                <w:tcPr>
                  <w:tcW w:w="625" w:type="pct"/>
                  <w:vAlign w:val="center"/>
                </w:tcPr>
                <w:p>
                  <w:pPr>
                    <w:jc w:val="center"/>
                    <w:rPr>
                      <w:rFonts w:ascii="宋体" w:hAnsi="宋体" w:cs="宋体"/>
                      <w:sz w:val="18"/>
                      <w:szCs w:val="18"/>
                    </w:rPr>
                  </w:pPr>
                  <w:r>
                    <w:rPr>
                      <w:rFonts w:hint="eastAsia" w:ascii="宋体" w:hAnsi="宋体" w:cs="宋体"/>
                      <w:sz w:val="18"/>
                      <w:szCs w:val="18"/>
                    </w:rPr>
                    <w:t>干基固定碳含量%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25" w:type="pct"/>
                  <w:vAlign w:val="center"/>
                </w:tcPr>
                <w:p>
                  <w:pPr>
                    <w:jc w:val="center"/>
                    <w:rPr>
                      <w:rFonts w:ascii="宋体" w:hAnsi="宋体" w:cs="宋体"/>
                      <w:b/>
                      <w:bCs/>
                      <w:sz w:val="18"/>
                      <w:szCs w:val="18"/>
                    </w:rPr>
                  </w:pPr>
                  <w:r>
                    <w:rPr>
                      <w:rFonts w:hint="eastAsia" w:ascii="宋体" w:hAnsi="宋体" w:cs="宋体"/>
                      <w:b/>
                      <w:bCs/>
                      <w:sz w:val="18"/>
                      <w:szCs w:val="18"/>
                    </w:rPr>
                    <w:t>参数</w:t>
                  </w:r>
                </w:p>
              </w:tc>
              <w:tc>
                <w:tcPr>
                  <w:tcW w:w="484" w:type="pct"/>
                  <w:vAlign w:val="center"/>
                </w:tcPr>
                <w:p>
                  <w:pPr>
                    <w:jc w:val="center"/>
                    <w:rPr>
                      <w:rFonts w:ascii="宋体" w:hAnsi="宋体" w:cs="宋体"/>
                      <w:sz w:val="18"/>
                      <w:szCs w:val="18"/>
                    </w:rPr>
                  </w:pPr>
                  <w:r>
                    <w:rPr>
                      <w:rFonts w:hint="eastAsia" w:ascii="宋体" w:hAnsi="宋体" w:cs="宋体"/>
                      <w:sz w:val="18"/>
                      <w:szCs w:val="18"/>
                    </w:rPr>
                    <w:t>6.52</w:t>
                  </w:r>
                </w:p>
              </w:tc>
              <w:tc>
                <w:tcPr>
                  <w:tcW w:w="510" w:type="pct"/>
                  <w:vAlign w:val="center"/>
                </w:tcPr>
                <w:p>
                  <w:pPr>
                    <w:jc w:val="center"/>
                    <w:rPr>
                      <w:rFonts w:ascii="宋体" w:hAnsi="宋体" w:cs="宋体"/>
                      <w:sz w:val="18"/>
                      <w:szCs w:val="18"/>
                    </w:rPr>
                  </w:pPr>
                  <w:r>
                    <w:rPr>
                      <w:rFonts w:hint="eastAsia" w:ascii="宋体" w:hAnsi="宋体" w:cs="宋体"/>
                      <w:sz w:val="18"/>
                      <w:szCs w:val="18"/>
                    </w:rPr>
                    <w:t>3.79</w:t>
                  </w:r>
                </w:p>
              </w:tc>
              <w:tc>
                <w:tcPr>
                  <w:tcW w:w="580" w:type="pct"/>
                  <w:vAlign w:val="center"/>
                </w:tcPr>
                <w:p>
                  <w:pPr>
                    <w:jc w:val="center"/>
                    <w:rPr>
                      <w:rFonts w:ascii="宋体" w:hAnsi="宋体" w:cs="宋体"/>
                      <w:sz w:val="18"/>
                      <w:szCs w:val="18"/>
                    </w:rPr>
                  </w:pPr>
                  <w:r>
                    <w:rPr>
                      <w:rFonts w:hint="eastAsia" w:ascii="宋体" w:hAnsi="宋体" w:cs="宋体"/>
                      <w:sz w:val="18"/>
                      <w:szCs w:val="18"/>
                    </w:rPr>
                    <w:t>78.61</w:t>
                  </w:r>
                </w:p>
              </w:tc>
              <w:tc>
                <w:tcPr>
                  <w:tcW w:w="625" w:type="pct"/>
                  <w:vAlign w:val="center"/>
                </w:tcPr>
                <w:p>
                  <w:pPr>
                    <w:jc w:val="center"/>
                    <w:rPr>
                      <w:rFonts w:ascii="宋体" w:hAnsi="宋体" w:cs="宋体"/>
                      <w:sz w:val="18"/>
                      <w:szCs w:val="18"/>
                    </w:rPr>
                  </w:pPr>
                  <w:r>
                    <w:rPr>
                      <w:rFonts w:hint="eastAsia" w:ascii="宋体" w:hAnsi="宋体" w:cs="宋体"/>
                      <w:sz w:val="18"/>
                      <w:szCs w:val="18"/>
                    </w:rPr>
                    <w:t>83.44</w:t>
                  </w:r>
                </w:p>
              </w:tc>
              <w:tc>
                <w:tcPr>
                  <w:tcW w:w="440" w:type="pct"/>
                  <w:vAlign w:val="center"/>
                </w:tcPr>
                <w:p>
                  <w:pPr>
                    <w:jc w:val="center"/>
                    <w:rPr>
                      <w:rFonts w:ascii="宋体" w:hAnsi="宋体" w:cs="宋体"/>
                      <w:sz w:val="18"/>
                      <w:szCs w:val="18"/>
                    </w:rPr>
                  </w:pPr>
                  <w:r>
                    <w:rPr>
                      <w:rFonts w:hint="eastAsia" w:ascii="宋体" w:hAnsi="宋体" w:cs="宋体"/>
                      <w:sz w:val="18"/>
                      <w:szCs w:val="18"/>
                    </w:rPr>
                    <w:t>2</w:t>
                  </w:r>
                </w:p>
              </w:tc>
              <w:tc>
                <w:tcPr>
                  <w:tcW w:w="704" w:type="pct"/>
                  <w:vAlign w:val="center"/>
                </w:tcPr>
                <w:p>
                  <w:pPr>
                    <w:jc w:val="center"/>
                    <w:rPr>
                      <w:rFonts w:ascii="宋体" w:hAnsi="宋体" w:cs="宋体"/>
                      <w:sz w:val="18"/>
                      <w:szCs w:val="18"/>
                    </w:rPr>
                  </w:pPr>
                  <w:r>
                    <w:rPr>
                      <w:rFonts w:hint="eastAsia" w:ascii="宋体" w:hAnsi="宋体" w:cs="宋体"/>
                      <w:sz w:val="18"/>
                      <w:szCs w:val="18"/>
                    </w:rPr>
                    <w:t>4423</w:t>
                  </w:r>
                </w:p>
              </w:tc>
              <w:tc>
                <w:tcPr>
                  <w:tcW w:w="704" w:type="pct"/>
                  <w:vAlign w:val="center"/>
                </w:tcPr>
                <w:p>
                  <w:pPr>
                    <w:jc w:val="center"/>
                    <w:rPr>
                      <w:rFonts w:ascii="宋体" w:hAnsi="宋体" w:cs="宋体"/>
                      <w:sz w:val="18"/>
                      <w:szCs w:val="18"/>
                    </w:rPr>
                  </w:pPr>
                  <w:r>
                    <w:rPr>
                      <w:rFonts w:hint="eastAsia" w:ascii="宋体" w:hAnsi="宋体" w:cs="宋体"/>
                      <w:sz w:val="18"/>
                      <w:szCs w:val="18"/>
                    </w:rPr>
                    <w:t>0.02</w:t>
                  </w:r>
                </w:p>
              </w:tc>
              <w:tc>
                <w:tcPr>
                  <w:tcW w:w="625" w:type="pct"/>
                  <w:vAlign w:val="center"/>
                </w:tcPr>
                <w:p>
                  <w:pPr>
                    <w:jc w:val="center"/>
                    <w:rPr>
                      <w:rFonts w:ascii="宋体" w:hAnsi="宋体" w:cs="宋体"/>
                      <w:sz w:val="18"/>
                      <w:szCs w:val="18"/>
                    </w:rPr>
                  </w:pPr>
                  <w:r>
                    <w:rPr>
                      <w:rFonts w:hint="eastAsia" w:ascii="宋体" w:hAnsi="宋体" w:cs="宋体"/>
                      <w:sz w:val="18"/>
                      <w:szCs w:val="18"/>
                    </w:rPr>
                    <w:t>15.6</w:t>
                  </w:r>
                </w:p>
              </w:tc>
            </w:tr>
          </w:tbl>
          <w:p>
            <w:pPr>
              <w:pStyle w:val="41"/>
              <w:spacing w:line="360" w:lineRule="auto"/>
              <w:jc w:val="both"/>
              <w:rPr>
                <w:color w:val="auto"/>
                <w:sz w:val="21"/>
                <w:szCs w:val="21"/>
                <w:highlight w:val="red"/>
              </w:rPr>
            </w:pPr>
          </w:p>
          <w:p>
            <w:pPr>
              <w:pStyle w:val="41"/>
              <w:spacing w:line="360" w:lineRule="auto"/>
              <w:jc w:val="both"/>
              <w:rPr>
                <w:color w:val="auto"/>
                <w:sz w:val="21"/>
                <w:szCs w:val="21"/>
              </w:rPr>
            </w:pPr>
            <w:r>
              <w:rPr>
                <w:color w:val="auto"/>
                <w:sz w:val="21"/>
              </w:rPr>
              <mc:AlternateContent>
                <mc:Choice Requires="wps">
                  <w:drawing>
                    <wp:anchor distT="0" distB="0" distL="114300" distR="114300" simplePos="0" relativeHeight="251678720" behindDoc="0" locked="0" layoutInCell="1" allowOverlap="1">
                      <wp:simplePos x="0" y="0"/>
                      <wp:positionH relativeFrom="column">
                        <wp:posOffset>1395730</wp:posOffset>
                      </wp:positionH>
                      <wp:positionV relativeFrom="paragraph">
                        <wp:posOffset>1922145</wp:posOffset>
                      </wp:positionV>
                      <wp:extent cx="0" cy="550545"/>
                      <wp:effectExtent l="48895" t="0" r="65405" b="1905"/>
                      <wp:wrapNone/>
                      <wp:docPr id="130" name="直接箭头连接符 130"/>
                      <wp:cNvGraphicFramePr/>
                      <a:graphic xmlns:a="http://schemas.openxmlformats.org/drawingml/2006/main">
                        <a:graphicData uri="http://schemas.microsoft.com/office/word/2010/wordprocessingShape">
                          <wps:wsp>
                            <wps:cNvCnPr/>
                            <wps:spPr>
                              <a:xfrm flipV="1">
                                <a:off x="2646680" y="7087235"/>
                                <a:ext cx="0" cy="550545"/>
                              </a:xfrm>
                              <a:prstGeom prst="straightConnector1">
                                <a:avLst/>
                              </a:prstGeom>
                              <a:ln w="3175">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09.9pt;margin-top:151.35pt;height:43.35pt;width:0pt;z-index:251678720;mso-width-relative:page;mso-height-relative:page;" filled="f" stroked="t" coordsize="21600,21600" o:gfxdata="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cPR11AAAAAsBAAAPAAAAAAAAAAEAIAAA&#10;ACIAAABkcnMvZG93bnJldi54bWxQSwECFAAUAAAACACHTuJAmE3WARACAADgAwAADgAAAAAAAAAB&#10;ACAAAAAjAQAAZHJzL2Uyb0RvYy54bWxQSwUGAAAAAAYABgBZAQAApQUAAAAA&#10;">
                      <v:fill on="f" focussize="0,0"/>
                      <v:stroke weight="0.25pt" color="#4F81BD [3204]" joinstyle="round" endarrow="open"/>
                      <v:imagedata o:title=""/>
                      <o:lock v:ext="edit" aspectratio="f"/>
                    </v:shape>
                  </w:pict>
                </mc:Fallback>
              </mc:AlternateContent>
            </w:r>
            <w:r>
              <w:rPr>
                <w:color w:val="auto"/>
                <w:sz w:val="21"/>
              </w:rPr>
              <mc:AlternateContent>
                <mc:Choice Requires="wps">
                  <w:drawing>
                    <wp:anchor distT="0" distB="0" distL="114300" distR="114300" simplePos="0" relativeHeight="251677696" behindDoc="0" locked="0" layoutInCell="1" allowOverlap="1">
                      <wp:simplePos x="0" y="0"/>
                      <wp:positionH relativeFrom="column">
                        <wp:posOffset>1363980</wp:posOffset>
                      </wp:positionH>
                      <wp:positionV relativeFrom="paragraph">
                        <wp:posOffset>2461895</wp:posOffset>
                      </wp:positionV>
                      <wp:extent cx="560705" cy="10795"/>
                      <wp:effectExtent l="0" t="4445" r="10795" b="13335"/>
                      <wp:wrapNone/>
                      <wp:docPr id="129" name="直接连接符 129"/>
                      <wp:cNvGraphicFramePr/>
                      <a:graphic xmlns:a="http://schemas.openxmlformats.org/drawingml/2006/main">
                        <a:graphicData uri="http://schemas.microsoft.com/office/word/2010/wordprocessingShape">
                          <wps:wsp>
                            <wps:cNvCnPr/>
                            <wps:spPr>
                              <a:xfrm flipH="1">
                                <a:off x="2614930" y="7626985"/>
                                <a:ext cx="560705" cy="10795"/>
                              </a:xfrm>
                              <a:prstGeom prst="line">
                                <a:avLst/>
                              </a:prstGeom>
                              <a:ln w="6350"/>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07.4pt;margin-top:193.85pt;height:0.85pt;width:44.15pt;z-index:251677696;mso-width-relative:page;mso-height-relative:page;" filled="f" stroked="t" coordsize="21600,21600" o:gfxdata="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PfOLU2gAAAAsBAAAPAAAAAAAAAAEAIAAAACIAAABkcnMvZG93bnJldi54&#10;bWxQSwECFAAUAAAACACHTuJA106o+PgBAAC3AwAADgAAAAAAAAABACAAAAApAQAAZHJzL2Uyb0Rv&#10;Yy54bWxQSwUGAAAAAAYABgBZAQAAkwUAAAAA&#10;">
                      <v:fill on="f" focussize="0,0"/>
                      <v:stroke weight="0.5pt" color="#4F81BD [3204]" joinstyle="round"/>
                      <v:imagedata o:title=""/>
                      <o:lock v:ext="edit" aspectratio="f"/>
                    </v:line>
                  </w:pict>
                </mc:Fallback>
              </mc:AlternateContent>
            </w: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1022985</wp:posOffset>
                      </wp:positionH>
                      <wp:positionV relativeFrom="paragraph">
                        <wp:posOffset>745490</wp:posOffset>
                      </wp:positionV>
                      <wp:extent cx="668655" cy="0"/>
                      <wp:effectExtent l="0" t="48895" r="1905" b="57785"/>
                      <wp:wrapNone/>
                      <wp:docPr id="86" name="直接箭头连接符 86"/>
                      <wp:cNvGraphicFramePr/>
                      <a:graphic xmlns:a="http://schemas.openxmlformats.org/drawingml/2006/main">
                        <a:graphicData uri="http://schemas.microsoft.com/office/word/2010/wordprocessingShape">
                          <wps:wsp>
                            <wps:cNvCnPr/>
                            <wps:spPr>
                              <a:xfrm>
                                <a:off x="2226945" y="4934585"/>
                                <a:ext cx="6686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0.55pt;margin-top:58.7pt;height:0pt;width:52.65pt;z-index:251666432;mso-width-relative:page;mso-height-relative:page;" filled="f" stroked="t" coordsize="21600,21600" o:gfxdata="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7DYZdcAAAALAQAADwAAAAAAAAABACAAAAAiAAAAZHJzL2Rvd25yZXYueG1sUEsBAhQAFAAAAAgA&#10;h07iQBWlV64mAgAADQQAAA4AAAAAAAAAAQAgAAAAJgEAAGRycy9lMm9Eb2MueG1sUEsFBgAAAAAG&#10;AAYAWQEAAL4FAAAAAA==&#10;">
                      <v:fill on="f" focussize="0,0"/>
                      <v:stroke color="#4A7EBB [3204]" joinstyle="round" endarrow="open"/>
                      <v:imagedata o:title=""/>
                      <o:lock v:ext="edit" aspectratio="f"/>
                    </v:shape>
                  </w:pict>
                </mc:Fallback>
              </mc:AlternateContent>
            </w: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2481580</wp:posOffset>
                      </wp:positionH>
                      <wp:positionV relativeFrom="paragraph">
                        <wp:posOffset>688975</wp:posOffset>
                      </wp:positionV>
                      <wp:extent cx="557530" cy="0"/>
                      <wp:effectExtent l="0" t="0" r="0" b="0"/>
                      <wp:wrapNone/>
                      <wp:docPr id="95" name="直接连接符 95"/>
                      <wp:cNvGraphicFramePr/>
                      <a:graphic xmlns:a="http://schemas.openxmlformats.org/drawingml/2006/main">
                        <a:graphicData uri="http://schemas.microsoft.com/office/word/2010/wordprocessingShape">
                          <wps:wsp>
                            <wps:cNvCnPr/>
                            <wps:spPr>
                              <a:xfrm>
                                <a:off x="3695065" y="4914900"/>
                                <a:ext cx="5575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5.4pt;margin-top:54.25pt;height:0pt;width:43.9pt;z-index:251667456;mso-width-relative:page;mso-height-relative:page;" filled="f" stroked="t" coordsize="21600,21600" o:gfxdata="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WFaz2QAAAAsBAAAPAAAAAAAAAAEAIAAAACIAAABkcnMv&#10;ZG93bnJldi54bWxQSwECFAAUAAAACACHTuJAZf9P9AICAADgAwAADgAAAAAAAAABACAAAAAoAQAA&#10;ZHJzL2Uyb0RvYy54bWxQSwUGAAAAAAYABgBZAQAAnAUAAAAA&#10;">
                      <v:fill on="f" focussize="0,0"/>
                      <v:stroke color="#4A7EBB [3204]" joinstyle="round"/>
                      <v:imagedata o:title=""/>
                      <o:lock v:ext="edit" aspectratio="f"/>
                    </v:line>
                  </w:pict>
                </mc:Fallback>
              </mc:AlternateContent>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255905</wp:posOffset>
                      </wp:positionH>
                      <wp:positionV relativeFrom="paragraph">
                        <wp:posOffset>1868170</wp:posOffset>
                      </wp:positionV>
                      <wp:extent cx="762000" cy="0"/>
                      <wp:effectExtent l="0" t="48895" r="0" b="57785"/>
                      <wp:wrapNone/>
                      <wp:docPr id="84" name="直接箭头连接符 84"/>
                      <wp:cNvGraphicFramePr/>
                      <a:graphic xmlns:a="http://schemas.openxmlformats.org/drawingml/2006/main">
                        <a:graphicData uri="http://schemas.microsoft.com/office/word/2010/wordprocessingShape">
                          <wps:wsp>
                            <wps:cNvCnPr/>
                            <wps:spPr>
                              <a:xfrm>
                                <a:off x="1469390" y="6094095"/>
                                <a:ext cx="762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5pt;margin-top:147.1pt;height:0pt;width:60pt;z-index:251665408;mso-width-relative:page;mso-height-relative:page;" filled="f" stroked="t" coordsize="21600,21600" o:gfxdata="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D&#10;z3el1wAAAAoBAAAPAAAAAAAAAAEAIAAAACIAAABkcnMvZG93bnJldi54bWxQSwECFAAUAAAACACH&#10;TuJA3Ia0jyUCAAANBAAADgAAAAAAAAABACAAAAAmAQAAZHJzL2Uyb0RvYy54bWxQSwUGAAAAAAYA&#10;BgBZAQAAvQUAAAAA&#10;">
                      <v:fill on="f" focussize="0,0"/>
                      <v:stroke color="#4A7EBB [3204]" joinstyle="round" endarrow="open"/>
                      <v:imagedata o:title=""/>
                      <o:lock v:ext="edit" aspectratio="f"/>
                    </v:shape>
                  </w:pict>
                </mc:Fallback>
              </mc:AlternateContent>
            </w:r>
            <w:r>
              <w:rPr>
                <w:color w:val="auto"/>
                <w:sz w:val="21"/>
              </w:rPr>
              <mc:AlternateContent>
                <mc:Choice Requires="wpc">
                  <w:drawing>
                    <wp:inline distT="0" distB="0" distL="114300" distR="114300">
                      <wp:extent cx="4805045" cy="3881755"/>
                      <wp:effectExtent l="0" t="0" r="0" b="0"/>
                      <wp:docPr id="81" name="画布 81"/>
                      <wp:cNvGraphicFramePr/>
                      <a:graphic xmlns:a="http://schemas.openxmlformats.org/drawingml/2006/main">
                        <a:graphicData uri="http://schemas.microsoft.com/office/word/2010/wordprocessingCanvas">
                          <wpc:wpc>
                            <wpc:bg/>
                            <wpc:whole/>
                            <wps:wsp>
                              <wps:cNvPr id="82" name="直接连接符 82"/>
                              <wps:cNvCnPr/>
                              <wps:spPr>
                                <a:xfrm>
                                  <a:off x="1017905" y="731520"/>
                                  <a:ext cx="6985" cy="29159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3" name="文本框 83"/>
                              <wps:cNvSpPr txBox="1"/>
                              <wps:spPr>
                                <a:xfrm>
                                  <a:off x="210185" y="1956435"/>
                                  <a:ext cx="64071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85"/>
                              <wps:cNvSpPr txBox="1"/>
                              <wps:spPr>
                                <a:xfrm>
                                  <a:off x="254000" y="1462405"/>
                                  <a:ext cx="64071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8011.36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88"/>
                              <wps:cNvSpPr txBox="1"/>
                              <wps:spPr>
                                <a:xfrm>
                                  <a:off x="1682115" y="529590"/>
                                  <a:ext cx="80010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预湿用水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89"/>
                              <wps:cNvSpPr txBox="1"/>
                              <wps:spPr>
                                <a:xfrm>
                                  <a:off x="3720465" y="904240"/>
                                  <a:ext cx="80010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产品带走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90"/>
                              <wps:cNvSpPr txBox="1"/>
                              <wps:spPr>
                                <a:xfrm>
                                  <a:off x="1697990" y="1233805"/>
                                  <a:ext cx="80010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装袋用水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直接箭头连接符 91"/>
                              <wps:cNvCnPr/>
                              <wps:spPr>
                                <a:xfrm>
                                  <a:off x="3051175" y="1053465"/>
                                  <a:ext cx="6686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2" name="直接箭头连接符 92"/>
                              <wps:cNvCnPr/>
                              <wps:spPr>
                                <a:xfrm>
                                  <a:off x="1028700" y="1381760"/>
                                  <a:ext cx="6686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3" name="文本框 93"/>
                              <wps:cNvSpPr txBox="1"/>
                              <wps:spPr>
                                <a:xfrm>
                                  <a:off x="1034415" y="365760"/>
                                  <a:ext cx="64071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2500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94"/>
                              <wps:cNvSpPr txBox="1"/>
                              <wps:spPr>
                                <a:xfrm>
                                  <a:off x="1047750" y="1028700"/>
                                  <a:ext cx="64071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3000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直接连接符 96"/>
                              <wps:cNvCnPr/>
                              <wps:spPr>
                                <a:xfrm>
                                  <a:off x="2493645" y="1397000"/>
                                  <a:ext cx="55753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7" name="直接连接符 97"/>
                              <wps:cNvCnPr/>
                              <wps:spPr>
                                <a:xfrm>
                                  <a:off x="3036570" y="692785"/>
                                  <a:ext cx="2540" cy="7105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8" name="文本框 98"/>
                              <wps:cNvSpPr txBox="1"/>
                              <wps:spPr>
                                <a:xfrm>
                                  <a:off x="3097530" y="681355"/>
                                  <a:ext cx="58483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5500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直接箭头连接符 101"/>
                              <wps:cNvCnPr/>
                              <wps:spPr>
                                <a:xfrm>
                                  <a:off x="2658110" y="1693545"/>
                                  <a:ext cx="668655" cy="0"/>
                                </a:xfrm>
                                <a:prstGeom prst="straightConnector1">
                                  <a:avLst/>
                                </a:prstGeom>
                                <a:ln w="28575" cmpd="sng">
                                  <a:solidFill>
                                    <a:schemeClr val="accent1">
                                      <a:shade val="50000"/>
                                    </a:schemeClr>
                                  </a:solidFill>
                                  <a:prstDash val="sysDot"/>
                                  <a:tailEnd type="arrow" w="med" len="med"/>
                                </a:ln>
                              </wps:spPr>
                              <wps:style>
                                <a:lnRef idx="1">
                                  <a:schemeClr val="accent5"/>
                                </a:lnRef>
                                <a:fillRef idx="0">
                                  <a:schemeClr val="accent5"/>
                                </a:fillRef>
                                <a:effectRef idx="0">
                                  <a:schemeClr val="accent5"/>
                                </a:effectRef>
                                <a:fontRef idx="minor">
                                  <a:schemeClr val="tx1"/>
                                </a:fontRef>
                              </wps:style>
                              <wps:bodyPr/>
                            </wps:wsp>
                            <wps:wsp>
                              <wps:cNvPr id="102" name="文本框 102"/>
                              <wps:cNvSpPr txBox="1"/>
                              <wps:spPr>
                                <a:xfrm>
                                  <a:off x="2409825" y="2704465"/>
                                  <a:ext cx="662940" cy="3155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20.68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文本框 103"/>
                              <wps:cNvSpPr txBox="1"/>
                              <wps:spPr>
                                <a:xfrm>
                                  <a:off x="3343910" y="1489710"/>
                                  <a:ext cx="800100" cy="31559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蒸汽带走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104"/>
                              <wps:cNvSpPr txBox="1"/>
                              <wps:spPr>
                                <a:xfrm>
                                  <a:off x="1808480" y="1704340"/>
                                  <a:ext cx="80010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锅炉用水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107"/>
                              <wps:cNvSpPr txBox="1"/>
                              <wps:spPr>
                                <a:xfrm>
                                  <a:off x="1069340" y="1650365"/>
                                  <a:ext cx="48069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2400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直接箭头连接符 108"/>
                              <wps:cNvCnPr/>
                              <wps:spPr>
                                <a:xfrm>
                                  <a:off x="1036320" y="3220085"/>
                                  <a:ext cx="6686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4" name="文本框 134"/>
                              <wps:cNvSpPr txBox="1"/>
                              <wps:spPr>
                                <a:xfrm>
                                  <a:off x="1731645" y="3054350"/>
                                  <a:ext cx="80010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文本框 135"/>
                              <wps:cNvSpPr txBox="1"/>
                              <wps:spPr>
                                <a:xfrm>
                                  <a:off x="1040130" y="2878455"/>
                                  <a:ext cx="58356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101.36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曲线连接符 136"/>
                              <wps:cNvCnPr>
                                <a:stCxn id="134" idx="0"/>
                              </wps:cNvCnPr>
                              <wps:spPr>
                                <a:xfrm rot="16200000">
                                  <a:off x="2152650" y="2809240"/>
                                  <a:ext cx="223520" cy="266065"/>
                                </a:xfrm>
                                <a:prstGeom prst="curved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7" name="直接箭头连接符 137"/>
                              <wps:cNvCnPr/>
                              <wps:spPr>
                                <a:xfrm>
                                  <a:off x="2540000" y="3225165"/>
                                  <a:ext cx="842645" cy="38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8" name="文本框 138"/>
                              <wps:cNvSpPr txBox="1"/>
                              <wps:spPr>
                                <a:xfrm>
                                  <a:off x="3406140" y="3033395"/>
                                  <a:ext cx="64516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文本框 139"/>
                              <wps:cNvSpPr txBox="1"/>
                              <wps:spPr>
                                <a:xfrm>
                                  <a:off x="2566670" y="2967990"/>
                                  <a:ext cx="680085" cy="241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80.68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直接箭头连接符 142"/>
                              <wps:cNvCnPr/>
                              <wps:spPr>
                                <a:xfrm flipV="1">
                                  <a:off x="1045845" y="1868170"/>
                                  <a:ext cx="758190" cy="5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7" name="文本框 147"/>
                              <wps:cNvSpPr txBox="1"/>
                              <wps:spPr>
                                <a:xfrm>
                                  <a:off x="2661920" y="1442720"/>
                                  <a:ext cx="480695" cy="306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2349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直接箭头连接符 35"/>
                              <wps:cNvCnPr/>
                              <wps:spPr>
                                <a:xfrm>
                                  <a:off x="1031240" y="3641090"/>
                                  <a:ext cx="6686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 name="文本框 36"/>
                              <wps:cNvSpPr txBox="1"/>
                              <wps:spPr>
                                <a:xfrm>
                                  <a:off x="1145540" y="3318510"/>
                                  <a:ext cx="467995" cy="2432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37"/>
                              <wps:cNvSpPr txBox="1"/>
                              <wps:spPr>
                                <a:xfrm>
                                  <a:off x="1802130" y="3452495"/>
                                  <a:ext cx="102044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粉碎喷淋用水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直接箭头连接符 123"/>
                              <wps:cNvCnPr/>
                              <wps:spPr>
                                <a:xfrm>
                                  <a:off x="2667000" y="2011045"/>
                                  <a:ext cx="668655" cy="0"/>
                                </a:xfrm>
                                <a:prstGeom prst="straightConnector1">
                                  <a:avLst/>
                                </a:prstGeom>
                                <a:ln w="28575" cmpd="sng">
                                  <a:solidFill>
                                    <a:schemeClr val="accent1">
                                      <a:shade val="50000"/>
                                    </a:schemeClr>
                                  </a:solidFill>
                                  <a:prstDash val="sysDot"/>
                                  <a:tailEnd type="arrow" w="med" len="med"/>
                                </a:ln>
                              </wps:spPr>
                              <wps:style>
                                <a:lnRef idx="1">
                                  <a:schemeClr val="accent5"/>
                                </a:lnRef>
                                <a:fillRef idx="0">
                                  <a:schemeClr val="accent5"/>
                                </a:fillRef>
                                <a:effectRef idx="0">
                                  <a:schemeClr val="accent5"/>
                                </a:effectRef>
                                <a:fontRef idx="minor">
                                  <a:schemeClr val="tx1"/>
                                </a:fontRef>
                              </wps:style>
                              <wps:bodyPr/>
                            </wps:wsp>
                            <wps:wsp>
                              <wps:cNvPr id="124" name="文本框 124"/>
                              <wps:cNvSpPr txBox="1"/>
                              <wps:spPr>
                                <a:xfrm>
                                  <a:off x="2719705" y="1746250"/>
                                  <a:ext cx="480695" cy="306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 name="文本框 125"/>
                              <wps:cNvSpPr txBox="1"/>
                              <wps:spPr>
                                <a:xfrm>
                                  <a:off x="3322955" y="1873250"/>
                                  <a:ext cx="800100" cy="3155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排空水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 name="文本框 126"/>
                              <wps:cNvSpPr txBox="1"/>
                              <wps:spPr>
                                <a:xfrm>
                                  <a:off x="1913890" y="2318385"/>
                                  <a:ext cx="60960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冷凝水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直接箭头连接符 127"/>
                              <wps:cNvCnPr>
                                <a:stCxn id="104" idx="2"/>
                                <a:endCxn id="126" idx="0"/>
                              </wps:cNvCnPr>
                              <wps:spPr>
                                <a:xfrm>
                                  <a:off x="2208530" y="2019935"/>
                                  <a:ext cx="10160" cy="298450"/>
                                </a:xfrm>
                                <a:prstGeom prst="straightConnector1">
                                  <a:avLst/>
                                </a:prstGeom>
                                <a:ln w="28575" cmpd="sng">
                                  <a:solidFill>
                                    <a:schemeClr val="accent1">
                                      <a:shade val="50000"/>
                                    </a:schemeClr>
                                  </a:solidFill>
                                  <a:prstDash val="sysDot"/>
                                  <a:tailEnd type="arrow" w="med" len="med"/>
                                </a:ln>
                              </wps:spPr>
                              <wps:style>
                                <a:lnRef idx="1">
                                  <a:schemeClr val="accent5"/>
                                </a:lnRef>
                                <a:fillRef idx="0">
                                  <a:schemeClr val="accent5"/>
                                </a:fillRef>
                                <a:effectRef idx="0">
                                  <a:schemeClr val="accent5"/>
                                </a:effectRef>
                                <a:fontRef idx="minor">
                                  <a:schemeClr val="tx1"/>
                                </a:fontRef>
                              </wps:style>
                              <wps:bodyPr/>
                            </wps:wsp>
                            <wps:wsp>
                              <wps:cNvPr id="131" name="文本框 131"/>
                              <wps:cNvSpPr txBox="1"/>
                              <wps:spPr>
                                <a:xfrm>
                                  <a:off x="1407795" y="2095500"/>
                                  <a:ext cx="473075" cy="3155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回用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直接连接符 59"/>
                              <wps:cNvCnPr/>
                              <wps:spPr>
                                <a:xfrm flipV="1">
                                  <a:off x="3770630" y="2005965"/>
                                  <a:ext cx="925830" cy="25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直接连接符 60"/>
                              <wps:cNvCnPr/>
                              <wps:spPr>
                                <a:xfrm>
                                  <a:off x="4704080" y="2008505"/>
                                  <a:ext cx="1905" cy="16262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直接箭头连接符 62"/>
                              <wps:cNvCnPr/>
                              <wps:spPr>
                                <a:xfrm flipH="1">
                                  <a:off x="2845435" y="3623945"/>
                                  <a:ext cx="1866900"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204" name="文本框 204"/>
                              <wps:cNvSpPr txBox="1"/>
                              <wps:spPr>
                                <a:xfrm>
                                  <a:off x="2230755" y="2022475"/>
                                  <a:ext cx="37719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05.65pt;width:378.35pt;" coordsize="4805045,3881755" editas="canvas" o:gfxdata="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">
                      <o:lock v:ext="edit" aspectratio="f"/>
                      <v:shape id="_x0000_s1026" o:spid="_x0000_s1026" style="position:absolute;left:0;top:0;height:3881755;width:4805045;" filled="f" stroked="f" coordsize="21600,21600" o:gfxdata="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">
                        <v:fill on="f" focussize="0,0"/>
                        <v:stroke on="f"/>
                        <v:imagedata o:title=""/>
                        <o:lock v:ext="edit" aspectratio="f"/>
                      </v:shape>
                      <v:line id="_x0000_s1026" o:spid="_x0000_s1026" o:spt="20" style="position:absolute;left:1017905;top:731520;height:2915920;width:6985;" filled="f" stroked="t" coordsize="21600,21600" o:gfxdata="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iXl1wAAAAUBAAAPAAAAAAAAAAEAIAAAACIAAABkcnMv&#10;ZG93bnJldi54bWxQSwECFAAUAAAACACHTuJAfbRZ2AQCAADjAwAADgAAAAAAAAABACAAAAAmAQAA&#10;ZHJzL2Uyb0RvYy54bWxQSwUGAAAAAAYABgBZAQAAnAUAAAAA&#10;">
                        <v:fill on="f" focussize="0,0"/>
                        <v:stroke color="#4A7EBB [3204]" joinstyle="round"/>
                        <v:imagedata o:title=""/>
                        <o:lock v:ext="edit" aspectratio="f"/>
                      </v:line>
                      <v:shape id="_x0000_s1026" o:spid="_x0000_s1026" o:spt="202" type="#_x0000_t202" style="position:absolute;left:210185;top:1956435;height:306705;width:640715;" fillcolor="#FFFFFF [3201]" filled="t" stroked="f" coordsize="21600,21600" o:gfxdata="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fwkwnRAAAA&#10;BQEAAA8AAAAAAAAAAQAgAAAAIgAAAGRycy9kb3ducmV2LnhtbFBLAQIUABQAAAAIAIdO4kC0zztZ&#10;XQIAAJsEAAAOAAAAAAAAAAEAIAAAACABAABkcnMvZTJvRG9jLnhtbFBLBQYAAAAABgAGAFkBAADv&#10;BQAAAAA=&#10;">
                        <v:fill on="t" focussize="0,0"/>
                        <v:stroke on="f" weight="0.5pt"/>
                        <v:imagedata o:title=""/>
                        <o:lock v:ext="edit" aspectratio="f"/>
                        <v:textbox>
                          <w:txbxContent>
                            <w:p>
                              <w:r>
                                <w:rPr>
                                  <w:rFonts w:hint="eastAsia"/>
                                </w:rPr>
                                <w:t>新鲜水</w:t>
                              </w:r>
                            </w:p>
                          </w:txbxContent>
                        </v:textbox>
                      </v:shape>
                      <v:shape id="_x0000_s1026" o:spid="_x0000_s1026" o:spt="202" type="#_x0000_t202" style="position:absolute;left:254000;top:1462405;height:306705;width:640715;" fillcolor="#FFFFFF [3201]" filled="t" stroked="f" coordsize="21600,21600" o:gfxdata="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38JMJ0QAAAAUB&#10;AAAPAAAAAAAAAAEAIAAAACIAAABkcnMvZG93bnJldi54bWxQSwECFAAUAAAACACHTuJAXFEcIVsC&#10;AACbBAAADgAAAAAAAAABACAAAAAgAQAAZHJzL2Uyb0RvYy54bWxQSwUGAAAAAAYABgBZAQAA7QUA&#10;AAAA&#10;">
                        <v:fill on="t" focussize="0,0"/>
                        <v:stroke on="f" weight="0.5pt"/>
                        <v:imagedata o:title=""/>
                        <o:lock v:ext="edit" aspectratio="f"/>
                        <v:textbox>
                          <w:txbxContent>
                            <w:p>
                              <w:r>
                                <w:rPr>
                                  <w:rFonts w:hint="eastAsia"/>
                                </w:rPr>
                                <w:t>8011.36</w:t>
                              </w:r>
                            </w:p>
                          </w:txbxContent>
                        </v:textbox>
                      </v:shape>
                      <v:shape id="_x0000_s1026" o:spid="_x0000_s1026" o:spt="202" type="#_x0000_t202" style="position:absolute;left:1682115;top:529590;height:315595;width:800100;" fillcolor="#FFFFFF [3201]" filled="t" stroked="t" coordsize="21600,21600" o:gfxdata="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N&#10;0Nna1AAAAAUBAAAPAAAAAAAAAAEAIAAAACIAAABkcnMvZG93bnJldi54bWxQSwECFAAUAAAACACH&#10;TuJAsCaY5mECAADDBAAADgAAAAAAAAABACAAAAAjAQAAZHJzL2Uyb0RvYy54bWxQSwUGAAAAAAYA&#10;BgBZAQAA9gUAAAAA&#10;">
                        <v:fill on="t" focussize="0,0"/>
                        <v:stroke weight="0.5pt" color="#000000 [3204]" joinstyle="round"/>
                        <v:imagedata o:title=""/>
                        <o:lock v:ext="edit" aspectratio="f"/>
                        <v:textbox>
                          <w:txbxContent>
                            <w:p>
                              <w:r>
                                <w:rPr>
                                  <w:rFonts w:hint="eastAsia"/>
                                </w:rPr>
                                <w:t>预湿用水</w:t>
                              </w:r>
                            </w:p>
                          </w:txbxContent>
                        </v:textbox>
                      </v:shape>
                      <v:shape id="_x0000_s1026" o:spid="_x0000_s1026" o:spt="202" type="#_x0000_t202" style="position:absolute;left:3720465;top:904240;height:315595;width:800100;" fillcolor="#FFFFFF [3201]" filled="t" stroked="t" coordsize="21600,21600" o:gfxdata="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N0Nna1AAAAAUBAAAPAAAAAAAAAAEAIAAAACIAAABkcnMvZG93bnJldi54bWxQSwECFAAUAAAA&#10;CACHTuJA4SU2amQCAADDBAAADgAAAAAAAAABACAAAAAjAQAAZHJzL2Uyb0RvYy54bWxQSwUGAAAA&#10;AAYABgBZAQAA+QUAAAAA&#10;">
                        <v:fill on="t" focussize="0,0"/>
                        <v:stroke weight="0.5pt" color="#000000 [3204]" joinstyle="round"/>
                        <v:imagedata o:title=""/>
                        <o:lock v:ext="edit" aspectratio="f"/>
                        <v:textbox>
                          <w:txbxContent>
                            <w:p>
                              <w:r>
                                <w:rPr>
                                  <w:rFonts w:hint="eastAsia"/>
                                </w:rPr>
                                <w:t>产品带走</w:t>
                              </w:r>
                            </w:p>
                          </w:txbxContent>
                        </v:textbox>
                      </v:shape>
                      <v:shape id="_x0000_s1026" o:spid="_x0000_s1026" o:spt="202" type="#_x0000_t202" style="position:absolute;left:1697990;top:1233805;height:315595;width:800100;" fillcolor="#FFFFFF [3201]" filled="t" stroked="t" coordsize="21600,21600" o:gfxdata="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3Q2drUAAAABQEAAA8AAAAAAAAAAQAgAAAAIgAAAGRycy9kb3ducmV2LnhtbFBLAQIUABQAAAAI&#10;AIdO4kDqFzZcYwIAAMQEAAAOAAAAAAAAAAEAIAAAACMBAABkcnMvZTJvRG9jLnhtbFBLBQYAAAAA&#10;BgAGAFkBAAD4BQAAAAA=&#10;">
                        <v:fill on="t" focussize="0,0"/>
                        <v:stroke weight="0.5pt" color="#000000 [3204]" joinstyle="round"/>
                        <v:imagedata o:title=""/>
                        <o:lock v:ext="edit" aspectratio="f"/>
                        <v:textbox>
                          <w:txbxContent>
                            <w:p>
                              <w:r>
                                <w:rPr>
                                  <w:rFonts w:hint="eastAsia"/>
                                </w:rPr>
                                <w:t>装袋用水</w:t>
                              </w:r>
                            </w:p>
                          </w:txbxContent>
                        </v:textbox>
                      </v:shape>
                      <v:shape id="_x0000_s1026" o:spid="_x0000_s1026" o:spt="32" type="#_x0000_t32" style="position:absolute;left:3051175;top:1053465;height:0;width:668655;" filled="f" stroked="t" coordsize="21600,21600" o:gfxdata="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LEH&#10;9dYAAAAFAQAADwAAAAAAAAABACAAAAAiAAAAZHJzL2Rvd25yZXYueG1sUEsBAhQAFAAAAAgAh07i&#10;QBL+jMckAgAADQQAAA4AAAAAAAAAAQAgAAAAJQEAAGRycy9lMm9Eb2MueG1sUEsFBgAAAAAGAAYA&#10;WQEAALsFAAAAAA==&#10;">
                        <v:fill on="f" focussize="0,0"/>
                        <v:stroke color="#4A7EBB [3204]" joinstyle="round" endarrow="open"/>
                        <v:imagedata o:title=""/>
                        <o:lock v:ext="edit" aspectratio="f"/>
                      </v:shape>
                      <v:shape id="_x0000_s1026" o:spid="_x0000_s1026" o:spt="32" type="#_x0000_t32" style="position:absolute;left:1028700;top:1381760;height:0;width:668655;" filled="f" stroked="t" coordsize="21600,21600" o:gfxdata="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4sQf1&#10;1gAAAAUBAAAPAAAAAAAAAAEAIAAAACIAAABkcnMvZG93bnJldi54bWxQSwECFAAUAAAACACHTuJA&#10;2Le3HiMCAAANBAAADgAAAAAAAAABACAAAAAlAQAAZHJzL2Uyb0RvYy54bWxQSwUGAAAAAAYABgBZ&#10;AQAAugUAAAAA&#10;">
                        <v:fill on="f" focussize="0,0"/>
                        <v:stroke color="#4A7EBB [3204]" joinstyle="round" endarrow="open"/>
                        <v:imagedata o:title=""/>
                        <o:lock v:ext="edit" aspectratio="f"/>
                      </v:shape>
                      <v:shape id="_x0000_s1026" o:spid="_x0000_s1026" o:spt="202" type="#_x0000_t202" style="position:absolute;left:1034415;top:365760;height:306705;width:640715;" fillcolor="#FFFFFF [3201]" filled="t" stroked="f" coordsize="21600,21600" o:gfxdata="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38JMJ0QAAAAUBAAAP&#10;AAAAAAAAAAEAIAAAACIAAABkcnMvZG93bnJldi54bWxQSwECFAAUAAAACACHTuJAc6fJ3VgCAACb&#10;BAAADgAAAAAAAAABACAAAAAgAQAAZHJzL2Uyb0RvYy54bWxQSwUGAAAAAAYABgBZAQAA6gUAAAAA&#10;">
                        <v:fill on="t" focussize="0,0"/>
                        <v:stroke on="f" weight="0.5pt"/>
                        <v:imagedata o:title=""/>
                        <o:lock v:ext="edit" aspectratio="f"/>
                        <v:textbox>
                          <w:txbxContent>
                            <w:p>
                              <w:r>
                                <w:rPr>
                                  <w:rFonts w:hint="eastAsia"/>
                                </w:rPr>
                                <w:t>2500</w:t>
                              </w:r>
                            </w:p>
                          </w:txbxContent>
                        </v:textbox>
                      </v:shape>
                      <v:shape id="_x0000_s1026" o:spid="_x0000_s1026" o:spt="202" type="#_x0000_t202" style="position:absolute;left:1047750;top:1028700;height:306705;width:640715;" fillcolor="#FFFFFF [3201]" filled="t" stroked="f" coordsize="21600,21600" o:gfxdata="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CTCdEAAAAFAQAA&#10;DwAAAAAAAAABACAAAAAiAAAAZHJzL2Rvd25yZXYueG1sUEsBAhQAFAAAAAgAh07iQJi3+bNZAgAA&#10;nAQAAA4AAAAAAAAAAQAgAAAAIAEAAGRycy9lMm9Eb2MueG1sUEsFBgAAAAAGAAYAWQEAAOsFAAAA&#10;AA==&#10;">
                        <v:fill on="t" focussize="0,0"/>
                        <v:stroke on="f" weight="0.5pt"/>
                        <v:imagedata o:title=""/>
                        <o:lock v:ext="edit" aspectratio="f"/>
                        <v:textbox>
                          <w:txbxContent>
                            <w:p>
                              <w:r>
                                <w:rPr>
                                  <w:rFonts w:hint="eastAsia"/>
                                </w:rPr>
                                <w:t>3000</w:t>
                              </w:r>
                            </w:p>
                          </w:txbxContent>
                        </v:textbox>
                      </v:shape>
                      <v:line id="_x0000_s1026" o:spid="_x0000_s1026" o:spt="20" style="position:absolute;left:2493645;top:1397000;height:0;width:557530;" filled="f" stroked="t" coordsize="21600,21600" o:gfxdata="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gol5dcAAAAFAQAADwAAAAAAAAABACAAAAAiAAAAZHJzL2Rv&#10;d25yZXYueG1sUEsBAhQAFAAAAAgAh07iQK0dadwCAgAA4AMAAA4AAAAAAAAAAQAgAAAAJgEAAGRy&#10;cy9lMm9Eb2MueG1sUEsFBgAAAAAGAAYAWQEAAJoFAAAAAA==&#10;">
                        <v:fill on="f" focussize="0,0"/>
                        <v:stroke color="#4A7EBB [3204]" joinstyle="round"/>
                        <v:imagedata o:title=""/>
                        <o:lock v:ext="edit" aspectratio="f"/>
                      </v:line>
                      <v:line id="_x0000_s1026" o:spid="_x0000_s1026" o:spt="20" style="position:absolute;left:3036570;top:692785;height:710565;width:2540;" filled="f" stroked="t" coordsize="21600,21600" o:gfxdata="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4KJeXXAAAABQEAAA8AAAAAAAAAAQAgAAAAIgAAAGRy&#10;cy9kb3ducmV2LnhtbFBLAQIUABQAAAAIAIdO4kA/E/lDBgIAAOIDAAAOAAAAAAAAAAEAIAAAACYB&#10;AABkcnMvZTJvRG9jLnhtbFBLBQYAAAAABgAGAFkBAACeBQAAAAA=&#10;">
                        <v:fill on="f" focussize="0,0"/>
                        <v:stroke color="#4A7EBB [3204]" joinstyle="round"/>
                        <v:imagedata o:title=""/>
                        <o:lock v:ext="edit" aspectratio="f"/>
                      </v:line>
                      <v:shape id="_x0000_s1026" o:spid="_x0000_s1026" o:spt="202" type="#_x0000_t202" style="position:absolute;left:3097530;top:681355;height:306705;width:584835;" fillcolor="#FFFFFF [3201]" filled="t" stroked="f" coordsize="21600,21600" o:gfxdata="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38JMJ0QAA&#10;AAUBAAAPAAAAAAAAAAEAIAAAACIAAABkcnMvZG93bnJldi54bWxQSwECFAAUAAAACACHTuJAbuz2&#10;UF4CAACbBAAADgAAAAAAAAABACAAAAAgAQAAZHJzL2Uyb0RvYy54bWxQSwUGAAAAAAYABgBZAQAA&#10;8AUAAAAA&#10;">
                        <v:fill on="t" focussize="0,0"/>
                        <v:stroke on="f" weight="0.5pt"/>
                        <v:imagedata o:title=""/>
                        <o:lock v:ext="edit" aspectratio="f"/>
                        <v:textbox>
                          <w:txbxContent>
                            <w:p>
                              <w:r>
                                <w:rPr>
                                  <w:rFonts w:hint="eastAsia"/>
                                </w:rPr>
                                <w:t>5500</w:t>
                              </w:r>
                            </w:p>
                          </w:txbxContent>
                        </v:textbox>
                      </v:shape>
                      <v:shape id="_x0000_s1026" o:spid="_x0000_s1026" o:spt="32" type="#_x0000_t32" style="position:absolute;left:2658110;top:1693545;height:0;width:668655;" filled="f" stroked="t" coordsize="21600,21600" o:gfxdata="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mW&#10;IbrWAAAABQEAAA8AAAAAAAAAAQAgAAAAIgAAAGRycy9kb3ducmV2LnhtbFBLAQIUABQAAAAIAIdO&#10;4kCul60YJQIAAAsEAAAOAAAAAAAAAAEAIAAAACUBAABkcnMvZTJvRG9jLnhtbFBLBQYAAAAABgAG&#10;AFkBAAC8BQAAAAA=&#10;">
                        <v:fill on="f" focussize="0,0"/>
                        <v:stroke weight="2.25pt" color="#385D8A [3204]" joinstyle="round" dashstyle="1 1" endarrow="open"/>
                        <v:imagedata o:title=""/>
                        <o:lock v:ext="edit" aspectratio="f"/>
                      </v:shape>
                      <v:shape id="_x0000_s1026" o:spid="_x0000_s1026" o:spt="202" type="#_x0000_t202" style="position:absolute;left:2409825;top:2704465;height:315595;width:662940;" fillcolor="#FFFFFF [3201]" filled="t" stroked="f" coordsize="21600,21600" o:gfxdata="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fwkwnRAAAA&#10;BQEAAA8AAAAAAAAAAQAgAAAAIgAAAGRycy9kb3ducmV2LnhtbFBLAQIUABQAAAAIAIdO4kDJs6pE&#10;XQIAAJ4EAAAOAAAAAAAAAAEAIAAAACABAABkcnMvZTJvRG9jLnhtbFBLBQYAAAAABgAGAFkBAADv&#10;BQAAAAA=&#10;">
                        <v:fill on="t" focussize="0,0"/>
                        <v:stroke on="f" weight="0.5pt"/>
                        <v:imagedata o:title=""/>
                        <o:lock v:ext="edit" aspectratio="f"/>
                        <v:textbox>
                          <w:txbxContent>
                            <w:p>
                              <w:r>
                                <w:rPr>
                                  <w:rFonts w:hint="eastAsia"/>
                                </w:rPr>
                                <w:t>20.68</w:t>
                              </w:r>
                            </w:p>
                          </w:txbxContent>
                        </v:textbox>
                      </v:shape>
                      <v:shape id="_x0000_s1026" o:spid="_x0000_s1026" o:spt="202" type="#_x0000_t202" style="position:absolute;left:3343910;top:1489710;height:315595;width:800100;" fillcolor="#FFFFFF [3201]" filled="t" stroked="t" coordsize="21600,21600" o:gfxdata="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N&#10;0Nna1AAAAAUBAAAPAAAAAAAAAAEAIAAAACIAAABkcnMvZG93bnJldi54bWxQSwECFAAUAAAACACH&#10;TuJA5Td5mGECAADHBAAADgAAAAAAAAABACAAAAAjAQAAZHJzL2Uyb0RvYy54bWxQSwUGAAAAAAYA&#10;BgBZAQAA9gUAAAAA&#10;">
                        <v:fill on="t" focussize="0,0"/>
                        <v:stroke weight="0.5pt" color="#000000 [3213]" joinstyle="round"/>
                        <v:imagedata o:title=""/>
                        <o:lock v:ext="edit" aspectratio="f"/>
                        <v:textbox>
                          <w:txbxContent>
                            <w:p>
                              <w:r>
                                <w:rPr>
                                  <w:rFonts w:hint="eastAsia"/>
                                </w:rPr>
                                <w:t>蒸汽带走</w:t>
                              </w:r>
                            </w:p>
                          </w:txbxContent>
                        </v:textbox>
                      </v:shape>
                      <v:shape id="_x0000_s1026" o:spid="_x0000_s1026" o:spt="202" type="#_x0000_t202" style="position:absolute;left:1808480;top:1704340;height:315595;width:800100;" fillcolor="#FFFFFF [3201]" filled="t" stroked="t" coordsize="21600,21600" o:gfxdata="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N&#10;0Nna1AAAAAUBAAAPAAAAAAAAAAEAIAAAACIAAABkcnMvZG93bnJldi54bWxQSwECFAAUAAAACACH&#10;TuJAjARbcmECAADGBAAADgAAAAAAAAABACAAAAAjAQAAZHJzL2Uyb0RvYy54bWxQSwUGAAAAAAYA&#10;BgBZAQAA9gUAAAAA&#10;">
                        <v:fill on="t" focussize="0,0"/>
                        <v:stroke weight="0.5pt" color="#000000 [3204]" joinstyle="round"/>
                        <v:imagedata o:title=""/>
                        <o:lock v:ext="edit" aspectratio="f"/>
                        <v:textbox>
                          <w:txbxContent>
                            <w:p>
                              <w:r>
                                <w:rPr>
                                  <w:rFonts w:hint="eastAsia"/>
                                </w:rPr>
                                <w:t>锅炉用水</w:t>
                              </w:r>
                            </w:p>
                          </w:txbxContent>
                        </v:textbox>
                      </v:shape>
                      <v:shape id="_x0000_s1026" o:spid="_x0000_s1026" o:spt="202" type="#_x0000_t202" style="position:absolute;left:1069340;top:1650365;height:306705;width:480695;" fillcolor="#FFFFFF [3201]" filled="t" stroked="f" coordsize="21600,21600" o:gfxdata="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38JMJ0QAAAAUB&#10;AAAPAAAAAAAAAAEAIAAAACIAAABkcnMvZG93bnJldi54bWxQSwECFAAUAAAACACHTuJAeaIKnFsC&#10;AACeBAAADgAAAAAAAAABACAAAAAgAQAAZHJzL2Uyb0RvYy54bWxQSwUGAAAAAAYABgBZAQAA7QUA&#10;AAAA&#10;">
                        <v:fill on="t" focussize="0,0"/>
                        <v:stroke on="f" weight="0.5pt"/>
                        <v:imagedata o:title=""/>
                        <o:lock v:ext="edit" aspectratio="f"/>
                        <v:textbox>
                          <w:txbxContent>
                            <w:p>
                              <w:r>
                                <w:rPr>
                                  <w:rFonts w:hint="eastAsia"/>
                                </w:rPr>
                                <w:t>2400</w:t>
                              </w:r>
                            </w:p>
                          </w:txbxContent>
                        </v:textbox>
                      </v:shape>
                      <v:shape id="_x0000_s1026" o:spid="_x0000_s1026" o:spt="32" type="#_x0000_t32" style="position:absolute;left:1036320;top:3220085;height:0;width:668655;" filled="f" stroked="t" coordsize="21600,21600" o:gfxdata="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ix&#10;B/XWAAAABQEAAA8AAAAAAAAAAQAgAAAAIgAAAGRycy9kb3ducmV2LnhtbFBLAQIUABQAAAAIAIdO&#10;4kCC0AvJJQIAAA8EAAAOAAAAAAAAAAEAIAAAACUBAABkcnMvZTJvRG9jLnhtbFBLBQYAAAAABgAG&#10;AFkBAAC8BQAAAAA=&#10;">
                        <v:fill on="f" focussize="0,0"/>
                        <v:stroke color="#4A7EBB [3204]" joinstyle="round" endarrow="open"/>
                        <v:imagedata o:title=""/>
                        <o:lock v:ext="edit" aspectratio="f"/>
                      </v:shape>
                      <v:shape id="_x0000_s1026" o:spid="_x0000_s1026" o:spt="202" type="#_x0000_t202" style="position:absolute;left:1731645;top:3054350;height:315595;width:800100;" fillcolor="#FFFFFF [3201]" filled="t" stroked="t" coordsize="21600,21600" o:gfxdata="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N&#10;0Nna1AAAAAUBAAAPAAAAAAAAAAEAIAAAACIAAABkcnMvZG93bnJldi54bWxQSwECFAAUAAAACACH&#10;TuJAnZPocGECAADGBAAADgAAAAAAAAABACAAAAAjAQAAZHJzL2Uyb0RvYy54bWxQSwUGAAAAAAYA&#10;BgBZAQAA9gUAAAAA&#10;">
                        <v:fill on="t" focussize="0,0"/>
                        <v:stroke weight="0.5pt" color="#000000 [3204]" joinstyle="round"/>
                        <v:imagedata o:title=""/>
                        <o:lock v:ext="edit" aspectratio="f"/>
                        <v:textbox>
                          <w:txbxContent>
                            <w:p>
                              <w:r>
                                <w:rPr>
                                  <w:rFonts w:hint="eastAsia"/>
                                </w:rPr>
                                <w:t>生活用水</w:t>
                              </w:r>
                            </w:p>
                          </w:txbxContent>
                        </v:textbox>
                      </v:shape>
                      <v:shape id="_x0000_s1026" o:spid="_x0000_s1026" o:spt="202" type="#_x0000_t202" style="position:absolute;left:1040130;top:2878455;height:306705;width:583565;" fillcolor="#FFFFFF [3201]" filled="t" stroked="f" coordsize="21600,21600" o:gfxdata="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38JMJ0QAA&#10;AAUBAAAPAAAAAAAAAAEAIAAAACIAAABkcnMvZG93bnJldi54bWxQSwECFAAUAAAACACHTuJAgiXH&#10;Tl4CAACeBAAADgAAAAAAAAABACAAAAAgAQAAZHJzL2Uyb0RvYy54bWxQSwUGAAAAAAYABgBZAQAA&#10;8AUAAAAA&#10;">
                        <v:fill on="t" focussize="0,0"/>
                        <v:stroke on="f" weight="0.5pt"/>
                        <v:imagedata o:title=""/>
                        <o:lock v:ext="edit" aspectratio="f"/>
                        <v:textbox>
                          <w:txbxContent>
                            <w:p>
                              <w:r>
                                <w:rPr>
                                  <w:rFonts w:hint="eastAsia"/>
                                </w:rPr>
                                <w:t>101.36</w:t>
                              </w:r>
                            </w:p>
                          </w:txbxContent>
                        </v:textbox>
                      </v:shape>
                      <v:shape id="_x0000_s1026" o:spid="_x0000_s1026" o:spt="37" type="#_x0000_t37" style="position:absolute;left:2152650;top:2809240;height:266065;width:223520;rotation:-5898240f;" filled="f" stroked="t" coordsize="21600,21600" o:gfxdata="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Bzr9x1gAAAAUBAAAPAAAAAAAAAAEAIAAAACIAAABkcnMvZG93&#10;bnJldi54bWxQSwECFAAUAAAACACHTuJA+k1FwTsCAABDBAAADgAAAAAAAAABACAAAAAlAQAAZHJz&#10;L2Uyb0RvYy54bWxQSwUGAAAAAAYABgBZAQAA0gUAAAAA&#10;">
                        <v:fill on="f" focussize="0,0"/>
                        <v:stroke color="#4A7EBB [3204]" joinstyle="round" endarrow="open"/>
                        <v:imagedata o:title=""/>
                        <o:lock v:ext="edit" aspectratio="f"/>
                      </v:shape>
                      <v:shape id="_x0000_s1026" o:spid="_x0000_s1026" o:spt="32" type="#_x0000_t32" style="position:absolute;left:2540000;top:3225165;height:3810;width:842645;" filled="f" stroked="t" coordsize="21600,21600" o:gfxdata="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ixB/XWAAAABQEAAA8AAAAAAAAAAQAgAAAAIgAAAGRycy9kb3ducmV2LnhtbFBLAQIUABQAAAAI&#10;AIdO4kCy8mwlKAIAABIEAAAOAAAAAAAAAAEAIAAAACUBAABkcnMvZTJvRG9jLnhtbFBLBQYAAAAA&#10;BgAGAFkBAAC/BQAAAAA=&#10;">
                        <v:fill on="f" focussize="0,0"/>
                        <v:stroke color="#4A7EBB [3204]" joinstyle="round" endarrow="open"/>
                        <v:imagedata o:title=""/>
                        <o:lock v:ext="edit" aspectratio="f"/>
                      </v:shape>
                      <v:shape id="_x0000_s1026" o:spid="_x0000_s1026" o:spt="202" type="#_x0000_t202" style="position:absolute;left:3406140;top:3033395;height:315595;width:645160;" fillcolor="#FFFFFF [3201]" filled="t" stroked="t" coordsize="21600,21600" o:gfxdata="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dDZ2tQAAAAFAQAADwAAAAAAAAABACAAAAAiAAAAZHJzL2Rvd25yZXYueG1sUEsBAhQAFAAAAAgA&#10;h07iQNy/QIxiAgAAxgQAAA4AAAAAAAAAAQAgAAAAIwEAAGRycy9lMm9Eb2MueG1sUEsFBgAAAAAG&#10;AAYAWQEAAPcFAAAAAA==&#10;">
                        <v:fill on="t" focussize="0,0"/>
                        <v:stroke weight="0.5pt" color="#000000 [3204]" joinstyle="round"/>
                        <v:imagedata o:title=""/>
                        <o:lock v:ext="edit" aspectratio="f"/>
                        <v:textbox>
                          <w:txbxContent>
                            <w:p>
                              <w:r>
                                <w:rPr>
                                  <w:rFonts w:hint="eastAsia"/>
                                </w:rPr>
                                <w:t>化粪池</w:t>
                              </w:r>
                            </w:p>
                          </w:txbxContent>
                        </v:textbox>
                      </v:shape>
                      <v:shape id="_x0000_s1026" o:spid="_x0000_s1026" o:spt="202" type="#_x0000_t202" style="position:absolute;left:2566670;top:2967990;height:241300;width:680085;" fillcolor="#FFFFFF [3201]" filled="t" stroked="f" coordsize="21600,21600" o:gfxdata="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fwkwnRAAAA&#10;BQEAAA8AAAAAAAAAAQAgAAAAIgAAAGRycy9kb3ducmV2LnhtbFBLAQIUABQAAAAIAIdO4kD5zIaJ&#10;XQIAAJ4EAAAOAAAAAAAAAAEAIAAAACABAABkcnMvZTJvRG9jLnhtbFBLBQYAAAAABgAGAFkBAADv&#10;BQAAAAA=&#10;">
                        <v:fill on="t" focussize="0,0"/>
                        <v:stroke on="f" weight="0.5pt"/>
                        <v:imagedata o:title=""/>
                        <o:lock v:ext="edit" aspectratio="f"/>
                        <v:textbox>
                          <w:txbxContent>
                            <w:p>
                              <w:r>
                                <w:rPr>
                                  <w:rFonts w:hint="eastAsia"/>
                                </w:rPr>
                                <w:t>80.68</w:t>
                              </w:r>
                            </w:p>
                          </w:txbxContent>
                        </v:textbox>
                      </v:shape>
                      <v:shape id="_x0000_s1026" o:spid="_x0000_s1026" o:spt="32" type="#_x0000_t32" style="position:absolute;left:1045845;top:1868170;flip:y;height:5080;width:758190;" filled="f" stroked="t" coordsize="21600,21600" o:gfxdata="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7k6W3XAAAABQEAAA8AAAAAAAAAAQAgAAAAIgAAAGRycy9kb3ducmV2LnhtbFBLAQIU&#10;ABQAAAAIAIdO4kBt49uWLQIAABwEAAAOAAAAAAAAAAEAIAAAACYBAABkcnMvZTJvRG9jLnhtbFBL&#10;BQYAAAAABgAGAFkBAADFBQAAAAA=&#10;">
                        <v:fill on="f" focussize="0,0"/>
                        <v:stroke color="#4A7EBB [3204]" joinstyle="round" endarrow="open"/>
                        <v:imagedata o:title=""/>
                        <o:lock v:ext="edit" aspectratio="f"/>
                      </v:shape>
                      <v:shape id="_x0000_s1026" o:spid="_x0000_s1026" o:spt="202" type="#_x0000_t202" style="position:absolute;left:2661920;top:1442720;height:306705;width:480695;" filled="f" stroked="f" coordsize="21600,21600" o:gfxdata="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exjDM2AAAAAUBAAAPAAAAAAAAAAEAIAAA&#10;ACIAAABkcnMvZG93bnJldi54bWxQSwECFAAUAAAACACHTuJA7QLR1EUCAAB1BAAADgAAAAAAAAAB&#10;ACAAAAAnAQAAZHJzL2Uyb0RvYy54bWxQSwUGAAAAAAYABgBZAQAA3gUAAAAA&#10;">
                        <v:fill on="f" focussize="0,0"/>
                        <v:stroke on="f" weight="0.5pt"/>
                        <v:imagedata o:title=""/>
                        <o:lock v:ext="edit" aspectratio="f"/>
                        <v:textbox>
                          <w:txbxContent>
                            <w:p>
                              <w:r>
                                <w:rPr>
                                  <w:rFonts w:hint="eastAsia"/>
                                </w:rPr>
                                <w:t>2349</w:t>
                              </w:r>
                            </w:p>
                          </w:txbxContent>
                        </v:textbox>
                      </v:shape>
                      <v:shape id="_x0000_s1026" o:spid="_x0000_s1026" o:spt="32" type="#_x0000_t32" style="position:absolute;left:1031240;top:3641090;height:0;width:668655;" filled="f" stroked="t" coordsize="21600,21600" o:gfxdata="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4sQf1&#10;1gAAAAUBAAAPAAAAAAAAAAEAIAAAACIAAABkcnMvZG93bnJldi54bWxQSwECFAAUAAAACACHTuJA&#10;yzohHSMCAAANBAAADgAAAAAAAAABACAAAAAlAQAAZHJzL2Uyb0RvYy54bWxQSwUGAAAAAAYABgBZ&#10;AQAAugUAAAAA&#10;">
                        <v:fill on="f" focussize="0,0"/>
                        <v:stroke color="#4A7EBB [3204]" joinstyle="round" endarrow="open"/>
                        <v:imagedata o:title=""/>
                        <o:lock v:ext="edit" aspectratio="f"/>
                      </v:shape>
                      <v:shape id="_x0000_s1026" o:spid="_x0000_s1026" o:spt="202" type="#_x0000_t202" style="position:absolute;left:1145540;top:3318510;height:243205;width:467995;" fillcolor="#FFFFFF [3201]" filled="t" stroked="f" coordsize="21600,21600" o:gfxdata="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38JMJ0QAAAAUB&#10;AAAPAAAAAAAAAAEAIAAAACIAAABkcnMvZG93bnJldi54bWxQSwECFAAUAAAACACHTuJApQ8kiVsC&#10;AACcBAAADgAAAAAAAAABACAAAAAgAQAAZHJzL2Uyb0RvYy54bWxQSwUGAAAAAAYABgBZAQAA7QUA&#10;AAAA&#10;">
                        <v:fill on="t" focussize="0,0"/>
                        <v:stroke on="f" weight="0.5pt"/>
                        <v:imagedata o:title=""/>
                        <o:lock v:ext="edit" aspectratio="f"/>
                        <v:textbox>
                          <w:txbxContent>
                            <w:p>
                              <w:r>
                                <w:rPr>
                                  <w:rFonts w:hint="eastAsia"/>
                                </w:rPr>
                                <w:t>10</w:t>
                              </w:r>
                            </w:p>
                          </w:txbxContent>
                        </v:textbox>
                      </v:shape>
                      <v:shape id="_x0000_s1026" o:spid="_x0000_s1026" o:spt="202" type="#_x0000_t202" style="position:absolute;left:1802130;top:3452495;height:315595;width:1020445;" fillcolor="#FFFFFF [3201]" filled="t" stroked="t" coordsize="21600,21600" o:gfxdata="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dDZ2tQAAAAFAQAADwAAAAAAAAABACAAAAAiAAAAZHJzL2Rvd25yZXYueG1sUEsBAhQAFAAA&#10;AAgAh07iQJXphhhlAgAAxQQAAA4AAAAAAAAAAQAgAAAAIwEAAGRycy9lMm9Eb2MueG1sUEsFBgAA&#10;AAAGAAYAWQEAAPoFAAAAAA==&#10;">
                        <v:fill on="t" focussize="0,0"/>
                        <v:stroke weight="0.5pt" color="#000000 [3204]" joinstyle="round"/>
                        <v:imagedata o:title=""/>
                        <o:lock v:ext="edit" aspectratio="f"/>
                        <v:textbox>
                          <w:txbxContent>
                            <w:p>
                              <w:r>
                                <w:rPr>
                                  <w:rFonts w:hint="eastAsia"/>
                                </w:rPr>
                                <w:t>粉碎喷淋用水</w:t>
                              </w:r>
                            </w:p>
                          </w:txbxContent>
                        </v:textbox>
                      </v:shape>
                      <v:shape id="_x0000_s1026" o:spid="_x0000_s1026" o:spt="32" type="#_x0000_t32" style="position:absolute;left:2667000;top:2011045;height:0;width:668655;" filled="f" stroked="t" coordsize="21600,21600" o:gfxdata="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5liG6&#10;1gAAAAUBAAAPAAAAAAAAAAEAIAAAACIAAABkcnMvZG93bnJldi54bWxQSwECFAAUAAAACACHTuJA&#10;ntEFOSMCAAALBAAADgAAAAAAAAABACAAAAAlAQAAZHJzL2Uyb0RvYy54bWxQSwUGAAAAAAYABgBZ&#10;AQAAugUAAAAA&#10;">
                        <v:fill on="f" focussize="0,0"/>
                        <v:stroke weight="2.25pt" color="#385D8A [3204]" joinstyle="round" dashstyle="1 1" endarrow="open"/>
                        <v:imagedata o:title=""/>
                        <o:lock v:ext="edit" aspectratio="f"/>
                      </v:shape>
                      <v:shape id="_x0000_s1026" o:spid="_x0000_s1026" o:spt="202" type="#_x0000_t202" style="position:absolute;left:2719705;top:1746250;height:306705;width:480695;" filled="f" stroked="f" coordsize="21600,21600" o:gfxdata="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exjDM2AAAAAUBAAAPAAAAAAAAAAEAIAAA&#10;ACIAAABkcnMvZG93bnJldi54bWxQSwECFAAUAAAACACHTuJAzhyEekUCAAB1BAAADgAAAAAAAAAB&#10;ACAAAAAnAQAAZHJzL2Uyb0RvYy54bWxQSwUGAAAAAAYABgBZAQAA3gUAAAAA&#10;">
                        <v:fill on="f" focussize="0,0"/>
                        <v:stroke on="f" weight="0.5pt"/>
                        <v:imagedata o:title=""/>
                        <o:lock v:ext="edit" aspectratio="f"/>
                        <v:textbox>
                          <w:txbxContent>
                            <w:p>
                              <w:r>
                                <w:rPr>
                                  <w:rFonts w:hint="eastAsia"/>
                                </w:rPr>
                                <w:t>3</w:t>
                              </w:r>
                            </w:p>
                          </w:txbxContent>
                        </v:textbox>
                      </v:shape>
                      <v:shape id="_x0000_s1026" o:spid="_x0000_s1026" o:spt="202" type="#_x0000_t202" style="position:absolute;left:3322955;top:1873250;height:315595;width:800100;" fillcolor="#FFFFFF [3201]" filled="t" stroked="f" coordsize="21600,21600" o:gfxdata="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CTCdEAAAAF&#10;AQAADwAAAAAAAAABACAAAAAiAAAAZHJzL2Rvd25yZXYueG1sUEsBAhQAFAAAAAgAh07iQC0UkNVc&#10;AgAAngQAAA4AAAAAAAAAAQAgAAAAIAEAAGRycy9lMm9Eb2MueG1sUEsFBgAAAAAGAAYAWQEAAO4F&#10;AAAAAA==&#10;">
                        <v:fill on="t" focussize="0,0"/>
                        <v:stroke on="f" weight="0.5pt"/>
                        <v:imagedata o:title=""/>
                        <o:lock v:ext="edit" aspectratio="f"/>
                        <v:textbox>
                          <w:txbxContent>
                            <w:p>
                              <w:r>
                                <w:rPr>
                                  <w:rFonts w:hint="eastAsia"/>
                                </w:rPr>
                                <w:t>排空水</w:t>
                              </w:r>
                            </w:p>
                          </w:txbxContent>
                        </v:textbox>
                      </v:shape>
                      <v:shape id="_x0000_s1026" o:spid="_x0000_s1026" o:spt="202" type="#_x0000_t202" style="position:absolute;left:1913890;top:2318385;height:315595;width:609600;" fillcolor="#FFFFFF [3201]" filled="t" stroked="t" coordsize="21600,21600" o:gfxdata="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3Q2drUAAAABQEAAA8AAAAAAAAAAQAgAAAAIgAAAGRycy9kb3ducmV2LnhtbFBLAQIUABQA&#10;AAAIAIdO4kCLICh/ZgIAAMYEAAAOAAAAAAAAAAEAIAAAACMBAABkcnMvZTJvRG9jLnhtbFBLBQYA&#10;AAAABgAGAFkBAAD7BQAAAAA=&#10;">
                        <v:fill on="t" focussize="0,0"/>
                        <v:stroke weight="0.5pt" color="#000000 [3204]" joinstyle="round"/>
                        <v:imagedata o:title=""/>
                        <o:lock v:ext="edit" aspectratio="f"/>
                        <v:textbox>
                          <w:txbxContent>
                            <w:p>
                              <w:r>
                                <w:rPr>
                                  <w:rFonts w:hint="eastAsia"/>
                                </w:rPr>
                                <w:t>冷凝水</w:t>
                              </w:r>
                            </w:p>
                          </w:txbxContent>
                        </v:textbox>
                      </v:shape>
                      <v:shape id="_x0000_s1026" o:spid="_x0000_s1026" o:spt="32" type="#_x0000_t32" style="position:absolute;left:2208530;top:2019935;height:298450;width:10160;" filled="f" stroked="t" coordsize="21600,21600" o:gfxdata="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mWIbrWAAAABQEAAA8AAAAAAAAAAQAgAAAAIgAA&#10;AGRycy9kb3ducmV2LnhtbFBLAQIUABQAAAAIAIdO4kBNDcVJQwIAAFMEAAAOAAAAAAAAAAEAIAAA&#10;ACUBAABkcnMvZTJvRG9jLnhtbFBLBQYAAAAABgAGAFkBAADaBQAAAAA=&#10;">
                        <v:fill on="f" focussize="0,0"/>
                        <v:stroke weight="2.25pt" color="#385D8A [3204]" joinstyle="round" dashstyle="1 1" endarrow="open"/>
                        <v:imagedata o:title=""/>
                        <o:lock v:ext="edit" aspectratio="f"/>
                      </v:shape>
                      <v:shape id="_x0000_s1026" o:spid="_x0000_s1026" o:spt="202" type="#_x0000_t202" style="position:absolute;left:1407795;top:2095500;height:315595;width:473075;" fillcolor="#FFFFFF [3201]" filled="t" stroked="f" coordsize="21600,21600" o:gfxdata="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38JMJ0QAAAAUB&#10;AAAPAAAAAAAAAAEAIAAAACIAAABkcnMvZG93bnJldi54bWxQSwECFAAUAAAACACHTuJAzKD1X1sC&#10;AACeBAAADgAAAAAAAAABACAAAAAgAQAAZHJzL2Uyb0RvYy54bWxQSwUGAAAAAAYABgBZAQAA7QUA&#10;AAAA&#10;">
                        <v:fill on="t" focussize="0,0"/>
                        <v:stroke on="f" weight="0.5pt"/>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回用</w:t>
                              </w:r>
                            </w:p>
                          </w:txbxContent>
                        </v:textbox>
                      </v:shape>
                      <v:line id="_x0000_s1026" o:spid="_x0000_s1026" o:spt="20" style="position:absolute;left:3770630;top:2005965;flip:y;height:2540;width:925830;" filled="f" stroked="t" coordsize="21600,21600" o:gfxdata="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7B3JNUAAAAFAQAADwAAAAAAAAABACAAAAAi&#10;AAAAZHJzL2Rvd25yZXYueG1sUEsBAhQAFAAAAAgAh07iQEIzkIUNAgAA7QMAAA4AAAAAAAAAAQAg&#10;AAAAJAEAAGRycy9lMm9Eb2MueG1sUEsFBgAAAAAGAAYAWQEAAKMFAAAAAA==&#10;">
                        <v:fill on="f" focussize="0,0"/>
                        <v:stroke color="#4A7EBB [3204]" joinstyle="round"/>
                        <v:imagedata o:title=""/>
                        <o:lock v:ext="edit" aspectratio="f"/>
                      </v:line>
                      <v:line id="_x0000_s1026" o:spid="_x0000_s1026" o:spt="20" style="position:absolute;left:4704080;top:2008505;height:1626235;width:1905;" filled="f" stroked="t" coordsize="21600,21600" o:gfxdata="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4KJeXXAAAABQEAAA8AAAAAAAAAAQAgAAAAIgAAAGRy&#10;cy9kb3ducmV2LnhtbFBLAQIUABQAAAAIAIdO4kAireN5BgIAAOQDAAAOAAAAAAAAAAEAIAAAACYB&#10;AABkcnMvZTJvRG9jLnhtbFBLBQYAAAAABgAGAFkBAACeBQAAAAA=&#10;">
                        <v:fill on="f" focussize="0,0"/>
                        <v:stroke color="#4A7EBB [3204]" joinstyle="round"/>
                        <v:imagedata o:title=""/>
                        <o:lock v:ext="edit" aspectratio="f"/>
                      </v:line>
                      <v:shape id="_x0000_s1026" o:spid="_x0000_s1026" o:spt="32" type="#_x0000_t32" style="position:absolute;left:2845435;top:3623945;flip:x;height:0;width:1866900;" filled="f" stroked="t" coordsize="21600,21600" o:gfxdata="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HCKC2AAAAAUBAAAPAAAAAAAA&#10;AAEAIAAAACIAAABkcnMvZG93bnJldi54bWxQSwECFAAUAAAACACHTuJArviSlhICAADgAwAADgAA&#10;AAAAAAABACAAAAAnAQAAZHJzL2Uyb0RvYy54bWxQSwUGAAAAAAYABgBZAQAAqwUAAAAA&#10;">
                        <v:fill on="f" focussize="0,0"/>
                        <v:stroke weight="2pt" color="#4F81BD [3204]" joinstyle="round" endarrow="open"/>
                        <v:imagedata o:title=""/>
                        <o:lock v:ext="edit" aspectratio="f"/>
                      </v:shape>
                      <v:shape id="_x0000_s1026" o:spid="_x0000_s1026" o:spt="202" type="#_x0000_t202" style="position:absolute;left:2230755;top:2022475;height:278765;width:377190;" filled="f" stroked="f" coordsize="21600,21600" o:gfxdata="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7GMMzYAAAABQEAAA8AAAAAAAAA&#10;AQAgAAAAIgAAAGRycy9kb3ducmV2LnhtbFBLAQIUABQAAAAIAIdO4kAdv8hTSgIAAHUEAAAOAAAA&#10;AAAAAAEAIAAAACcBAABkcnMvZTJvRG9jLnhtbFBLBQYAAAAABgAGAFkBAADjBQAAAAA=&#10;">
                        <v:fill on="f" focussize="0,0"/>
                        <v:stroke on="f" weight="0.5pt"/>
                        <v:imagedata o:title=""/>
                        <o:lock v:ext="edit" aspectratio="f"/>
                        <v:textbox>
                          <w:txbxContent>
                            <w:p>
                              <w:r>
                                <w:rPr>
                                  <w:rFonts w:hint="eastAsia"/>
                                </w:rPr>
                                <w:t>48</w:t>
                              </w:r>
                            </w:p>
                          </w:txbxContent>
                        </v:textbox>
                      </v:shape>
                      <w10:wrap type="none"/>
                      <w10:anchorlock/>
                    </v:group>
                  </w:pict>
                </mc:Fallback>
              </mc:AlternateContent>
            </w:r>
          </w:p>
          <w:p>
            <w:pPr>
              <w:pStyle w:val="8"/>
              <w:ind w:firstLine="0"/>
              <w:jc w:val="center"/>
              <w:rPr>
                <w:rFonts w:ascii="宋体" w:hAnsi="宋体" w:cs="宋体"/>
                <w:b/>
                <w:bCs/>
                <w:sz w:val="21"/>
                <w:szCs w:val="21"/>
              </w:rPr>
            </w:pPr>
            <w:r>
              <w:rPr>
                <w:rFonts w:hint="eastAsia" w:ascii="宋体" w:hAnsi="宋体" w:cs="宋体"/>
                <w:b/>
                <w:bCs/>
                <w:sz w:val="21"/>
                <w:szCs w:val="21"/>
              </w:rPr>
              <w:t>图5  给排水平衡图  m</w:t>
            </w:r>
            <w:r>
              <w:rPr>
                <w:rFonts w:hint="eastAsia" w:ascii="宋体" w:hAnsi="宋体" w:cs="宋体"/>
                <w:b/>
                <w:bCs/>
                <w:sz w:val="21"/>
                <w:szCs w:val="21"/>
                <w:vertAlign w:val="superscript"/>
              </w:rPr>
              <w:t>3</w:t>
            </w:r>
            <w:r>
              <w:rPr>
                <w:rFonts w:hint="eastAsia" w:ascii="宋体" w:hAnsi="宋体" w:cs="宋体"/>
                <w:b/>
                <w:bCs/>
                <w:sz w:val="21"/>
                <w:szCs w:val="21"/>
              </w:rPr>
              <w:t>/a</w:t>
            </w:r>
          </w:p>
          <w:p>
            <w:pPr>
              <w:spacing w:line="360" w:lineRule="auto"/>
              <w:ind w:firstLine="422" w:firstLineChars="200"/>
              <w:jc w:val="center"/>
              <w:rPr>
                <w:rFonts w:ascii="宋体" w:hAnsi="宋体" w:cs="宋体"/>
                <w:b/>
                <w:bCs/>
                <w:szCs w:val="21"/>
              </w:rPr>
            </w:pPr>
          </w:p>
          <w:p>
            <w:pPr>
              <w:spacing w:line="360" w:lineRule="auto"/>
              <w:ind w:firstLine="422" w:firstLineChars="200"/>
              <w:jc w:val="center"/>
              <w:rPr>
                <w:rFonts w:ascii="宋体" w:hAnsi="宋体" w:cs="宋体"/>
                <w:b/>
                <w:bCs/>
                <w:szCs w:val="21"/>
              </w:rPr>
            </w:pPr>
            <w:r>
              <w:rPr>
                <w:rFonts w:hint="eastAsia" w:ascii="宋体" w:hAnsi="宋体" w:cs="宋体"/>
                <w:b/>
                <w:szCs w:val="21"/>
              </w:rPr>
              <w:t xml:space="preserve">表2-5  </w:t>
            </w:r>
            <w:r>
              <w:rPr>
                <w:rFonts w:hint="eastAsia" w:ascii="宋体" w:hAnsi="宋体" w:cs="宋体"/>
                <w:b/>
                <w:bCs/>
                <w:szCs w:val="21"/>
              </w:rPr>
              <w:t>项目给排水情况表    单位：m</w:t>
            </w:r>
            <w:r>
              <w:rPr>
                <w:rFonts w:hint="eastAsia" w:ascii="宋体" w:hAnsi="宋体" w:cs="宋体"/>
                <w:b/>
                <w:bCs/>
                <w:szCs w:val="21"/>
                <w:vertAlign w:val="superscript"/>
              </w:rPr>
              <w:t>3</w:t>
            </w:r>
            <w:r>
              <w:rPr>
                <w:rFonts w:hint="eastAsia" w:ascii="宋体" w:hAnsi="宋体" w:cs="宋体"/>
                <w:b/>
                <w:bCs/>
                <w:szCs w:val="21"/>
              </w:rPr>
              <w:t>/a</w:t>
            </w:r>
          </w:p>
          <w:tbl>
            <w:tblPr>
              <w:tblStyle w:val="24"/>
              <w:tblpPr w:leftFromText="180" w:rightFromText="180" w:vertAnchor="text" w:horzAnchor="page" w:tblpX="289" w:tblpY="299"/>
              <w:tblOverlap w:val="never"/>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1265"/>
              <w:gridCol w:w="1018"/>
              <w:gridCol w:w="865"/>
              <w:gridCol w:w="984"/>
              <w:gridCol w:w="1171"/>
              <w:gridCol w:w="798"/>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819" w:type="pct"/>
                  <w:vAlign w:val="center"/>
                </w:tcPr>
                <w:p>
                  <w:pPr>
                    <w:topLinePunct/>
                    <w:spacing w:line="240" w:lineRule="atLeast"/>
                    <w:ind w:firstLine="232"/>
                    <w:jc w:val="center"/>
                    <w:textAlignment w:val="center"/>
                    <w:rPr>
                      <w:rFonts w:ascii="宋体" w:hAnsi="宋体" w:cs="宋体"/>
                      <w:b/>
                      <w:sz w:val="18"/>
                      <w:szCs w:val="18"/>
                    </w:rPr>
                  </w:pPr>
                  <w:r>
                    <w:rPr>
                      <w:rFonts w:hint="eastAsia" w:ascii="宋体" w:hAnsi="宋体" w:cs="宋体"/>
                      <w:b/>
                      <w:sz w:val="18"/>
                      <w:szCs w:val="18"/>
                    </w:rPr>
                    <w:t>用水项目</w:t>
                  </w:r>
                </w:p>
              </w:tc>
              <w:tc>
                <w:tcPr>
                  <w:tcW w:w="1375" w:type="pct"/>
                  <w:gridSpan w:val="2"/>
                  <w:vAlign w:val="center"/>
                </w:tcPr>
                <w:p>
                  <w:pPr>
                    <w:topLinePunct/>
                    <w:spacing w:line="240" w:lineRule="atLeast"/>
                    <w:jc w:val="center"/>
                    <w:textAlignment w:val="center"/>
                    <w:rPr>
                      <w:rFonts w:ascii="宋体" w:hAnsi="宋体" w:cs="宋体"/>
                      <w:b/>
                      <w:sz w:val="18"/>
                      <w:szCs w:val="18"/>
                    </w:rPr>
                  </w:pPr>
                  <w:r>
                    <w:rPr>
                      <w:rFonts w:hint="eastAsia" w:ascii="宋体" w:hAnsi="宋体" w:cs="宋体"/>
                      <w:b/>
                      <w:sz w:val="18"/>
                      <w:szCs w:val="18"/>
                    </w:rPr>
                    <w:t>用水</w:t>
                  </w:r>
                </w:p>
              </w:tc>
              <w:tc>
                <w:tcPr>
                  <w:tcW w:w="1819" w:type="pct"/>
                  <w:gridSpan w:val="3"/>
                  <w:vAlign w:val="center"/>
                </w:tcPr>
                <w:p>
                  <w:pPr>
                    <w:topLinePunct/>
                    <w:spacing w:line="240" w:lineRule="atLeast"/>
                    <w:jc w:val="center"/>
                    <w:textAlignment w:val="center"/>
                    <w:rPr>
                      <w:rFonts w:ascii="宋体" w:hAnsi="宋体" w:cs="宋体"/>
                      <w:b/>
                      <w:sz w:val="18"/>
                      <w:szCs w:val="18"/>
                    </w:rPr>
                  </w:pPr>
                  <w:r>
                    <w:rPr>
                      <w:rFonts w:hint="eastAsia" w:ascii="宋体" w:hAnsi="宋体" w:cs="宋体"/>
                      <w:b/>
                      <w:sz w:val="18"/>
                      <w:szCs w:val="18"/>
                    </w:rPr>
                    <w:t>消耗水</w:t>
                  </w:r>
                </w:p>
              </w:tc>
              <w:tc>
                <w:tcPr>
                  <w:tcW w:w="985" w:type="pct"/>
                  <w:gridSpan w:val="2"/>
                  <w:vAlign w:val="center"/>
                </w:tcPr>
                <w:p>
                  <w:pPr>
                    <w:topLinePunct/>
                    <w:spacing w:line="240" w:lineRule="atLeast"/>
                    <w:jc w:val="center"/>
                    <w:textAlignment w:val="center"/>
                    <w:rPr>
                      <w:rFonts w:ascii="宋体" w:hAnsi="宋体" w:cs="宋体"/>
                      <w:b/>
                      <w:sz w:val="18"/>
                      <w:szCs w:val="18"/>
                    </w:rPr>
                  </w:pPr>
                  <w:r>
                    <w:rPr>
                      <w:rFonts w:hint="eastAsia" w:ascii="宋体" w:hAnsi="宋体" w:cs="宋体"/>
                      <w:b/>
                      <w:sz w:val="18"/>
                      <w:szCs w:val="18"/>
                    </w:rPr>
                    <w:t>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819" w:type="pc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预湿用水</w:t>
                  </w:r>
                </w:p>
              </w:tc>
              <w:tc>
                <w:tcPr>
                  <w:tcW w:w="1375" w:type="pct"/>
                  <w:gridSpan w:val="2"/>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2500</w:t>
                  </w:r>
                </w:p>
              </w:tc>
              <w:tc>
                <w:tcPr>
                  <w:tcW w:w="1114" w:type="pct"/>
                  <w:gridSpan w:val="2"/>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2500</w:t>
                  </w:r>
                </w:p>
              </w:tc>
              <w:tc>
                <w:tcPr>
                  <w:tcW w:w="705" w:type="pct"/>
                  <w:vMerge w:val="restar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产品带走</w:t>
                  </w:r>
                </w:p>
              </w:tc>
              <w:tc>
                <w:tcPr>
                  <w:tcW w:w="985" w:type="pct"/>
                  <w:gridSpan w:val="2"/>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819" w:type="pc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装袋用水</w:t>
                  </w:r>
                </w:p>
                <w:p>
                  <w:pPr>
                    <w:topLinePunct/>
                    <w:spacing w:line="240" w:lineRule="atLeast"/>
                    <w:jc w:val="center"/>
                    <w:textAlignment w:val="center"/>
                    <w:rPr>
                      <w:rFonts w:ascii="宋体" w:hAnsi="宋体" w:cs="宋体"/>
                      <w:sz w:val="18"/>
                      <w:szCs w:val="18"/>
                    </w:rPr>
                  </w:pPr>
                </w:p>
              </w:tc>
              <w:tc>
                <w:tcPr>
                  <w:tcW w:w="1375" w:type="pct"/>
                  <w:gridSpan w:val="2"/>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3000</w:t>
                  </w:r>
                </w:p>
              </w:tc>
              <w:tc>
                <w:tcPr>
                  <w:tcW w:w="1114" w:type="pct"/>
                  <w:gridSpan w:val="2"/>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3000</w:t>
                  </w:r>
                </w:p>
              </w:tc>
              <w:tc>
                <w:tcPr>
                  <w:tcW w:w="705" w:type="pct"/>
                  <w:vMerge w:val="continue"/>
                  <w:vAlign w:val="center"/>
                </w:tcPr>
                <w:p>
                  <w:pPr>
                    <w:topLinePunct/>
                    <w:spacing w:line="240" w:lineRule="atLeast"/>
                    <w:jc w:val="center"/>
                    <w:textAlignment w:val="center"/>
                    <w:rPr>
                      <w:rFonts w:ascii="宋体" w:hAnsi="宋体" w:cs="宋体"/>
                      <w:sz w:val="18"/>
                      <w:szCs w:val="18"/>
                    </w:rPr>
                  </w:pPr>
                </w:p>
              </w:tc>
              <w:tc>
                <w:tcPr>
                  <w:tcW w:w="985" w:type="pct"/>
                  <w:gridSpan w:val="2"/>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819" w:type="pct"/>
                  <w:vMerge w:val="restar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锅炉用水</w:t>
                  </w:r>
                </w:p>
              </w:tc>
              <w:tc>
                <w:tcPr>
                  <w:tcW w:w="1375" w:type="pct"/>
                  <w:gridSpan w:val="2"/>
                  <w:vMerge w:val="restar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2400</w:t>
                  </w:r>
                </w:p>
              </w:tc>
              <w:tc>
                <w:tcPr>
                  <w:tcW w:w="521" w:type="pct"/>
                  <w:vMerge w:val="restar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2397</w:t>
                  </w:r>
                </w:p>
              </w:tc>
              <w:tc>
                <w:tcPr>
                  <w:tcW w:w="592" w:type="pct"/>
                  <w:vAlign w:val="center"/>
                </w:tcPr>
                <w:p>
                  <w:pPr>
                    <w:topLinePunct/>
                    <w:spacing w:line="240" w:lineRule="atLeast"/>
                    <w:jc w:val="center"/>
                    <w:textAlignment w:val="center"/>
                    <w:rPr>
                      <w:rFonts w:ascii="宋体" w:hAnsi="宋体" w:cs="宋体"/>
                      <w:sz w:val="18"/>
                      <w:szCs w:val="18"/>
                      <w:highlight w:val="yellow"/>
                    </w:rPr>
                  </w:pPr>
                  <w:r>
                    <w:rPr>
                      <w:rFonts w:hint="eastAsia" w:ascii="宋体" w:hAnsi="宋体" w:cs="宋体"/>
                      <w:sz w:val="18"/>
                      <w:szCs w:val="18"/>
                    </w:rPr>
                    <w:t>2349</w:t>
                  </w:r>
                </w:p>
              </w:tc>
              <w:tc>
                <w:tcPr>
                  <w:tcW w:w="705" w:type="pc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蒸汽带走</w:t>
                  </w:r>
                </w:p>
              </w:tc>
              <w:tc>
                <w:tcPr>
                  <w:tcW w:w="985" w:type="pct"/>
                  <w:gridSpan w:val="2"/>
                  <w:vMerge w:val="restar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819" w:type="pct"/>
                  <w:vMerge w:val="continue"/>
                  <w:vAlign w:val="center"/>
                </w:tcPr>
                <w:p>
                  <w:pPr>
                    <w:topLinePunct/>
                    <w:spacing w:line="240" w:lineRule="atLeast"/>
                    <w:jc w:val="center"/>
                    <w:textAlignment w:val="center"/>
                    <w:rPr>
                      <w:rFonts w:ascii="宋体" w:hAnsi="宋体" w:cs="宋体"/>
                      <w:sz w:val="18"/>
                      <w:szCs w:val="18"/>
                    </w:rPr>
                  </w:pPr>
                </w:p>
              </w:tc>
              <w:tc>
                <w:tcPr>
                  <w:tcW w:w="1375" w:type="pct"/>
                  <w:gridSpan w:val="2"/>
                  <w:vMerge w:val="continue"/>
                  <w:vAlign w:val="center"/>
                </w:tcPr>
                <w:p>
                  <w:pPr>
                    <w:topLinePunct/>
                    <w:spacing w:line="240" w:lineRule="atLeast"/>
                    <w:jc w:val="center"/>
                    <w:textAlignment w:val="center"/>
                    <w:rPr>
                      <w:rFonts w:ascii="宋体" w:hAnsi="宋体" w:cs="宋体"/>
                      <w:sz w:val="18"/>
                      <w:szCs w:val="18"/>
                    </w:rPr>
                  </w:pPr>
                </w:p>
              </w:tc>
              <w:tc>
                <w:tcPr>
                  <w:tcW w:w="521" w:type="pct"/>
                  <w:vMerge w:val="continue"/>
                  <w:vAlign w:val="center"/>
                </w:tcPr>
                <w:p>
                  <w:pPr>
                    <w:topLinePunct/>
                    <w:spacing w:line="240" w:lineRule="atLeast"/>
                    <w:jc w:val="center"/>
                    <w:textAlignment w:val="center"/>
                    <w:rPr>
                      <w:rFonts w:ascii="宋体" w:hAnsi="宋体" w:cs="宋体"/>
                      <w:sz w:val="18"/>
                      <w:szCs w:val="18"/>
                    </w:rPr>
                  </w:pPr>
                </w:p>
              </w:tc>
              <w:tc>
                <w:tcPr>
                  <w:tcW w:w="592" w:type="pc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48</w:t>
                  </w:r>
                </w:p>
              </w:tc>
              <w:tc>
                <w:tcPr>
                  <w:tcW w:w="705" w:type="pc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冷凝水</w:t>
                  </w:r>
                </w:p>
              </w:tc>
              <w:tc>
                <w:tcPr>
                  <w:tcW w:w="985" w:type="pct"/>
                  <w:gridSpan w:val="2"/>
                  <w:vMerge w:val="continue"/>
                  <w:vAlign w:val="center"/>
                </w:tcPr>
                <w:p>
                  <w:pPr>
                    <w:topLinePunct/>
                    <w:spacing w:line="240" w:lineRule="atLeast"/>
                    <w:jc w:val="center"/>
                    <w:textAlignment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819" w:type="pct"/>
                  <w:vMerge w:val="continue"/>
                  <w:vAlign w:val="center"/>
                </w:tcPr>
                <w:p>
                  <w:pPr>
                    <w:topLinePunct/>
                    <w:spacing w:line="240" w:lineRule="atLeast"/>
                    <w:jc w:val="center"/>
                    <w:textAlignment w:val="center"/>
                    <w:rPr>
                      <w:rFonts w:ascii="宋体" w:hAnsi="宋体" w:cs="宋体"/>
                      <w:sz w:val="18"/>
                      <w:szCs w:val="18"/>
                    </w:rPr>
                  </w:pPr>
                </w:p>
              </w:tc>
              <w:tc>
                <w:tcPr>
                  <w:tcW w:w="1375" w:type="pct"/>
                  <w:gridSpan w:val="2"/>
                  <w:vMerge w:val="continue"/>
                  <w:vAlign w:val="center"/>
                </w:tcPr>
                <w:p>
                  <w:pPr>
                    <w:topLinePunct/>
                    <w:spacing w:line="240" w:lineRule="atLeast"/>
                    <w:jc w:val="center"/>
                    <w:textAlignment w:val="center"/>
                    <w:rPr>
                      <w:rFonts w:ascii="宋体" w:hAnsi="宋体" w:cs="宋体"/>
                      <w:sz w:val="18"/>
                      <w:szCs w:val="18"/>
                    </w:rPr>
                  </w:pPr>
                </w:p>
              </w:tc>
              <w:tc>
                <w:tcPr>
                  <w:tcW w:w="1114" w:type="pct"/>
                  <w:gridSpan w:val="2"/>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3</w:t>
                  </w:r>
                </w:p>
              </w:tc>
              <w:tc>
                <w:tcPr>
                  <w:tcW w:w="705" w:type="pc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排空水</w:t>
                  </w:r>
                </w:p>
              </w:tc>
              <w:tc>
                <w:tcPr>
                  <w:tcW w:w="985" w:type="pct"/>
                  <w:gridSpan w:val="2"/>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trPr>
              <w:tc>
                <w:tcPr>
                  <w:tcW w:w="819" w:type="pc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生活用水</w:t>
                  </w:r>
                </w:p>
              </w:tc>
              <w:tc>
                <w:tcPr>
                  <w:tcW w:w="1375" w:type="pct"/>
                  <w:gridSpan w:val="2"/>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101.36</w:t>
                  </w:r>
                </w:p>
              </w:tc>
              <w:tc>
                <w:tcPr>
                  <w:tcW w:w="1114" w:type="pct"/>
                  <w:gridSpan w:val="2"/>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20.68</w:t>
                  </w:r>
                </w:p>
              </w:tc>
              <w:tc>
                <w:tcPr>
                  <w:tcW w:w="705" w:type="pc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蒸发</w:t>
                  </w:r>
                </w:p>
              </w:tc>
              <w:tc>
                <w:tcPr>
                  <w:tcW w:w="480" w:type="pct"/>
                  <w:vAlign w:val="center"/>
                </w:tcPr>
                <w:p>
                  <w:pPr>
                    <w:topLinePunct/>
                    <w:spacing w:line="240" w:lineRule="atLeast"/>
                    <w:jc w:val="center"/>
                    <w:textAlignment w:val="center"/>
                    <w:rPr>
                      <w:rFonts w:ascii="宋体" w:hAnsi="宋体" w:cs="宋体"/>
                      <w:sz w:val="18"/>
                      <w:szCs w:val="18"/>
                    </w:rPr>
                  </w:pPr>
                </w:p>
                <w:p>
                  <w:pPr>
                    <w:topLinePunct/>
                    <w:spacing w:line="240" w:lineRule="atLeast"/>
                    <w:jc w:val="center"/>
                    <w:textAlignment w:val="center"/>
                    <w:rPr>
                      <w:rFonts w:ascii="宋体" w:hAnsi="宋体" w:cs="宋体"/>
                      <w:sz w:val="18"/>
                      <w:szCs w:val="18"/>
                    </w:rPr>
                  </w:pPr>
                  <w:r>
                    <w:rPr>
                      <w:rFonts w:hint="eastAsia" w:ascii="宋体" w:hAnsi="宋体" w:cs="宋体"/>
                      <w:sz w:val="18"/>
                      <w:szCs w:val="18"/>
                    </w:rPr>
                    <w:t>80.68</w:t>
                  </w:r>
                </w:p>
                <w:p>
                  <w:pPr>
                    <w:topLinePunct/>
                    <w:spacing w:line="240" w:lineRule="atLeast"/>
                    <w:jc w:val="center"/>
                    <w:textAlignment w:val="center"/>
                    <w:rPr>
                      <w:rFonts w:ascii="宋体" w:hAnsi="宋体" w:cs="宋体"/>
                      <w:sz w:val="18"/>
                      <w:szCs w:val="18"/>
                    </w:rPr>
                  </w:pPr>
                </w:p>
              </w:tc>
              <w:tc>
                <w:tcPr>
                  <w:tcW w:w="504" w:type="pc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819" w:type="pct"/>
                  <w:vMerge w:val="restar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粉碎喷淋用水</w:t>
                  </w:r>
                </w:p>
              </w:tc>
              <w:tc>
                <w:tcPr>
                  <w:tcW w:w="762" w:type="pc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新鲜水</w:t>
                  </w:r>
                </w:p>
              </w:tc>
              <w:tc>
                <w:tcPr>
                  <w:tcW w:w="613" w:type="pc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10</w:t>
                  </w:r>
                </w:p>
              </w:tc>
              <w:tc>
                <w:tcPr>
                  <w:tcW w:w="1819" w:type="pct"/>
                  <w:gridSpan w:val="3"/>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10</w:t>
                  </w:r>
                </w:p>
              </w:tc>
              <w:tc>
                <w:tcPr>
                  <w:tcW w:w="985" w:type="pct"/>
                  <w:gridSpan w:val="2"/>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819" w:type="pct"/>
                  <w:vMerge w:val="continue"/>
                  <w:vAlign w:val="center"/>
                </w:tcPr>
                <w:p>
                  <w:pPr>
                    <w:topLinePunct/>
                    <w:spacing w:line="240" w:lineRule="atLeast"/>
                    <w:jc w:val="center"/>
                    <w:textAlignment w:val="center"/>
                    <w:rPr>
                      <w:rFonts w:ascii="宋体" w:hAnsi="宋体" w:cs="宋体"/>
                      <w:sz w:val="18"/>
                      <w:szCs w:val="18"/>
                    </w:rPr>
                  </w:pPr>
                </w:p>
              </w:tc>
              <w:tc>
                <w:tcPr>
                  <w:tcW w:w="762" w:type="pc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锅炉排空水</w:t>
                  </w:r>
                </w:p>
              </w:tc>
              <w:tc>
                <w:tcPr>
                  <w:tcW w:w="613" w:type="pc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3</w:t>
                  </w:r>
                </w:p>
              </w:tc>
              <w:tc>
                <w:tcPr>
                  <w:tcW w:w="1819" w:type="pct"/>
                  <w:gridSpan w:val="3"/>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3</w:t>
                  </w:r>
                </w:p>
              </w:tc>
              <w:tc>
                <w:tcPr>
                  <w:tcW w:w="985" w:type="pct"/>
                  <w:gridSpan w:val="2"/>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trPr>
              <w:tc>
                <w:tcPr>
                  <w:tcW w:w="819" w:type="pct"/>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用水总量</w:t>
                  </w:r>
                </w:p>
              </w:tc>
              <w:tc>
                <w:tcPr>
                  <w:tcW w:w="1375" w:type="pct"/>
                  <w:gridSpan w:val="2"/>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8011.36</w:t>
                  </w:r>
                </w:p>
              </w:tc>
              <w:tc>
                <w:tcPr>
                  <w:tcW w:w="1819" w:type="pct"/>
                  <w:gridSpan w:val="3"/>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7930.68</w:t>
                  </w:r>
                </w:p>
              </w:tc>
              <w:tc>
                <w:tcPr>
                  <w:tcW w:w="985" w:type="pct"/>
                  <w:gridSpan w:val="2"/>
                  <w:vAlign w:val="center"/>
                </w:tcPr>
                <w:p>
                  <w:pPr>
                    <w:topLinePunct/>
                    <w:spacing w:line="240" w:lineRule="atLeast"/>
                    <w:jc w:val="center"/>
                    <w:textAlignment w:val="center"/>
                    <w:rPr>
                      <w:rFonts w:ascii="宋体" w:hAnsi="宋体" w:cs="宋体"/>
                      <w:sz w:val="18"/>
                      <w:szCs w:val="18"/>
                    </w:rPr>
                  </w:pPr>
                  <w:r>
                    <w:rPr>
                      <w:rFonts w:hint="eastAsia" w:ascii="宋体" w:hAnsi="宋体" w:cs="宋体"/>
                      <w:sz w:val="18"/>
                      <w:szCs w:val="18"/>
                    </w:rPr>
                    <w:t>80.68</w:t>
                  </w:r>
                </w:p>
              </w:tc>
            </w:tr>
          </w:tbl>
          <w:p>
            <w:pPr>
              <w:spacing w:line="360" w:lineRule="auto"/>
              <w:ind w:firstLine="422" w:firstLineChars="200"/>
              <w:jc w:val="center"/>
              <w:rPr>
                <w:b/>
                <w:bCs/>
                <w:szCs w:val="21"/>
              </w:rPr>
            </w:pPr>
          </w:p>
          <w:p>
            <w:pPr>
              <w:spacing w:line="360" w:lineRule="auto"/>
              <w:ind w:firstLine="422" w:firstLineChars="200"/>
              <w:jc w:val="center"/>
              <w:rPr>
                <w:b/>
                <w:bCs/>
                <w:szCs w:val="21"/>
              </w:rPr>
            </w:pPr>
          </w:p>
          <w:p>
            <w:pPr>
              <w:spacing w:line="360" w:lineRule="auto"/>
              <w:jc w:val="center"/>
              <w:rPr>
                <w:b/>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41" w:hRule="atLeast"/>
          <w:jc w:val="center"/>
        </w:trPr>
        <w:tc>
          <w:tcPr>
            <w:tcW w:w="439" w:type="dxa"/>
            <w:noWrap/>
            <w:vAlign w:val="center"/>
          </w:tcPr>
          <w:p>
            <w:pPr>
              <w:pStyle w:val="20"/>
              <w:adjustRightInd w:val="0"/>
              <w:snapToGrid w:val="0"/>
              <w:spacing w:before="0" w:beforeAutospacing="0" w:after="0" w:afterAutospacing="0"/>
              <w:jc w:val="center"/>
              <w:rPr>
                <w:rFonts w:ascii="Times New Roman" w:hAnsi="Times New Roman"/>
                <w:sz w:val="21"/>
                <w:szCs w:val="21"/>
              </w:rPr>
            </w:pPr>
            <w:r>
              <w:rPr>
                <w:rFonts w:ascii="Times New Roman" w:hAnsi="Times New Roman"/>
                <w:color w:val="000000" w:themeColor="text1"/>
                <w:sz w:val="21"/>
                <w:szCs w:val="21"/>
                <w14:textFill>
                  <w14:solidFill>
                    <w14:schemeClr w14:val="tx1"/>
                  </w14:solidFill>
                </w14:textFill>
              </w:rPr>
              <w:t>工艺流程和产排污环节</w:t>
            </w:r>
          </w:p>
        </w:tc>
        <w:tc>
          <w:tcPr>
            <w:tcW w:w="8621" w:type="dxa"/>
            <w:noWrap/>
          </w:tcPr>
          <w:p>
            <w:pPr>
              <w:adjustRightInd w:val="0"/>
              <w:snapToGrid w:val="0"/>
              <w:spacing w:line="360" w:lineRule="auto"/>
              <w:ind w:firstLine="422" w:firstLineChars="200"/>
              <w:rPr>
                <w:rFonts w:ascii="宋体" w:hAnsi="宋体" w:cs="宋体"/>
              </w:rPr>
            </w:pPr>
            <w:r>
              <w:rPr>
                <w:rFonts w:hint="eastAsia" w:ascii="宋体" w:hAnsi="宋体" w:cs="宋体"/>
                <w:b/>
                <w:bCs/>
              </w:rPr>
              <w:t>1、工艺流程及产污环节简述</w:t>
            </w:r>
            <w:r>
              <w:rPr>
                <w:rFonts w:hint="eastAsia" w:ascii="宋体" w:hAnsi="宋体" w:cs="宋体"/>
              </w:rPr>
              <w:t>：</w:t>
            </w:r>
          </w:p>
          <w:p>
            <w:pPr>
              <w:pStyle w:val="8"/>
              <w:spacing w:line="360" w:lineRule="auto"/>
              <w:ind w:firstLineChars="200"/>
              <w:rPr>
                <w:rFonts w:ascii="宋体" w:hAnsi="宋体" w:cs="宋体"/>
                <w:sz w:val="21"/>
                <w:szCs w:val="21"/>
              </w:rPr>
            </w:pPr>
            <w:r>
              <w:rPr>
                <w:rFonts w:hint="eastAsia" w:ascii="宋体" w:hAnsi="宋体" w:cs="宋体"/>
                <w:sz w:val="21"/>
                <w:szCs w:val="21"/>
              </w:rPr>
              <w:t>本项目工艺为食用菌棒的生产，年产食用菌棒1000万袋，主要工艺流程简述如下：</w:t>
            </w:r>
          </w:p>
          <w:p>
            <w:pPr>
              <w:pStyle w:val="41"/>
              <w:spacing w:line="360" w:lineRule="auto"/>
              <w:ind w:firstLine="420" w:firstLineChars="200"/>
              <w:jc w:val="both"/>
              <w:rPr>
                <w:rFonts w:ascii="宋体" w:hAnsi="宋体" w:cs="宋体"/>
                <w:color w:val="auto"/>
                <w:kern w:val="2"/>
                <w:sz w:val="21"/>
                <w:szCs w:val="21"/>
                <w:highlight w:val="yellow"/>
              </w:rPr>
            </w:pPr>
            <w:r>
              <w:rPr>
                <w:rFonts w:hint="eastAsia" w:ascii="宋体" w:hAnsi="宋体" w:cs="宋体"/>
                <w:color w:val="auto"/>
                <w:sz w:val="21"/>
                <w:szCs w:val="21"/>
              </w:rPr>
              <w:t>（1）原料的制备：将选购好的木材原料在封闭车间进行粉碎（出入料口设置布袋除尘器及水喷淋），</w:t>
            </w:r>
            <w:r>
              <w:rPr>
                <w:rFonts w:hint="eastAsia" w:ascii="宋体" w:hAnsi="宋体" w:cs="宋体"/>
                <w:color w:val="auto"/>
                <w:kern w:val="2"/>
                <w:sz w:val="21"/>
                <w:szCs w:val="21"/>
              </w:rPr>
              <w:t>粉碎后的主料先进行预湿，并配以营养料、糖等，再置于搅拌机中搅拌至混料均匀，由于预湿过程需要大量加水调解至合适的含水量（调解PH到适当范围），搅拌工序基本无废气产生。</w:t>
            </w:r>
          </w:p>
          <w:p>
            <w:pPr>
              <w:spacing w:line="360" w:lineRule="auto"/>
              <w:ind w:firstLine="420" w:firstLineChars="200"/>
              <w:rPr>
                <w:rFonts w:ascii="宋体" w:hAnsi="宋体" w:cs="宋体"/>
                <w:szCs w:val="21"/>
              </w:rPr>
            </w:pPr>
            <w:r>
              <w:rPr>
                <w:rFonts w:hint="eastAsia" w:ascii="宋体" w:hAnsi="宋体" w:cs="宋体"/>
                <w:szCs w:val="21"/>
              </w:rPr>
              <w:t>（2）菌包装袋：经搅拌达到要求的原料装袋得到菌包。</w:t>
            </w:r>
          </w:p>
          <w:p>
            <w:pPr>
              <w:spacing w:line="360" w:lineRule="auto"/>
              <w:ind w:firstLine="420" w:firstLineChars="200"/>
              <w:rPr>
                <w:rFonts w:ascii="宋体" w:hAnsi="宋体" w:cs="宋体"/>
                <w:szCs w:val="21"/>
              </w:rPr>
            </w:pPr>
            <w:r>
              <w:rPr>
                <w:rFonts w:hint="eastAsia" w:ascii="宋体" w:hAnsi="宋体" w:cs="宋体"/>
                <w:szCs w:val="21"/>
              </w:rPr>
              <w:t>（3）灭菌：将做好的菌包送入灭菌室中，通入锅炉产生的蒸汽，对装好的菌包进行消毒灭菌。本项目锅炉采用生物质锅炉进行高温灭菌，生物质锅炉产生废气通过除尘器净化处理后经35米高排气筒高空排放。</w:t>
            </w:r>
          </w:p>
          <w:p>
            <w:pPr>
              <w:spacing w:line="360" w:lineRule="auto"/>
              <w:ind w:firstLine="420" w:firstLineChars="200"/>
              <w:rPr>
                <w:rFonts w:ascii="宋体" w:hAnsi="宋体" w:cs="宋体"/>
                <w:szCs w:val="21"/>
              </w:rPr>
            </w:pPr>
            <w:r>
              <w:rPr>
                <w:rFonts w:hint="eastAsia" w:ascii="宋体" w:hAnsi="宋体" w:cs="宋体"/>
                <w:szCs w:val="21"/>
              </w:rPr>
              <w:t>（4）冷却：打开灭菌室门，先送入预冷室中进行自然冷却，温度降至约40℃后送至冷却室中，冷却室温度控制在25℃左右。</w:t>
            </w:r>
          </w:p>
          <w:p>
            <w:pPr>
              <w:spacing w:line="360" w:lineRule="auto"/>
              <w:ind w:firstLine="420" w:firstLineChars="200"/>
              <w:rPr>
                <w:rFonts w:ascii="宋体" w:hAnsi="宋体" w:cs="宋体"/>
                <w:szCs w:val="21"/>
              </w:rPr>
            </w:pPr>
            <w:r>
              <w:rPr>
                <w:rFonts w:hint="eastAsia" w:ascii="宋体" w:hAnsi="宋体" w:cs="宋体"/>
                <w:szCs w:val="21"/>
              </w:rPr>
              <w:t>（5）制种：本项目制种在实验室内进行，本实验室只进行简单的菌种制备，所用原料为水和营养液（豆粕和红糖）按比例进行培育，不涉及化学试剂。产生废弃培养皿为一般固废，经高温消毒后交由环卫部门单位拉运处理。</w:t>
            </w:r>
          </w:p>
          <w:p>
            <w:pPr>
              <w:spacing w:line="360" w:lineRule="auto"/>
              <w:ind w:firstLine="420" w:firstLineChars="200"/>
              <w:rPr>
                <w:rFonts w:ascii="宋体" w:hAnsi="宋体" w:cs="宋体"/>
                <w:szCs w:val="21"/>
              </w:rPr>
            </w:pPr>
            <w:r>
              <w:rPr>
                <w:rFonts w:hint="eastAsia" w:ascii="宋体" w:hAnsi="宋体" w:cs="宋体"/>
                <w:szCs w:val="21"/>
              </w:rPr>
              <w:t>制种过程：清洗和检查液体菌种发酵罐，同时制备培养基，将原料上料装罐，利用灭菌后培养基，待其冷却降温后，接入菌种进行发酵培养，最后接出菌种备用。</w:t>
            </w:r>
          </w:p>
          <w:p>
            <w:pPr>
              <w:spacing w:line="360" w:lineRule="auto"/>
              <w:ind w:firstLine="420" w:firstLineChars="200"/>
              <w:rPr>
                <w:rFonts w:ascii="宋体" w:hAnsi="宋体" w:cs="宋体"/>
                <w:szCs w:val="21"/>
              </w:rPr>
            </w:pPr>
            <w:r>
              <w:rPr>
                <w:rFonts w:hint="eastAsia" w:ascii="宋体" w:hAnsi="宋体" w:cs="宋体"/>
                <w:szCs w:val="21"/>
              </w:rPr>
              <w:t xml:space="preserve">（6）接种：冷却达到要求温度的菌包送到接种室内，进行接种。将菌种接种在菌包开口的一头。 </w:t>
            </w:r>
          </w:p>
          <w:p>
            <w:pPr>
              <w:spacing w:line="360" w:lineRule="auto"/>
              <w:ind w:firstLine="420" w:firstLineChars="200"/>
              <w:rPr>
                <w:rFonts w:ascii="宋体" w:hAnsi="宋体" w:cs="宋体"/>
                <w:szCs w:val="21"/>
              </w:rPr>
            </w:pPr>
            <w:r>
              <w:rPr>
                <w:rFonts w:hint="eastAsia" w:ascii="宋体" w:hAnsi="宋体" w:cs="宋体"/>
                <w:szCs w:val="21"/>
              </w:rPr>
              <w:t>（7）培菌：接种好的菌包送至培菌车间进行培养，经过约一段时间的培养后，菌丝全部长满菌包即可转出，然后称量后包入保鲜袋放入库中保存、待售。</w:t>
            </w:r>
          </w:p>
          <w:p>
            <w:pPr>
              <w:spacing w:line="360" w:lineRule="auto"/>
              <w:ind w:firstLine="420" w:firstLineChars="200"/>
              <w:rPr>
                <w:rFonts w:ascii="宋体" w:hAnsi="宋体" w:cs="宋体"/>
                <w:snapToGrid w:val="0"/>
                <w:kern w:val="0"/>
                <w:szCs w:val="21"/>
                <w:highlight w:val="yellow"/>
              </w:rPr>
            </w:pPr>
            <w:r>
              <w:rPr>
                <w:rFonts w:hint="eastAsia" w:ascii="宋体" w:hAnsi="宋体" w:cs="宋体"/>
                <w:snapToGrid w:val="0"/>
                <w:kern w:val="0"/>
                <w:szCs w:val="21"/>
              </w:rPr>
              <w:t>本项目生产过程</w:t>
            </w:r>
            <w:r>
              <w:rPr>
                <w:rFonts w:hint="eastAsia" w:ascii="宋体" w:hAnsi="宋体" w:cs="宋体"/>
                <w:snapToGrid w:val="0"/>
                <w:szCs w:val="21"/>
              </w:rPr>
              <w:t>无废水产生；因锅炉产生的蒸汽作用仅为：对菌包进行高温消毒，锅炉用水无需软化，冷凝水经回收装置返回锅炉收集循环利用；每年生产运营期结束后蒸汽锅炉需定期排空水，废水暂存于厂区储水罐内，用于粉碎工序喷淋用水</w:t>
            </w:r>
            <w:r>
              <w:rPr>
                <w:rFonts w:hint="eastAsia" w:ascii="宋体" w:hAnsi="宋体" w:cs="宋体"/>
                <w:snapToGrid w:val="0"/>
                <w:kern w:val="0"/>
                <w:szCs w:val="21"/>
              </w:rPr>
              <w:t>。废气主要是生物质锅炉提供蒸汽热源过程中产生的锅炉烟气，主要为颗粒物、二氧化硫、氮氧化物，锅炉烟气通过自带布袋除尘器净化后经35米高排气筒高空排放。另外项目生产维护检修产生的废油、废油桶全部暂存于危废间内，交由</w:t>
            </w:r>
            <w:r>
              <w:rPr>
                <w:rFonts w:hint="eastAsia" w:ascii="宋体" w:hAnsi="宋体" w:cs="宋体"/>
                <w:szCs w:val="21"/>
              </w:rPr>
              <w:t>秦皇岛市徐山口危险废物处理有限公司拉运处理。</w:t>
            </w:r>
          </w:p>
          <w:p>
            <w:pPr>
              <w:autoSpaceDE w:val="0"/>
              <w:autoSpaceDN w:val="0"/>
              <w:adjustRightInd w:val="0"/>
              <w:spacing w:line="360" w:lineRule="auto"/>
              <w:ind w:firstLine="422" w:firstLineChars="200"/>
              <w:textAlignment w:val="baseline"/>
              <w:rPr>
                <w:rFonts w:ascii="宋体" w:hAnsi="宋体" w:cs="宋体"/>
                <w:b/>
                <w:bCs/>
                <w:snapToGrid w:val="0"/>
                <w:kern w:val="0"/>
                <w:szCs w:val="21"/>
              </w:rPr>
            </w:pPr>
            <w:r>
              <w:rPr>
                <w:rFonts w:hint="eastAsia" w:ascii="宋体" w:hAnsi="宋体" w:cs="宋体"/>
                <w:b/>
                <w:bCs/>
                <w:snapToGrid w:val="0"/>
                <w:kern w:val="0"/>
                <w:szCs w:val="21"/>
              </w:rPr>
              <w:t>2、本项目生产工艺过程及产排污节点见下图。</w:t>
            </w:r>
          </w:p>
          <w:p>
            <w:pPr>
              <w:pStyle w:val="31"/>
              <w:ind w:firstLine="420"/>
              <w:rPr>
                <w:snapToGrid w:val="0"/>
                <w:kern w:val="0"/>
                <w:szCs w:val="21"/>
              </w:rPr>
            </w:pPr>
          </w:p>
          <w:p>
            <w:pPr>
              <w:pStyle w:val="31"/>
              <w:ind w:firstLine="420"/>
              <w:rPr>
                <w:snapToGrid w:val="0"/>
                <w:color w:val="000000" w:themeColor="text1"/>
                <w:kern w:val="0"/>
                <w:szCs w:val="21"/>
                <w14:textFill>
                  <w14:solidFill>
                    <w14:schemeClr w14:val="tx1"/>
                  </w14:solidFill>
                </w14:textFill>
              </w:rPr>
            </w:pPr>
          </w:p>
          <w:p>
            <w:pPr>
              <w:pStyle w:val="31"/>
              <w:ind w:firstLine="420"/>
              <w:rPr>
                <w:snapToGrid w:val="0"/>
                <w:color w:val="000000" w:themeColor="text1"/>
                <w:kern w:val="0"/>
                <w:szCs w:val="21"/>
                <w14:textFill>
                  <w14:solidFill>
                    <w14:schemeClr w14:val="tx1"/>
                  </w14:solidFill>
                </w14:textFill>
              </w:rPr>
            </w:pPr>
          </w:p>
          <w:p>
            <w:pPr>
              <w:pStyle w:val="31"/>
              <w:ind w:firstLine="420"/>
              <w:rPr>
                <w:snapToGrid w:val="0"/>
                <w:color w:val="000000" w:themeColor="text1"/>
                <w:kern w:val="0"/>
                <w:szCs w:val="21"/>
                <w14:textFill>
                  <w14:solidFill>
                    <w14:schemeClr w14:val="tx1"/>
                  </w14:solidFill>
                </w14:textFill>
              </w:rPr>
            </w:pPr>
          </w:p>
          <w:p>
            <w:pPr>
              <w:pStyle w:val="31"/>
              <w:ind w:firstLine="0" w:firstLineChars="0"/>
              <w:rPr>
                <w:snapToGrid w:val="0"/>
                <w:color w:val="000000" w:themeColor="text1"/>
                <w:kern w:val="0"/>
                <w:szCs w:val="21"/>
                <w14:textFill>
                  <w14:solidFill>
                    <w14:schemeClr w14:val="tx1"/>
                  </w14:solidFill>
                </w14:textFill>
              </w:rPr>
            </w:pPr>
          </w:p>
          <w:p>
            <w:pPr>
              <w:pStyle w:val="19"/>
              <w:rPr>
                <w:rFonts w:hint="eastAsia" w:eastAsia="宋体"/>
                <w:lang w:eastAsia="zh-CN"/>
              </w:rPr>
            </w:pPr>
            <w:r>
              <w:rPr>
                <w:rFonts w:hint="eastAsia" w:eastAsia="宋体"/>
                <w:lang w:eastAsia="zh-CN"/>
              </w:rPr>
              <w:drawing>
                <wp:inline distT="0" distB="0" distL="114300" distR="114300">
                  <wp:extent cx="5335905" cy="5597525"/>
                  <wp:effectExtent l="0" t="0" r="17145" b="3175"/>
                  <wp:docPr id="133" name="图片 13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11"/>
                          <pic:cNvPicPr>
                            <a:picLocks noChangeAspect="1"/>
                          </pic:cNvPicPr>
                        </pic:nvPicPr>
                        <pic:blipFill>
                          <a:blip r:embed="rId15"/>
                          <a:stretch>
                            <a:fillRect/>
                          </a:stretch>
                        </pic:blipFill>
                        <pic:spPr>
                          <a:xfrm>
                            <a:off x="0" y="0"/>
                            <a:ext cx="5335905" cy="5597525"/>
                          </a:xfrm>
                          <a:prstGeom prst="rect">
                            <a:avLst/>
                          </a:prstGeom>
                        </pic:spPr>
                      </pic:pic>
                    </a:graphicData>
                  </a:graphic>
                </wp:inline>
              </w:drawing>
            </w:r>
          </w:p>
          <w:p>
            <w:pPr>
              <w:pStyle w:val="19"/>
            </w:pPr>
          </w:p>
          <w:p>
            <w:pPr>
              <w:pStyle w:val="19"/>
              <w:jc w:val="both"/>
              <w:rPr>
                <w:snapToGrid w:val="0"/>
                <w:kern w:val="0"/>
                <w:szCs w:val="21"/>
              </w:rPr>
            </w:pPr>
          </w:p>
          <w:p>
            <w:pPr>
              <w:pStyle w:val="19"/>
              <w:rPr>
                <w:snapToGrid w:val="0"/>
                <w:kern w:val="0"/>
                <w:szCs w:val="21"/>
              </w:rPr>
            </w:pPr>
            <w:r>
              <mc:AlternateContent>
                <mc:Choice Requires="wps">
                  <w:drawing>
                    <wp:anchor distT="0" distB="0" distL="114300" distR="114300" simplePos="0" relativeHeight="251662336" behindDoc="0" locked="0" layoutInCell="1" allowOverlap="1">
                      <wp:simplePos x="0" y="0"/>
                      <wp:positionH relativeFrom="column">
                        <wp:posOffset>1646555</wp:posOffset>
                      </wp:positionH>
                      <wp:positionV relativeFrom="paragraph">
                        <wp:posOffset>28575</wp:posOffset>
                      </wp:positionV>
                      <wp:extent cx="2180590" cy="380365"/>
                      <wp:effectExtent l="0" t="0" r="0" b="0"/>
                      <wp:wrapNone/>
                      <wp:docPr id="71" name="矩形 71"/>
                      <wp:cNvGraphicFramePr/>
                      <a:graphic xmlns:a="http://schemas.openxmlformats.org/drawingml/2006/main">
                        <a:graphicData uri="http://schemas.microsoft.com/office/word/2010/wordprocessingShape">
                          <wps:wsp>
                            <wps:cNvSpPr/>
                            <wps:spPr>
                              <a:xfrm>
                                <a:off x="2896235" y="6515735"/>
                                <a:ext cx="2180590" cy="380365"/>
                              </a:xfrm>
                              <a:prstGeom prst="rect">
                                <a:avLst/>
                              </a:prstGeom>
                              <a:noFill/>
                              <a:ln w="9525" cap="flat" cmpd="sng" algn="ctr">
                                <a:noFill/>
                                <a:prstDash val="solid"/>
                              </a:ln>
                              <a:effectLst/>
                            </wps:spPr>
                            <wps:txbx>
                              <w:txbxContent>
                                <w:p>
                                  <w:pPr>
                                    <w:pStyle w:val="41"/>
                                    <w:jc w:val="center"/>
                                    <w:rPr>
                                      <w:b/>
                                      <w:bCs/>
                                      <w:snapToGrid w:val="0"/>
                                      <w:color w:val="auto"/>
                                      <w:sz w:val="21"/>
                                      <w:szCs w:val="21"/>
                                    </w:rPr>
                                  </w:pPr>
                                  <w:r>
                                    <w:rPr>
                                      <w:rFonts w:hint="eastAsia"/>
                                      <w:b/>
                                      <w:bCs/>
                                      <w:snapToGrid w:val="0"/>
                                      <w:color w:val="auto"/>
                                      <w:sz w:val="21"/>
                                      <w:szCs w:val="21"/>
                                    </w:rPr>
                                    <w:t>图6 生产工艺流程及排污节点图</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65pt;margin-top:2.25pt;height:29.95pt;width:171.7pt;z-index:251662336;v-text-anchor:middle;mso-width-relative:page;mso-height-relative:page;" filled="f" stroked="f" coordsize="21600,21600" o:gfxdata="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x7uBf1QAAAAgBAAAPAAAAAAAAAAEAIAAAACIAAABkcnMvZG93bnJldi54bWxQSwECFAAU&#10;AAAACACHTuJAwgeKP2YCAACxBAAADgAAAAAAAAABACAAAAAkAQAAZHJzL2Uyb0RvYy54bWxQSwUG&#10;AAAAAAYABgBZAQAA/AUAAAAA&#10;">
                      <v:fill on="f" focussize="0,0"/>
                      <v:stroke on="f"/>
                      <v:imagedata o:title=""/>
                      <o:lock v:ext="edit" aspectratio="f"/>
                      <v:textbox>
                        <w:txbxContent>
                          <w:p>
                            <w:pPr>
                              <w:pStyle w:val="41"/>
                              <w:jc w:val="center"/>
                              <w:rPr>
                                <w:b/>
                                <w:bCs/>
                                <w:snapToGrid w:val="0"/>
                                <w:color w:val="auto"/>
                                <w:sz w:val="21"/>
                                <w:szCs w:val="21"/>
                              </w:rPr>
                            </w:pPr>
                            <w:r>
                              <w:rPr>
                                <w:rFonts w:hint="eastAsia"/>
                                <w:b/>
                                <w:bCs/>
                                <w:snapToGrid w:val="0"/>
                                <w:color w:val="auto"/>
                                <w:sz w:val="21"/>
                                <w:szCs w:val="21"/>
                              </w:rPr>
                              <w:t>图6 生产工艺流程及排污节点图</w:t>
                            </w:r>
                          </w:p>
                          <w:p>
                            <w:pPr>
                              <w:jc w:val="center"/>
                            </w:pPr>
                          </w:p>
                        </w:txbxContent>
                      </v:textbox>
                    </v:rect>
                  </w:pict>
                </mc:Fallback>
              </mc:AlternateContent>
            </w:r>
          </w:p>
          <w:p>
            <w:pPr>
              <w:pStyle w:val="19"/>
              <w:rPr>
                <w:snapToGrid w:val="0"/>
                <w:kern w:val="0"/>
                <w:szCs w:val="21"/>
              </w:rPr>
            </w:pPr>
          </w:p>
          <w:p>
            <w:pPr>
              <w:pStyle w:val="41"/>
              <w:jc w:val="both"/>
              <w:rPr>
                <w:color w:val="auto"/>
              </w:rPr>
            </w:pPr>
          </w:p>
          <w:p>
            <w:pPr>
              <w:pStyle w:val="41"/>
              <w:jc w:val="both"/>
              <w:rPr>
                <w:color w:val="auto"/>
              </w:rPr>
            </w:pPr>
          </w:p>
          <w:p>
            <w:pPr>
              <w:pStyle w:val="41"/>
              <w:jc w:val="both"/>
              <w:rPr>
                <w:color w:val="auto"/>
              </w:rPr>
            </w:pPr>
          </w:p>
          <w:p>
            <w:pPr>
              <w:pStyle w:val="41"/>
              <w:jc w:val="both"/>
              <w:rPr>
                <w:color w:val="auto"/>
              </w:rPr>
            </w:pPr>
          </w:p>
          <w:p>
            <w:pPr>
              <w:pStyle w:val="41"/>
              <w:jc w:val="both"/>
              <w:rPr>
                <w:color w:val="auto"/>
              </w:rPr>
            </w:pPr>
          </w:p>
          <w:p>
            <w:pPr>
              <w:pStyle w:val="41"/>
              <w:jc w:val="both"/>
              <w:rPr>
                <w:color w:val="auto"/>
              </w:rPr>
            </w:pPr>
          </w:p>
          <w:p>
            <w:pPr>
              <w:pStyle w:val="41"/>
              <w:jc w:val="both"/>
              <w:rPr>
                <w:color w:val="auto"/>
              </w:rPr>
            </w:pPr>
          </w:p>
          <w:p>
            <w:pPr>
              <w:pStyle w:val="41"/>
              <w:jc w:val="both"/>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33" w:hRule="atLeast"/>
          <w:jc w:val="center"/>
        </w:trPr>
        <w:tc>
          <w:tcPr>
            <w:tcW w:w="439" w:type="dxa"/>
            <w:noWrap/>
            <w:vAlign w:val="center"/>
          </w:tcPr>
          <w:p>
            <w:pPr>
              <w:pStyle w:val="20"/>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8621" w:type="dxa"/>
            <w:noWrap/>
          </w:tcPr>
          <w:p>
            <w:pPr>
              <w:spacing w:line="360" w:lineRule="auto"/>
              <w:ind w:firstLine="422" w:firstLineChars="200"/>
              <w:rPr>
                <w:rFonts w:ascii="宋体" w:hAnsi="宋体" w:cs="宋体"/>
                <w:b/>
                <w:bCs/>
                <w:szCs w:val="21"/>
              </w:rPr>
            </w:pPr>
            <w:r>
              <w:rPr>
                <w:rFonts w:hint="eastAsia" w:ascii="宋体" w:hAnsi="宋体" w:cs="宋体"/>
                <w:b/>
                <w:bCs/>
                <w:szCs w:val="21"/>
              </w:rPr>
              <w:t>1、现有项目建设规模及内容：</w:t>
            </w:r>
          </w:p>
          <w:p>
            <w:pPr>
              <w:spacing w:line="360" w:lineRule="auto"/>
              <w:ind w:firstLine="420" w:firstLineChars="200"/>
              <w:rPr>
                <w:rFonts w:ascii="宋体" w:hAnsi="宋体" w:cs="宋体"/>
                <w:szCs w:val="21"/>
              </w:rPr>
            </w:pPr>
            <w:r>
              <w:rPr>
                <w:rFonts w:hint="eastAsia" w:ascii="宋体" w:hAnsi="宋体" w:cs="宋体"/>
                <w:szCs w:val="21"/>
              </w:rPr>
              <w:t>项目建筑面积为3960平方米。共建设1-8号8个生产车间建筑面积相同，每个生产车间为495平方米，均作为养菌车间；设置2t生物质蒸汽锅炉一台，生产规模为年生产菌棒500万袋。厂区南侧建设原料堆场，占地面积约5亩。员工10人。</w:t>
            </w:r>
          </w:p>
          <w:p>
            <w:pPr>
              <w:spacing w:line="360" w:lineRule="auto"/>
              <w:ind w:firstLine="420" w:firstLineChars="200"/>
              <w:rPr>
                <w:rFonts w:ascii="宋体" w:hAnsi="宋体" w:cs="宋体"/>
                <w:szCs w:val="21"/>
              </w:rPr>
            </w:pPr>
            <w:r>
              <w:rPr>
                <w:rFonts w:hint="eastAsia" w:ascii="宋体" w:hAnsi="宋体" w:cs="宋体"/>
                <w:szCs w:val="21"/>
              </w:rPr>
              <w:t>现有项目仅为在生产车间进行食用菌的养殖，运营期产污环节主要为生物质锅炉废气、排空水、冷凝水及员工生活污水。锅炉冷凝水经回收装置返回锅炉收集循环利用；每年生产运营期结束后蒸汽锅炉需定期排空水，排空水量约为1m</w:t>
            </w:r>
            <w:r>
              <w:rPr>
                <w:rFonts w:hint="eastAsia" w:ascii="宋体" w:hAnsi="宋体" w:cs="宋体"/>
                <w:szCs w:val="21"/>
                <w:vertAlign w:val="superscript"/>
              </w:rPr>
              <w:t>3</w:t>
            </w:r>
            <w:r>
              <w:rPr>
                <w:rFonts w:hint="eastAsia" w:ascii="宋体" w:hAnsi="宋体" w:cs="宋体"/>
                <w:szCs w:val="21"/>
              </w:rPr>
              <w:t>/a，废水暂存于厂区储水罐内，用于粉碎工序喷淋用水。</w:t>
            </w:r>
          </w:p>
          <w:p>
            <w:pPr>
              <w:pStyle w:val="41"/>
              <w:spacing w:line="360" w:lineRule="auto"/>
              <w:ind w:firstLine="420" w:firstLineChars="200"/>
              <w:jc w:val="both"/>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（1）现有生物质锅炉废气污染源情况</w:t>
            </w:r>
          </w:p>
          <w:p>
            <w:pPr>
              <w:pStyle w:val="41"/>
              <w:spacing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现有项目设置1台2t/h生物质锅炉，由于1台2t/h生物质锅炉燃烧1小时需要消耗大概360kg生物质颗粒，年工作时间为400h，因此本项目所需生物质颗粒大概为144t/a，</w:t>
            </w:r>
          </w:p>
          <w:p>
            <w:pPr>
              <w:pStyle w:val="41"/>
              <w:spacing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源强核算根据《污染源源强核算技术指南 锅炉》（HJ991-2018），结合《排污许可证申请与核发技术规范 锅炉》（HJ953-2018）中关于燃生物质锅炉相关内容的规定。</w:t>
            </w:r>
          </w:p>
          <w:p>
            <w:pPr>
              <w:pStyle w:val="41"/>
              <w:spacing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1）废气量</w:t>
            </w:r>
          </w:p>
          <w:p>
            <w:pPr>
              <w:pStyle w:val="41"/>
              <w:spacing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 xml:space="preserve">   采用经验公式法估算基准烟气量，生物质颗粒含硫量低，经计算后无需增加脱硫设备可达标排放基准烟气量取值表如下：</w:t>
            </w:r>
          </w:p>
          <w:p>
            <w:pPr>
              <w:pStyle w:val="41"/>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基准烟气量取值表</w:t>
            </w:r>
          </w:p>
          <w:p>
            <w:pPr>
              <w:pStyle w:val="41"/>
              <w:spacing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drawing>
                <wp:inline distT="0" distB="0" distL="114300" distR="114300">
                  <wp:extent cx="5435600" cy="652780"/>
                  <wp:effectExtent l="0" t="0" r="12700" b="1397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6"/>
                          <a:stretch>
                            <a:fillRect/>
                          </a:stretch>
                        </pic:blipFill>
                        <pic:spPr>
                          <a:xfrm>
                            <a:off x="0" y="0"/>
                            <a:ext cx="5435600" cy="652780"/>
                          </a:xfrm>
                          <a:prstGeom prst="rect">
                            <a:avLst/>
                          </a:prstGeom>
                          <a:noFill/>
                          <a:ln>
                            <a:noFill/>
                          </a:ln>
                        </pic:spPr>
                      </pic:pic>
                    </a:graphicData>
                  </a:graphic>
                </wp:inline>
              </w:drawing>
            </w:r>
          </w:p>
          <w:p>
            <w:pPr>
              <w:pStyle w:val="41"/>
              <w:spacing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本项目生物质锅炉Qnet,ar为17.09MJ/kg，Vdaf为83.44%，据公式核算，基准烟气量7.60Nm</w:t>
            </w:r>
            <w:r>
              <w:rPr>
                <w:rFonts w:hint="eastAsia" w:ascii="宋体" w:hAnsi="宋体" w:cs="宋体"/>
                <w:color w:val="auto"/>
                <w:sz w:val="21"/>
                <w:szCs w:val="21"/>
                <w:highlight w:val="none"/>
                <w:vertAlign w:val="superscript"/>
              </w:rPr>
              <w:t>3</w:t>
            </w:r>
            <w:r>
              <w:rPr>
                <w:rFonts w:hint="eastAsia" w:ascii="宋体" w:hAnsi="宋体" w:cs="宋体"/>
                <w:color w:val="auto"/>
                <w:sz w:val="21"/>
                <w:szCs w:val="21"/>
                <w:highlight w:val="none"/>
              </w:rPr>
              <w:t>/kg，年生物质成型燃料用量为144t，年产生烟气量为1094400Nm</w:t>
            </w:r>
            <w:r>
              <w:rPr>
                <w:rFonts w:hint="eastAsia" w:ascii="宋体" w:hAnsi="宋体" w:cs="宋体"/>
                <w:color w:val="auto"/>
                <w:sz w:val="21"/>
                <w:szCs w:val="21"/>
                <w:highlight w:val="none"/>
                <w:vertAlign w:val="superscript"/>
              </w:rPr>
              <w:t>3</w:t>
            </w:r>
            <w:r>
              <w:rPr>
                <w:rFonts w:hint="eastAsia" w:ascii="宋体" w:hAnsi="宋体" w:cs="宋体"/>
                <w:color w:val="auto"/>
                <w:sz w:val="21"/>
                <w:szCs w:val="21"/>
                <w:highlight w:val="none"/>
              </w:rPr>
              <w:t>，即2736m</w:t>
            </w:r>
            <w:r>
              <w:rPr>
                <w:rFonts w:hint="eastAsia" w:ascii="宋体" w:hAnsi="宋体" w:cs="宋体"/>
                <w:color w:val="auto"/>
                <w:sz w:val="21"/>
                <w:szCs w:val="21"/>
                <w:highlight w:val="none"/>
                <w:vertAlign w:val="superscript"/>
              </w:rPr>
              <w:t>3</w:t>
            </w:r>
            <w:r>
              <w:rPr>
                <w:rFonts w:hint="eastAsia" w:ascii="宋体" w:hAnsi="宋体" w:cs="宋体"/>
                <w:color w:val="auto"/>
                <w:sz w:val="21"/>
                <w:szCs w:val="21"/>
                <w:highlight w:val="none"/>
              </w:rPr>
              <w:t>/h。</w:t>
            </w:r>
          </w:p>
          <w:p>
            <w:pPr>
              <w:pStyle w:val="41"/>
              <w:spacing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2）二氧化硫</w:t>
            </w:r>
          </w:p>
          <w:p>
            <w:pPr>
              <w:pStyle w:val="41"/>
              <w:spacing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采用物料衡算法核算二氧化硫排放量，根据燃料消耗量、硫含量进行核算，按直排进行核算，核算方法见下：</w:t>
            </w:r>
          </w:p>
          <w:p>
            <w:pPr>
              <w:pStyle w:val="41"/>
              <w:spacing w:line="360" w:lineRule="auto"/>
              <w:ind w:left="420" w:leftChars="200"/>
              <w:jc w:val="both"/>
              <w:rPr>
                <w:rFonts w:ascii="宋体" w:hAnsi="宋体" w:cs="宋体"/>
                <w:color w:val="auto"/>
                <w:sz w:val="21"/>
                <w:szCs w:val="21"/>
              </w:rPr>
            </w:pPr>
            <w:r>
              <w:rPr>
                <w:rFonts w:hint="eastAsia" w:ascii="宋体" w:hAnsi="宋体" w:cs="宋体"/>
                <w:color w:val="auto"/>
                <w:sz w:val="21"/>
                <w:szCs w:val="21"/>
              </w:rPr>
              <w:drawing>
                <wp:inline distT="0" distB="0" distL="114300" distR="114300">
                  <wp:extent cx="4324350" cy="1819275"/>
                  <wp:effectExtent l="0" t="0" r="6350" b="952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17"/>
                          <a:stretch>
                            <a:fillRect/>
                          </a:stretch>
                        </pic:blipFill>
                        <pic:spPr>
                          <a:xfrm>
                            <a:off x="0" y="0"/>
                            <a:ext cx="4324350" cy="1819275"/>
                          </a:xfrm>
                          <a:prstGeom prst="rect">
                            <a:avLst/>
                          </a:prstGeom>
                          <a:noFill/>
                          <a:ln>
                            <a:noFill/>
                          </a:ln>
                        </pic:spPr>
                      </pic:pic>
                    </a:graphicData>
                  </a:graphic>
                </wp:inline>
              </w:drawing>
            </w:r>
          </w:p>
          <w:p>
            <w:pPr>
              <w:pStyle w:val="41"/>
              <w:spacing w:line="360" w:lineRule="auto"/>
              <w:ind w:left="420" w:leftChars="200"/>
              <w:jc w:val="center"/>
              <w:rPr>
                <w:rFonts w:ascii="宋体" w:hAnsi="宋体" w:cs="宋体"/>
                <w:color w:val="auto"/>
                <w:sz w:val="21"/>
                <w:szCs w:val="21"/>
              </w:rPr>
            </w:pPr>
            <w:r>
              <w:rPr>
                <w:rFonts w:hint="eastAsia" w:ascii="宋体" w:hAnsi="宋体" w:cs="宋体"/>
                <w:color w:val="auto"/>
                <w:sz w:val="21"/>
                <w:szCs w:val="21"/>
              </w:rPr>
              <w:t>机械未完全燃烧热损失q4的一般取值</w:t>
            </w:r>
          </w:p>
          <w:p>
            <w:pPr>
              <w:pStyle w:val="41"/>
              <w:spacing w:line="360" w:lineRule="auto"/>
              <w:jc w:val="both"/>
              <w:rPr>
                <w:rFonts w:ascii="宋体" w:hAnsi="宋体" w:cs="宋体"/>
                <w:color w:val="auto"/>
                <w:sz w:val="21"/>
                <w:szCs w:val="21"/>
              </w:rPr>
            </w:pPr>
            <w:r>
              <w:rPr>
                <w:rFonts w:hint="eastAsia" w:ascii="宋体" w:hAnsi="宋体" w:cs="宋体"/>
                <w:color w:val="auto"/>
                <w:sz w:val="21"/>
                <w:szCs w:val="21"/>
              </w:rPr>
              <w:drawing>
                <wp:inline distT="0" distB="0" distL="114300" distR="114300">
                  <wp:extent cx="5332730" cy="1200150"/>
                  <wp:effectExtent l="0" t="0" r="1270" b="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18"/>
                          <a:srcRect l="1883" r="2222"/>
                          <a:stretch>
                            <a:fillRect/>
                          </a:stretch>
                        </pic:blipFill>
                        <pic:spPr>
                          <a:xfrm>
                            <a:off x="0" y="0"/>
                            <a:ext cx="5332730" cy="1200150"/>
                          </a:xfrm>
                          <a:prstGeom prst="rect">
                            <a:avLst/>
                          </a:prstGeom>
                          <a:noFill/>
                          <a:ln>
                            <a:noFill/>
                          </a:ln>
                        </pic:spPr>
                      </pic:pic>
                    </a:graphicData>
                  </a:graphic>
                </wp:inline>
              </w:drawing>
            </w:r>
          </w:p>
          <w:p>
            <w:pPr>
              <w:pStyle w:val="41"/>
              <w:spacing w:line="360" w:lineRule="auto"/>
              <w:ind w:left="420" w:leftChars="200"/>
              <w:jc w:val="center"/>
              <w:rPr>
                <w:rFonts w:ascii="宋体" w:hAnsi="宋体" w:cs="宋体"/>
                <w:color w:val="auto"/>
                <w:sz w:val="21"/>
                <w:szCs w:val="21"/>
              </w:rPr>
            </w:pPr>
            <w:r>
              <w:rPr>
                <w:rFonts w:hint="eastAsia" w:ascii="宋体" w:hAnsi="宋体" w:cs="宋体"/>
                <w:color w:val="auto"/>
                <w:sz w:val="21"/>
                <w:szCs w:val="21"/>
              </w:rPr>
              <w:t>燃料中的硫生成二氧化硫的份额</w:t>
            </w:r>
          </w:p>
          <w:p>
            <w:pPr>
              <w:pStyle w:val="41"/>
              <w:spacing w:line="360" w:lineRule="auto"/>
              <w:jc w:val="both"/>
              <w:rPr>
                <w:rFonts w:ascii="宋体" w:hAnsi="宋体" w:cs="宋体"/>
                <w:color w:val="auto"/>
                <w:sz w:val="21"/>
                <w:szCs w:val="21"/>
              </w:rPr>
            </w:pPr>
            <w:r>
              <w:rPr>
                <w:rFonts w:hint="eastAsia" w:ascii="宋体" w:hAnsi="宋体" w:cs="宋体"/>
                <w:color w:val="auto"/>
                <w:sz w:val="21"/>
                <w:szCs w:val="21"/>
              </w:rPr>
              <w:drawing>
                <wp:inline distT="0" distB="0" distL="114300" distR="114300">
                  <wp:extent cx="5316220" cy="1851025"/>
                  <wp:effectExtent l="0" t="0" r="17780" b="15875"/>
                  <wp:docPr id="1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pic:cNvPicPr>
                            <a:picLocks noChangeAspect="1"/>
                          </pic:cNvPicPr>
                        </pic:nvPicPr>
                        <pic:blipFill>
                          <a:blip r:embed="rId19"/>
                          <a:stretch>
                            <a:fillRect/>
                          </a:stretch>
                        </pic:blipFill>
                        <pic:spPr>
                          <a:xfrm>
                            <a:off x="0" y="0"/>
                            <a:ext cx="5316220" cy="1851025"/>
                          </a:xfrm>
                          <a:prstGeom prst="rect">
                            <a:avLst/>
                          </a:prstGeom>
                          <a:noFill/>
                          <a:ln>
                            <a:noFill/>
                          </a:ln>
                        </pic:spPr>
                      </pic:pic>
                    </a:graphicData>
                  </a:graphic>
                </wp:inline>
              </w:drawing>
            </w:r>
          </w:p>
          <w:p>
            <w:pPr>
              <w:pStyle w:val="41"/>
              <w:spacing w:line="360" w:lineRule="auto"/>
              <w:ind w:firstLine="420" w:firstLineChars="20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对照上表，q</w:t>
            </w:r>
            <w:r>
              <w:rPr>
                <w:rFonts w:hint="eastAsia" w:ascii="宋体" w:hAnsi="宋体" w:cs="宋体"/>
                <w:color w:val="000000" w:themeColor="text1"/>
                <w:sz w:val="21"/>
                <w:szCs w:val="21"/>
                <w:highlight w:val="none"/>
                <w:vertAlign w:val="subscript"/>
                <w14:textFill>
                  <w14:solidFill>
                    <w14:schemeClr w14:val="tx1"/>
                  </w14:solidFill>
                </w14:textFill>
              </w:rPr>
              <w:t>4</w:t>
            </w:r>
            <w:r>
              <w:rPr>
                <w:rFonts w:hint="eastAsia" w:ascii="宋体" w:hAnsi="宋体" w:cs="宋体"/>
                <w:color w:val="000000" w:themeColor="text1"/>
                <w:sz w:val="21"/>
                <w:szCs w:val="21"/>
                <w:highlight w:val="none"/>
                <w14:textFill>
                  <w14:solidFill>
                    <w14:schemeClr w14:val="tx1"/>
                  </w14:solidFill>
                </w14:textFill>
              </w:rPr>
              <w:t>取值10，K取值0.4，经核算，二氧化硫实际排放量为0.021t/a，排放速率为0.053kg/h，排放浓度为19.19mg/m</w:t>
            </w:r>
            <w:r>
              <w:rPr>
                <w:rFonts w:hint="eastAsia" w:ascii="宋体" w:hAnsi="宋体" w:cs="宋体"/>
                <w:color w:val="000000" w:themeColor="text1"/>
                <w:sz w:val="21"/>
                <w:szCs w:val="21"/>
                <w:highlight w:val="none"/>
                <w:vertAlign w:val="superscript"/>
                <w14:textFill>
                  <w14:solidFill>
                    <w14:schemeClr w14:val="tx1"/>
                  </w14:solidFill>
                </w14:textFill>
              </w:rPr>
              <w:t>3</w:t>
            </w:r>
            <w:r>
              <w:rPr>
                <w:rFonts w:hint="eastAsia" w:ascii="宋体" w:hAnsi="宋体" w:cs="宋体"/>
                <w:color w:val="000000" w:themeColor="text1"/>
                <w:sz w:val="21"/>
                <w:szCs w:val="21"/>
                <w:highlight w:val="none"/>
                <w14:textFill>
                  <w14:solidFill>
                    <w14:schemeClr w14:val="tx1"/>
                  </w14:solidFill>
                </w14:textFill>
              </w:rPr>
              <w:t>。</w:t>
            </w:r>
          </w:p>
          <w:p>
            <w:pPr>
              <w:pStyle w:val="41"/>
              <w:spacing w:line="360" w:lineRule="auto"/>
              <w:ind w:left="420" w:leftChars="200"/>
              <w:jc w:val="both"/>
              <w:rPr>
                <w:rFonts w:ascii="宋体" w:hAnsi="宋体" w:cs="宋体"/>
                <w:color w:val="auto"/>
                <w:sz w:val="21"/>
                <w:szCs w:val="21"/>
                <w:highlight w:val="none"/>
              </w:rPr>
            </w:pPr>
            <w:r>
              <w:rPr>
                <w:rFonts w:hint="eastAsia" w:ascii="宋体" w:hAnsi="宋体" w:cs="宋体"/>
                <w:color w:val="auto"/>
                <w:sz w:val="21"/>
                <w:szCs w:val="21"/>
                <w:highlight w:val="none"/>
              </w:rPr>
              <w:t>3）颗粒物</w:t>
            </w:r>
          </w:p>
          <w:p>
            <w:pPr>
              <w:pStyle w:val="41"/>
              <w:spacing w:line="360" w:lineRule="auto"/>
              <w:ind w:firstLine="420" w:firstLineChars="20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采用物料衡算法核算颗粒物排放量，详见下式：</w:t>
            </w:r>
          </w:p>
          <w:p>
            <w:pPr>
              <w:pStyle w:val="8"/>
              <w:adjustRightInd w:val="0"/>
              <w:snapToGrid w:val="0"/>
              <w:spacing w:before="120" w:beforeLines="50" w:line="360" w:lineRule="auto"/>
              <w:ind w:firstLine="0"/>
              <w:jc w:val="center"/>
            </w:pPr>
            <w:r>
              <w:drawing>
                <wp:inline distT="0" distB="0" distL="114300" distR="114300">
                  <wp:extent cx="2698750" cy="856615"/>
                  <wp:effectExtent l="0" t="0" r="6350" b="635"/>
                  <wp:docPr id="111" name="图片 111" descr="1631447134423_BEE68D95-9AD3-4777-8233-F8E991D2C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1631447134423_BEE68D95-9AD3-4777-8233-F8E991D2C6FB"/>
                          <pic:cNvPicPr>
                            <a:picLocks noChangeAspect="1"/>
                          </pic:cNvPicPr>
                        </pic:nvPicPr>
                        <pic:blipFill>
                          <a:blip r:embed="rId20"/>
                          <a:srcRect b="13526"/>
                          <a:stretch>
                            <a:fillRect/>
                          </a:stretch>
                        </pic:blipFill>
                        <pic:spPr>
                          <a:xfrm>
                            <a:off x="0" y="0"/>
                            <a:ext cx="2698750" cy="856615"/>
                          </a:xfrm>
                          <a:prstGeom prst="rect">
                            <a:avLst/>
                          </a:prstGeom>
                        </pic:spPr>
                      </pic:pic>
                    </a:graphicData>
                  </a:graphic>
                </wp:inline>
              </w:drawing>
            </w:r>
          </w:p>
          <w:p>
            <w:pPr>
              <w:pStyle w:val="8"/>
              <w:adjustRightInd w:val="0"/>
              <w:snapToGrid w:val="0"/>
              <w:spacing w:line="360" w:lineRule="auto"/>
              <w:ind w:firstLine="400" w:firstLineChars="200"/>
              <w:rPr>
                <w:sz w:val="24"/>
                <w:highlight w:val="none"/>
              </w:rPr>
            </w:pPr>
            <w:r>
              <w:rPr>
                <w:highlight w:val="none"/>
              </w:rPr>
              <w:drawing>
                <wp:inline distT="0" distB="0" distL="114300" distR="114300">
                  <wp:extent cx="4550410" cy="1440180"/>
                  <wp:effectExtent l="0" t="0" r="2540" b="7620"/>
                  <wp:docPr id="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
                          <pic:cNvPicPr>
                            <a:picLocks noChangeAspect="1"/>
                          </pic:cNvPicPr>
                        </pic:nvPicPr>
                        <pic:blipFill>
                          <a:blip r:embed="rId21"/>
                          <a:srcRect t="39813"/>
                          <a:stretch>
                            <a:fillRect/>
                          </a:stretch>
                        </pic:blipFill>
                        <pic:spPr>
                          <a:xfrm>
                            <a:off x="0" y="0"/>
                            <a:ext cx="4550410" cy="1440180"/>
                          </a:xfrm>
                          <a:prstGeom prst="rect">
                            <a:avLst/>
                          </a:prstGeom>
                          <a:noFill/>
                          <a:ln>
                            <a:noFill/>
                          </a:ln>
                        </pic:spPr>
                      </pic:pic>
                    </a:graphicData>
                  </a:graphic>
                </wp:inline>
              </w:drawing>
            </w:r>
          </w:p>
          <w:p>
            <w:pPr>
              <w:adjustRightInd w:val="0"/>
              <w:snapToGrid w:val="0"/>
              <w:spacing w:line="360" w:lineRule="auto"/>
              <w:ind w:firstLine="420" w:firstLineChars="200"/>
              <w:rPr>
                <w:szCs w:val="21"/>
                <w:highlight w:val="none"/>
              </w:rPr>
            </w:pPr>
            <w:r>
              <w:rPr>
                <w:szCs w:val="21"/>
                <w:highlight w:val="none"/>
              </w:rPr>
              <w:t>A</w:t>
            </w:r>
            <w:r>
              <w:rPr>
                <w:szCs w:val="21"/>
                <w:highlight w:val="none"/>
                <w:vertAlign w:val="subscript"/>
              </w:rPr>
              <w:t>ar</w:t>
            </w:r>
            <w:r>
              <w:rPr>
                <w:szCs w:val="21"/>
                <w:highlight w:val="none"/>
              </w:rPr>
              <w:t>取值</w:t>
            </w:r>
            <w:r>
              <w:rPr>
                <w:rFonts w:hint="eastAsia"/>
                <w:szCs w:val="21"/>
                <w:highlight w:val="none"/>
              </w:rPr>
              <w:t>3.79</w:t>
            </w:r>
            <w:r>
              <w:rPr>
                <w:szCs w:val="21"/>
                <w:highlight w:val="none"/>
              </w:rPr>
              <w:t>，R为</w:t>
            </w:r>
            <w:r>
              <w:rPr>
                <w:rFonts w:hint="eastAsia"/>
                <w:szCs w:val="21"/>
                <w:highlight w:val="none"/>
              </w:rPr>
              <w:t>144</w:t>
            </w:r>
            <w:r>
              <w:rPr>
                <w:szCs w:val="21"/>
                <w:highlight w:val="none"/>
              </w:rPr>
              <w:t>t，d</w:t>
            </w:r>
            <w:r>
              <w:rPr>
                <w:szCs w:val="21"/>
                <w:highlight w:val="none"/>
                <w:vertAlign w:val="subscript"/>
              </w:rPr>
              <w:t xml:space="preserve">jh </w:t>
            </w:r>
            <w:r>
              <w:rPr>
                <w:szCs w:val="21"/>
                <w:highlight w:val="none"/>
              </w:rPr>
              <w:t>取值45%，综合除尘效率取值99</w:t>
            </w:r>
            <w:r>
              <w:rPr>
                <w:rFonts w:hint="eastAsia"/>
                <w:szCs w:val="21"/>
                <w:highlight w:val="none"/>
                <w:lang w:val="en-US" w:eastAsia="zh-CN"/>
              </w:rPr>
              <w:t>.5</w:t>
            </w:r>
            <w:r>
              <w:rPr>
                <w:szCs w:val="21"/>
                <w:highlight w:val="none"/>
              </w:rPr>
              <w:t>%，飞灰中可燃物含量取15%，经计算，颗粒物排放量为</w:t>
            </w:r>
            <w:r>
              <w:rPr>
                <w:rFonts w:hint="eastAsia"/>
                <w:szCs w:val="21"/>
                <w:highlight w:val="none"/>
                <w:lang w:val="en-US" w:eastAsia="zh-CN"/>
              </w:rPr>
              <w:t>0.014</w:t>
            </w:r>
            <w:r>
              <w:rPr>
                <w:szCs w:val="21"/>
                <w:highlight w:val="none"/>
              </w:rPr>
              <w:t>t/a，排放速率为</w:t>
            </w:r>
            <w:r>
              <w:rPr>
                <w:rFonts w:hint="eastAsia"/>
                <w:szCs w:val="21"/>
                <w:highlight w:val="none"/>
              </w:rPr>
              <w:t>0.0</w:t>
            </w:r>
            <w:r>
              <w:rPr>
                <w:rFonts w:hint="eastAsia"/>
                <w:szCs w:val="21"/>
                <w:highlight w:val="none"/>
                <w:lang w:val="en-US" w:eastAsia="zh-CN"/>
              </w:rPr>
              <w:t>35</w:t>
            </w:r>
            <w:r>
              <w:rPr>
                <w:szCs w:val="21"/>
                <w:highlight w:val="none"/>
              </w:rPr>
              <w:t>kg/h，排放浓度为</w:t>
            </w:r>
            <w:r>
              <w:rPr>
                <w:rFonts w:hint="eastAsia"/>
                <w:szCs w:val="21"/>
                <w:highlight w:val="none"/>
                <w:lang w:val="en-US" w:eastAsia="zh-CN"/>
              </w:rPr>
              <w:t>12.79</w:t>
            </w:r>
            <w:r>
              <w:rPr>
                <w:szCs w:val="21"/>
                <w:highlight w:val="none"/>
              </w:rPr>
              <w:t>mg/m</w:t>
            </w:r>
            <w:r>
              <w:rPr>
                <w:szCs w:val="21"/>
                <w:highlight w:val="none"/>
                <w:vertAlign w:val="superscript"/>
              </w:rPr>
              <w:t>3</w:t>
            </w:r>
            <w:r>
              <w:rPr>
                <w:szCs w:val="21"/>
                <w:highlight w:val="none"/>
              </w:rPr>
              <w:t>，除尘灰产生量为</w:t>
            </w:r>
            <w:r>
              <w:rPr>
                <w:rFonts w:hint="eastAsia"/>
                <w:szCs w:val="21"/>
                <w:highlight w:val="none"/>
                <w:lang w:eastAsia="zh-CN"/>
              </w:rPr>
              <w:t>2.44</w:t>
            </w:r>
            <w:r>
              <w:rPr>
                <w:szCs w:val="21"/>
                <w:highlight w:val="none"/>
              </w:rPr>
              <w:t>t/a。</w:t>
            </w:r>
          </w:p>
          <w:p>
            <w:pPr>
              <w:pStyle w:val="41"/>
              <w:spacing w:line="360" w:lineRule="auto"/>
              <w:ind w:left="420" w:leftChars="200"/>
              <w:jc w:val="both"/>
              <w:rPr>
                <w:rFonts w:ascii="宋体" w:hAnsi="宋体" w:cs="宋体"/>
                <w:color w:val="auto"/>
                <w:sz w:val="21"/>
                <w:szCs w:val="21"/>
              </w:rPr>
            </w:pPr>
            <w:r>
              <w:rPr>
                <w:rFonts w:hint="eastAsia" w:ascii="宋体" w:hAnsi="宋体" w:cs="宋体"/>
                <w:color w:val="auto"/>
                <w:sz w:val="21"/>
                <w:szCs w:val="21"/>
              </w:rPr>
              <w:t>4）氮氧化物</w:t>
            </w:r>
          </w:p>
          <w:p>
            <w:pPr>
              <w:pStyle w:val="8"/>
              <w:spacing w:line="360" w:lineRule="auto"/>
              <w:ind w:firstLine="512"/>
              <w:contextualSpacing/>
              <w:rPr>
                <w:sz w:val="21"/>
                <w:szCs w:val="21"/>
              </w:rPr>
            </w:pPr>
            <w:r>
              <w:rPr>
                <w:sz w:val="21"/>
                <w:szCs w:val="21"/>
              </w:rPr>
              <w:t>氮氧化物排放量采用产污系数法进行计算。公式如下:</w:t>
            </w:r>
          </w:p>
          <w:p>
            <w:pPr>
              <w:jc w:val="center"/>
              <w:rPr>
                <w:szCs w:val="21"/>
              </w:rPr>
            </w:pPr>
            <w:r>
              <w:rPr>
                <w:szCs w:val="21"/>
              </w:rPr>
              <w:drawing>
                <wp:inline distT="0" distB="0" distL="0" distR="0">
                  <wp:extent cx="2618740" cy="485140"/>
                  <wp:effectExtent l="0" t="0" r="10160" b="1016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2"/>
                          <a:stretch>
                            <a:fillRect/>
                          </a:stretch>
                        </pic:blipFill>
                        <pic:spPr>
                          <a:xfrm>
                            <a:off x="0" y="0"/>
                            <a:ext cx="2619048" cy="485714"/>
                          </a:xfrm>
                          <a:prstGeom prst="rect">
                            <a:avLst/>
                          </a:prstGeom>
                        </pic:spPr>
                      </pic:pic>
                    </a:graphicData>
                  </a:graphic>
                </wp:inline>
              </w:drawing>
            </w:r>
          </w:p>
          <w:p>
            <w:pPr>
              <w:pStyle w:val="8"/>
              <w:spacing w:line="360" w:lineRule="auto"/>
              <w:ind w:firstLine="0"/>
              <w:contextualSpacing/>
              <w:rPr>
                <w:sz w:val="21"/>
                <w:szCs w:val="21"/>
                <w:highlight w:val="none"/>
              </w:rPr>
            </w:pPr>
            <w:r>
              <w:rPr>
                <w:sz w:val="21"/>
                <w:szCs w:val="21"/>
                <w:highlight w:val="none"/>
              </w:rPr>
              <w:drawing>
                <wp:inline distT="0" distB="0" distL="0" distR="0">
                  <wp:extent cx="5419725" cy="1381760"/>
                  <wp:effectExtent l="0" t="0" r="9525" b="889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3"/>
                          <a:stretch>
                            <a:fillRect/>
                          </a:stretch>
                        </pic:blipFill>
                        <pic:spPr>
                          <a:xfrm>
                            <a:off x="0" y="0"/>
                            <a:ext cx="5433818" cy="1385921"/>
                          </a:xfrm>
                          <a:prstGeom prst="rect">
                            <a:avLst/>
                          </a:prstGeom>
                        </pic:spPr>
                      </pic:pic>
                    </a:graphicData>
                  </a:graphic>
                </wp:inline>
              </w:drawing>
            </w:r>
          </w:p>
          <w:p>
            <w:pPr>
              <w:pStyle w:val="41"/>
              <w:spacing w:line="360" w:lineRule="auto"/>
              <w:ind w:firstLine="420" w:firstLineChars="200"/>
              <w:jc w:val="both"/>
              <w:rPr>
                <w:rFonts w:ascii="宋体" w:hAnsi="宋体" w:cs="宋体"/>
                <w:color w:val="auto"/>
                <w:sz w:val="21"/>
                <w:szCs w:val="21"/>
                <w:highlight w:val="none"/>
              </w:rPr>
            </w:pPr>
            <w:r>
              <w:rPr>
                <w:sz w:val="21"/>
                <w:szCs w:val="21"/>
                <w:highlight w:val="none"/>
              </w:rPr>
              <w:t>R为</w:t>
            </w:r>
            <w:r>
              <w:rPr>
                <w:rFonts w:hint="eastAsia"/>
                <w:sz w:val="21"/>
                <w:szCs w:val="21"/>
                <w:highlight w:val="none"/>
              </w:rPr>
              <w:t>144</w:t>
            </w:r>
            <w:r>
              <w:rPr>
                <w:sz w:val="21"/>
                <w:szCs w:val="21"/>
                <w:highlight w:val="none"/>
              </w:rPr>
              <w:t>t，根据《HJ 953-2018 排污许可证申请与核发技术规范 锅炉》附录F中生物质锅炉氮氧化物</w:t>
            </w:r>
            <w:r>
              <w:rPr>
                <w:rFonts w:hint="eastAsia"/>
                <w:sz w:val="21"/>
                <w:szCs w:val="21"/>
                <w:highlight w:val="none"/>
                <w:lang w:eastAsia="zh-CN"/>
              </w:rPr>
              <w:t>低氮燃烧</w:t>
            </w:r>
            <w:r>
              <w:rPr>
                <w:sz w:val="21"/>
                <w:szCs w:val="21"/>
                <w:highlight w:val="none"/>
              </w:rPr>
              <w:t>产污系数为</w:t>
            </w:r>
            <w:r>
              <w:rPr>
                <w:rFonts w:hint="eastAsia"/>
                <w:sz w:val="21"/>
                <w:szCs w:val="21"/>
                <w:highlight w:val="none"/>
                <w:lang w:val="en-US" w:eastAsia="zh-CN"/>
              </w:rPr>
              <w:t>0.71</w:t>
            </w:r>
            <w:r>
              <w:rPr>
                <w:sz w:val="21"/>
                <w:szCs w:val="21"/>
                <w:highlight w:val="none"/>
              </w:rPr>
              <w:t>kg/吨-燃料，</w:t>
            </w:r>
            <w:r>
              <w:rPr>
                <w:rFonts w:hint="eastAsia" w:ascii="宋体" w:hAnsi="宋体" w:cs="宋体"/>
                <w:color w:val="auto"/>
                <w:sz w:val="21"/>
                <w:szCs w:val="21"/>
                <w:highlight w:val="none"/>
              </w:rPr>
              <w:t>原项目采用低氮燃烧技术可去除其中40%的氮氧化物排放，</w:t>
            </w:r>
            <w:r>
              <w:rPr>
                <w:sz w:val="21"/>
                <w:szCs w:val="21"/>
                <w:highlight w:val="none"/>
              </w:rPr>
              <w:t>据此核算，</w:t>
            </w:r>
            <w:r>
              <w:rPr>
                <w:rFonts w:hint="eastAsia" w:ascii="宋体" w:hAnsi="宋体" w:cs="宋体"/>
                <w:color w:val="auto"/>
                <w:sz w:val="21"/>
                <w:szCs w:val="21"/>
                <w:highlight w:val="none"/>
              </w:rPr>
              <w:t>则氮氧化物排放量为0.0</w:t>
            </w:r>
            <w:r>
              <w:rPr>
                <w:rFonts w:hint="eastAsia" w:ascii="宋体" w:hAnsi="宋体" w:cs="宋体"/>
                <w:color w:val="auto"/>
                <w:sz w:val="21"/>
                <w:szCs w:val="21"/>
                <w:highlight w:val="none"/>
                <w:lang w:val="en-US" w:eastAsia="zh-CN"/>
              </w:rPr>
              <w:t>61</w:t>
            </w:r>
            <w:r>
              <w:rPr>
                <w:rFonts w:hint="eastAsia" w:ascii="宋体" w:hAnsi="宋体" w:cs="宋体"/>
                <w:color w:val="auto"/>
                <w:sz w:val="21"/>
                <w:szCs w:val="21"/>
                <w:highlight w:val="none"/>
              </w:rPr>
              <w:t>t/a，排放速率为0.</w:t>
            </w:r>
            <w:r>
              <w:rPr>
                <w:rFonts w:hint="eastAsia" w:ascii="宋体" w:hAnsi="宋体" w:cs="宋体"/>
                <w:color w:val="auto"/>
                <w:sz w:val="21"/>
                <w:szCs w:val="21"/>
                <w:highlight w:val="none"/>
                <w:lang w:val="en-US" w:eastAsia="zh-CN"/>
              </w:rPr>
              <w:t>15</w:t>
            </w:r>
            <w:r>
              <w:rPr>
                <w:rFonts w:hint="eastAsia" w:ascii="宋体" w:hAnsi="宋体" w:cs="宋体"/>
                <w:color w:val="auto"/>
                <w:sz w:val="21"/>
                <w:szCs w:val="21"/>
                <w:highlight w:val="none"/>
              </w:rPr>
              <w:t>kg/h，排放浓度为</w:t>
            </w:r>
            <w:r>
              <w:rPr>
                <w:rFonts w:hint="eastAsia" w:ascii="宋体" w:hAnsi="宋体" w:cs="宋体"/>
                <w:color w:val="auto"/>
                <w:sz w:val="21"/>
                <w:szCs w:val="21"/>
                <w:highlight w:val="none"/>
                <w:lang w:val="en-US" w:eastAsia="zh-CN"/>
              </w:rPr>
              <w:t>55.74</w:t>
            </w:r>
            <w:r>
              <w:rPr>
                <w:rFonts w:hint="eastAsia" w:ascii="宋体" w:hAnsi="宋体" w:cs="宋体"/>
                <w:color w:val="auto"/>
                <w:sz w:val="21"/>
                <w:szCs w:val="21"/>
                <w:highlight w:val="none"/>
              </w:rPr>
              <w:t>mg/m</w:t>
            </w:r>
            <w:r>
              <w:rPr>
                <w:rFonts w:hint="eastAsia" w:ascii="宋体" w:hAnsi="宋体" w:cs="宋体"/>
                <w:color w:val="auto"/>
                <w:sz w:val="21"/>
                <w:szCs w:val="21"/>
                <w:highlight w:val="none"/>
                <w:vertAlign w:val="superscript"/>
              </w:rPr>
              <w:t>3</w:t>
            </w:r>
            <w:r>
              <w:rPr>
                <w:rFonts w:hint="eastAsia" w:ascii="宋体" w:hAnsi="宋体" w:cs="宋体"/>
                <w:color w:val="auto"/>
                <w:sz w:val="21"/>
                <w:szCs w:val="21"/>
                <w:highlight w:val="none"/>
              </w:rPr>
              <w:t>。</w:t>
            </w:r>
          </w:p>
          <w:p>
            <w:pPr>
              <w:spacing w:line="360" w:lineRule="auto"/>
              <w:ind w:firstLine="422" w:firstLineChars="200"/>
              <w:rPr>
                <w:rFonts w:ascii="宋体" w:hAnsi="宋体" w:cs="宋体"/>
                <w:b/>
                <w:bCs/>
                <w:szCs w:val="21"/>
              </w:rPr>
            </w:pPr>
            <w:r>
              <w:rPr>
                <w:rFonts w:hint="eastAsia" w:ascii="宋体" w:hAnsi="宋体" w:cs="宋体"/>
                <w:b/>
                <w:bCs/>
                <w:szCs w:val="21"/>
              </w:rPr>
              <w:t>2、现有项目生活污水污染源情况</w:t>
            </w:r>
          </w:p>
          <w:p>
            <w:pPr>
              <w:spacing w:line="360" w:lineRule="auto"/>
              <w:ind w:firstLine="420" w:firstLineChars="200"/>
              <w:rPr>
                <w:rFonts w:ascii="宋体" w:hAnsi="宋体" w:cs="宋体"/>
                <w:szCs w:val="21"/>
              </w:rPr>
            </w:pPr>
            <w:r>
              <w:rPr>
                <w:rFonts w:hint="eastAsia" w:ascii="宋体" w:hAnsi="宋体" w:cs="宋体"/>
                <w:snapToGrid w:val="0"/>
                <w:szCs w:val="21"/>
              </w:rPr>
              <w:t>1）项目职工生活用水结合《河北省用水定额：生活与服务业用水定额》（2021版）农村居民进行计算。原项目人员合计10人，日常用水定额按照18.5m</w:t>
            </w:r>
            <w:r>
              <w:rPr>
                <w:rFonts w:hint="eastAsia" w:ascii="宋体" w:hAnsi="宋体" w:cs="宋体"/>
                <w:snapToGrid w:val="0"/>
                <w:szCs w:val="21"/>
                <w:vertAlign w:val="superscript"/>
              </w:rPr>
              <w:t>3</w:t>
            </w:r>
            <w:r>
              <w:rPr>
                <w:rFonts w:hint="eastAsia" w:ascii="宋体" w:hAnsi="宋体" w:cs="宋体"/>
                <w:snapToGrid w:val="0"/>
                <w:szCs w:val="21"/>
              </w:rPr>
              <w:t>/人·a，本项目年生产时间为100天，则本项目总用水量为50.68m³/a。</w:t>
            </w:r>
            <w:r>
              <w:rPr>
                <w:rFonts w:hint="eastAsia" w:ascii="宋体" w:hAnsi="宋体" w:cs="宋体"/>
                <w:szCs w:val="21"/>
              </w:rPr>
              <w:t>生活污水按用</w:t>
            </w:r>
            <w:r>
              <w:rPr>
                <w:rFonts w:hint="eastAsia" w:ascii="宋体" w:hAnsi="宋体" w:cs="宋体"/>
                <w:szCs w:val="21"/>
                <w:highlight w:val="none"/>
              </w:rPr>
              <w:t>水量0.8倍计算，</w:t>
            </w:r>
            <w:r>
              <w:rPr>
                <w:rFonts w:hint="eastAsia" w:ascii="宋体" w:hAnsi="宋体" w:cs="宋体"/>
                <w:snapToGrid w:val="0"/>
                <w:szCs w:val="21"/>
                <w:highlight w:val="none"/>
              </w:rPr>
              <w:t>则本项目运营后</w:t>
            </w:r>
            <w:r>
              <w:rPr>
                <w:rFonts w:hint="eastAsia" w:ascii="宋体" w:hAnsi="宋体" w:cs="宋体"/>
                <w:szCs w:val="21"/>
                <w:highlight w:val="none"/>
              </w:rPr>
              <w:t>生活污水年排放量为40.34</w:t>
            </w:r>
            <w:r>
              <w:rPr>
                <w:rFonts w:hint="eastAsia" w:ascii="宋体" w:hAnsi="宋体" w:cs="宋体"/>
                <w:snapToGrid w:val="0"/>
                <w:szCs w:val="21"/>
                <w:highlight w:val="none"/>
              </w:rPr>
              <w:t>m</w:t>
            </w:r>
            <w:r>
              <w:rPr>
                <w:rFonts w:hint="eastAsia" w:ascii="宋体" w:hAnsi="宋体" w:cs="宋体"/>
                <w:snapToGrid w:val="0"/>
                <w:szCs w:val="21"/>
                <w:highlight w:val="none"/>
                <w:vertAlign w:val="superscript"/>
              </w:rPr>
              <w:t>3</w:t>
            </w:r>
            <w:r>
              <w:rPr>
                <w:rFonts w:hint="eastAsia" w:ascii="宋体" w:hAnsi="宋体" w:cs="宋体"/>
                <w:snapToGrid w:val="0"/>
                <w:szCs w:val="21"/>
                <w:highlight w:val="none"/>
              </w:rPr>
              <w:t>/a</w:t>
            </w:r>
            <w:r>
              <w:rPr>
                <w:rFonts w:hint="eastAsia" w:ascii="宋体" w:hAnsi="宋体" w:cs="宋体"/>
                <w:szCs w:val="21"/>
                <w:highlight w:val="none"/>
              </w:rPr>
              <w:t>，</w:t>
            </w:r>
            <w:r>
              <w:rPr>
                <w:rFonts w:hint="eastAsia" w:ascii="宋体" w:hAnsi="宋体" w:cs="宋体"/>
                <w:snapToGrid w:val="0"/>
                <w:szCs w:val="21"/>
                <w:highlight w:val="none"/>
              </w:rPr>
              <w:t>生活污水排入厂区化粪池，定期由清污车运送至围场满族蒙古族自治县永溢环保科技有限责任公司克勒沟污水处理厂处理</w:t>
            </w:r>
            <w:r>
              <w:rPr>
                <w:rFonts w:hint="eastAsia" w:ascii="宋体" w:hAnsi="宋体" w:cs="宋体"/>
                <w:szCs w:val="21"/>
                <w:highlight w:val="none"/>
              </w:rPr>
              <w:t>。</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2）原项目生活废水由清污车运送至围场满族蒙古族自治县永溢环保科技有限责任公司克勒沟污水处理厂处理，总排放量为40.34 t/a（0.405t/d），水质取污水处理厂排放浓度COD 50mg/L、BOD</w:t>
            </w:r>
            <w:r>
              <w:rPr>
                <w:rFonts w:hint="eastAsia" w:ascii="宋体" w:hAnsi="宋体" w:cs="宋体"/>
                <w:color w:val="auto"/>
                <w:sz w:val="21"/>
                <w:szCs w:val="21"/>
                <w:vertAlign w:val="subscript"/>
              </w:rPr>
              <w:t>5</w:t>
            </w:r>
            <w:r>
              <w:rPr>
                <w:rFonts w:hint="eastAsia" w:ascii="宋体" w:hAnsi="宋体" w:cs="宋体"/>
                <w:color w:val="auto"/>
                <w:sz w:val="21"/>
                <w:szCs w:val="21"/>
              </w:rPr>
              <w:t xml:space="preserve"> 10mg/L、SS 10mg/L/、NH</w:t>
            </w:r>
            <w:r>
              <w:rPr>
                <w:rFonts w:hint="eastAsia" w:ascii="宋体" w:hAnsi="宋体" w:cs="宋体"/>
                <w:color w:val="auto"/>
                <w:sz w:val="21"/>
                <w:szCs w:val="21"/>
                <w:vertAlign w:val="subscript"/>
              </w:rPr>
              <w:t>3</w:t>
            </w:r>
            <w:r>
              <w:rPr>
                <w:rFonts w:hint="eastAsia" w:ascii="宋体" w:hAnsi="宋体" w:cs="宋体"/>
                <w:color w:val="auto"/>
                <w:sz w:val="21"/>
                <w:szCs w:val="21"/>
              </w:rPr>
              <w:t>-N 5mg/计生活污水排放浓度详见表2-8。</w:t>
            </w:r>
          </w:p>
          <w:p>
            <w:pPr>
              <w:pStyle w:val="41"/>
              <w:spacing w:line="360" w:lineRule="auto"/>
              <w:jc w:val="center"/>
              <w:rPr>
                <w:rFonts w:ascii="宋体" w:hAnsi="宋体" w:cs="宋体"/>
                <w:color w:val="auto"/>
                <w:sz w:val="21"/>
                <w:szCs w:val="21"/>
              </w:rPr>
            </w:pPr>
            <w:r>
              <w:rPr>
                <w:rFonts w:hint="eastAsia" w:ascii="宋体" w:hAnsi="宋体" w:cs="宋体"/>
                <w:b/>
                <w:bCs/>
                <w:color w:val="auto"/>
                <w:sz w:val="21"/>
                <w:szCs w:val="21"/>
              </w:rPr>
              <w:t>表2-8  本项目生活污水排放浓度一览表</w:t>
            </w:r>
          </w:p>
          <w:tbl>
            <w:tblPr>
              <w:tblStyle w:val="2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042"/>
              <w:gridCol w:w="1414"/>
              <w:gridCol w:w="1122"/>
              <w:gridCol w:w="1424"/>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Merge w:val="restar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处理单元</w:t>
                  </w:r>
                </w:p>
              </w:tc>
              <w:tc>
                <w:tcPr>
                  <w:tcW w:w="4170" w:type="pct"/>
                  <w:gridSpan w:val="5"/>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水质指标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Merge w:val="continue"/>
                  <w:vAlign w:val="center"/>
                </w:tcPr>
                <w:p>
                  <w:pPr>
                    <w:pStyle w:val="41"/>
                    <w:spacing w:line="360" w:lineRule="auto"/>
                    <w:jc w:val="center"/>
                    <w:rPr>
                      <w:rFonts w:ascii="宋体" w:hAnsi="宋体" w:cs="宋体"/>
                      <w:color w:val="auto"/>
                      <w:sz w:val="18"/>
                      <w:szCs w:val="18"/>
                    </w:rPr>
                  </w:pPr>
                </w:p>
              </w:tc>
              <w:tc>
                <w:tcPr>
                  <w:tcW w:w="621"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COD (mg/L)</w:t>
                  </w:r>
                </w:p>
              </w:tc>
              <w:tc>
                <w:tcPr>
                  <w:tcW w:w="843"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BOD</w:t>
                  </w:r>
                  <w:r>
                    <w:rPr>
                      <w:rFonts w:hint="eastAsia" w:ascii="宋体" w:hAnsi="宋体" w:cs="宋体"/>
                      <w:color w:val="auto"/>
                      <w:sz w:val="18"/>
                      <w:szCs w:val="18"/>
                      <w:vertAlign w:val="subscript"/>
                    </w:rPr>
                    <w:t>5</w:t>
                  </w:r>
                  <w:r>
                    <w:rPr>
                      <w:rFonts w:hint="eastAsia" w:ascii="宋体" w:hAnsi="宋体" w:cs="宋体"/>
                      <w:color w:val="auto"/>
                      <w:sz w:val="18"/>
                      <w:szCs w:val="18"/>
                    </w:rPr>
                    <w:t xml:space="preserve"> (mg/L)</w:t>
                  </w:r>
                </w:p>
              </w:tc>
              <w:tc>
                <w:tcPr>
                  <w:tcW w:w="669"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SS (mg/L)</w:t>
                  </w:r>
                </w:p>
              </w:tc>
              <w:tc>
                <w:tcPr>
                  <w:tcW w:w="849"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氨氮 (mg/L)</w:t>
                  </w:r>
                </w:p>
              </w:tc>
              <w:tc>
                <w:tcPr>
                  <w:tcW w:w="1187" w:type="pct"/>
                  <w:vAlign w:val="center"/>
                </w:tcPr>
                <w:p>
                  <w:pPr>
                    <w:pStyle w:val="41"/>
                    <w:spacing w:line="360" w:lineRule="auto"/>
                    <w:jc w:val="both"/>
                    <w:rPr>
                      <w:rFonts w:ascii="宋体" w:hAnsi="宋体" w:cs="宋体"/>
                      <w:color w:val="auto"/>
                      <w:sz w:val="18"/>
                      <w:szCs w:val="18"/>
                    </w:rPr>
                  </w:pPr>
                  <w:r>
                    <w:rPr>
                      <w:rFonts w:hint="eastAsia" w:ascii="宋体" w:hAnsi="宋体" w:cs="宋体"/>
                      <w:color w:val="auto"/>
                      <w:sz w:val="18"/>
                      <w:szCs w:val="18"/>
                    </w:rPr>
                    <w:t>粪大肠菌群(个/L）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进水量（m</w:t>
                  </w:r>
                  <w:r>
                    <w:rPr>
                      <w:rFonts w:hint="eastAsia" w:ascii="宋体" w:hAnsi="宋体" w:cs="宋体"/>
                      <w:color w:val="auto"/>
                      <w:sz w:val="18"/>
                      <w:szCs w:val="18"/>
                      <w:vertAlign w:val="superscript"/>
                    </w:rPr>
                    <w:t>3</w:t>
                  </w:r>
                  <w:r>
                    <w:rPr>
                      <w:rFonts w:hint="eastAsia" w:ascii="宋体" w:hAnsi="宋体" w:cs="宋体"/>
                      <w:color w:val="auto"/>
                      <w:sz w:val="18"/>
                      <w:szCs w:val="18"/>
                    </w:rPr>
                    <w:t>/a）</w:t>
                  </w:r>
                </w:p>
              </w:tc>
              <w:tc>
                <w:tcPr>
                  <w:tcW w:w="4170" w:type="pct"/>
                  <w:gridSpan w:val="5"/>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40.34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进水浓度</w:t>
                  </w:r>
                </w:p>
              </w:tc>
              <w:tc>
                <w:tcPr>
                  <w:tcW w:w="621"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50</w:t>
                  </w:r>
                </w:p>
              </w:tc>
              <w:tc>
                <w:tcPr>
                  <w:tcW w:w="843"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10</w:t>
                  </w:r>
                </w:p>
              </w:tc>
              <w:tc>
                <w:tcPr>
                  <w:tcW w:w="669"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10</w:t>
                  </w:r>
                </w:p>
              </w:tc>
              <w:tc>
                <w:tcPr>
                  <w:tcW w:w="849"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5</w:t>
                  </w:r>
                </w:p>
              </w:tc>
              <w:tc>
                <w:tcPr>
                  <w:tcW w:w="1187"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lang w:bidi="ar"/>
                    </w:rPr>
                    <w:t>3.0*10</w:t>
                  </w:r>
                  <w:r>
                    <w:rPr>
                      <w:rFonts w:hint="eastAsia" w:ascii="宋体" w:hAnsi="宋体" w:cs="宋体"/>
                      <w:color w:val="auto"/>
                      <w:sz w:val="18"/>
                      <w:szCs w:val="18"/>
                      <w:vertAlign w:val="superscript"/>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产生量（t/a）</w:t>
                  </w:r>
                </w:p>
              </w:tc>
              <w:tc>
                <w:tcPr>
                  <w:tcW w:w="621" w:type="pct"/>
                  <w:vAlign w:val="center"/>
                </w:tcPr>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0.002017</w:t>
                  </w:r>
                </w:p>
              </w:tc>
              <w:tc>
                <w:tcPr>
                  <w:tcW w:w="843" w:type="pct"/>
                  <w:vAlign w:val="center"/>
                </w:tcPr>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0.0004034</w:t>
                  </w:r>
                </w:p>
              </w:tc>
              <w:tc>
                <w:tcPr>
                  <w:tcW w:w="669" w:type="pct"/>
                  <w:vAlign w:val="center"/>
                </w:tcPr>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0.0004034</w:t>
                  </w:r>
                </w:p>
              </w:tc>
              <w:tc>
                <w:tcPr>
                  <w:tcW w:w="849" w:type="pct"/>
                  <w:vAlign w:val="center"/>
                </w:tcPr>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0.0002017</w:t>
                  </w:r>
                </w:p>
              </w:tc>
              <w:tc>
                <w:tcPr>
                  <w:tcW w:w="1187"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≤1000个/L</w:t>
                  </w:r>
                </w:p>
              </w:tc>
            </w:tr>
          </w:tbl>
          <w:p>
            <w:pPr>
              <w:pStyle w:val="41"/>
              <w:spacing w:line="360" w:lineRule="auto"/>
              <w:ind w:firstLine="420" w:firstLineChars="200"/>
              <w:jc w:val="both"/>
              <w:rPr>
                <w:rFonts w:ascii="宋体" w:hAnsi="宋体" w:cs="宋体"/>
                <w:color w:val="FF0000"/>
                <w:sz w:val="21"/>
                <w:szCs w:val="21"/>
              </w:rPr>
            </w:pPr>
          </w:p>
          <w:p>
            <w:pPr>
              <w:spacing w:line="360" w:lineRule="auto"/>
              <w:ind w:firstLine="422" w:firstLineChars="200"/>
              <w:rPr>
                <w:rFonts w:ascii="宋体" w:hAnsi="宋体" w:cs="宋体"/>
                <w:b/>
                <w:bCs/>
                <w:szCs w:val="21"/>
              </w:rPr>
            </w:pPr>
            <w:r>
              <w:rPr>
                <w:rFonts w:hint="eastAsia" w:ascii="宋体" w:hAnsi="宋体" w:cs="宋体"/>
                <w:b/>
                <w:bCs/>
                <w:szCs w:val="21"/>
              </w:rPr>
              <w:t>3、现有项目噪声治理情况</w:t>
            </w:r>
          </w:p>
          <w:p>
            <w:pPr>
              <w:pStyle w:val="41"/>
              <w:spacing w:line="360" w:lineRule="auto"/>
              <w:ind w:firstLine="420" w:firstLineChars="200"/>
              <w:jc w:val="both"/>
              <w:rPr>
                <w:rFonts w:ascii="宋体" w:hAnsi="宋体" w:cs="宋体"/>
                <w:b/>
                <w:bCs/>
                <w:szCs w:val="21"/>
              </w:rPr>
            </w:pPr>
            <w:r>
              <w:rPr>
                <w:rFonts w:hint="eastAsia" w:ascii="宋体" w:hAnsi="宋体" w:cs="宋体"/>
                <w:color w:val="auto"/>
                <w:sz w:val="21"/>
                <w:szCs w:val="21"/>
              </w:rPr>
              <w:t>项目现有生产量较小，产噪设备较少，主要产生噪声设备为木材粉碎机生物质锅炉、风机等，产噪设备均在全封闭车间内，封闭车间噪声削减量可达15~20dB （A），且50m范围内无声环境保护目标。</w:t>
            </w:r>
          </w:p>
          <w:p>
            <w:pPr>
              <w:spacing w:line="360" w:lineRule="auto"/>
              <w:ind w:firstLine="422" w:firstLineChars="200"/>
              <w:rPr>
                <w:rFonts w:ascii="宋体" w:hAnsi="宋体" w:cs="宋体"/>
                <w:b/>
                <w:bCs/>
                <w:szCs w:val="21"/>
              </w:rPr>
            </w:pPr>
            <w:r>
              <w:rPr>
                <w:rFonts w:hint="eastAsia" w:ascii="宋体" w:hAnsi="宋体" w:cs="宋体"/>
                <w:b/>
                <w:bCs/>
                <w:szCs w:val="21"/>
              </w:rPr>
              <w:t>4、现有项目固废处置情况</w:t>
            </w:r>
          </w:p>
          <w:p>
            <w:pPr>
              <w:spacing w:line="360" w:lineRule="auto"/>
              <w:ind w:firstLine="420" w:firstLineChars="200"/>
              <w:rPr>
                <w:rFonts w:ascii="宋体" w:hAnsi="宋体" w:cs="宋体"/>
                <w:szCs w:val="21"/>
              </w:rPr>
            </w:pPr>
            <w:r>
              <w:rPr>
                <w:rFonts w:hint="eastAsia" w:ascii="宋体" w:hAnsi="宋体" w:cs="宋体"/>
                <w:szCs w:val="21"/>
              </w:rPr>
              <w:t>现有项目一般固体废物主要为生物质锅炉炉渣、锅炉水垢、废菌棒、除尘灰、生活垃圾和废培养皿。其中生物质锅炉炉渣集中收集后外售；锅炉水垢每一年清理一次，集中收集后暂存于垃圾箱统一由环</w:t>
            </w:r>
            <w:r>
              <w:rPr>
                <w:rFonts w:hint="eastAsia" w:ascii="宋体" w:hAnsi="宋体" w:cs="宋体"/>
                <w:kern w:val="0"/>
                <w:szCs w:val="21"/>
              </w:rPr>
              <w:t>卫部门清运处理；废菌棒一部分可回收回用于生产，不可回收部分暂存于锅炉房用于锅炉燃料燃烧；生物质锅炉除尘灰、生活垃圾、经蒸汽高温消毒后的废培养皿（不涉及化学试剂）经收集后统一由环卫部门清运处理，粉碎工序除尘灰回用于生产；项目生产维护检修产生的废油、废油桶全部暂存于危废间内，交由秦皇岛市徐山口危险废物处理有限公司拉运处理。</w:t>
            </w:r>
          </w:p>
          <w:p>
            <w:pPr>
              <w:pStyle w:val="41"/>
              <w:spacing w:line="360" w:lineRule="auto"/>
              <w:ind w:firstLine="420" w:firstLineChars="200"/>
              <w:jc w:val="both"/>
              <w:rPr>
                <w:rFonts w:ascii="宋体" w:hAnsi="宋体" w:cs="宋体"/>
                <w:b/>
                <w:bCs/>
                <w:color w:val="7030A0"/>
                <w:sz w:val="21"/>
                <w:szCs w:val="21"/>
              </w:rPr>
            </w:pPr>
            <w:r>
              <w:rPr>
                <w:rFonts w:hint="eastAsia" w:ascii="宋体" w:hAnsi="宋体" w:cs="宋体"/>
                <w:color w:val="auto"/>
                <w:sz w:val="21"/>
                <w:szCs w:val="21"/>
              </w:rPr>
              <w:t>5、现有项目及项目建成后污染情况与对比详见2-9。</w:t>
            </w:r>
          </w:p>
          <w:p>
            <w:pPr>
              <w:pStyle w:val="41"/>
              <w:spacing w:line="360" w:lineRule="auto"/>
              <w:jc w:val="center"/>
              <w:rPr>
                <w:color w:val="auto"/>
                <w:sz w:val="21"/>
                <w:szCs w:val="21"/>
              </w:rPr>
            </w:pPr>
            <w:r>
              <w:rPr>
                <w:rFonts w:hint="eastAsia" w:ascii="宋体" w:hAnsi="宋体" w:cs="宋体"/>
                <w:b/>
                <w:bCs/>
                <w:color w:val="auto"/>
                <w:sz w:val="21"/>
                <w:szCs w:val="21"/>
              </w:rPr>
              <w:t>表2-9  现有项目、本项目及项目建成后污染情况与对比表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29"/>
              <w:gridCol w:w="1755"/>
              <w:gridCol w:w="1510"/>
              <w:gridCol w:w="1476"/>
              <w:gridCol w:w="17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51" w:hRule="atLeast"/>
                <w:jc w:val="center"/>
              </w:trPr>
              <w:tc>
                <w:tcPr>
                  <w:tcW w:w="1329" w:type="dxa"/>
                  <w:tcBorders>
                    <w:tl2br w:val="nil"/>
                    <w:tr2bl w:val="nil"/>
                  </w:tcBorders>
                  <w:vAlign w:val="center"/>
                </w:tcPr>
                <w:p>
                  <w:pPr>
                    <w:pStyle w:val="61"/>
                    <w:spacing w:after="0" w:line="240" w:lineRule="auto"/>
                    <w:ind w:left="0" w:leftChars="0" w:firstLine="0" w:firstLineChars="0"/>
                    <w:jc w:val="center"/>
                    <w:rPr>
                      <w:rFonts w:ascii="宋体" w:hAnsi="宋体" w:cs="宋体"/>
                      <w:b/>
                      <w:sz w:val="18"/>
                      <w:szCs w:val="18"/>
                    </w:rPr>
                  </w:pPr>
                  <w:r>
                    <w:rPr>
                      <w:rFonts w:hint="eastAsia" w:ascii="宋体" w:hAnsi="宋体" w:cs="宋体"/>
                      <w:b/>
                      <w:sz w:val="18"/>
                      <w:szCs w:val="18"/>
                    </w:rPr>
                    <w:t>污染源</w:t>
                  </w:r>
                </w:p>
              </w:tc>
              <w:tc>
                <w:tcPr>
                  <w:tcW w:w="1755" w:type="dxa"/>
                  <w:tcBorders>
                    <w:tl2br w:val="nil"/>
                    <w:tr2bl w:val="nil"/>
                  </w:tcBorders>
                  <w:vAlign w:val="center"/>
                </w:tcPr>
                <w:p>
                  <w:pPr>
                    <w:pStyle w:val="61"/>
                    <w:spacing w:after="0" w:line="240" w:lineRule="auto"/>
                    <w:ind w:left="0" w:leftChars="0" w:firstLine="0" w:firstLineChars="0"/>
                    <w:jc w:val="center"/>
                    <w:rPr>
                      <w:rFonts w:ascii="宋体" w:hAnsi="宋体" w:cs="宋体"/>
                      <w:b/>
                      <w:sz w:val="18"/>
                      <w:szCs w:val="18"/>
                    </w:rPr>
                  </w:pPr>
                  <w:r>
                    <w:rPr>
                      <w:rFonts w:hint="eastAsia" w:ascii="宋体" w:hAnsi="宋体" w:cs="宋体"/>
                      <w:b/>
                      <w:sz w:val="18"/>
                      <w:szCs w:val="18"/>
                    </w:rPr>
                    <w:t>污染因子</w:t>
                  </w:r>
                </w:p>
              </w:tc>
              <w:tc>
                <w:tcPr>
                  <w:tcW w:w="1510" w:type="dxa"/>
                  <w:tcBorders>
                    <w:tl2br w:val="nil"/>
                    <w:tr2bl w:val="nil"/>
                  </w:tcBorders>
                  <w:vAlign w:val="center"/>
                </w:tcPr>
                <w:p>
                  <w:pPr>
                    <w:pStyle w:val="61"/>
                    <w:autoSpaceDE w:val="0"/>
                    <w:autoSpaceDN w:val="0"/>
                    <w:spacing w:after="0" w:line="240" w:lineRule="auto"/>
                    <w:ind w:left="0" w:leftChars="0" w:firstLine="0" w:firstLineChars="0"/>
                    <w:jc w:val="center"/>
                    <w:rPr>
                      <w:rFonts w:ascii="宋体" w:hAnsi="宋体" w:cs="宋体"/>
                      <w:b/>
                      <w:sz w:val="18"/>
                      <w:szCs w:val="18"/>
                    </w:rPr>
                  </w:pPr>
                  <w:r>
                    <w:rPr>
                      <w:rFonts w:hint="eastAsia" w:ascii="宋体" w:hAnsi="宋体" w:cs="宋体"/>
                      <w:b/>
                      <w:sz w:val="18"/>
                      <w:szCs w:val="18"/>
                    </w:rPr>
                    <w:t>现有工程</w:t>
                  </w:r>
                </w:p>
                <w:p>
                  <w:pPr>
                    <w:pStyle w:val="61"/>
                    <w:autoSpaceDE w:val="0"/>
                    <w:autoSpaceDN w:val="0"/>
                    <w:spacing w:after="0" w:line="240" w:lineRule="auto"/>
                    <w:ind w:left="0" w:leftChars="0" w:firstLine="0" w:firstLineChars="0"/>
                    <w:jc w:val="center"/>
                    <w:rPr>
                      <w:rFonts w:ascii="宋体" w:hAnsi="宋体" w:cs="宋体"/>
                      <w:b/>
                      <w:sz w:val="18"/>
                      <w:szCs w:val="18"/>
                    </w:rPr>
                  </w:pPr>
                  <w:r>
                    <w:rPr>
                      <w:rFonts w:hint="eastAsia" w:ascii="宋体" w:hAnsi="宋体" w:cs="宋体"/>
                      <w:b/>
                      <w:sz w:val="18"/>
                      <w:szCs w:val="18"/>
                    </w:rPr>
                    <w:t>排放量（t/a）</w:t>
                  </w:r>
                </w:p>
              </w:tc>
              <w:tc>
                <w:tcPr>
                  <w:tcW w:w="1476" w:type="dxa"/>
                  <w:tcBorders>
                    <w:tl2br w:val="nil"/>
                    <w:tr2bl w:val="nil"/>
                  </w:tcBorders>
                  <w:vAlign w:val="center"/>
                </w:tcPr>
                <w:p>
                  <w:pPr>
                    <w:pStyle w:val="61"/>
                    <w:spacing w:after="0" w:line="240" w:lineRule="auto"/>
                    <w:ind w:left="0" w:leftChars="0" w:firstLine="0" w:firstLineChars="0"/>
                    <w:jc w:val="center"/>
                    <w:rPr>
                      <w:rFonts w:ascii="宋体" w:hAnsi="宋体" w:cs="宋体"/>
                      <w:b/>
                      <w:sz w:val="18"/>
                      <w:szCs w:val="18"/>
                    </w:rPr>
                  </w:pPr>
                  <w:r>
                    <w:rPr>
                      <w:rFonts w:hint="eastAsia" w:ascii="宋体" w:hAnsi="宋体" w:cs="宋体"/>
                      <w:b/>
                      <w:sz w:val="18"/>
                      <w:szCs w:val="18"/>
                    </w:rPr>
                    <w:t>本项目排放量（t/a）</w:t>
                  </w:r>
                </w:p>
              </w:tc>
              <w:tc>
                <w:tcPr>
                  <w:tcW w:w="1786" w:type="dxa"/>
                  <w:tcBorders>
                    <w:tl2br w:val="nil"/>
                    <w:tr2bl w:val="nil"/>
                  </w:tcBorders>
                  <w:vAlign w:val="center"/>
                </w:tcPr>
                <w:p>
                  <w:pPr>
                    <w:pStyle w:val="61"/>
                    <w:spacing w:after="0" w:line="240" w:lineRule="auto"/>
                    <w:ind w:left="0" w:leftChars="0" w:firstLine="0" w:firstLineChars="0"/>
                    <w:jc w:val="center"/>
                    <w:rPr>
                      <w:rFonts w:ascii="宋体" w:hAnsi="宋体" w:cs="宋体"/>
                      <w:b/>
                      <w:sz w:val="18"/>
                      <w:szCs w:val="18"/>
                    </w:rPr>
                  </w:pPr>
                  <w:r>
                    <w:rPr>
                      <w:rFonts w:hint="eastAsia" w:ascii="宋体" w:hAnsi="宋体" w:cs="宋体"/>
                      <w:b/>
                      <w:sz w:val="18"/>
                      <w:szCs w:val="18"/>
                    </w:rPr>
                    <w:t>本项目建成后总排放量（t/a）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6" w:hRule="atLeast"/>
                <w:jc w:val="center"/>
              </w:trPr>
              <w:tc>
                <w:tcPr>
                  <w:tcW w:w="1329" w:type="dxa"/>
                  <w:vMerge w:val="restart"/>
                  <w:tcBorders>
                    <w:tl2br w:val="nil"/>
                    <w:tr2bl w:val="nil"/>
                  </w:tcBorders>
                  <w:vAlign w:val="center"/>
                </w:tcPr>
                <w:p>
                  <w:pPr>
                    <w:pStyle w:val="61"/>
                    <w:autoSpaceDE w:val="0"/>
                    <w:autoSpaceDN w:val="0"/>
                    <w:spacing w:after="0" w:line="240" w:lineRule="auto"/>
                    <w:ind w:left="0" w:leftChars="0" w:firstLine="0" w:firstLineChars="0"/>
                    <w:jc w:val="center"/>
                    <w:rPr>
                      <w:rFonts w:ascii="宋体" w:hAnsi="宋体" w:cs="宋体"/>
                      <w:bCs/>
                      <w:sz w:val="18"/>
                      <w:szCs w:val="18"/>
                    </w:rPr>
                  </w:pPr>
                  <w:r>
                    <w:rPr>
                      <w:rFonts w:hint="eastAsia" w:ascii="宋体" w:hAnsi="宋体" w:cs="宋体"/>
                      <w:bCs/>
                      <w:sz w:val="18"/>
                      <w:szCs w:val="18"/>
                    </w:rPr>
                    <w:t>废气</w:t>
                  </w:r>
                </w:p>
              </w:tc>
              <w:tc>
                <w:tcPr>
                  <w:tcW w:w="1755" w:type="dxa"/>
                  <w:tcBorders>
                    <w:tl2br w:val="nil"/>
                    <w:tr2bl w:val="nil"/>
                  </w:tcBorders>
                  <w:vAlign w:val="center"/>
                </w:tcPr>
                <w:p>
                  <w:pPr>
                    <w:pStyle w:val="54"/>
                    <w:jc w:val="center"/>
                    <w:rPr>
                      <w:rFonts w:ascii="宋体" w:hAnsi="宋体" w:cs="宋体"/>
                      <w:snapToGrid w:val="0"/>
                      <w:color w:val="000000" w:themeColor="text1"/>
                      <w:kern w:val="21"/>
                      <w:sz w:val="18"/>
                      <w:szCs w:val="18"/>
                      <w:lang w:bidi="zh-CN"/>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二氧化硫</w:t>
                  </w:r>
                </w:p>
              </w:tc>
              <w:tc>
                <w:tcPr>
                  <w:tcW w:w="1510" w:type="dxa"/>
                  <w:tcBorders>
                    <w:tl2br w:val="nil"/>
                    <w:tr2bl w:val="nil"/>
                  </w:tcBorders>
                  <w:vAlign w:val="center"/>
                </w:tcPr>
                <w:p>
                  <w:pPr>
                    <w:jc w:val="center"/>
                    <w:rPr>
                      <w:rFonts w:ascii="宋体" w:hAnsi="宋体" w:cs="宋体"/>
                      <w:snapToGrid w:val="0"/>
                      <w:color w:val="000000" w:themeColor="text1"/>
                      <w:kern w:val="21"/>
                      <w:sz w:val="18"/>
                      <w:szCs w:val="18"/>
                      <w:highlight w:val="none"/>
                      <w:lang w:bidi="zh-CN"/>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0.021</w:t>
                  </w:r>
                </w:p>
              </w:tc>
              <w:tc>
                <w:tcPr>
                  <w:tcW w:w="1476" w:type="dxa"/>
                  <w:tcBorders>
                    <w:tl2br w:val="nil"/>
                    <w:tr2bl w:val="nil"/>
                  </w:tcBorders>
                  <w:vAlign w:val="center"/>
                </w:tcPr>
                <w:p>
                  <w:pPr>
                    <w:pStyle w:val="45"/>
                    <w:spacing w:beforeLines="0" w:afterLines="0" w:line="240" w:lineRule="auto"/>
                    <w:rPr>
                      <w:rFonts w:hAnsi="宋体" w:cs="宋体"/>
                      <w:bCs/>
                      <w:color w:val="000000" w:themeColor="text1"/>
                      <w:sz w:val="18"/>
                      <w:szCs w:val="18"/>
                      <w:highlight w:val="none"/>
                      <w14:textFill>
                        <w14:solidFill>
                          <w14:schemeClr w14:val="tx1"/>
                        </w14:solidFill>
                      </w14:textFill>
                    </w:rPr>
                  </w:pPr>
                  <w:r>
                    <w:rPr>
                      <w:rFonts w:hint="eastAsia" w:hAnsi="宋体" w:cs="宋体"/>
                      <w:snapToGrid w:val="0"/>
                      <w:color w:val="000000" w:themeColor="text1"/>
                      <w:kern w:val="21"/>
                      <w:sz w:val="18"/>
                      <w:szCs w:val="18"/>
                      <w:highlight w:val="none"/>
                      <w14:textFill>
                        <w14:solidFill>
                          <w14:schemeClr w14:val="tx1"/>
                        </w14:solidFill>
                      </w14:textFill>
                    </w:rPr>
                    <w:t>0.041</w:t>
                  </w:r>
                </w:p>
              </w:tc>
              <w:tc>
                <w:tcPr>
                  <w:tcW w:w="1786" w:type="dxa"/>
                  <w:tcBorders>
                    <w:tl2br w:val="nil"/>
                    <w:tr2bl w:val="nil"/>
                  </w:tcBorders>
                  <w:vAlign w:val="center"/>
                </w:tcPr>
                <w:p>
                  <w:pPr>
                    <w:pStyle w:val="45"/>
                    <w:spacing w:beforeLines="0" w:afterLines="0" w:line="240" w:lineRule="auto"/>
                    <w:rPr>
                      <w:rFonts w:hAnsi="宋体" w:cs="宋体"/>
                      <w:bCs/>
                      <w:color w:val="000000" w:themeColor="text1"/>
                      <w:sz w:val="18"/>
                      <w:szCs w:val="18"/>
                      <w:highlight w:val="none"/>
                      <w14:textFill>
                        <w14:solidFill>
                          <w14:schemeClr w14:val="tx1"/>
                        </w14:solidFill>
                      </w14:textFill>
                    </w:rPr>
                  </w:pPr>
                  <w:r>
                    <w:rPr>
                      <w:rFonts w:hint="eastAsia" w:hAnsi="宋体" w:cs="宋体"/>
                      <w:snapToGrid w:val="0"/>
                      <w:color w:val="000000" w:themeColor="text1"/>
                      <w:kern w:val="21"/>
                      <w:sz w:val="18"/>
                      <w:szCs w:val="18"/>
                      <w:highlight w:val="none"/>
                      <w14:textFill>
                        <w14:solidFill>
                          <w14:schemeClr w14:val="tx1"/>
                        </w14:solidFill>
                      </w14:textFill>
                    </w:rPr>
                    <w:t>0.062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6" w:hRule="atLeast"/>
                <w:jc w:val="center"/>
              </w:trPr>
              <w:tc>
                <w:tcPr>
                  <w:tcW w:w="1329" w:type="dxa"/>
                  <w:vMerge w:val="continue"/>
                  <w:tcBorders>
                    <w:tl2br w:val="nil"/>
                    <w:tr2bl w:val="nil"/>
                  </w:tcBorders>
                  <w:vAlign w:val="center"/>
                </w:tcPr>
                <w:p>
                  <w:pPr>
                    <w:pStyle w:val="61"/>
                    <w:autoSpaceDE w:val="0"/>
                    <w:autoSpaceDN w:val="0"/>
                    <w:spacing w:after="0" w:line="240" w:lineRule="auto"/>
                    <w:ind w:left="0" w:leftChars="0" w:firstLine="0" w:firstLineChars="0"/>
                    <w:jc w:val="center"/>
                    <w:rPr>
                      <w:rFonts w:ascii="宋体" w:hAnsi="宋体" w:cs="宋体"/>
                      <w:bCs/>
                      <w:sz w:val="18"/>
                      <w:szCs w:val="18"/>
                    </w:rPr>
                  </w:pPr>
                </w:p>
              </w:tc>
              <w:tc>
                <w:tcPr>
                  <w:tcW w:w="1755" w:type="dxa"/>
                  <w:tcBorders>
                    <w:tl2br w:val="nil"/>
                    <w:tr2bl w:val="nil"/>
                  </w:tcBorders>
                  <w:vAlign w:val="center"/>
                </w:tcPr>
                <w:p>
                  <w:pPr>
                    <w:pStyle w:val="54"/>
                    <w:jc w:val="center"/>
                    <w:rPr>
                      <w:rFonts w:ascii="宋体" w:hAnsi="宋体" w:cs="宋体"/>
                      <w:sz w:val="18"/>
                      <w:szCs w:val="18"/>
                      <w:highlight w:val="none"/>
                    </w:rPr>
                  </w:pPr>
                  <w:r>
                    <w:rPr>
                      <w:rFonts w:hint="eastAsia" w:ascii="宋体" w:hAnsi="宋体" w:cs="宋体"/>
                      <w:sz w:val="18"/>
                      <w:szCs w:val="18"/>
                      <w:highlight w:val="none"/>
                    </w:rPr>
                    <w:t>颗粒物</w:t>
                  </w:r>
                </w:p>
              </w:tc>
              <w:tc>
                <w:tcPr>
                  <w:tcW w:w="1510" w:type="dxa"/>
                  <w:tcBorders>
                    <w:tl2br w:val="nil"/>
                    <w:tr2bl w:val="nil"/>
                  </w:tcBorders>
                  <w:vAlign w:val="center"/>
                </w:tcPr>
                <w:p>
                  <w:pPr>
                    <w:jc w:val="center"/>
                    <w:rPr>
                      <w:rFonts w:hint="default" w:ascii="宋体" w:hAnsi="宋体" w:eastAsia="宋体" w:cs="宋体"/>
                      <w:sz w:val="18"/>
                      <w:szCs w:val="18"/>
                      <w:highlight w:val="none"/>
                      <w:lang w:val="en-US" w:eastAsia="zh-CN"/>
                    </w:rPr>
                  </w:pPr>
                  <w:r>
                    <w:rPr>
                      <w:rFonts w:hint="eastAsia" w:ascii="宋体" w:hAnsi="宋体" w:cs="宋体"/>
                      <w:snapToGrid w:val="0"/>
                      <w:kern w:val="21"/>
                      <w:sz w:val="18"/>
                      <w:szCs w:val="18"/>
                      <w:highlight w:val="none"/>
                      <w:lang w:val="en-US" w:eastAsia="zh-CN"/>
                    </w:rPr>
                    <w:t>0.014</w:t>
                  </w:r>
                </w:p>
              </w:tc>
              <w:tc>
                <w:tcPr>
                  <w:tcW w:w="1476" w:type="dxa"/>
                  <w:tcBorders>
                    <w:tl2br w:val="nil"/>
                    <w:tr2bl w:val="nil"/>
                  </w:tcBorders>
                  <w:vAlign w:val="center"/>
                </w:tcPr>
                <w:p>
                  <w:pPr>
                    <w:pStyle w:val="45"/>
                    <w:spacing w:beforeLines="0" w:afterLines="0" w:line="240" w:lineRule="auto"/>
                    <w:rPr>
                      <w:rFonts w:hint="default" w:hAnsi="宋体" w:eastAsia="宋体" w:cs="宋体"/>
                      <w:sz w:val="18"/>
                      <w:szCs w:val="18"/>
                      <w:highlight w:val="none"/>
                      <w:lang w:val="en-US" w:eastAsia="zh-CN"/>
                    </w:rPr>
                  </w:pPr>
                  <w:r>
                    <w:rPr>
                      <w:rFonts w:hint="eastAsia" w:hAnsi="宋体" w:cs="宋体"/>
                      <w:kern w:val="2"/>
                      <w:sz w:val="18"/>
                      <w:szCs w:val="18"/>
                      <w:highlight w:val="none"/>
                      <w:lang w:val="en-US" w:eastAsia="zh-CN"/>
                    </w:rPr>
                    <w:t>0.029</w:t>
                  </w:r>
                </w:p>
              </w:tc>
              <w:tc>
                <w:tcPr>
                  <w:tcW w:w="1786" w:type="dxa"/>
                  <w:tcBorders>
                    <w:tl2br w:val="nil"/>
                    <w:tr2bl w:val="nil"/>
                  </w:tcBorders>
                  <w:vAlign w:val="center"/>
                </w:tcPr>
                <w:p>
                  <w:pPr>
                    <w:pStyle w:val="45"/>
                    <w:spacing w:beforeLines="0" w:afterLines="0" w:line="240" w:lineRule="auto"/>
                    <w:rPr>
                      <w:rFonts w:hint="default" w:hAnsi="宋体" w:eastAsia="宋体" w:cs="宋体"/>
                      <w:sz w:val="18"/>
                      <w:szCs w:val="18"/>
                      <w:highlight w:val="none"/>
                      <w:lang w:val="en-US" w:eastAsia="zh-CN"/>
                    </w:rPr>
                  </w:pPr>
                  <w:r>
                    <w:rPr>
                      <w:rFonts w:hint="eastAsia" w:hAnsi="宋体" w:cs="宋体"/>
                      <w:kern w:val="2"/>
                      <w:sz w:val="18"/>
                      <w:szCs w:val="18"/>
                      <w:highlight w:val="none"/>
                      <w:lang w:val="en-US" w:eastAsia="zh-CN"/>
                    </w:rPr>
                    <w:t>0.043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329" w:type="dxa"/>
                  <w:vMerge w:val="continue"/>
                  <w:tcBorders>
                    <w:tl2br w:val="nil"/>
                    <w:tr2bl w:val="nil"/>
                  </w:tcBorders>
                  <w:vAlign w:val="center"/>
                </w:tcPr>
                <w:p>
                  <w:pPr>
                    <w:pStyle w:val="61"/>
                    <w:autoSpaceDE w:val="0"/>
                    <w:autoSpaceDN w:val="0"/>
                    <w:spacing w:after="0" w:line="240" w:lineRule="auto"/>
                    <w:ind w:left="0" w:leftChars="0" w:firstLine="0" w:firstLineChars="0"/>
                    <w:jc w:val="center"/>
                    <w:rPr>
                      <w:rFonts w:ascii="宋体" w:hAnsi="宋体" w:cs="宋体"/>
                      <w:bCs/>
                      <w:sz w:val="18"/>
                      <w:szCs w:val="18"/>
                    </w:rPr>
                  </w:pPr>
                </w:p>
              </w:tc>
              <w:tc>
                <w:tcPr>
                  <w:tcW w:w="1755" w:type="dxa"/>
                  <w:tcBorders>
                    <w:tl2br w:val="nil"/>
                    <w:tr2bl w:val="nil"/>
                  </w:tcBorders>
                  <w:vAlign w:val="center"/>
                </w:tcPr>
                <w:p>
                  <w:pPr>
                    <w:pStyle w:val="54"/>
                    <w:jc w:val="center"/>
                    <w:rPr>
                      <w:rFonts w:ascii="宋体" w:hAnsi="宋体" w:cs="宋体"/>
                      <w:sz w:val="18"/>
                      <w:szCs w:val="18"/>
                      <w:highlight w:val="none"/>
                    </w:rPr>
                  </w:pPr>
                  <w:r>
                    <w:rPr>
                      <w:rFonts w:hint="eastAsia" w:ascii="宋体" w:hAnsi="宋体" w:cs="宋体"/>
                      <w:sz w:val="18"/>
                      <w:szCs w:val="18"/>
                      <w:highlight w:val="none"/>
                    </w:rPr>
                    <w:t>氮氧化物</w:t>
                  </w:r>
                </w:p>
              </w:tc>
              <w:tc>
                <w:tcPr>
                  <w:tcW w:w="1510" w:type="dxa"/>
                  <w:tcBorders>
                    <w:tl2br w:val="nil"/>
                    <w:tr2bl w:val="nil"/>
                  </w:tcBorders>
                  <w:vAlign w:val="center"/>
                </w:tcPr>
                <w:p>
                  <w:pPr>
                    <w:jc w:val="center"/>
                    <w:rPr>
                      <w:rFonts w:hint="default" w:ascii="宋体" w:hAnsi="宋体" w:eastAsia="宋体" w:cs="宋体"/>
                      <w:sz w:val="18"/>
                      <w:szCs w:val="18"/>
                      <w:highlight w:val="none"/>
                      <w:lang w:val="en-US" w:eastAsia="zh-CN"/>
                    </w:rPr>
                  </w:pPr>
                  <w:r>
                    <w:rPr>
                      <w:rFonts w:hint="eastAsia" w:ascii="宋体" w:hAnsi="宋体" w:cs="宋体"/>
                      <w:snapToGrid w:val="0"/>
                      <w:kern w:val="21"/>
                      <w:sz w:val="18"/>
                      <w:szCs w:val="18"/>
                      <w:highlight w:val="none"/>
                      <w:lang w:val="en-US" w:eastAsia="zh-CN"/>
                    </w:rPr>
                    <w:t>0.061</w:t>
                  </w:r>
                </w:p>
              </w:tc>
              <w:tc>
                <w:tcPr>
                  <w:tcW w:w="1476" w:type="dxa"/>
                  <w:tcBorders>
                    <w:tl2br w:val="nil"/>
                    <w:tr2bl w:val="nil"/>
                  </w:tcBorders>
                  <w:vAlign w:val="center"/>
                </w:tcPr>
                <w:p>
                  <w:pPr>
                    <w:pStyle w:val="45"/>
                    <w:spacing w:beforeLines="0" w:afterLines="0" w:line="240" w:lineRule="auto"/>
                    <w:rPr>
                      <w:rFonts w:hint="default" w:hAnsi="宋体" w:eastAsia="宋体" w:cs="宋体"/>
                      <w:sz w:val="18"/>
                      <w:szCs w:val="18"/>
                      <w:highlight w:val="none"/>
                      <w:lang w:val="en-US" w:eastAsia="zh-CN"/>
                    </w:rPr>
                  </w:pPr>
                  <w:r>
                    <w:rPr>
                      <w:rFonts w:hint="eastAsia" w:hAnsi="宋体" w:cs="宋体"/>
                      <w:kern w:val="2"/>
                      <w:sz w:val="18"/>
                      <w:szCs w:val="18"/>
                      <w:highlight w:val="none"/>
                      <w:lang w:val="en-US" w:eastAsia="zh-CN"/>
                    </w:rPr>
                    <w:t>0.123</w:t>
                  </w:r>
                </w:p>
              </w:tc>
              <w:tc>
                <w:tcPr>
                  <w:tcW w:w="1786" w:type="dxa"/>
                  <w:tcBorders>
                    <w:tl2br w:val="nil"/>
                    <w:tr2bl w:val="nil"/>
                  </w:tcBorders>
                  <w:vAlign w:val="center"/>
                </w:tcPr>
                <w:p>
                  <w:pPr>
                    <w:pStyle w:val="45"/>
                    <w:spacing w:beforeLines="0" w:afterLines="0" w:line="240" w:lineRule="auto"/>
                    <w:rPr>
                      <w:rFonts w:hAnsi="宋体" w:cs="宋体"/>
                      <w:sz w:val="18"/>
                      <w:szCs w:val="18"/>
                      <w:highlight w:val="none"/>
                    </w:rPr>
                  </w:pPr>
                  <w:r>
                    <w:rPr>
                      <w:rFonts w:hint="eastAsia" w:ascii="宋体" w:hAnsi="宋体" w:cs="宋体"/>
                      <w:snapToGrid w:val="0"/>
                      <w:kern w:val="21"/>
                      <w:sz w:val="18"/>
                      <w:szCs w:val="18"/>
                      <w:highlight w:val="none"/>
                      <w:lang w:val="en-US" w:eastAsia="zh-CN"/>
                    </w:rPr>
                    <w:t>0.184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6" w:hRule="atLeast"/>
                <w:jc w:val="center"/>
              </w:trPr>
              <w:tc>
                <w:tcPr>
                  <w:tcW w:w="1329" w:type="dxa"/>
                  <w:vMerge w:val="restart"/>
                  <w:tcBorders>
                    <w:tl2br w:val="nil"/>
                    <w:tr2bl w:val="nil"/>
                  </w:tcBorders>
                  <w:vAlign w:val="center"/>
                </w:tcPr>
                <w:p>
                  <w:pPr>
                    <w:jc w:val="center"/>
                    <w:rPr>
                      <w:rFonts w:ascii="宋体" w:hAnsi="宋体" w:cs="宋体"/>
                      <w:snapToGrid w:val="0"/>
                      <w:kern w:val="21"/>
                      <w:sz w:val="18"/>
                      <w:szCs w:val="18"/>
                    </w:rPr>
                  </w:pPr>
                  <w:r>
                    <w:rPr>
                      <w:rFonts w:hint="eastAsia" w:ascii="宋体" w:hAnsi="宋体" w:cs="宋体"/>
                      <w:snapToGrid w:val="0"/>
                      <w:kern w:val="21"/>
                      <w:sz w:val="18"/>
                      <w:szCs w:val="18"/>
                      <w:lang w:bidi="zh-CN"/>
                    </w:rPr>
                    <w:t>废水</w:t>
                  </w:r>
                </w:p>
              </w:tc>
              <w:tc>
                <w:tcPr>
                  <w:tcW w:w="1755" w:type="dxa"/>
                  <w:tcBorders>
                    <w:tl2br w:val="nil"/>
                    <w:tr2bl w:val="nil"/>
                  </w:tcBorders>
                  <w:vAlign w:val="center"/>
                </w:tcPr>
                <w:p>
                  <w:pPr>
                    <w:pStyle w:val="54"/>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COD</w:t>
                  </w:r>
                </w:p>
              </w:tc>
              <w:tc>
                <w:tcPr>
                  <w:tcW w:w="1510" w:type="dxa"/>
                  <w:tcBorders>
                    <w:tl2br w:val="nil"/>
                    <w:tr2bl w:val="nil"/>
                  </w:tcBorders>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0.002017</w:t>
                  </w:r>
                </w:p>
              </w:tc>
              <w:tc>
                <w:tcPr>
                  <w:tcW w:w="1476" w:type="dxa"/>
                  <w:tcBorders>
                    <w:tl2br w:val="nil"/>
                    <w:tr2bl w:val="nil"/>
                  </w:tcBorders>
                  <w:vAlign w:val="center"/>
                </w:tcPr>
                <w:p>
                  <w:pPr>
                    <w:jc w:val="center"/>
                    <w:rPr>
                      <w:rFonts w:ascii="宋体" w:hAnsi="宋体" w:cs="宋体"/>
                      <w:bCs/>
                      <w:color w:val="000000" w:themeColor="text1"/>
                      <w:sz w:val="18"/>
                      <w:szCs w:val="18"/>
                      <w:highlight w:val="none"/>
                      <w:lang w:bidi="zh-CN"/>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0.0002017</w:t>
                  </w:r>
                </w:p>
              </w:tc>
              <w:tc>
                <w:tcPr>
                  <w:tcW w:w="1786" w:type="dxa"/>
                  <w:tcBorders>
                    <w:tl2br w:val="nil"/>
                    <w:tr2bl w:val="nil"/>
                  </w:tcBorders>
                  <w:vAlign w:val="center"/>
                </w:tcPr>
                <w:p>
                  <w:pPr>
                    <w:jc w:val="center"/>
                    <w:rPr>
                      <w:rFonts w:ascii="宋体" w:hAnsi="宋体" w:cs="宋体"/>
                      <w:bCs/>
                      <w:color w:val="000000" w:themeColor="text1"/>
                      <w:sz w:val="18"/>
                      <w:szCs w:val="18"/>
                      <w:highlight w:val="none"/>
                      <w:lang w:bidi="zh-CN"/>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0.004034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6" w:hRule="atLeast"/>
                <w:jc w:val="center"/>
              </w:trPr>
              <w:tc>
                <w:tcPr>
                  <w:tcW w:w="1329" w:type="dxa"/>
                  <w:vMerge w:val="continue"/>
                  <w:tcBorders>
                    <w:tl2br w:val="nil"/>
                    <w:tr2bl w:val="nil"/>
                  </w:tcBorders>
                  <w:vAlign w:val="center"/>
                </w:tcPr>
                <w:p>
                  <w:pPr>
                    <w:jc w:val="center"/>
                    <w:rPr>
                      <w:rFonts w:ascii="宋体" w:hAnsi="宋体" w:cs="宋体"/>
                      <w:snapToGrid w:val="0"/>
                      <w:kern w:val="21"/>
                      <w:sz w:val="18"/>
                      <w:szCs w:val="18"/>
                    </w:rPr>
                  </w:pPr>
                </w:p>
              </w:tc>
              <w:tc>
                <w:tcPr>
                  <w:tcW w:w="1755" w:type="dxa"/>
                  <w:tcBorders>
                    <w:tl2br w:val="nil"/>
                    <w:tr2bl w:val="nil"/>
                  </w:tcBorders>
                  <w:vAlign w:val="center"/>
                </w:tcPr>
                <w:p>
                  <w:pPr>
                    <w:pStyle w:val="54"/>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氨氮</w:t>
                  </w:r>
                </w:p>
              </w:tc>
              <w:tc>
                <w:tcPr>
                  <w:tcW w:w="1510" w:type="dxa"/>
                  <w:tcBorders>
                    <w:tl2br w:val="nil"/>
                    <w:tr2bl w:val="nil"/>
                  </w:tcBorders>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0.0002017</w:t>
                  </w:r>
                </w:p>
              </w:tc>
              <w:tc>
                <w:tcPr>
                  <w:tcW w:w="1476" w:type="dxa"/>
                  <w:tcBorders>
                    <w:tl2br w:val="nil"/>
                    <w:tr2bl w:val="nil"/>
                  </w:tcBorders>
                  <w:vAlign w:val="center"/>
                </w:tcPr>
                <w:p>
                  <w:pPr>
                    <w:jc w:val="center"/>
                    <w:rPr>
                      <w:rFonts w:ascii="宋体" w:hAnsi="宋体" w:cs="宋体"/>
                      <w:bCs/>
                      <w:color w:val="000000" w:themeColor="text1"/>
                      <w:sz w:val="18"/>
                      <w:szCs w:val="18"/>
                      <w:highlight w:val="none"/>
                      <w:lang w:bidi="zh-CN"/>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0.0002017</w:t>
                  </w:r>
                </w:p>
              </w:tc>
              <w:tc>
                <w:tcPr>
                  <w:tcW w:w="1786" w:type="dxa"/>
                  <w:tcBorders>
                    <w:tl2br w:val="nil"/>
                    <w:tr2bl w:val="nil"/>
                  </w:tcBorders>
                  <w:vAlign w:val="center"/>
                </w:tcPr>
                <w:p>
                  <w:pPr>
                    <w:jc w:val="center"/>
                    <w:rPr>
                      <w:rFonts w:ascii="宋体" w:hAnsi="宋体" w:cs="宋体"/>
                      <w:bCs/>
                      <w:color w:val="000000" w:themeColor="text1"/>
                      <w:sz w:val="18"/>
                      <w:szCs w:val="18"/>
                      <w:highlight w:val="none"/>
                      <w:lang w:bidi="zh-CN"/>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0.0004034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1329" w:type="dxa"/>
                  <w:vMerge w:val="restart"/>
                  <w:tcBorders>
                    <w:tl2br w:val="nil"/>
                    <w:tr2bl w:val="nil"/>
                  </w:tcBorders>
                  <w:vAlign w:val="center"/>
                </w:tcPr>
                <w:p>
                  <w:pPr>
                    <w:jc w:val="center"/>
                    <w:rPr>
                      <w:rFonts w:ascii="宋体" w:hAnsi="宋体" w:cs="宋体"/>
                      <w:snapToGrid w:val="0"/>
                      <w:kern w:val="21"/>
                      <w:sz w:val="18"/>
                      <w:szCs w:val="18"/>
                      <w:lang w:bidi="zh-CN"/>
                    </w:rPr>
                  </w:pPr>
                  <w:r>
                    <w:rPr>
                      <w:rFonts w:hint="eastAsia" w:ascii="宋体" w:hAnsi="宋体" w:cs="宋体"/>
                      <w:snapToGrid w:val="0"/>
                      <w:kern w:val="21"/>
                      <w:sz w:val="18"/>
                      <w:szCs w:val="18"/>
                      <w:lang w:bidi="zh-CN"/>
                    </w:rPr>
                    <w:t>一般工业固体废物</w:t>
                  </w:r>
                </w:p>
              </w:tc>
              <w:tc>
                <w:tcPr>
                  <w:tcW w:w="1755" w:type="dxa"/>
                  <w:tcBorders>
                    <w:tl2br w:val="nil"/>
                    <w:tr2bl w:val="nil"/>
                  </w:tcBorders>
                  <w:vAlign w:val="center"/>
                </w:tcPr>
                <w:p>
                  <w:pPr>
                    <w:pStyle w:val="45"/>
                    <w:spacing w:beforeLines="0" w:afterLines="0" w:line="240" w:lineRule="auto"/>
                    <w:rPr>
                      <w:rFonts w:hAnsi="宋体" w:cs="宋体"/>
                      <w:sz w:val="18"/>
                      <w:szCs w:val="18"/>
                    </w:rPr>
                  </w:pPr>
                  <w:r>
                    <w:rPr>
                      <w:rFonts w:hint="eastAsia" w:hAnsi="宋体" w:cs="宋体"/>
                      <w:snapToGrid w:val="0"/>
                      <w:kern w:val="21"/>
                      <w:sz w:val="18"/>
                      <w:szCs w:val="18"/>
                    </w:rPr>
                    <w:t>生活垃圾</w:t>
                  </w:r>
                </w:p>
              </w:tc>
              <w:tc>
                <w:tcPr>
                  <w:tcW w:w="1510" w:type="dxa"/>
                  <w:tcBorders>
                    <w:tl2br w:val="nil"/>
                    <w:tr2bl w:val="nil"/>
                  </w:tcBorders>
                  <w:vAlign w:val="center"/>
                </w:tcPr>
                <w:p>
                  <w:pPr>
                    <w:jc w:val="center"/>
                    <w:rPr>
                      <w:rFonts w:ascii="宋体" w:hAnsi="宋体" w:cs="宋体"/>
                      <w:sz w:val="18"/>
                      <w:szCs w:val="18"/>
                    </w:rPr>
                  </w:pPr>
                  <w:r>
                    <w:rPr>
                      <w:rFonts w:hint="eastAsia" w:ascii="宋体" w:hAnsi="宋体" w:cs="宋体"/>
                      <w:snapToGrid w:val="0"/>
                      <w:kern w:val="21"/>
                      <w:sz w:val="18"/>
                      <w:szCs w:val="18"/>
                    </w:rPr>
                    <w:t>0.25</w:t>
                  </w:r>
                </w:p>
              </w:tc>
              <w:tc>
                <w:tcPr>
                  <w:tcW w:w="1476" w:type="dxa"/>
                  <w:tcBorders>
                    <w:tl2br w:val="nil"/>
                    <w:tr2bl w:val="nil"/>
                  </w:tcBorders>
                  <w:vAlign w:val="center"/>
                </w:tcPr>
                <w:p>
                  <w:pPr>
                    <w:pStyle w:val="45"/>
                    <w:spacing w:beforeLines="0" w:afterLines="0" w:line="240" w:lineRule="auto"/>
                    <w:rPr>
                      <w:rFonts w:hAnsi="宋体" w:cs="宋体"/>
                      <w:bCs/>
                      <w:sz w:val="18"/>
                      <w:szCs w:val="18"/>
                      <w:lang w:bidi="zh-CN"/>
                    </w:rPr>
                  </w:pPr>
                  <w:r>
                    <w:rPr>
                      <w:rFonts w:hint="eastAsia" w:hAnsi="宋体" w:cs="宋体"/>
                      <w:snapToGrid w:val="0"/>
                      <w:kern w:val="21"/>
                      <w:sz w:val="18"/>
                      <w:szCs w:val="18"/>
                    </w:rPr>
                    <w:t>0.25</w:t>
                  </w:r>
                </w:p>
              </w:tc>
              <w:tc>
                <w:tcPr>
                  <w:tcW w:w="1786" w:type="dxa"/>
                  <w:tcBorders>
                    <w:tl2br w:val="nil"/>
                    <w:tr2bl w:val="nil"/>
                  </w:tcBorders>
                  <w:vAlign w:val="center"/>
                </w:tcPr>
                <w:p>
                  <w:pPr>
                    <w:pStyle w:val="45"/>
                    <w:spacing w:beforeLines="0" w:afterLines="0" w:line="240" w:lineRule="auto"/>
                    <w:rPr>
                      <w:rFonts w:hAnsi="宋体" w:cs="宋体"/>
                      <w:bCs/>
                      <w:sz w:val="18"/>
                      <w:szCs w:val="18"/>
                      <w:lang w:bidi="zh-CN"/>
                    </w:rPr>
                  </w:pPr>
                  <w:r>
                    <w:rPr>
                      <w:rFonts w:hint="eastAsia" w:hAnsi="宋体" w:cs="宋体"/>
                      <w:snapToGrid w:val="0"/>
                      <w:kern w:val="21"/>
                      <w:sz w:val="18"/>
                      <w:szCs w:val="18"/>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1329" w:type="dxa"/>
                  <w:vMerge w:val="continue"/>
                  <w:tcBorders>
                    <w:tl2br w:val="nil"/>
                    <w:tr2bl w:val="nil"/>
                  </w:tcBorders>
                  <w:vAlign w:val="center"/>
                </w:tcPr>
                <w:p>
                  <w:pPr>
                    <w:jc w:val="center"/>
                    <w:rPr>
                      <w:rFonts w:ascii="宋体" w:hAnsi="宋体" w:cs="宋体"/>
                      <w:snapToGrid w:val="0"/>
                      <w:kern w:val="21"/>
                      <w:sz w:val="18"/>
                      <w:szCs w:val="18"/>
                      <w:lang w:bidi="zh-CN"/>
                    </w:rPr>
                  </w:pPr>
                </w:p>
              </w:tc>
              <w:tc>
                <w:tcPr>
                  <w:tcW w:w="1755" w:type="dxa"/>
                  <w:tcBorders>
                    <w:tl2br w:val="nil"/>
                    <w:tr2bl w:val="nil"/>
                  </w:tcBorders>
                  <w:vAlign w:val="center"/>
                </w:tcPr>
                <w:p>
                  <w:pPr>
                    <w:pStyle w:val="45"/>
                    <w:spacing w:beforeLines="0" w:afterLines="0" w:line="240" w:lineRule="auto"/>
                    <w:rPr>
                      <w:rFonts w:hAnsi="宋体" w:cs="宋体"/>
                      <w:sz w:val="18"/>
                      <w:szCs w:val="18"/>
                    </w:rPr>
                  </w:pPr>
                  <w:r>
                    <w:rPr>
                      <w:rFonts w:hint="eastAsia" w:hAnsi="宋体" w:cs="宋体"/>
                      <w:snapToGrid w:val="0"/>
                      <w:kern w:val="21"/>
                      <w:sz w:val="18"/>
                      <w:szCs w:val="18"/>
                    </w:rPr>
                    <w:t>炉渣</w:t>
                  </w:r>
                </w:p>
              </w:tc>
              <w:tc>
                <w:tcPr>
                  <w:tcW w:w="1510" w:type="dxa"/>
                  <w:tcBorders>
                    <w:tl2br w:val="nil"/>
                    <w:tr2bl w:val="nil"/>
                  </w:tcBorders>
                  <w:vAlign w:val="center"/>
                </w:tcPr>
                <w:p>
                  <w:pPr>
                    <w:jc w:val="center"/>
                    <w:rPr>
                      <w:rFonts w:ascii="宋体" w:hAnsi="宋体" w:cs="宋体"/>
                      <w:sz w:val="18"/>
                      <w:szCs w:val="18"/>
                    </w:rPr>
                  </w:pPr>
                  <w:r>
                    <w:rPr>
                      <w:rFonts w:hint="eastAsia" w:ascii="宋体" w:hAnsi="宋体" w:cs="宋体"/>
                      <w:snapToGrid w:val="0"/>
                      <w:kern w:val="21"/>
                      <w:sz w:val="18"/>
                      <w:szCs w:val="18"/>
                    </w:rPr>
                    <w:t>2.16</w:t>
                  </w:r>
                </w:p>
              </w:tc>
              <w:tc>
                <w:tcPr>
                  <w:tcW w:w="1476" w:type="dxa"/>
                  <w:tcBorders>
                    <w:tl2br w:val="nil"/>
                    <w:tr2bl w:val="nil"/>
                  </w:tcBorders>
                  <w:vAlign w:val="center"/>
                </w:tcPr>
                <w:p>
                  <w:pPr>
                    <w:pStyle w:val="45"/>
                    <w:spacing w:beforeLines="0" w:afterLines="0" w:line="240" w:lineRule="auto"/>
                    <w:rPr>
                      <w:rFonts w:hAnsi="宋体" w:cs="宋体"/>
                      <w:bCs/>
                      <w:sz w:val="18"/>
                      <w:szCs w:val="18"/>
                      <w:lang w:bidi="zh-CN"/>
                    </w:rPr>
                  </w:pPr>
                  <w:r>
                    <w:rPr>
                      <w:rFonts w:hint="eastAsia" w:hAnsi="宋体" w:cs="宋体"/>
                      <w:snapToGrid w:val="0"/>
                      <w:kern w:val="21"/>
                      <w:sz w:val="18"/>
                      <w:szCs w:val="18"/>
                    </w:rPr>
                    <w:t>4.32</w:t>
                  </w:r>
                </w:p>
              </w:tc>
              <w:tc>
                <w:tcPr>
                  <w:tcW w:w="1786" w:type="dxa"/>
                  <w:tcBorders>
                    <w:tl2br w:val="nil"/>
                    <w:tr2bl w:val="nil"/>
                  </w:tcBorders>
                  <w:vAlign w:val="center"/>
                </w:tcPr>
                <w:p>
                  <w:pPr>
                    <w:pStyle w:val="45"/>
                    <w:spacing w:beforeLines="0" w:afterLines="0" w:line="240" w:lineRule="auto"/>
                    <w:rPr>
                      <w:rFonts w:hAnsi="宋体" w:cs="宋体"/>
                      <w:bCs/>
                      <w:sz w:val="18"/>
                      <w:szCs w:val="18"/>
                      <w:lang w:bidi="zh-CN"/>
                    </w:rPr>
                  </w:pPr>
                  <w:r>
                    <w:rPr>
                      <w:rFonts w:hint="eastAsia" w:hAnsi="宋体" w:cs="宋体"/>
                      <w:snapToGrid w:val="0"/>
                      <w:kern w:val="21"/>
                      <w:sz w:val="18"/>
                      <w:szCs w:val="18"/>
                    </w:rPr>
                    <w:t>6.48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1329" w:type="dxa"/>
                  <w:vMerge w:val="continue"/>
                  <w:tcBorders>
                    <w:tl2br w:val="nil"/>
                    <w:tr2bl w:val="nil"/>
                  </w:tcBorders>
                  <w:vAlign w:val="center"/>
                </w:tcPr>
                <w:p>
                  <w:pPr>
                    <w:jc w:val="center"/>
                    <w:rPr>
                      <w:rFonts w:ascii="宋体" w:hAnsi="宋体" w:cs="宋体"/>
                      <w:snapToGrid w:val="0"/>
                      <w:kern w:val="21"/>
                      <w:sz w:val="18"/>
                      <w:szCs w:val="18"/>
                      <w:lang w:bidi="zh-CN"/>
                    </w:rPr>
                  </w:pPr>
                </w:p>
              </w:tc>
              <w:tc>
                <w:tcPr>
                  <w:tcW w:w="1755" w:type="dxa"/>
                  <w:tcBorders>
                    <w:tl2br w:val="nil"/>
                    <w:tr2bl w:val="nil"/>
                  </w:tcBorders>
                  <w:vAlign w:val="center"/>
                </w:tcPr>
                <w:p>
                  <w:pPr>
                    <w:pStyle w:val="45"/>
                    <w:spacing w:beforeLines="0" w:afterLines="0" w:line="240" w:lineRule="auto"/>
                    <w:rPr>
                      <w:rFonts w:hAnsi="宋体" w:cs="宋体"/>
                      <w:sz w:val="18"/>
                      <w:szCs w:val="18"/>
                      <w:highlight w:val="none"/>
                    </w:rPr>
                  </w:pPr>
                  <w:r>
                    <w:rPr>
                      <w:rFonts w:hint="eastAsia" w:hAnsi="宋体" w:cs="宋体"/>
                      <w:snapToGrid w:val="0"/>
                      <w:kern w:val="21"/>
                      <w:sz w:val="18"/>
                      <w:szCs w:val="18"/>
                      <w:highlight w:val="none"/>
                    </w:rPr>
                    <w:t>锅炉除尘灰</w:t>
                  </w:r>
                </w:p>
              </w:tc>
              <w:tc>
                <w:tcPr>
                  <w:tcW w:w="1510" w:type="dxa"/>
                  <w:tcBorders>
                    <w:tl2br w:val="nil"/>
                    <w:tr2bl w:val="nil"/>
                  </w:tcBorders>
                  <w:vAlign w:val="center"/>
                </w:tcPr>
                <w:p>
                  <w:pPr>
                    <w:jc w:val="center"/>
                    <w:rPr>
                      <w:rFonts w:hint="eastAsia" w:ascii="宋体" w:hAnsi="宋体" w:eastAsia="宋体" w:cs="宋体"/>
                      <w:sz w:val="18"/>
                      <w:szCs w:val="18"/>
                      <w:highlight w:val="none"/>
                      <w:lang w:eastAsia="zh-CN"/>
                    </w:rPr>
                  </w:pPr>
                  <w:r>
                    <w:rPr>
                      <w:rFonts w:hint="eastAsia" w:ascii="宋体" w:hAnsi="宋体" w:cs="宋体"/>
                      <w:snapToGrid w:val="0"/>
                      <w:kern w:val="21"/>
                      <w:sz w:val="18"/>
                      <w:szCs w:val="18"/>
                      <w:highlight w:val="none"/>
                      <w:lang w:eastAsia="zh-CN"/>
                    </w:rPr>
                    <w:t>2.44</w:t>
                  </w:r>
                </w:p>
              </w:tc>
              <w:tc>
                <w:tcPr>
                  <w:tcW w:w="1476" w:type="dxa"/>
                  <w:tcBorders>
                    <w:tl2br w:val="nil"/>
                    <w:tr2bl w:val="nil"/>
                  </w:tcBorders>
                  <w:vAlign w:val="center"/>
                </w:tcPr>
                <w:p>
                  <w:pPr>
                    <w:pStyle w:val="45"/>
                    <w:spacing w:beforeLines="0" w:afterLines="0" w:line="240" w:lineRule="auto"/>
                    <w:rPr>
                      <w:rFonts w:hint="eastAsia" w:hAnsi="宋体" w:eastAsia="宋体" w:cs="宋体"/>
                      <w:bCs/>
                      <w:sz w:val="18"/>
                      <w:szCs w:val="18"/>
                      <w:highlight w:val="none"/>
                      <w:lang w:eastAsia="zh-CN" w:bidi="zh-CN"/>
                    </w:rPr>
                  </w:pPr>
                  <w:r>
                    <w:rPr>
                      <w:rFonts w:hint="eastAsia" w:hAnsi="宋体" w:cs="宋体"/>
                      <w:snapToGrid w:val="0"/>
                      <w:kern w:val="21"/>
                      <w:sz w:val="18"/>
                      <w:szCs w:val="18"/>
                      <w:highlight w:val="none"/>
                      <w:lang w:eastAsia="zh-CN"/>
                    </w:rPr>
                    <w:t>6.18</w:t>
                  </w:r>
                </w:p>
              </w:tc>
              <w:tc>
                <w:tcPr>
                  <w:tcW w:w="1786" w:type="dxa"/>
                  <w:tcBorders>
                    <w:tl2br w:val="nil"/>
                    <w:tr2bl w:val="nil"/>
                  </w:tcBorders>
                  <w:vAlign w:val="center"/>
                </w:tcPr>
                <w:p>
                  <w:pPr>
                    <w:pStyle w:val="45"/>
                    <w:spacing w:beforeLines="0" w:afterLines="0" w:line="240" w:lineRule="auto"/>
                    <w:rPr>
                      <w:rFonts w:hint="eastAsia" w:hAnsi="宋体" w:eastAsia="宋体" w:cs="宋体"/>
                      <w:bCs/>
                      <w:sz w:val="18"/>
                      <w:szCs w:val="18"/>
                      <w:highlight w:val="none"/>
                      <w:lang w:eastAsia="zh-CN" w:bidi="zh-CN"/>
                    </w:rPr>
                  </w:pPr>
                  <w:r>
                    <w:rPr>
                      <w:rFonts w:hint="eastAsia" w:hAnsi="宋体" w:cs="宋体"/>
                      <w:snapToGrid w:val="0"/>
                      <w:kern w:val="21"/>
                      <w:sz w:val="18"/>
                      <w:szCs w:val="18"/>
                      <w:highlight w:val="none"/>
                      <w:lang w:eastAsia="zh-CN"/>
                    </w:rPr>
                    <w:t>8.62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1329" w:type="dxa"/>
                  <w:vMerge w:val="continue"/>
                  <w:tcBorders>
                    <w:tl2br w:val="nil"/>
                    <w:tr2bl w:val="nil"/>
                  </w:tcBorders>
                  <w:vAlign w:val="center"/>
                </w:tcPr>
                <w:p>
                  <w:pPr>
                    <w:jc w:val="center"/>
                    <w:rPr>
                      <w:rFonts w:ascii="宋体" w:hAnsi="宋体" w:cs="宋体"/>
                      <w:snapToGrid w:val="0"/>
                      <w:kern w:val="21"/>
                      <w:sz w:val="18"/>
                      <w:szCs w:val="18"/>
                      <w:lang w:bidi="zh-CN"/>
                    </w:rPr>
                  </w:pPr>
                </w:p>
              </w:tc>
              <w:tc>
                <w:tcPr>
                  <w:tcW w:w="1755"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粉碎除尘灰</w:t>
                  </w:r>
                </w:p>
              </w:tc>
              <w:tc>
                <w:tcPr>
                  <w:tcW w:w="1510" w:type="dxa"/>
                  <w:tcBorders>
                    <w:tl2br w:val="nil"/>
                    <w:tr2bl w:val="nil"/>
                  </w:tcBorders>
                  <w:vAlign w:val="center"/>
                </w:tcPr>
                <w:p>
                  <w:pPr>
                    <w:jc w:val="center"/>
                    <w:rPr>
                      <w:rFonts w:ascii="宋体" w:hAnsi="宋体" w:cs="宋体"/>
                      <w:snapToGrid w:val="0"/>
                      <w:kern w:val="21"/>
                      <w:sz w:val="18"/>
                      <w:szCs w:val="18"/>
                    </w:rPr>
                  </w:pPr>
                  <w:r>
                    <w:rPr>
                      <w:rFonts w:hint="eastAsia" w:ascii="宋体" w:hAnsi="宋体" w:cs="宋体"/>
                      <w:snapToGrid w:val="0"/>
                      <w:kern w:val="21"/>
                      <w:sz w:val="18"/>
                      <w:szCs w:val="18"/>
                    </w:rPr>
                    <w:t>0.43</w:t>
                  </w:r>
                </w:p>
              </w:tc>
              <w:tc>
                <w:tcPr>
                  <w:tcW w:w="1476"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0.43</w:t>
                  </w:r>
                </w:p>
              </w:tc>
              <w:tc>
                <w:tcPr>
                  <w:tcW w:w="1786"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1329" w:type="dxa"/>
                  <w:vMerge w:val="continue"/>
                  <w:tcBorders>
                    <w:tl2br w:val="nil"/>
                    <w:tr2bl w:val="nil"/>
                  </w:tcBorders>
                  <w:vAlign w:val="center"/>
                </w:tcPr>
                <w:p>
                  <w:pPr>
                    <w:jc w:val="center"/>
                    <w:rPr>
                      <w:rFonts w:ascii="宋体" w:hAnsi="宋体" w:cs="宋体"/>
                      <w:snapToGrid w:val="0"/>
                      <w:kern w:val="21"/>
                      <w:sz w:val="18"/>
                      <w:szCs w:val="18"/>
                      <w:lang w:bidi="zh-CN"/>
                    </w:rPr>
                  </w:pPr>
                </w:p>
              </w:tc>
              <w:tc>
                <w:tcPr>
                  <w:tcW w:w="1755" w:type="dxa"/>
                  <w:tcBorders>
                    <w:tl2br w:val="nil"/>
                    <w:tr2bl w:val="nil"/>
                  </w:tcBorders>
                  <w:vAlign w:val="center"/>
                </w:tcPr>
                <w:p>
                  <w:pPr>
                    <w:pStyle w:val="45"/>
                    <w:spacing w:beforeLines="0" w:afterLines="0" w:line="240" w:lineRule="auto"/>
                    <w:rPr>
                      <w:rFonts w:hAnsi="宋体" w:cs="宋体"/>
                      <w:sz w:val="18"/>
                      <w:szCs w:val="18"/>
                    </w:rPr>
                  </w:pPr>
                  <w:r>
                    <w:rPr>
                      <w:rFonts w:hint="eastAsia" w:hAnsi="宋体" w:cs="宋体"/>
                      <w:snapToGrid w:val="0"/>
                      <w:kern w:val="21"/>
                      <w:sz w:val="18"/>
                      <w:szCs w:val="18"/>
                    </w:rPr>
                    <w:t>废培养皿</w:t>
                  </w:r>
                </w:p>
              </w:tc>
              <w:tc>
                <w:tcPr>
                  <w:tcW w:w="1510" w:type="dxa"/>
                  <w:tcBorders>
                    <w:tl2br w:val="nil"/>
                    <w:tr2bl w:val="nil"/>
                  </w:tcBorders>
                  <w:vAlign w:val="center"/>
                </w:tcPr>
                <w:p>
                  <w:pPr>
                    <w:jc w:val="center"/>
                    <w:rPr>
                      <w:rFonts w:ascii="宋体" w:hAnsi="宋体" w:cs="宋体"/>
                      <w:sz w:val="18"/>
                      <w:szCs w:val="18"/>
                    </w:rPr>
                  </w:pPr>
                  <w:r>
                    <w:rPr>
                      <w:rFonts w:hint="eastAsia" w:ascii="宋体" w:hAnsi="宋体" w:cs="宋体"/>
                      <w:snapToGrid w:val="0"/>
                      <w:kern w:val="21"/>
                      <w:sz w:val="18"/>
                      <w:szCs w:val="18"/>
                    </w:rPr>
                    <w:t>0.025</w:t>
                  </w:r>
                </w:p>
              </w:tc>
              <w:tc>
                <w:tcPr>
                  <w:tcW w:w="1476" w:type="dxa"/>
                  <w:tcBorders>
                    <w:tl2br w:val="nil"/>
                    <w:tr2bl w:val="nil"/>
                  </w:tcBorders>
                  <w:vAlign w:val="center"/>
                </w:tcPr>
                <w:p>
                  <w:pPr>
                    <w:pStyle w:val="45"/>
                    <w:spacing w:beforeLines="0" w:afterLines="0" w:line="240" w:lineRule="auto"/>
                    <w:rPr>
                      <w:rFonts w:hAnsi="宋体" w:cs="宋体"/>
                      <w:bCs/>
                      <w:sz w:val="18"/>
                      <w:szCs w:val="18"/>
                      <w:lang w:bidi="zh-CN"/>
                    </w:rPr>
                  </w:pPr>
                  <w:r>
                    <w:rPr>
                      <w:rFonts w:hint="eastAsia" w:hAnsi="宋体" w:cs="宋体"/>
                      <w:snapToGrid w:val="0"/>
                      <w:kern w:val="21"/>
                      <w:sz w:val="18"/>
                      <w:szCs w:val="18"/>
                    </w:rPr>
                    <w:t>0.025</w:t>
                  </w:r>
                </w:p>
              </w:tc>
              <w:tc>
                <w:tcPr>
                  <w:tcW w:w="1786" w:type="dxa"/>
                  <w:tcBorders>
                    <w:tl2br w:val="nil"/>
                    <w:tr2bl w:val="nil"/>
                  </w:tcBorders>
                  <w:vAlign w:val="center"/>
                </w:tcPr>
                <w:p>
                  <w:pPr>
                    <w:pStyle w:val="45"/>
                    <w:spacing w:beforeLines="0" w:afterLines="0" w:line="240" w:lineRule="auto"/>
                    <w:rPr>
                      <w:rFonts w:hAnsi="宋体" w:cs="宋体"/>
                      <w:bCs/>
                      <w:sz w:val="18"/>
                      <w:szCs w:val="18"/>
                      <w:lang w:bidi="zh-CN"/>
                    </w:rPr>
                  </w:pPr>
                  <w:r>
                    <w:rPr>
                      <w:rFonts w:hint="eastAsia" w:hAnsi="宋体" w:cs="宋体"/>
                      <w:snapToGrid w:val="0"/>
                      <w:kern w:val="21"/>
                      <w:sz w:val="18"/>
                      <w:szCs w:val="18"/>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1329" w:type="dxa"/>
                  <w:vMerge w:val="continue"/>
                  <w:tcBorders>
                    <w:tl2br w:val="nil"/>
                    <w:tr2bl w:val="nil"/>
                  </w:tcBorders>
                  <w:vAlign w:val="center"/>
                </w:tcPr>
                <w:p>
                  <w:pPr>
                    <w:jc w:val="center"/>
                    <w:rPr>
                      <w:rFonts w:ascii="宋体" w:hAnsi="宋体" w:cs="宋体"/>
                      <w:snapToGrid w:val="0"/>
                      <w:kern w:val="21"/>
                      <w:sz w:val="18"/>
                      <w:szCs w:val="18"/>
                      <w:lang w:bidi="zh-CN"/>
                    </w:rPr>
                  </w:pPr>
                </w:p>
              </w:tc>
              <w:tc>
                <w:tcPr>
                  <w:tcW w:w="1755" w:type="dxa"/>
                  <w:tcBorders>
                    <w:tl2br w:val="nil"/>
                    <w:tr2bl w:val="nil"/>
                  </w:tcBorders>
                  <w:vAlign w:val="center"/>
                </w:tcPr>
                <w:p>
                  <w:pPr>
                    <w:pStyle w:val="45"/>
                    <w:spacing w:beforeLines="0" w:afterLines="0" w:line="240" w:lineRule="auto"/>
                    <w:rPr>
                      <w:rFonts w:hAnsi="宋体" w:cs="宋体"/>
                      <w:sz w:val="18"/>
                      <w:szCs w:val="18"/>
                    </w:rPr>
                  </w:pPr>
                  <w:r>
                    <w:rPr>
                      <w:rFonts w:hint="eastAsia" w:hAnsi="宋体" w:cs="宋体"/>
                      <w:snapToGrid w:val="0"/>
                      <w:kern w:val="21"/>
                      <w:sz w:val="18"/>
                      <w:szCs w:val="18"/>
                    </w:rPr>
                    <w:t>废菌棒</w:t>
                  </w:r>
                </w:p>
              </w:tc>
              <w:tc>
                <w:tcPr>
                  <w:tcW w:w="1510" w:type="dxa"/>
                  <w:tcBorders>
                    <w:tl2br w:val="nil"/>
                    <w:tr2bl w:val="nil"/>
                  </w:tcBorders>
                  <w:vAlign w:val="center"/>
                </w:tcPr>
                <w:p>
                  <w:pPr>
                    <w:jc w:val="center"/>
                    <w:rPr>
                      <w:rFonts w:ascii="宋体" w:hAnsi="宋体" w:cs="宋体"/>
                      <w:sz w:val="18"/>
                      <w:szCs w:val="18"/>
                    </w:rPr>
                  </w:pPr>
                  <w:r>
                    <w:rPr>
                      <w:rFonts w:hint="eastAsia" w:ascii="宋体" w:hAnsi="宋体" w:cs="宋体"/>
                      <w:snapToGrid w:val="0"/>
                      <w:kern w:val="21"/>
                      <w:sz w:val="18"/>
                      <w:szCs w:val="18"/>
                    </w:rPr>
                    <w:t>264.21</w:t>
                  </w:r>
                </w:p>
              </w:tc>
              <w:tc>
                <w:tcPr>
                  <w:tcW w:w="1476" w:type="dxa"/>
                  <w:tcBorders>
                    <w:tl2br w:val="nil"/>
                    <w:tr2bl w:val="nil"/>
                  </w:tcBorders>
                  <w:vAlign w:val="center"/>
                </w:tcPr>
                <w:p>
                  <w:pPr>
                    <w:jc w:val="center"/>
                    <w:rPr>
                      <w:rFonts w:ascii="宋体" w:hAnsi="宋体" w:cs="宋体"/>
                      <w:bCs/>
                      <w:sz w:val="18"/>
                      <w:szCs w:val="18"/>
                      <w:lang w:bidi="zh-CN"/>
                    </w:rPr>
                  </w:pPr>
                  <w:r>
                    <w:rPr>
                      <w:rFonts w:hint="eastAsia" w:ascii="宋体" w:hAnsi="宋体" w:cs="宋体"/>
                      <w:sz w:val="18"/>
                      <w:szCs w:val="18"/>
                    </w:rPr>
                    <w:t>264.21</w:t>
                  </w:r>
                </w:p>
              </w:tc>
              <w:tc>
                <w:tcPr>
                  <w:tcW w:w="1786" w:type="dxa"/>
                  <w:tcBorders>
                    <w:tl2br w:val="nil"/>
                    <w:tr2bl w:val="nil"/>
                  </w:tcBorders>
                  <w:vAlign w:val="center"/>
                </w:tcPr>
                <w:p>
                  <w:pPr>
                    <w:jc w:val="center"/>
                    <w:rPr>
                      <w:rFonts w:ascii="宋体" w:hAnsi="宋体" w:cs="宋体"/>
                      <w:bCs/>
                      <w:sz w:val="18"/>
                      <w:szCs w:val="18"/>
                      <w:lang w:bidi="zh-CN"/>
                    </w:rPr>
                  </w:pPr>
                  <w:r>
                    <w:rPr>
                      <w:rFonts w:hint="eastAsia" w:ascii="宋体" w:hAnsi="宋体" w:cs="宋体"/>
                      <w:sz w:val="18"/>
                      <w:szCs w:val="18"/>
                    </w:rPr>
                    <w:t>528.42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1329" w:type="dxa"/>
                  <w:vMerge w:val="restart"/>
                  <w:tcBorders>
                    <w:tl2br w:val="nil"/>
                    <w:tr2bl w:val="nil"/>
                  </w:tcBorders>
                  <w:vAlign w:val="center"/>
                </w:tcPr>
                <w:p>
                  <w:pPr>
                    <w:jc w:val="center"/>
                    <w:rPr>
                      <w:rFonts w:ascii="宋体" w:hAnsi="宋体" w:cs="宋体"/>
                      <w:snapToGrid w:val="0"/>
                      <w:kern w:val="21"/>
                      <w:sz w:val="18"/>
                      <w:szCs w:val="18"/>
                      <w:lang w:bidi="zh-CN"/>
                    </w:rPr>
                  </w:pPr>
                  <w:r>
                    <w:rPr>
                      <w:rFonts w:hint="eastAsia" w:ascii="宋体" w:hAnsi="宋体" w:cs="宋体"/>
                      <w:snapToGrid w:val="0"/>
                      <w:kern w:val="21"/>
                      <w:sz w:val="18"/>
                      <w:szCs w:val="18"/>
                      <w:lang w:bidi="zh-CN"/>
                    </w:rPr>
                    <w:t>危险</w:t>
                  </w:r>
                </w:p>
                <w:p>
                  <w:pPr>
                    <w:jc w:val="center"/>
                    <w:rPr>
                      <w:rFonts w:ascii="宋体" w:hAnsi="宋体" w:cs="宋体"/>
                      <w:snapToGrid w:val="0"/>
                      <w:kern w:val="21"/>
                      <w:sz w:val="18"/>
                      <w:szCs w:val="18"/>
                      <w:lang w:bidi="zh-CN"/>
                    </w:rPr>
                  </w:pPr>
                  <w:r>
                    <w:rPr>
                      <w:rFonts w:hint="eastAsia" w:ascii="宋体" w:hAnsi="宋体" w:cs="宋体"/>
                      <w:snapToGrid w:val="0"/>
                      <w:kern w:val="21"/>
                      <w:sz w:val="18"/>
                      <w:szCs w:val="18"/>
                      <w:lang w:bidi="zh-CN"/>
                    </w:rPr>
                    <w:t>废物</w:t>
                  </w:r>
                </w:p>
              </w:tc>
              <w:tc>
                <w:tcPr>
                  <w:tcW w:w="1755" w:type="dxa"/>
                  <w:tcBorders>
                    <w:top w:val="single" w:color="auto" w:sz="4" w:space="0"/>
                    <w:tl2br w:val="nil"/>
                    <w:tr2bl w:val="nil"/>
                  </w:tcBorders>
                  <w:vAlign w:val="center"/>
                </w:tcPr>
                <w:p>
                  <w:pPr>
                    <w:pStyle w:val="65"/>
                    <w:rPr>
                      <w:rFonts w:ascii="宋体" w:hAnsi="宋体" w:cs="宋体"/>
                      <w:sz w:val="18"/>
                      <w:szCs w:val="18"/>
                    </w:rPr>
                  </w:pPr>
                  <w:r>
                    <w:rPr>
                      <w:rFonts w:hint="eastAsia" w:ascii="宋体" w:hAnsi="宋体" w:cs="宋体"/>
                      <w:sz w:val="18"/>
                      <w:szCs w:val="18"/>
                    </w:rPr>
                    <w:t>废油</w:t>
                  </w:r>
                </w:p>
              </w:tc>
              <w:tc>
                <w:tcPr>
                  <w:tcW w:w="1510" w:type="dxa"/>
                  <w:tcBorders>
                    <w:tl2br w:val="nil"/>
                    <w:tr2bl w:val="nil"/>
                  </w:tcBorders>
                  <w:vAlign w:val="center"/>
                </w:tcPr>
                <w:p>
                  <w:pPr>
                    <w:jc w:val="center"/>
                    <w:rPr>
                      <w:rFonts w:ascii="宋体" w:hAnsi="宋体" w:cs="宋体"/>
                      <w:sz w:val="18"/>
                      <w:szCs w:val="18"/>
                    </w:rPr>
                  </w:pPr>
                  <w:r>
                    <w:rPr>
                      <w:rFonts w:hint="eastAsia" w:ascii="宋体" w:hAnsi="宋体" w:cs="宋体"/>
                      <w:snapToGrid w:val="0"/>
                      <w:kern w:val="21"/>
                      <w:sz w:val="18"/>
                      <w:szCs w:val="18"/>
                    </w:rPr>
                    <w:t>0.04</w:t>
                  </w:r>
                </w:p>
              </w:tc>
              <w:tc>
                <w:tcPr>
                  <w:tcW w:w="1476"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0.04</w:t>
                  </w:r>
                </w:p>
              </w:tc>
              <w:tc>
                <w:tcPr>
                  <w:tcW w:w="1786"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1329" w:type="dxa"/>
                  <w:vMerge w:val="continue"/>
                  <w:tcBorders>
                    <w:tl2br w:val="nil"/>
                    <w:tr2bl w:val="nil"/>
                  </w:tcBorders>
                  <w:vAlign w:val="center"/>
                </w:tcPr>
                <w:p>
                  <w:pPr>
                    <w:jc w:val="center"/>
                    <w:rPr>
                      <w:rFonts w:ascii="宋体" w:hAnsi="宋体" w:cs="宋体"/>
                      <w:snapToGrid w:val="0"/>
                      <w:kern w:val="21"/>
                      <w:sz w:val="18"/>
                      <w:szCs w:val="18"/>
                      <w:lang w:bidi="zh-CN"/>
                    </w:rPr>
                  </w:pPr>
                </w:p>
              </w:tc>
              <w:tc>
                <w:tcPr>
                  <w:tcW w:w="1755" w:type="dxa"/>
                  <w:tcBorders>
                    <w:tl2br w:val="nil"/>
                    <w:tr2bl w:val="nil"/>
                  </w:tcBorders>
                  <w:vAlign w:val="center"/>
                </w:tcPr>
                <w:p>
                  <w:pPr>
                    <w:pStyle w:val="65"/>
                    <w:rPr>
                      <w:rFonts w:ascii="宋体" w:hAnsi="宋体" w:cs="宋体"/>
                      <w:snapToGrid w:val="0"/>
                      <w:kern w:val="21"/>
                      <w:sz w:val="18"/>
                      <w:szCs w:val="18"/>
                    </w:rPr>
                  </w:pPr>
                  <w:r>
                    <w:rPr>
                      <w:rFonts w:hint="eastAsia" w:ascii="宋体" w:hAnsi="宋体" w:cs="宋体"/>
                      <w:snapToGrid w:val="0"/>
                      <w:kern w:val="21"/>
                      <w:sz w:val="18"/>
                      <w:szCs w:val="18"/>
                    </w:rPr>
                    <w:t>废油桶</w:t>
                  </w:r>
                </w:p>
              </w:tc>
              <w:tc>
                <w:tcPr>
                  <w:tcW w:w="1510" w:type="dxa"/>
                  <w:tcBorders>
                    <w:tl2br w:val="nil"/>
                    <w:tr2bl w:val="nil"/>
                  </w:tcBorders>
                  <w:vAlign w:val="center"/>
                </w:tcPr>
                <w:p>
                  <w:pPr>
                    <w:jc w:val="center"/>
                    <w:rPr>
                      <w:rFonts w:ascii="宋体" w:hAnsi="宋体" w:cs="宋体"/>
                      <w:snapToGrid w:val="0"/>
                      <w:kern w:val="21"/>
                      <w:sz w:val="18"/>
                      <w:szCs w:val="18"/>
                    </w:rPr>
                  </w:pPr>
                  <w:r>
                    <w:rPr>
                      <w:rFonts w:hint="eastAsia" w:ascii="宋体" w:hAnsi="宋体" w:cs="宋体"/>
                      <w:snapToGrid w:val="0"/>
                      <w:kern w:val="21"/>
                      <w:sz w:val="18"/>
                      <w:szCs w:val="18"/>
                    </w:rPr>
                    <w:t>0.015</w:t>
                  </w:r>
                </w:p>
              </w:tc>
              <w:tc>
                <w:tcPr>
                  <w:tcW w:w="1476"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0.015</w:t>
                  </w:r>
                </w:p>
              </w:tc>
              <w:tc>
                <w:tcPr>
                  <w:tcW w:w="1786"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0.03</w:t>
                  </w:r>
                </w:p>
              </w:tc>
            </w:tr>
          </w:tbl>
          <w:p>
            <w:pPr>
              <w:pStyle w:val="13"/>
              <w:adjustRightInd w:val="0"/>
              <w:snapToGrid w:val="0"/>
              <w:spacing w:after="0" w:line="360" w:lineRule="auto"/>
              <w:ind w:left="0" w:leftChars="0" w:firstLine="420" w:firstLineChars="200"/>
              <w:rPr>
                <w:sz w:val="21"/>
                <w:szCs w:val="21"/>
              </w:rPr>
            </w:pPr>
          </w:p>
          <w:p>
            <w:pPr>
              <w:pStyle w:val="13"/>
              <w:adjustRightInd w:val="0"/>
              <w:snapToGrid w:val="0"/>
              <w:spacing w:after="0" w:line="360" w:lineRule="auto"/>
              <w:ind w:left="0" w:leftChars="0" w:firstLine="420" w:firstLineChars="200"/>
              <w:rPr>
                <w:sz w:val="21"/>
                <w:szCs w:val="21"/>
              </w:rPr>
            </w:pPr>
          </w:p>
          <w:p>
            <w:pPr>
              <w:pStyle w:val="13"/>
              <w:adjustRightInd w:val="0"/>
              <w:snapToGrid w:val="0"/>
              <w:spacing w:after="0" w:line="360" w:lineRule="auto"/>
              <w:ind w:left="0" w:leftChars="0" w:firstLine="420" w:firstLineChars="200"/>
              <w:rPr>
                <w:sz w:val="21"/>
                <w:szCs w:val="21"/>
              </w:rPr>
            </w:pPr>
          </w:p>
          <w:p>
            <w:pPr>
              <w:pStyle w:val="13"/>
              <w:adjustRightInd w:val="0"/>
              <w:snapToGrid w:val="0"/>
              <w:spacing w:after="0" w:line="360" w:lineRule="auto"/>
              <w:ind w:left="0" w:leftChars="0"/>
              <w:rPr>
                <w:sz w:val="21"/>
                <w:szCs w:val="21"/>
              </w:rPr>
            </w:pPr>
          </w:p>
        </w:tc>
      </w:tr>
    </w:tbl>
    <w:p>
      <w:pPr>
        <w:pStyle w:val="20"/>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pPr>
        <w:pStyle w:val="20"/>
        <w:jc w:val="center"/>
        <w:outlineLvl w:val="0"/>
        <w:rPr>
          <w:rFonts w:cs="宋体"/>
          <w:b/>
          <w:bCs/>
          <w:snapToGrid w:val="0"/>
          <w:szCs w:val="24"/>
        </w:rPr>
      </w:pPr>
      <w:bookmarkStart w:id="15" w:name="_Toc12458"/>
      <w:r>
        <w:rPr>
          <w:rFonts w:hint="eastAsia" w:cs="宋体"/>
          <w:b/>
          <w:bCs/>
          <w:snapToGrid w:val="0"/>
          <w:szCs w:val="24"/>
        </w:rPr>
        <w:t>三、区域环境质量现状、环境保护目标及评价标准</w:t>
      </w:r>
      <w:bookmarkEnd w:id="15"/>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7"/>
        <w:gridCol w:w="86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13" w:hRule="atLeast"/>
          <w:jc w:val="center"/>
        </w:trPr>
        <w:tc>
          <w:tcPr>
            <w:tcW w:w="219" w:type="pct"/>
            <w:noWrap/>
            <w:vAlign w:val="center"/>
          </w:tcPr>
          <w:p>
            <w:pPr>
              <w:adjustRightInd w:val="0"/>
              <w:snapToGrid w:val="0"/>
              <w:jc w:val="center"/>
              <w:rPr>
                <w:rFonts w:ascii="宋体" w:hAnsi="宋体" w:cs="宋体"/>
                <w:kern w:val="0"/>
                <w:szCs w:val="21"/>
              </w:rPr>
            </w:pPr>
            <w:r>
              <w:rPr>
                <w:rFonts w:hint="eastAsia" w:ascii="宋体" w:hAnsi="宋体" w:cs="宋体"/>
                <w:kern w:val="0"/>
                <w:szCs w:val="21"/>
              </w:rPr>
              <w:t>区域</w:t>
            </w:r>
          </w:p>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4780" w:type="pct"/>
            <w:noWrap/>
            <w:vAlign w:val="center"/>
          </w:tcPr>
          <w:p>
            <w:pPr>
              <w:spacing w:line="360" w:lineRule="auto"/>
              <w:ind w:firstLine="422" w:firstLineChars="200"/>
              <w:rPr>
                <w:rFonts w:ascii="宋体" w:hAnsi="宋体" w:cs="宋体"/>
                <w:b/>
                <w:bCs/>
              </w:rPr>
            </w:pPr>
            <w:r>
              <w:rPr>
                <w:rFonts w:hint="eastAsia" w:ascii="宋体" w:hAnsi="宋体" w:cs="宋体"/>
                <w:b/>
                <w:bCs/>
              </w:rPr>
              <w:t>1、环境空气质量现状</w:t>
            </w:r>
          </w:p>
          <w:p>
            <w:pPr>
              <w:spacing w:line="360" w:lineRule="auto"/>
              <w:ind w:firstLine="420" w:firstLineChars="200"/>
              <w:rPr>
                <w:rFonts w:ascii="宋体" w:hAnsi="宋体" w:cs="宋体"/>
                <w:b/>
                <w:bCs/>
                <w:color w:val="000000" w:themeColor="text1"/>
                <w14:textFill>
                  <w14:solidFill>
                    <w14:schemeClr w14:val="tx1"/>
                  </w14:solidFill>
                </w14:textFill>
              </w:rPr>
            </w:pPr>
            <w:r>
              <w:rPr>
                <w:rFonts w:hint="eastAsia" w:ascii="宋体" w:hAnsi="宋体" w:cs="宋体"/>
              </w:rPr>
              <w:t>项目所在区域环境空</w:t>
            </w:r>
            <w:r>
              <w:rPr>
                <w:rFonts w:hint="eastAsia" w:ascii="宋体" w:hAnsi="宋体" w:cs="宋体"/>
                <w:color w:val="000000" w:themeColor="text1"/>
                <w14:textFill>
                  <w14:solidFill>
                    <w14:schemeClr w14:val="tx1"/>
                  </w14:solidFill>
                </w14:textFill>
              </w:rPr>
              <w:t>气质量执行《环境空气质量标准》（GB3095-2012）二级标准。本评价引用《承德市环境状况公报（2022年）》中围场县大气常规污染物中的PM</w:t>
            </w:r>
            <w:r>
              <w:rPr>
                <w:rFonts w:hint="eastAsia" w:ascii="宋体" w:hAnsi="宋体" w:cs="宋体"/>
                <w:color w:val="000000" w:themeColor="text1"/>
                <w:vertAlign w:val="subscript"/>
                <w14:textFill>
                  <w14:solidFill>
                    <w14:schemeClr w14:val="tx1"/>
                  </w14:solidFill>
                </w14:textFill>
              </w:rPr>
              <w:t>10</w:t>
            </w:r>
            <w:r>
              <w:rPr>
                <w:rFonts w:hint="eastAsia" w:ascii="宋体" w:hAnsi="宋体" w:cs="宋体"/>
                <w:color w:val="000000" w:themeColor="text1"/>
                <w14:textFill>
                  <w14:solidFill>
                    <w14:schemeClr w14:val="tx1"/>
                  </w14:solidFill>
                </w14:textFill>
              </w:rPr>
              <w:t>、PM</w:t>
            </w:r>
            <w:r>
              <w:rPr>
                <w:rFonts w:hint="eastAsia" w:ascii="宋体" w:hAnsi="宋体" w:cs="宋体"/>
                <w:color w:val="000000" w:themeColor="text1"/>
                <w:vertAlign w:val="subscript"/>
                <w14:textFill>
                  <w14:solidFill>
                    <w14:schemeClr w14:val="tx1"/>
                  </w14:solidFill>
                </w14:textFill>
              </w:rPr>
              <w:t>2.5</w:t>
            </w:r>
            <w:r>
              <w:rPr>
                <w:rFonts w:hint="eastAsia" w:ascii="宋体" w:hAnsi="宋体" w:cs="宋体"/>
                <w:color w:val="000000" w:themeColor="text1"/>
                <w14:textFill>
                  <w14:solidFill>
                    <w14:schemeClr w14:val="tx1"/>
                  </w14:solidFill>
                </w14:textFill>
              </w:rPr>
              <w:t>、SO</w:t>
            </w:r>
            <w:r>
              <w:rPr>
                <w:rFonts w:hint="eastAsia" w:ascii="宋体" w:hAnsi="宋体" w:cs="宋体"/>
                <w:color w:val="000000" w:themeColor="text1"/>
                <w:vertAlign w:val="subscript"/>
                <w14:textFill>
                  <w14:solidFill>
                    <w14:schemeClr w14:val="tx1"/>
                  </w14:solidFill>
                </w14:textFill>
              </w:rPr>
              <w:t>2</w:t>
            </w:r>
            <w:r>
              <w:rPr>
                <w:rFonts w:hint="eastAsia" w:ascii="宋体" w:hAnsi="宋体" w:cs="宋体"/>
                <w:color w:val="000000" w:themeColor="text1"/>
                <w14:textFill>
                  <w14:solidFill>
                    <w14:schemeClr w14:val="tx1"/>
                  </w14:solidFill>
                </w14:textFill>
              </w:rPr>
              <w:t>、NO</w:t>
            </w:r>
            <w:r>
              <w:rPr>
                <w:rFonts w:hint="eastAsia" w:ascii="宋体" w:hAnsi="宋体" w:cs="宋体"/>
                <w:color w:val="000000" w:themeColor="text1"/>
                <w:vertAlign w:val="subscript"/>
                <w14:textFill>
                  <w14:solidFill>
                    <w14:schemeClr w14:val="tx1"/>
                  </w14:solidFill>
                </w14:textFill>
              </w:rPr>
              <w:t>2</w:t>
            </w:r>
            <w:r>
              <w:rPr>
                <w:rFonts w:hint="eastAsia" w:ascii="宋体" w:hAnsi="宋体" w:cs="宋体"/>
                <w:color w:val="000000" w:themeColor="text1"/>
                <w14:textFill>
                  <w14:solidFill>
                    <w14:schemeClr w14:val="tx1"/>
                  </w14:solidFill>
                </w14:textFill>
              </w:rPr>
              <w:t>、CO和O</w:t>
            </w:r>
            <w:r>
              <w:rPr>
                <w:rFonts w:hint="eastAsia" w:ascii="宋体" w:hAnsi="宋体" w:cs="宋体"/>
                <w:color w:val="000000" w:themeColor="text1"/>
                <w:vertAlign w:val="subscript"/>
                <w14:textFill>
                  <w14:solidFill>
                    <w14:schemeClr w14:val="tx1"/>
                  </w14:solidFill>
                </w14:textFill>
              </w:rPr>
              <w:t>3</w:t>
            </w:r>
            <w:r>
              <w:rPr>
                <w:rFonts w:hint="eastAsia" w:ascii="宋体" w:hAnsi="宋体" w:cs="宋体"/>
                <w:color w:val="000000" w:themeColor="text1"/>
                <w14:textFill>
                  <w14:solidFill>
                    <w14:schemeClr w14:val="tx1"/>
                  </w14:solidFill>
                </w14:textFill>
              </w:rPr>
              <w:t>现状监测统计资料，结果见表3-1。</w:t>
            </w:r>
          </w:p>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表3-1  2022年围场县环境空气中常规污染物浓度</w:t>
            </w:r>
          </w:p>
          <w:tbl>
            <w:tblPr>
              <w:tblStyle w:val="24"/>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97"/>
              <w:gridCol w:w="1998"/>
              <w:gridCol w:w="1690"/>
              <w:gridCol w:w="1267"/>
              <w:gridCol w:w="1118"/>
              <w:gridCol w:w="151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97"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污染物</w:t>
                  </w:r>
                </w:p>
              </w:tc>
              <w:tc>
                <w:tcPr>
                  <w:tcW w:w="1998"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年评价指标</w:t>
                  </w:r>
                </w:p>
              </w:tc>
              <w:tc>
                <w:tcPr>
                  <w:tcW w:w="1690"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现状浓度</w:t>
                  </w:r>
                </w:p>
              </w:tc>
              <w:tc>
                <w:tcPr>
                  <w:tcW w:w="1267"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标准浓度</w:t>
                  </w:r>
                </w:p>
              </w:tc>
              <w:tc>
                <w:tcPr>
                  <w:tcW w:w="1118"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占标率</w:t>
                  </w:r>
                </w:p>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w:t>
                  </w:r>
                </w:p>
              </w:tc>
              <w:tc>
                <w:tcPr>
                  <w:tcW w:w="1519"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97"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PM</w:t>
                  </w:r>
                  <w:r>
                    <w:rPr>
                      <w:rFonts w:hint="eastAsia" w:ascii="宋体" w:hAnsi="宋体" w:cs="宋体"/>
                      <w:color w:val="000000" w:themeColor="text1"/>
                      <w:sz w:val="18"/>
                      <w:szCs w:val="18"/>
                      <w:vertAlign w:val="subscript"/>
                      <w14:textFill>
                        <w14:solidFill>
                          <w14:schemeClr w14:val="tx1"/>
                        </w14:solidFill>
                      </w14:textFill>
                    </w:rPr>
                    <w:t>10</w:t>
                  </w:r>
                </w:p>
              </w:tc>
              <w:tc>
                <w:tcPr>
                  <w:tcW w:w="1998" w:type="dxa"/>
                  <w:vMerge w:val="restart"/>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年平均质量浓度</w:t>
                  </w:r>
                </w:p>
              </w:tc>
              <w:tc>
                <w:tcPr>
                  <w:tcW w:w="1690"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42μg/m</w:t>
                  </w:r>
                  <w:r>
                    <w:rPr>
                      <w:rFonts w:hint="eastAsia" w:ascii="宋体" w:hAnsi="宋体" w:cs="宋体"/>
                      <w:color w:val="000000" w:themeColor="text1"/>
                      <w:sz w:val="18"/>
                      <w:szCs w:val="18"/>
                      <w:vertAlign w:val="superscript"/>
                      <w14:textFill>
                        <w14:solidFill>
                          <w14:schemeClr w14:val="tx1"/>
                        </w14:solidFill>
                      </w14:textFill>
                    </w:rPr>
                    <w:t>3</w:t>
                  </w:r>
                </w:p>
              </w:tc>
              <w:tc>
                <w:tcPr>
                  <w:tcW w:w="1267"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70μg/m</w:t>
                  </w:r>
                  <w:r>
                    <w:rPr>
                      <w:rFonts w:hint="eastAsia" w:ascii="宋体" w:hAnsi="宋体" w:cs="宋体"/>
                      <w:color w:val="000000" w:themeColor="text1"/>
                      <w:sz w:val="18"/>
                      <w:szCs w:val="18"/>
                      <w:vertAlign w:val="superscript"/>
                      <w14:textFill>
                        <w14:solidFill>
                          <w14:schemeClr w14:val="tx1"/>
                        </w14:solidFill>
                      </w14:textFill>
                    </w:rPr>
                    <w:t>3</w:t>
                  </w:r>
                </w:p>
              </w:tc>
              <w:tc>
                <w:tcPr>
                  <w:tcW w:w="1118"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60</w:t>
                  </w:r>
                </w:p>
              </w:tc>
              <w:tc>
                <w:tcPr>
                  <w:tcW w:w="1519"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97"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PM</w:t>
                  </w:r>
                  <w:r>
                    <w:rPr>
                      <w:rFonts w:hint="eastAsia" w:ascii="宋体" w:hAnsi="宋体" w:cs="宋体"/>
                      <w:color w:val="000000" w:themeColor="text1"/>
                      <w:sz w:val="18"/>
                      <w:szCs w:val="18"/>
                      <w:vertAlign w:val="subscript"/>
                      <w14:textFill>
                        <w14:solidFill>
                          <w14:schemeClr w14:val="tx1"/>
                        </w14:solidFill>
                      </w14:textFill>
                    </w:rPr>
                    <w:t>2.5</w:t>
                  </w:r>
                </w:p>
              </w:tc>
              <w:tc>
                <w:tcPr>
                  <w:tcW w:w="1998" w:type="dxa"/>
                  <w:vMerge w:val="continue"/>
                  <w:vAlign w:val="center"/>
                </w:tcPr>
                <w:p>
                  <w:pPr>
                    <w:widowControl/>
                    <w:jc w:val="center"/>
                    <w:rPr>
                      <w:rFonts w:ascii="宋体" w:hAnsi="宋体" w:cs="宋体"/>
                      <w:color w:val="000000" w:themeColor="text1"/>
                      <w:sz w:val="18"/>
                      <w:szCs w:val="18"/>
                      <w14:textFill>
                        <w14:solidFill>
                          <w14:schemeClr w14:val="tx1"/>
                        </w14:solidFill>
                      </w14:textFill>
                    </w:rPr>
                  </w:pPr>
                </w:p>
              </w:tc>
              <w:tc>
                <w:tcPr>
                  <w:tcW w:w="1690"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18μg/m</w:t>
                  </w:r>
                  <w:r>
                    <w:rPr>
                      <w:rFonts w:hint="eastAsia" w:ascii="宋体" w:hAnsi="宋体" w:cs="宋体"/>
                      <w:color w:val="000000" w:themeColor="text1"/>
                      <w:sz w:val="18"/>
                      <w:szCs w:val="18"/>
                      <w:vertAlign w:val="superscript"/>
                      <w14:textFill>
                        <w14:solidFill>
                          <w14:schemeClr w14:val="tx1"/>
                        </w14:solidFill>
                      </w14:textFill>
                    </w:rPr>
                    <w:t>3</w:t>
                  </w:r>
                </w:p>
              </w:tc>
              <w:tc>
                <w:tcPr>
                  <w:tcW w:w="1267"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35μg/m</w:t>
                  </w:r>
                  <w:r>
                    <w:rPr>
                      <w:rFonts w:hint="eastAsia" w:ascii="宋体" w:hAnsi="宋体" w:cs="宋体"/>
                      <w:color w:val="000000" w:themeColor="text1"/>
                      <w:sz w:val="18"/>
                      <w:szCs w:val="18"/>
                      <w:vertAlign w:val="superscript"/>
                      <w14:textFill>
                        <w14:solidFill>
                          <w14:schemeClr w14:val="tx1"/>
                        </w14:solidFill>
                      </w14:textFill>
                    </w:rPr>
                    <w:t>3</w:t>
                  </w:r>
                </w:p>
              </w:tc>
              <w:tc>
                <w:tcPr>
                  <w:tcW w:w="1118"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51.43</w:t>
                  </w:r>
                </w:p>
              </w:tc>
              <w:tc>
                <w:tcPr>
                  <w:tcW w:w="1519"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97"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SO</w:t>
                  </w:r>
                  <w:r>
                    <w:rPr>
                      <w:rFonts w:hint="eastAsia" w:ascii="宋体" w:hAnsi="宋体" w:cs="宋体"/>
                      <w:color w:val="000000" w:themeColor="text1"/>
                      <w:sz w:val="18"/>
                      <w:szCs w:val="18"/>
                      <w:vertAlign w:val="subscript"/>
                      <w14:textFill>
                        <w14:solidFill>
                          <w14:schemeClr w14:val="tx1"/>
                        </w14:solidFill>
                      </w14:textFill>
                    </w:rPr>
                    <w:t>2</w:t>
                  </w:r>
                </w:p>
              </w:tc>
              <w:tc>
                <w:tcPr>
                  <w:tcW w:w="1998" w:type="dxa"/>
                  <w:vMerge w:val="continue"/>
                  <w:vAlign w:val="center"/>
                </w:tcPr>
                <w:p>
                  <w:pPr>
                    <w:widowControl/>
                    <w:jc w:val="center"/>
                    <w:rPr>
                      <w:rFonts w:ascii="宋体" w:hAnsi="宋体" w:cs="宋体"/>
                      <w:color w:val="000000" w:themeColor="text1"/>
                      <w:sz w:val="18"/>
                      <w:szCs w:val="18"/>
                      <w14:textFill>
                        <w14:solidFill>
                          <w14:schemeClr w14:val="tx1"/>
                        </w14:solidFill>
                      </w14:textFill>
                    </w:rPr>
                  </w:pPr>
                </w:p>
              </w:tc>
              <w:tc>
                <w:tcPr>
                  <w:tcW w:w="1690"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9μg/m</w:t>
                  </w:r>
                  <w:r>
                    <w:rPr>
                      <w:rFonts w:hint="eastAsia" w:ascii="宋体" w:hAnsi="宋体" w:cs="宋体"/>
                      <w:color w:val="000000" w:themeColor="text1"/>
                      <w:sz w:val="18"/>
                      <w:szCs w:val="18"/>
                      <w:vertAlign w:val="superscript"/>
                      <w14:textFill>
                        <w14:solidFill>
                          <w14:schemeClr w14:val="tx1"/>
                        </w14:solidFill>
                      </w14:textFill>
                    </w:rPr>
                    <w:t>3</w:t>
                  </w:r>
                </w:p>
              </w:tc>
              <w:tc>
                <w:tcPr>
                  <w:tcW w:w="1267"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60μg/m</w:t>
                  </w:r>
                  <w:r>
                    <w:rPr>
                      <w:rFonts w:hint="eastAsia" w:ascii="宋体" w:hAnsi="宋体" w:cs="宋体"/>
                      <w:color w:val="000000" w:themeColor="text1"/>
                      <w:sz w:val="18"/>
                      <w:szCs w:val="18"/>
                      <w:vertAlign w:val="superscript"/>
                      <w14:textFill>
                        <w14:solidFill>
                          <w14:schemeClr w14:val="tx1"/>
                        </w14:solidFill>
                      </w14:textFill>
                    </w:rPr>
                    <w:t>3</w:t>
                  </w:r>
                </w:p>
              </w:tc>
              <w:tc>
                <w:tcPr>
                  <w:tcW w:w="1118"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w:t>
                  </w:r>
                </w:p>
              </w:tc>
              <w:tc>
                <w:tcPr>
                  <w:tcW w:w="1519"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97"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NO</w:t>
                  </w:r>
                  <w:r>
                    <w:rPr>
                      <w:rFonts w:hint="eastAsia" w:ascii="宋体" w:hAnsi="宋体" w:cs="宋体"/>
                      <w:color w:val="000000" w:themeColor="text1"/>
                      <w:sz w:val="18"/>
                      <w:szCs w:val="18"/>
                      <w:vertAlign w:val="subscript"/>
                      <w14:textFill>
                        <w14:solidFill>
                          <w14:schemeClr w14:val="tx1"/>
                        </w14:solidFill>
                      </w14:textFill>
                    </w:rPr>
                    <w:t>2</w:t>
                  </w:r>
                </w:p>
              </w:tc>
              <w:tc>
                <w:tcPr>
                  <w:tcW w:w="1998" w:type="dxa"/>
                  <w:vMerge w:val="continue"/>
                  <w:vAlign w:val="center"/>
                </w:tcPr>
                <w:p>
                  <w:pPr>
                    <w:widowControl/>
                    <w:jc w:val="center"/>
                    <w:rPr>
                      <w:rFonts w:ascii="宋体" w:hAnsi="宋体" w:cs="宋体"/>
                      <w:color w:val="000000" w:themeColor="text1"/>
                      <w:sz w:val="18"/>
                      <w:szCs w:val="18"/>
                      <w14:textFill>
                        <w14:solidFill>
                          <w14:schemeClr w14:val="tx1"/>
                        </w14:solidFill>
                      </w14:textFill>
                    </w:rPr>
                  </w:pPr>
                </w:p>
              </w:tc>
              <w:tc>
                <w:tcPr>
                  <w:tcW w:w="1690"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17μg/m</w:t>
                  </w:r>
                  <w:r>
                    <w:rPr>
                      <w:rFonts w:hint="eastAsia" w:ascii="宋体" w:hAnsi="宋体" w:cs="宋体"/>
                      <w:color w:val="000000" w:themeColor="text1"/>
                      <w:sz w:val="18"/>
                      <w:szCs w:val="18"/>
                      <w:vertAlign w:val="superscript"/>
                      <w14:textFill>
                        <w14:solidFill>
                          <w14:schemeClr w14:val="tx1"/>
                        </w14:solidFill>
                      </w14:textFill>
                    </w:rPr>
                    <w:t>3</w:t>
                  </w:r>
                </w:p>
              </w:tc>
              <w:tc>
                <w:tcPr>
                  <w:tcW w:w="1267"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40μg/m</w:t>
                  </w:r>
                  <w:r>
                    <w:rPr>
                      <w:rFonts w:hint="eastAsia" w:ascii="宋体" w:hAnsi="宋体" w:cs="宋体"/>
                      <w:color w:val="000000" w:themeColor="text1"/>
                      <w:sz w:val="18"/>
                      <w:szCs w:val="18"/>
                      <w:vertAlign w:val="superscript"/>
                      <w14:textFill>
                        <w14:solidFill>
                          <w14:schemeClr w14:val="tx1"/>
                        </w14:solidFill>
                      </w14:textFill>
                    </w:rPr>
                    <w:t>3</w:t>
                  </w:r>
                </w:p>
              </w:tc>
              <w:tc>
                <w:tcPr>
                  <w:tcW w:w="1118"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42.5</w:t>
                  </w:r>
                </w:p>
              </w:tc>
              <w:tc>
                <w:tcPr>
                  <w:tcW w:w="1519"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97"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CO</w:t>
                  </w:r>
                </w:p>
              </w:tc>
              <w:tc>
                <w:tcPr>
                  <w:tcW w:w="1998"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24h平均第95百分位数</w:t>
                  </w:r>
                </w:p>
              </w:tc>
              <w:tc>
                <w:tcPr>
                  <w:tcW w:w="1690"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0.8mg/m</w:t>
                  </w:r>
                  <w:r>
                    <w:rPr>
                      <w:rFonts w:hint="eastAsia" w:ascii="宋体" w:hAnsi="宋体" w:cs="宋体"/>
                      <w:color w:val="000000" w:themeColor="text1"/>
                      <w:sz w:val="18"/>
                      <w:szCs w:val="18"/>
                      <w:vertAlign w:val="superscript"/>
                      <w14:textFill>
                        <w14:solidFill>
                          <w14:schemeClr w14:val="tx1"/>
                        </w14:solidFill>
                      </w14:textFill>
                    </w:rPr>
                    <w:t>3</w:t>
                  </w:r>
                </w:p>
              </w:tc>
              <w:tc>
                <w:tcPr>
                  <w:tcW w:w="1267"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4.0mg/m</w:t>
                  </w:r>
                  <w:r>
                    <w:rPr>
                      <w:rFonts w:hint="eastAsia" w:ascii="宋体" w:hAnsi="宋体" w:cs="宋体"/>
                      <w:color w:val="000000" w:themeColor="text1"/>
                      <w:sz w:val="18"/>
                      <w:szCs w:val="18"/>
                      <w:vertAlign w:val="superscript"/>
                      <w14:textFill>
                        <w14:solidFill>
                          <w14:schemeClr w14:val="tx1"/>
                        </w14:solidFill>
                      </w14:textFill>
                    </w:rPr>
                    <w:t>3</w:t>
                  </w:r>
                </w:p>
              </w:tc>
              <w:tc>
                <w:tcPr>
                  <w:tcW w:w="1118"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20</w:t>
                  </w:r>
                </w:p>
              </w:tc>
              <w:tc>
                <w:tcPr>
                  <w:tcW w:w="1519"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97"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O</w:t>
                  </w:r>
                  <w:r>
                    <w:rPr>
                      <w:rFonts w:hint="eastAsia" w:ascii="宋体" w:hAnsi="宋体" w:cs="宋体"/>
                      <w:color w:val="000000" w:themeColor="text1"/>
                      <w:sz w:val="18"/>
                      <w:szCs w:val="18"/>
                      <w:vertAlign w:val="subscript"/>
                      <w14:textFill>
                        <w14:solidFill>
                          <w14:schemeClr w14:val="tx1"/>
                        </w14:solidFill>
                      </w14:textFill>
                    </w:rPr>
                    <w:t>3</w:t>
                  </w:r>
                </w:p>
              </w:tc>
              <w:tc>
                <w:tcPr>
                  <w:tcW w:w="1998"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日最大8h平均第90百分位数</w:t>
                  </w:r>
                </w:p>
              </w:tc>
              <w:tc>
                <w:tcPr>
                  <w:tcW w:w="1690"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131μg/m</w:t>
                  </w:r>
                  <w:r>
                    <w:rPr>
                      <w:rFonts w:hint="eastAsia" w:ascii="宋体" w:hAnsi="宋体" w:cs="宋体"/>
                      <w:color w:val="000000" w:themeColor="text1"/>
                      <w:sz w:val="18"/>
                      <w:szCs w:val="18"/>
                      <w:vertAlign w:val="superscript"/>
                      <w14:textFill>
                        <w14:solidFill>
                          <w14:schemeClr w14:val="tx1"/>
                        </w14:solidFill>
                      </w14:textFill>
                    </w:rPr>
                    <w:t>3</w:t>
                  </w:r>
                </w:p>
              </w:tc>
              <w:tc>
                <w:tcPr>
                  <w:tcW w:w="1267"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160μg/m</w:t>
                  </w:r>
                  <w:r>
                    <w:rPr>
                      <w:rFonts w:hint="eastAsia" w:ascii="宋体" w:hAnsi="宋体" w:cs="宋体"/>
                      <w:color w:val="000000" w:themeColor="text1"/>
                      <w:sz w:val="18"/>
                      <w:szCs w:val="18"/>
                      <w:vertAlign w:val="superscript"/>
                      <w14:textFill>
                        <w14:solidFill>
                          <w14:schemeClr w14:val="tx1"/>
                        </w14:solidFill>
                      </w14:textFill>
                    </w:rPr>
                    <w:t>3</w:t>
                  </w:r>
                </w:p>
              </w:tc>
              <w:tc>
                <w:tcPr>
                  <w:tcW w:w="1118"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81.88</w:t>
                  </w:r>
                </w:p>
              </w:tc>
              <w:tc>
                <w:tcPr>
                  <w:tcW w:w="1519" w:type="dxa"/>
                  <w:vAlign w:val="center"/>
                </w:tcPr>
                <w:p>
                  <w:pPr>
                    <w:widowControl/>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达标</w:t>
                  </w:r>
                </w:p>
              </w:tc>
            </w:tr>
          </w:tbl>
          <w:p>
            <w:pPr>
              <w:shd w:val="clear" w:color="auto" w:fill="FFFFFF"/>
              <w:spacing w:line="360" w:lineRule="auto"/>
              <w:ind w:firstLine="422" w:firstLineChars="200"/>
              <w:rPr>
                <w:rFonts w:ascii="宋体" w:hAnsi="宋体" w:cs="宋体"/>
                <w:color w:val="000000" w:themeColor="text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注：表中CO浓度单位是mg/m</w:t>
            </w:r>
            <w:r>
              <w:rPr>
                <w:rFonts w:hint="eastAsia" w:ascii="宋体" w:hAnsi="宋体" w:cs="宋体"/>
                <w:b/>
                <w:bCs/>
                <w:color w:val="000000" w:themeColor="text1"/>
                <w:szCs w:val="21"/>
                <w:vertAlign w:val="superscript"/>
                <w14:textFill>
                  <w14:solidFill>
                    <w14:schemeClr w14:val="tx1"/>
                  </w14:solidFill>
                </w14:textFill>
              </w:rPr>
              <w:t>3</w:t>
            </w:r>
            <w:r>
              <w:rPr>
                <w:rFonts w:hint="eastAsia" w:ascii="宋体" w:hAnsi="宋体" w:cs="宋体"/>
                <w:b/>
                <w:bCs/>
                <w:color w:val="000000" w:themeColor="text1"/>
                <w:szCs w:val="21"/>
                <w14:textFill>
                  <w14:solidFill>
                    <w14:schemeClr w14:val="tx1"/>
                  </w14:solidFill>
                </w14:textFill>
              </w:rPr>
              <w:t>，PM</w:t>
            </w:r>
            <w:r>
              <w:rPr>
                <w:rFonts w:hint="eastAsia" w:ascii="宋体" w:hAnsi="宋体" w:cs="宋体"/>
                <w:b/>
                <w:bCs/>
                <w:color w:val="000000" w:themeColor="text1"/>
                <w:szCs w:val="21"/>
                <w:vertAlign w:val="subscript"/>
                <w14:textFill>
                  <w14:solidFill>
                    <w14:schemeClr w14:val="tx1"/>
                  </w14:solidFill>
                </w14:textFill>
              </w:rPr>
              <w:t>10</w:t>
            </w:r>
            <w:r>
              <w:rPr>
                <w:rFonts w:hint="eastAsia" w:ascii="宋体" w:hAnsi="宋体" w:cs="宋体"/>
                <w:b/>
                <w:bCs/>
                <w:color w:val="000000" w:themeColor="text1"/>
                <w:szCs w:val="21"/>
                <w14:textFill>
                  <w14:solidFill>
                    <w14:schemeClr w14:val="tx1"/>
                  </w14:solidFill>
                </w14:textFill>
              </w:rPr>
              <w:t>、PM</w:t>
            </w:r>
            <w:r>
              <w:rPr>
                <w:rFonts w:hint="eastAsia" w:ascii="宋体" w:hAnsi="宋体" w:cs="宋体"/>
                <w:b/>
                <w:bCs/>
                <w:color w:val="000000" w:themeColor="text1"/>
                <w:szCs w:val="21"/>
                <w:vertAlign w:val="subscript"/>
                <w14:textFill>
                  <w14:solidFill>
                    <w14:schemeClr w14:val="tx1"/>
                  </w14:solidFill>
                </w14:textFill>
              </w:rPr>
              <w:t>2.5</w:t>
            </w:r>
            <w:r>
              <w:rPr>
                <w:rFonts w:hint="eastAsia" w:ascii="宋体" w:hAnsi="宋体" w:cs="宋体"/>
                <w:b/>
                <w:bCs/>
                <w:color w:val="000000" w:themeColor="text1"/>
                <w:szCs w:val="21"/>
                <w14:textFill>
                  <w14:solidFill>
                    <w14:schemeClr w14:val="tx1"/>
                  </w14:solidFill>
                </w14:textFill>
              </w:rPr>
              <w:t>、SO</w:t>
            </w:r>
            <w:r>
              <w:rPr>
                <w:rFonts w:hint="eastAsia" w:ascii="宋体" w:hAnsi="宋体" w:cs="宋体"/>
                <w:b/>
                <w:bCs/>
                <w:color w:val="000000" w:themeColor="text1"/>
                <w:szCs w:val="21"/>
                <w:vertAlign w:val="subscript"/>
                <w14:textFill>
                  <w14:solidFill>
                    <w14:schemeClr w14:val="tx1"/>
                  </w14:solidFill>
                </w14:textFill>
              </w:rPr>
              <w:t>2</w:t>
            </w:r>
            <w:r>
              <w:rPr>
                <w:rFonts w:hint="eastAsia" w:ascii="宋体" w:hAnsi="宋体" w:cs="宋体"/>
                <w:b/>
                <w:bCs/>
                <w:color w:val="000000" w:themeColor="text1"/>
                <w:szCs w:val="21"/>
                <w14:textFill>
                  <w14:solidFill>
                    <w14:schemeClr w14:val="tx1"/>
                  </w14:solidFill>
                </w14:textFill>
              </w:rPr>
              <w:t>、NO</w:t>
            </w:r>
            <w:r>
              <w:rPr>
                <w:rFonts w:hint="eastAsia" w:ascii="宋体" w:hAnsi="宋体" w:cs="宋体"/>
                <w:b/>
                <w:bCs/>
                <w:color w:val="000000" w:themeColor="text1"/>
                <w:szCs w:val="21"/>
                <w:vertAlign w:val="subscript"/>
                <w14:textFill>
                  <w14:solidFill>
                    <w14:schemeClr w14:val="tx1"/>
                  </w14:solidFill>
                </w14:textFill>
              </w:rPr>
              <w:t>2</w:t>
            </w:r>
            <w:r>
              <w:rPr>
                <w:rFonts w:hint="eastAsia" w:ascii="宋体" w:hAnsi="宋体" w:cs="宋体"/>
                <w:b/>
                <w:bCs/>
                <w:color w:val="000000" w:themeColor="text1"/>
                <w:szCs w:val="21"/>
                <w14:textFill>
                  <w14:solidFill>
                    <w14:schemeClr w14:val="tx1"/>
                  </w14:solidFill>
                </w14:textFill>
              </w:rPr>
              <w:t>、和O</w:t>
            </w:r>
            <w:r>
              <w:rPr>
                <w:rFonts w:hint="eastAsia" w:ascii="宋体" w:hAnsi="宋体" w:cs="宋体"/>
                <w:b/>
                <w:bCs/>
                <w:color w:val="000000" w:themeColor="text1"/>
                <w:szCs w:val="21"/>
                <w:vertAlign w:val="subscript"/>
                <w14:textFill>
                  <w14:solidFill>
                    <w14:schemeClr w14:val="tx1"/>
                  </w14:solidFill>
                </w14:textFill>
              </w:rPr>
              <w:t>3</w:t>
            </w:r>
            <w:r>
              <w:rPr>
                <w:rFonts w:hint="eastAsia" w:ascii="宋体" w:hAnsi="宋体" w:cs="宋体"/>
                <w:b/>
                <w:bCs/>
                <w:color w:val="000000" w:themeColor="text1"/>
                <w:szCs w:val="21"/>
                <w14:textFill>
                  <w14:solidFill>
                    <w14:schemeClr w14:val="tx1"/>
                  </w14:solidFill>
                </w14:textFill>
              </w:rPr>
              <w:t>浓度单位是μg/m</w:t>
            </w:r>
            <w:r>
              <w:rPr>
                <w:rFonts w:hint="eastAsia" w:ascii="宋体" w:hAnsi="宋体" w:cs="宋体"/>
                <w:b/>
                <w:bCs/>
                <w:color w:val="000000" w:themeColor="text1"/>
                <w:szCs w:val="21"/>
                <w:vertAlign w:val="superscript"/>
                <w14:textFill>
                  <w14:solidFill>
                    <w14:schemeClr w14:val="tx1"/>
                  </w14:solidFill>
                </w14:textFill>
              </w:rPr>
              <w:t>3</w:t>
            </w:r>
            <w:r>
              <w:rPr>
                <w:rFonts w:hint="eastAsia" w:ascii="宋体" w:hAnsi="宋体" w:cs="宋体"/>
                <w:b/>
                <w:bCs/>
                <w:color w:val="000000" w:themeColor="text1"/>
                <w:szCs w:val="21"/>
                <w14:textFill>
                  <w14:solidFill>
                    <w14:schemeClr w14:val="tx1"/>
                  </w14:solidFill>
                </w14:textFill>
              </w:rPr>
              <w:t>，CO为24h平均第95百分位数、O</w:t>
            </w:r>
            <w:r>
              <w:rPr>
                <w:rFonts w:hint="eastAsia" w:ascii="宋体" w:hAnsi="宋体" w:cs="宋体"/>
                <w:b/>
                <w:bCs/>
                <w:color w:val="000000" w:themeColor="text1"/>
                <w:szCs w:val="21"/>
                <w:vertAlign w:val="subscript"/>
                <w14:textFill>
                  <w14:solidFill>
                    <w14:schemeClr w14:val="tx1"/>
                  </w14:solidFill>
                </w14:textFill>
              </w:rPr>
              <w:t>3</w:t>
            </w:r>
            <w:r>
              <w:rPr>
                <w:rFonts w:hint="eastAsia" w:ascii="宋体" w:hAnsi="宋体" w:cs="宋体"/>
                <w:b/>
                <w:bCs/>
                <w:color w:val="000000" w:themeColor="text1"/>
                <w:szCs w:val="21"/>
                <w14:textFill>
                  <w14:solidFill>
                    <w14:schemeClr w14:val="tx1"/>
                  </w14:solidFill>
                </w14:textFill>
              </w:rPr>
              <w:t>为日最大8h平均第90百分位数，其余为年均值。</w:t>
            </w:r>
          </w:p>
          <w:p>
            <w:pPr>
              <w:spacing w:line="360" w:lineRule="auto"/>
              <w:ind w:firstLine="420" w:firstLineChars="200"/>
              <w:rPr>
                <w:rFonts w:ascii="宋体" w:hAnsi="宋体" w:cs="宋体"/>
              </w:rPr>
            </w:pPr>
            <w:r>
              <w:rPr>
                <w:rFonts w:hint="eastAsia" w:ascii="宋体" w:hAnsi="宋体" w:cs="宋体"/>
                <w:color w:val="000000" w:themeColor="text1"/>
                <w14:textFill>
                  <w14:solidFill>
                    <w14:schemeClr w14:val="tx1"/>
                  </w14:solidFill>
                </w14:textFill>
              </w:rPr>
              <w:t>根据环境质量数据可知，2022年围场县PM</w:t>
            </w:r>
            <w:r>
              <w:rPr>
                <w:rFonts w:hint="eastAsia" w:ascii="宋体" w:hAnsi="宋体" w:cs="宋体"/>
                <w:color w:val="000000" w:themeColor="text1"/>
                <w:vertAlign w:val="subscript"/>
                <w14:textFill>
                  <w14:solidFill>
                    <w14:schemeClr w14:val="tx1"/>
                  </w14:solidFill>
                </w14:textFill>
              </w:rPr>
              <w:t>10</w:t>
            </w:r>
            <w:r>
              <w:rPr>
                <w:rFonts w:hint="eastAsia" w:ascii="宋体" w:hAnsi="宋体" w:cs="宋体"/>
                <w:color w:val="000000" w:themeColor="text1"/>
                <w14:textFill>
                  <w14:solidFill>
                    <w14:schemeClr w14:val="tx1"/>
                  </w14:solidFill>
                </w14:textFill>
              </w:rPr>
              <w:t>、PM</w:t>
            </w:r>
            <w:r>
              <w:rPr>
                <w:rFonts w:hint="eastAsia" w:ascii="宋体" w:hAnsi="宋体" w:cs="宋体"/>
                <w:color w:val="000000" w:themeColor="text1"/>
                <w:vertAlign w:val="subscript"/>
                <w14:textFill>
                  <w14:solidFill>
                    <w14:schemeClr w14:val="tx1"/>
                  </w14:solidFill>
                </w14:textFill>
              </w:rPr>
              <w:t>2.5</w:t>
            </w:r>
            <w:r>
              <w:rPr>
                <w:rFonts w:hint="eastAsia" w:ascii="宋体" w:hAnsi="宋体" w:cs="宋体"/>
                <w:color w:val="000000" w:themeColor="text1"/>
                <w14:textFill>
                  <w14:solidFill>
                    <w14:schemeClr w14:val="tx1"/>
                  </w14:solidFill>
                </w14:textFill>
              </w:rPr>
              <w:t>、SO</w:t>
            </w:r>
            <w:r>
              <w:rPr>
                <w:rFonts w:hint="eastAsia" w:ascii="宋体" w:hAnsi="宋体" w:cs="宋体"/>
                <w:color w:val="000000" w:themeColor="text1"/>
                <w:vertAlign w:val="subscript"/>
                <w14:textFill>
                  <w14:solidFill>
                    <w14:schemeClr w14:val="tx1"/>
                  </w14:solidFill>
                </w14:textFill>
              </w:rPr>
              <w:t>2</w:t>
            </w:r>
            <w:r>
              <w:rPr>
                <w:rFonts w:hint="eastAsia" w:ascii="宋体" w:hAnsi="宋体" w:cs="宋体"/>
                <w:color w:val="000000" w:themeColor="text1"/>
                <w14:textFill>
                  <w14:solidFill>
                    <w14:schemeClr w14:val="tx1"/>
                  </w14:solidFill>
                </w14:textFill>
              </w:rPr>
              <w:t>、NO</w:t>
            </w:r>
            <w:r>
              <w:rPr>
                <w:rFonts w:hint="eastAsia" w:ascii="宋体" w:hAnsi="宋体" w:cs="宋体"/>
                <w:color w:val="000000" w:themeColor="text1"/>
                <w:vertAlign w:val="subscript"/>
                <w14:textFill>
                  <w14:solidFill>
                    <w14:schemeClr w14:val="tx1"/>
                  </w14:solidFill>
                </w14:textFill>
              </w:rPr>
              <w:t>2</w:t>
            </w:r>
            <w:r>
              <w:rPr>
                <w:rFonts w:hint="eastAsia" w:ascii="宋体" w:hAnsi="宋体" w:cs="宋体"/>
                <w:color w:val="000000" w:themeColor="text1"/>
                <w14:textFill>
                  <w14:solidFill>
                    <w14:schemeClr w14:val="tx1"/>
                  </w14:solidFill>
                </w14:textFill>
              </w:rPr>
              <w:t>的年均质量浓度能够达到国家环境空气质量24小时平均二级标准值</w:t>
            </w:r>
            <w:r>
              <w:rPr>
                <w:rFonts w:hint="eastAsia" w:ascii="宋体" w:hAnsi="宋体" w:cs="宋体"/>
              </w:rPr>
              <w:t>；CO 24小时日平均第95百分位数浓度达到国家环境空气质量24小时平均二级标准值；O</w:t>
            </w:r>
            <w:r>
              <w:rPr>
                <w:rFonts w:hint="eastAsia" w:ascii="宋体" w:hAnsi="宋体" w:cs="宋体"/>
                <w:vertAlign w:val="subscript"/>
              </w:rPr>
              <w:t>3</w:t>
            </w:r>
            <w:r>
              <w:rPr>
                <w:rFonts w:hint="eastAsia" w:ascii="宋体" w:hAnsi="宋体" w:cs="宋体"/>
              </w:rPr>
              <w:t>日最大8小时平均第90百分位数浓度能达到国家环境质量日最大8小时平均二级标准值。</w:t>
            </w:r>
          </w:p>
          <w:p>
            <w:pPr>
              <w:spacing w:line="360" w:lineRule="auto"/>
              <w:ind w:firstLine="420" w:firstLineChars="200"/>
              <w:rPr>
                <w:rFonts w:hint="eastAsia" w:ascii="宋体" w:hAnsi="宋体" w:cs="宋体"/>
                <w:highlight w:val="none"/>
              </w:rPr>
            </w:pPr>
            <w:r>
              <w:rPr>
                <w:rFonts w:hint="eastAsia" w:ascii="宋体" w:hAnsi="宋体" w:cs="宋体"/>
                <w:highlight w:val="none"/>
              </w:rPr>
              <w:t>本项目于2024年4月19日-22日委托河北俊采环境检测技术有限公司对项目TSP现状进行了检测（检测报告详见附件7），检测TSP数据均满足《环境空气质量标准》（GB3095-2012）二级标准。</w:t>
            </w:r>
          </w:p>
          <w:p>
            <w:pPr>
              <w:spacing w:line="360" w:lineRule="auto"/>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检测地点：承德市围场满族蒙古族自治县新地镇大西沟村围场满族蒙古族自治县腾兴农业发展有限公司厂区内；</w:t>
            </w:r>
          </w:p>
          <w:p>
            <w:pPr>
              <w:spacing w:line="360" w:lineRule="auto"/>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检测项目：TSP，单位</w:t>
            </w:r>
            <w:r>
              <w:rPr>
                <w:rFonts w:hint="eastAsia" w:ascii="宋体" w:hAnsi="宋体" w:eastAsia="宋体" w:cs="宋体"/>
                <w:color w:val="000000" w:themeColor="text1"/>
                <w:highlight w:val="none"/>
                <w:lang w:val="en-US" w:eastAsia="en-US"/>
                <w14:textFill>
                  <w14:solidFill>
                    <w14:schemeClr w14:val="tx1"/>
                  </w14:solidFill>
                </w14:textFill>
              </w:rPr>
              <w:t>μg/m</w:t>
            </w:r>
            <w:r>
              <w:rPr>
                <w:rFonts w:hint="eastAsia" w:ascii="宋体" w:hAnsi="宋体" w:eastAsia="宋体" w:cs="宋体"/>
                <w:color w:val="000000" w:themeColor="text1"/>
                <w:highlight w:val="none"/>
                <w:lang w:val="en-US" w:eastAsia="zh-CN"/>
                <w14:textFill>
                  <w14:solidFill>
                    <w14:schemeClr w14:val="tx1"/>
                  </w14:solidFill>
                </w14:textFill>
              </w:rPr>
              <w:t>；</w:t>
            </w:r>
          </w:p>
          <w:p>
            <w:pPr>
              <w:spacing w:line="360" w:lineRule="auto"/>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检测时间：2024年4月19日-22日；</w:t>
            </w:r>
          </w:p>
          <w:p>
            <w:pPr>
              <w:spacing w:line="360" w:lineRule="auto"/>
              <w:ind w:firstLine="420" w:firstLineChars="200"/>
              <w:rPr>
                <w:rFonts w:hint="eastAsia"/>
                <w:highlight w:val="none"/>
                <w:lang w:eastAsia="zh-CN"/>
              </w:rPr>
            </w:pPr>
            <w:r>
              <w:rPr>
                <w:rFonts w:hint="eastAsia" w:ascii="宋体" w:hAnsi="宋体" w:eastAsia="宋体" w:cs="宋体"/>
                <w:color w:val="000000" w:themeColor="text1"/>
                <w:highlight w:val="none"/>
                <w:lang w:val="en-US" w:eastAsia="zh-CN"/>
                <w14:textFill>
                  <w14:solidFill>
                    <w14:schemeClr w14:val="tx1"/>
                  </w14:solidFill>
                </w14:textFill>
              </w:rPr>
              <w:t>检测点位置：厂区中央</w:t>
            </w:r>
          </w:p>
          <w:p>
            <w:pPr>
              <w:jc w:val="center"/>
              <w:rPr>
                <w:rFonts w:ascii="宋体" w:hAnsi="宋体" w:cs="宋体"/>
                <w:highlight w:val="none"/>
              </w:rPr>
            </w:pPr>
            <w:r>
              <w:rPr>
                <w:rFonts w:hint="eastAsia" w:ascii="宋体" w:hAnsi="宋体" w:cs="宋体"/>
                <w:b/>
                <w:bCs/>
                <w:highlight w:val="none"/>
              </w:rPr>
              <w:t>表3-2  环境空气检测结果</w:t>
            </w:r>
          </w:p>
          <w:tbl>
            <w:tblPr>
              <w:tblStyle w:val="67"/>
              <w:tblW w:w="8140" w:type="dxa"/>
              <w:tblInd w:w="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7"/>
              <w:gridCol w:w="811"/>
              <w:gridCol w:w="637"/>
              <w:gridCol w:w="2607"/>
              <w:gridCol w:w="964"/>
              <w:gridCol w:w="884"/>
              <w:gridCol w:w="1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237" w:type="dxa"/>
                  <w:vMerge w:val="restart"/>
                  <w:tcBorders>
                    <w:bottom w:val="nil"/>
                  </w:tcBorders>
                  <w:vAlign w:val="center"/>
                </w:tcPr>
                <w:p>
                  <w:pPr>
                    <w:widowControl/>
                    <w:autoSpaceDE w:val="0"/>
                    <w:autoSpaceDN w:val="0"/>
                    <w:jc w:val="center"/>
                    <w:rPr>
                      <w:rFonts w:ascii="宋体" w:hAnsi="宋体" w:cs="宋体"/>
                      <w:sz w:val="18"/>
                      <w:szCs w:val="18"/>
                      <w:highlight w:val="none"/>
                      <w:lang w:eastAsia="en-US"/>
                    </w:rPr>
                  </w:pPr>
                </w:p>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采样时间</w:t>
                  </w:r>
                </w:p>
              </w:tc>
              <w:tc>
                <w:tcPr>
                  <w:tcW w:w="811" w:type="dxa"/>
                  <w:vMerge w:val="restart"/>
                  <w:tcBorders>
                    <w:bottom w:val="nil"/>
                  </w:tcBorders>
                  <w:vAlign w:val="center"/>
                </w:tcPr>
                <w:p>
                  <w:pPr>
                    <w:widowControl/>
                    <w:autoSpaceDE w:val="0"/>
                    <w:autoSpaceDN w:val="0"/>
                    <w:jc w:val="center"/>
                    <w:rPr>
                      <w:rFonts w:ascii="宋体" w:hAnsi="宋体" w:cs="宋体"/>
                      <w:sz w:val="18"/>
                      <w:szCs w:val="18"/>
                      <w:highlight w:val="none"/>
                      <w:lang w:eastAsia="en-US"/>
                    </w:rPr>
                  </w:pPr>
                </w:p>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检测项目</w:t>
                  </w:r>
                </w:p>
              </w:tc>
              <w:tc>
                <w:tcPr>
                  <w:tcW w:w="637" w:type="dxa"/>
                  <w:vMerge w:val="restart"/>
                  <w:tcBorders>
                    <w:bottom w:val="nil"/>
                  </w:tcBorders>
                  <w:vAlign w:val="center"/>
                </w:tcPr>
                <w:p>
                  <w:pPr>
                    <w:widowControl/>
                    <w:autoSpaceDE w:val="0"/>
                    <w:autoSpaceDN w:val="0"/>
                    <w:jc w:val="center"/>
                    <w:rPr>
                      <w:rFonts w:ascii="宋体" w:hAnsi="宋体" w:cs="宋体"/>
                      <w:sz w:val="18"/>
                      <w:szCs w:val="18"/>
                      <w:highlight w:val="none"/>
                      <w:lang w:eastAsia="en-US"/>
                    </w:rPr>
                  </w:pPr>
                </w:p>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单位</w:t>
                  </w:r>
                </w:p>
              </w:tc>
              <w:tc>
                <w:tcPr>
                  <w:tcW w:w="2607" w:type="dxa"/>
                  <w:vAlign w:val="center"/>
                </w:tcPr>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检测结果(24小时平均值)</w:t>
                  </w:r>
                </w:p>
              </w:tc>
              <w:tc>
                <w:tcPr>
                  <w:tcW w:w="964" w:type="dxa"/>
                  <w:vMerge w:val="restart"/>
                  <w:vAlign w:val="center"/>
                </w:tcPr>
                <w:p>
                  <w:pPr>
                    <w:widowControl/>
                    <w:autoSpaceDE w:val="0"/>
                    <w:autoSpaceDN w:val="0"/>
                    <w:jc w:val="center"/>
                    <w:rPr>
                      <w:rFonts w:hint="eastAsia" w:ascii="宋体" w:hAnsi="宋体" w:eastAsia="宋体" w:cs="宋体"/>
                      <w:sz w:val="18"/>
                      <w:szCs w:val="18"/>
                      <w:highlight w:val="none"/>
                      <w:lang w:eastAsia="zh-CN"/>
                    </w:rPr>
                  </w:pPr>
                  <w:r>
                    <w:rPr>
                      <w:rFonts w:hint="eastAsia" w:ascii="宋体" w:hAnsi="宋体" w:cs="宋体"/>
                      <w:sz w:val="18"/>
                      <w:szCs w:val="18"/>
                      <w:highlight w:val="none"/>
                      <w:lang w:eastAsia="zh-CN"/>
                    </w:rPr>
                    <w:t>标准值</w:t>
                  </w:r>
                </w:p>
              </w:tc>
              <w:tc>
                <w:tcPr>
                  <w:tcW w:w="884" w:type="dxa"/>
                  <w:vMerge w:val="restart"/>
                  <w:vAlign w:val="center"/>
                </w:tcPr>
                <w:p>
                  <w:pPr>
                    <w:widowControl/>
                    <w:autoSpaceDE w:val="0"/>
                    <w:autoSpaceDN w:val="0"/>
                    <w:jc w:val="center"/>
                    <w:rPr>
                      <w:rFonts w:hint="eastAsia" w:ascii="宋体" w:hAnsi="宋体" w:eastAsia="宋体" w:cs="宋体"/>
                      <w:sz w:val="18"/>
                      <w:szCs w:val="18"/>
                      <w:highlight w:val="none"/>
                      <w:lang w:eastAsia="zh-CN"/>
                    </w:rPr>
                  </w:pPr>
                  <w:r>
                    <w:rPr>
                      <w:rFonts w:hint="eastAsia" w:ascii="宋体" w:hAnsi="宋体" w:cs="宋体"/>
                      <w:sz w:val="18"/>
                      <w:szCs w:val="18"/>
                      <w:highlight w:val="none"/>
                      <w:lang w:eastAsia="zh-CN"/>
                    </w:rPr>
                    <w:t>占标率</w:t>
                  </w:r>
                </w:p>
              </w:tc>
              <w:tc>
                <w:tcPr>
                  <w:tcW w:w="1000" w:type="dxa"/>
                  <w:vMerge w:val="restart"/>
                  <w:vAlign w:val="center"/>
                </w:tcPr>
                <w:p>
                  <w:pPr>
                    <w:widowControl/>
                    <w:autoSpaceDE w:val="0"/>
                    <w:autoSpaceDN w:val="0"/>
                    <w:jc w:val="center"/>
                    <w:rPr>
                      <w:rFonts w:hint="eastAsia" w:ascii="宋体" w:hAnsi="宋体" w:eastAsia="宋体" w:cs="宋体"/>
                      <w:sz w:val="18"/>
                      <w:szCs w:val="18"/>
                      <w:highlight w:val="none"/>
                      <w:lang w:eastAsia="zh-CN"/>
                    </w:rPr>
                  </w:pPr>
                  <w:r>
                    <w:rPr>
                      <w:rFonts w:hint="eastAsia" w:ascii="宋体" w:hAnsi="宋体" w:cs="宋体"/>
                      <w:sz w:val="18"/>
                      <w:szCs w:val="18"/>
                      <w:highlight w:val="none"/>
                      <w:lang w:eastAsia="zh-CN"/>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237" w:type="dxa"/>
                  <w:vMerge w:val="continue"/>
                  <w:tcBorders>
                    <w:top w:val="nil"/>
                  </w:tcBorders>
                  <w:vAlign w:val="center"/>
                </w:tcPr>
                <w:p>
                  <w:pPr>
                    <w:widowControl/>
                    <w:autoSpaceDE w:val="0"/>
                    <w:autoSpaceDN w:val="0"/>
                    <w:jc w:val="center"/>
                    <w:rPr>
                      <w:rFonts w:ascii="宋体" w:hAnsi="宋体" w:cs="宋体"/>
                      <w:sz w:val="18"/>
                      <w:szCs w:val="18"/>
                      <w:highlight w:val="none"/>
                      <w:lang w:eastAsia="en-US"/>
                    </w:rPr>
                  </w:pPr>
                </w:p>
              </w:tc>
              <w:tc>
                <w:tcPr>
                  <w:tcW w:w="811" w:type="dxa"/>
                  <w:vMerge w:val="continue"/>
                  <w:tcBorders>
                    <w:top w:val="nil"/>
                  </w:tcBorders>
                  <w:vAlign w:val="center"/>
                </w:tcPr>
                <w:p>
                  <w:pPr>
                    <w:widowControl/>
                    <w:autoSpaceDE w:val="0"/>
                    <w:autoSpaceDN w:val="0"/>
                    <w:jc w:val="center"/>
                    <w:rPr>
                      <w:rFonts w:ascii="宋体" w:hAnsi="宋体" w:cs="宋体"/>
                      <w:sz w:val="18"/>
                      <w:szCs w:val="18"/>
                      <w:highlight w:val="none"/>
                      <w:lang w:eastAsia="en-US"/>
                    </w:rPr>
                  </w:pPr>
                </w:p>
              </w:tc>
              <w:tc>
                <w:tcPr>
                  <w:tcW w:w="637" w:type="dxa"/>
                  <w:vMerge w:val="continue"/>
                  <w:tcBorders>
                    <w:top w:val="nil"/>
                  </w:tcBorders>
                  <w:vAlign w:val="center"/>
                </w:tcPr>
                <w:p>
                  <w:pPr>
                    <w:widowControl/>
                    <w:autoSpaceDE w:val="0"/>
                    <w:autoSpaceDN w:val="0"/>
                    <w:jc w:val="center"/>
                    <w:rPr>
                      <w:rFonts w:ascii="宋体" w:hAnsi="宋体" w:cs="宋体"/>
                      <w:sz w:val="18"/>
                      <w:szCs w:val="18"/>
                      <w:highlight w:val="none"/>
                      <w:lang w:eastAsia="en-US"/>
                    </w:rPr>
                  </w:pPr>
                </w:p>
              </w:tc>
              <w:tc>
                <w:tcPr>
                  <w:tcW w:w="2607" w:type="dxa"/>
                  <w:vAlign w:val="center"/>
                </w:tcPr>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风向下风向</w:t>
                  </w:r>
                </w:p>
              </w:tc>
              <w:tc>
                <w:tcPr>
                  <w:tcW w:w="964" w:type="dxa"/>
                  <w:vMerge w:val="continue"/>
                  <w:vAlign w:val="center"/>
                </w:tcPr>
                <w:p>
                  <w:pPr>
                    <w:widowControl/>
                    <w:autoSpaceDE w:val="0"/>
                    <w:autoSpaceDN w:val="0"/>
                    <w:jc w:val="center"/>
                    <w:rPr>
                      <w:rFonts w:hint="default" w:ascii="宋体" w:hAnsi="宋体" w:eastAsia="宋体" w:cs="宋体"/>
                      <w:sz w:val="18"/>
                      <w:szCs w:val="18"/>
                      <w:highlight w:val="none"/>
                      <w:lang w:val="en-US" w:eastAsia="zh-CN"/>
                    </w:rPr>
                  </w:pPr>
                </w:p>
              </w:tc>
              <w:tc>
                <w:tcPr>
                  <w:tcW w:w="884" w:type="dxa"/>
                  <w:vMerge w:val="continue"/>
                  <w:vAlign w:val="center"/>
                </w:tcPr>
                <w:p>
                  <w:pPr>
                    <w:widowControl/>
                    <w:autoSpaceDE w:val="0"/>
                    <w:autoSpaceDN w:val="0"/>
                    <w:jc w:val="center"/>
                    <w:rPr>
                      <w:rFonts w:hint="eastAsia" w:ascii="宋体" w:hAnsi="宋体" w:cs="宋体"/>
                      <w:sz w:val="18"/>
                      <w:szCs w:val="18"/>
                      <w:highlight w:val="none"/>
                      <w:lang w:eastAsia="en-US"/>
                    </w:rPr>
                  </w:pPr>
                </w:p>
              </w:tc>
              <w:tc>
                <w:tcPr>
                  <w:tcW w:w="1000" w:type="dxa"/>
                  <w:vMerge w:val="continue"/>
                  <w:vAlign w:val="center"/>
                </w:tcPr>
                <w:p>
                  <w:pPr>
                    <w:widowControl/>
                    <w:autoSpaceDE w:val="0"/>
                    <w:autoSpaceDN w:val="0"/>
                    <w:jc w:val="center"/>
                    <w:rPr>
                      <w:rFonts w:hint="eastAsia" w:ascii="宋体" w:hAnsi="宋体" w:cs="宋体"/>
                      <w:sz w:val="18"/>
                      <w:szCs w:val="18"/>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1237" w:type="dxa"/>
                  <w:vAlign w:val="center"/>
                </w:tcPr>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2024.04.19-2024.04.20</w:t>
                  </w:r>
                </w:p>
              </w:tc>
              <w:tc>
                <w:tcPr>
                  <w:tcW w:w="811" w:type="dxa"/>
                  <w:vAlign w:val="center"/>
                </w:tcPr>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TSP</w:t>
                  </w:r>
                </w:p>
              </w:tc>
              <w:tc>
                <w:tcPr>
                  <w:tcW w:w="637" w:type="dxa"/>
                  <w:vAlign w:val="center"/>
                </w:tcPr>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μg/m</w:t>
                  </w:r>
                </w:p>
              </w:tc>
              <w:tc>
                <w:tcPr>
                  <w:tcW w:w="2607" w:type="dxa"/>
                  <w:vAlign w:val="center"/>
                </w:tcPr>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157</w:t>
                  </w:r>
                </w:p>
              </w:tc>
              <w:tc>
                <w:tcPr>
                  <w:tcW w:w="964" w:type="dxa"/>
                  <w:vAlign w:val="center"/>
                </w:tcPr>
                <w:p>
                  <w:pPr>
                    <w:widowControl/>
                    <w:autoSpaceDE w:val="0"/>
                    <w:autoSpaceDN w:val="0"/>
                    <w:jc w:val="center"/>
                    <w:rPr>
                      <w:rFonts w:hint="eastAsia" w:ascii="宋体" w:hAnsi="宋体" w:cs="宋体"/>
                      <w:sz w:val="18"/>
                      <w:szCs w:val="18"/>
                      <w:highlight w:val="none"/>
                      <w:lang w:eastAsia="en-US"/>
                    </w:rPr>
                  </w:pPr>
                  <w:r>
                    <w:rPr>
                      <w:rFonts w:hint="eastAsia" w:ascii="宋体" w:hAnsi="宋体" w:cs="宋体"/>
                      <w:sz w:val="18"/>
                      <w:szCs w:val="18"/>
                      <w:highlight w:val="none"/>
                      <w:lang w:val="en-US" w:eastAsia="zh-CN"/>
                    </w:rPr>
                    <w:t>0.3mg/m</w:t>
                  </w:r>
                  <w:r>
                    <w:rPr>
                      <w:rFonts w:hint="eastAsia" w:ascii="宋体" w:hAnsi="宋体" w:cs="宋体"/>
                      <w:sz w:val="18"/>
                      <w:szCs w:val="18"/>
                      <w:highlight w:val="none"/>
                      <w:vertAlign w:val="superscript"/>
                      <w:lang w:val="en-US" w:eastAsia="zh-CN"/>
                    </w:rPr>
                    <w:t>3</w:t>
                  </w:r>
                </w:p>
              </w:tc>
              <w:tc>
                <w:tcPr>
                  <w:tcW w:w="884" w:type="dxa"/>
                  <w:vAlign w:val="center"/>
                </w:tcPr>
                <w:p>
                  <w:pPr>
                    <w:widowControl/>
                    <w:autoSpaceDE w:val="0"/>
                    <w:autoSpaceDN w:val="0"/>
                    <w:jc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52.33%</w:t>
                  </w:r>
                </w:p>
              </w:tc>
              <w:tc>
                <w:tcPr>
                  <w:tcW w:w="1000" w:type="dxa"/>
                  <w:vAlign w:val="center"/>
                </w:tcPr>
                <w:p>
                  <w:pPr>
                    <w:widowControl/>
                    <w:autoSpaceDE w:val="0"/>
                    <w:autoSpaceDN w:val="0"/>
                    <w:jc w:val="center"/>
                    <w:rPr>
                      <w:rFonts w:hint="eastAsia" w:ascii="宋体" w:hAnsi="宋体" w:eastAsia="宋体" w:cs="宋体"/>
                      <w:sz w:val="18"/>
                      <w:szCs w:val="18"/>
                      <w:highlight w:val="none"/>
                      <w:lang w:eastAsia="zh-CN"/>
                    </w:rPr>
                  </w:pPr>
                  <w:r>
                    <w:rPr>
                      <w:rFonts w:hint="eastAsia" w:ascii="宋体" w:hAnsi="宋体" w:cs="宋体"/>
                      <w:sz w:val="18"/>
                      <w:szCs w:val="18"/>
                      <w:highlight w:val="none"/>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1237" w:type="dxa"/>
                  <w:vAlign w:val="center"/>
                </w:tcPr>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2024.04.20-2024.04.21</w:t>
                  </w:r>
                </w:p>
              </w:tc>
              <w:tc>
                <w:tcPr>
                  <w:tcW w:w="811" w:type="dxa"/>
                  <w:vAlign w:val="center"/>
                </w:tcPr>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TSP</w:t>
                  </w:r>
                </w:p>
              </w:tc>
              <w:tc>
                <w:tcPr>
                  <w:tcW w:w="637" w:type="dxa"/>
                  <w:vAlign w:val="center"/>
                </w:tcPr>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μg/m</w:t>
                  </w:r>
                </w:p>
              </w:tc>
              <w:tc>
                <w:tcPr>
                  <w:tcW w:w="2607" w:type="dxa"/>
                  <w:vAlign w:val="center"/>
                </w:tcPr>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194</w:t>
                  </w:r>
                </w:p>
              </w:tc>
              <w:tc>
                <w:tcPr>
                  <w:tcW w:w="964" w:type="dxa"/>
                  <w:vAlign w:val="center"/>
                </w:tcPr>
                <w:p>
                  <w:pPr>
                    <w:widowControl/>
                    <w:autoSpaceDE w:val="0"/>
                    <w:autoSpaceDN w:val="0"/>
                    <w:jc w:val="center"/>
                    <w:rPr>
                      <w:rFonts w:hint="eastAsia" w:ascii="宋体" w:hAnsi="宋体" w:cs="宋体"/>
                      <w:sz w:val="18"/>
                      <w:szCs w:val="18"/>
                      <w:highlight w:val="none"/>
                      <w:lang w:eastAsia="en-US"/>
                    </w:rPr>
                  </w:pPr>
                  <w:r>
                    <w:rPr>
                      <w:rFonts w:hint="eastAsia" w:ascii="宋体" w:hAnsi="宋体" w:cs="宋体"/>
                      <w:sz w:val="18"/>
                      <w:szCs w:val="18"/>
                      <w:highlight w:val="none"/>
                      <w:lang w:val="en-US" w:eastAsia="zh-CN"/>
                    </w:rPr>
                    <w:t>0.3mg/m</w:t>
                  </w:r>
                  <w:r>
                    <w:rPr>
                      <w:rFonts w:hint="eastAsia" w:ascii="宋体" w:hAnsi="宋体" w:cs="宋体"/>
                      <w:sz w:val="18"/>
                      <w:szCs w:val="18"/>
                      <w:highlight w:val="none"/>
                      <w:vertAlign w:val="superscript"/>
                      <w:lang w:val="en-US" w:eastAsia="zh-CN"/>
                    </w:rPr>
                    <w:t>3</w:t>
                  </w:r>
                </w:p>
              </w:tc>
              <w:tc>
                <w:tcPr>
                  <w:tcW w:w="884" w:type="dxa"/>
                  <w:vAlign w:val="center"/>
                </w:tcPr>
                <w:p>
                  <w:pPr>
                    <w:widowControl/>
                    <w:autoSpaceDE w:val="0"/>
                    <w:autoSpaceDN w:val="0"/>
                    <w:jc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64.67%</w:t>
                  </w:r>
                </w:p>
              </w:tc>
              <w:tc>
                <w:tcPr>
                  <w:tcW w:w="1000" w:type="dxa"/>
                  <w:vAlign w:val="center"/>
                </w:tcPr>
                <w:p>
                  <w:pPr>
                    <w:widowControl/>
                    <w:autoSpaceDE w:val="0"/>
                    <w:autoSpaceDN w:val="0"/>
                    <w:jc w:val="center"/>
                    <w:rPr>
                      <w:rFonts w:hint="eastAsia" w:ascii="宋体" w:hAnsi="宋体" w:cs="宋体"/>
                      <w:sz w:val="18"/>
                      <w:szCs w:val="18"/>
                      <w:highlight w:val="none"/>
                      <w:lang w:eastAsia="en-US"/>
                    </w:rPr>
                  </w:pPr>
                  <w:r>
                    <w:rPr>
                      <w:rFonts w:hint="eastAsia" w:ascii="宋体" w:hAnsi="宋体" w:cs="宋体"/>
                      <w:sz w:val="18"/>
                      <w:szCs w:val="18"/>
                      <w:highlight w:val="none"/>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237" w:type="dxa"/>
                  <w:vAlign w:val="center"/>
                </w:tcPr>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2024.04.21-2024.04.22</w:t>
                  </w:r>
                </w:p>
              </w:tc>
              <w:tc>
                <w:tcPr>
                  <w:tcW w:w="811" w:type="dxa"/>
                  <w:vAlign w:val="center"/>
                </w:tcPr>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TSP</w:t>
                  </w:r>
                </w:p>
              </w:tc>
              <w:tc>
                <w:tcPr>
                  <w:tcW w:w="637" w:type="dxa"/>
                  <w:vAlign w:val="center"/>
                </w:tcPr>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μg/m</w:t>
                  </w:r>
                </w:p>
              </w:tc>
              <w:tc>
                <w:tcPr>
                  <w:tcW w:w="2607" w:type="dxa"/>
                  <w:vAlign w:val="center"/>
                </w:tcPr>
                <w:p>
                  <w:pPr>
                    <w:widowControl/>
                    <w:autoSpaceDE w:val="0"/>
                    <w:autoSpaceDN w:val="0"/>
                    <w:jc w:val="center"/>
                    <w:rPr>
                      <w:rFonts w:ascii="宋体" w:hAnsi="宋体" w:cs="宋体"/>
                      <w:sz w:val="18"/>
                      <w:szCs w:val="18"/>
                      <w:highlight w:val="none"/>
                      <w:lang w:eastAsia="en-US"/>
                    </w:rPr>
                  </w:pPr>
                  <w:r>
                    <w:rPr>
                      <w:rFonts w:hint="eastAsia" w:ascii="宋体" w:hAnsi="宋体" w:cs="宋体"/>
                      <w:sz w:val="18"/>
                      <w:szCs w:val="18"/>
                      <w:highlight w:val="none"/>
                      <w:lang w:eastAsia="en-US"/>
                    </w:rPr>
                    <w:t>175</w:t>
                  </w:r>
                </w:p>
              </w:tc>
              <w:tc>
                <w:tcPr>
                  <w:tcW w:w="964" w:type="dxa"/>
                  <w:vAlign w:val="center"/>
                </w:tcPr>
                <w:p>
                  <w:pPr>
                    <w:widowControl/>
                    <w:autoSpaceDE w:val="0"/>
                    <w:autoSpaceDN w:val="0"/>
                    <w:jc w:val="center"/>
                    <w:rPr>
                      <w:rFonts w:hint="eastAsia" w:ascii="宋体" w:hAnsi="宋体" w:cs="宋体"/>
                      <w:sz w:val="18"/>
                      <w:szCs w:val="18"/>
                      <w:highlight w:val="none"/>
                      <w:lang w:eastAsia="en-US"/>
                    </w:rPr>
                  </w:pPr>
                  <w:r>
                    <w:rPr>
                      <w:rFonts w:hint="eastAsia" w:ascii="宋体" w:hAnsi="宋体" w:cs="宋体"/>
                      <w:sz w:val="18"/>
                      <w:szCs w:val="18"/>
                      <w:highlight w:val="none"/>
                      <w:lang w:val="en-US" w:eastAsia="zh-CN"/>
                    </w:rPr>
                    <w:t>0.3mg/m</w:t>
                  </w:r>
                  <w:r>
                    <w:rPr>
                      <w:rFonts w:hint="eastAsia" w:ascii="宋体" w:hAnsi="宋体" w:cs="宋体"/>
                      <w:sz w:val="18"/>
                      <w:szCs w:val="18"/>
                      <w:highlight w:val="none"/>
                      <w:vertAlign w:val="superscript"/>
                      <w:lang w:val="en-US" w:eastAsia="zh-CN"/>
                    </w:rPr>
                    <w:t>3</w:t>
                  </w:r>
                </w:p>
              </w:tc>
              <w:tc>
                <w:tcPr>
                  <w:tcW w:w="884" w:type="dxa"/>
                  <w:vAlign w:val="center"/>
                </w:tcPr>
                <w:p>
                  <w:pPr>
                    <w:widowControl/>
                    <w:autoSpaceDE w:val="0"/>
                    <w:autoSpaceDN w:val="0"/>
                    <w:jc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58.33%</w:t>
                  </w:r>
                </w:p>
              </w:tc>
              <w:tc>
                <w:tcPr>
                  <w:tcW w:w="1000" w:type="dxa"/>
                  <w:vAlign w:val="center"/>
                </w:tcPr>
                <w:p>
                  <w:pPr>
                    <w:widowControl/>
                    <w:autoSpaceDE w:val="0"/>
                    <w:autoSpaceDN w:val="0"/>
                    <w:jc w:val="center"/>
                    <w:rPr>
                      <w:rFonts w:hint="eastAsia" w:ascii="宋体" w:hAnsi="宋体" w:cs="宋体"/>
                      <w:sz w:val="18"/>
                      <w:szCs w:val="18"/>
                      <w:highlight w:val="none"/>
                      <w:lang w:eastAsia="en-US"/>
                    </w:rPr>
                  </w:pPr>
                  <w:r>
                    <w:rPr>
                      <w:rFonts w:hint="eastAsia" w:ascii="宋体" w:hAnsi="宋体" w:cs="宋体"/>
                      <w:sz w:val="18"/>
                      <w:szCs w:val="18"/>
                      <w:highlight w:val="none"/>
                      <w:lang w:eastAsia="zh-CN"/>
                    </w:rPr>
                    <w:t>达标</w:t>
                  </w:r>
                </w:p>
              </w:tc>
            </w:tr>
          </w:tbl>
          <w:p>
            <w:pPr>
              <w:spacing w:line="360" w:lineRule="auto"/>
              <w:ind w:firstLine="420" w:firstLineChars="200"/>
              <w:rPr>
                <w:rFonts w:ascii="宋体" w:hAnsi="宋体" w:cs="宋体"/>
              </w:rPr>
            </w:pPr>
          </w:p>
          <w:p>
            <w:pPr>
              <w:spacing w:line="360" w:lineRule="auto"/>
              <w:ind w:firstLine="422" w:firstLineChars="200"/>
              <w:rPr>
                <w:rFonts w:ascii="宋体" w:hAnsi="宋体" w:cs="宋体"/>
                <w:b/>
                <w:bCs/>
              </w:rPr>
            </w:pPr>
            <w:r>
              <w:rPr>
                <w:rFonts w:hint="eastAsia" w:ascii="宋体" w:hAnsi="宋体" w:cs="宋体"/>
                <w:b/>
                <w:bCs/>
              </w:rPr>
              <w:t>2、声环境质量现状</w:t>
            </w:r>
          </w:p>
          <w:p>
            <w:pPr>
              <w:spacing w:line="360" w:lineRule="auto"/>
              <w:ind w:firstLine="420" w:firstLineChars="200"/>
              <w:rPr>
                <w:rFonts w:ascii="宋体" w:hAnsi="宋体" w:cs="宋体"/>
              </w:rPr>
            </w:pPr>
            <w:r>
              <w:rPr>
                <w:rFonts w:hint="eastAsia" w:ascii="宋体" w:hAnsi="宋体" w:cs="宋体"/>
              </w:rPr>
              <w:t>承德市围场满族蒙古族自治县新地镇大西沟村，主要噪声来源为工业生产噪声及交通噪声选址50m范围内无噪声敏感目标，区域声环境质量一般。</w:t>
            </w:r>
          </w:p>
          <w:p>
            <w:pPr>
              <w:spacing w:line="360" w:lineRule="auto"/>
              <w:ind w:firstLine="422" w:firstLineChars="200"/>
              <w:rPr>
                <w:rFonts w:ascii="宋体" w:hAnsi="宋体" w:cs="宋体"/>
                <w:b/>
                <w:bCs/>
              </w:rPr>
            </w:pPr>
            <w:r>
              <w:rPr>
                <w:rFonts w:hint="eastAsia" w:ascii="宋体" w:hAnsi="宋体" w:cs="宋体"/>
                <w:b/>
                <w:bCs/>
              </w:rPr>
              <w:t>3、地表水环境质量现状</w:t>
            </w:r>
          </w:p>
          <w:p>
            <w:pPr>
              <w:spacing w:line="360" w:lineRule="auto"/>
              <w:ind w:firstLine="420" w:firstLineChars="200"/>
              <w:rPr>
                <w:rFonts w:ascii="宋体" w:hAnsi="宋体" w:cs="宋体"/>
              </w:rPr>
            </w:pPr>
            <w:bookmarkStart w:id="16" w:name="_Toc497507374"/>
            <w:r>
              <w:rPr>
                <w:rFonts w:hint="eastAsia" w:ascii="宋体" w:hAnsi="宋体" w:cs="宋体"/>
              </w:rPr>
              <w:t>项目南侧为伊逊河流域。伊逊河发源于围场县哈里哈乡，流经围场县、隆化县、滦平县，至双滦区滦河镇汇入滦河，全厂195公里，伊逊河共布设地表水常规监测断面2个，2021年伊逊河流域水质状况为优，与2020年比较，伊逊河地表水环境质量有所下降，其中，唐三营、李台断面水质状况为III类水质。</w:t>
            </w:r>
          </w:p>
          <w:p>
            <w:pPr>
              <w:spacing w:line="360" w:lineRule="auto"/>
              <w:ind w:firstLine="422" w:firstLineChars="200"/>
              <w:rPr>
                <w:rFonts w:ascii="宋体" w:hAnsi="宋体" w:cs="宋体"/>
                <w:b/>
                <w:bCs/>
              </w:rPr>
            </w:pPr>
            <w:r>
              <w:rPr>
                <w:rFonts w:hint="eastAsia" w:ascii="宋体" w:hAnsi="宋体" w:cs="宋体"/>
                <w:b/>
                <w:bCs/>
              </w:rPr>
              <w:t>4、生态环境</w:t>
            </w:r>
            <w:bookmarkEnd w:id="16"/>
          </w:p>
          <w:p>
            <w:pPr>
              <w:spacing w:line="360" w:lineRule="auto"/>
              <w:ind w:firstLine="420" w:firstLineChars="200"/>
            </w:pPr>
            <w:r>
              <w:rPr>
                <w:rFonts w:hint="eastAsia" w:ascii="宋体" w:hAnsi="宋体" w:cs="宋体"/>
              </w:rPr>
              <w:t>项目区域主要为乡镇环境，区域周围为居民、工业厂区、河流区域植被覆盖率较好，生态环境质量较好。</w:t>
            </w:r>
          </w:p>
          <w:p>
            <w:pPr>
              <w:spacing w:line="360" w:lineRule="auto"/>
              <w:ind w:firstLine="422" w:firstLineChars="200"/>
              <w:rPr>
                <w:b/>
                <w:bCs/>
              </w:rPr>
            </w:pPr>
            <w:r>
              <w:rPr>
                <w:rFonts w:hint="eastAsia"/>
                <w:b/>
                <w:bCs/>
              </w:rPr>
              <w:t>5、地下水、土壤环境</w:t>
            </w:r>
          </w:p>
          <w:p>
            <w:pPr>
              <w:adjustRightInd w:val="0"/>
              <w:spacing w:line="360" w:lineRule="auto"/>
              <w:ind w:firstLine="420" w:firstLineChars="200"/>
              <w:rPr>
                <w:rFonts w:ascii="宋体" w:hAnsi="宋体" w:cs="宋体"/>
              </w:rPr>
            </w:pPr>
            <w:r>
              <w:rPr>
                <w:rFonts w:hint="eastAsia"/>
                <w:szCs w:val="21"/>
              </w:rPr>
              <w:t>本</w:t>
            </w:r>
            <w:r>
              <w:rPr>
                <w:rFonts w:hint="eastAsia" w:ascii="宋体" w:hAnsi="宋体" w:cs="宋体"/>
                <w:szCs w:val="21"/>
              </w:rPr>
              <w:t>项目建设地点位于围场县新地镇大西沟村，项目生产车间、粉碎车间、化粪池、危废间、仓库等均做相应防渗措施，危废间按照《危险废物贮存污染控制标准》(GB 18597-2023)要求建设，地面进行基础防渗，防渗层为至少1m厚黏土层(渗透系数不大于10</w:t>
            </w:r>
            <w:r>
              <w:rPr>
                <w:rFonts w:hint="eastAsia" w:ascii="宋体" w:hAnsi="宋体" w:cs="宋体"/>
                <w:szCs w:val="21"/>
                <w:vertAlign w:val="superscript"/>
              </w:rPr>
              <w:t>-7</w:t>
            </w:r>
            <w:r>
              <w:rPr>
                <w:rFonts w:hint="eastAsia" w:ascii="宋体" w:hAnsi="宋体" w:cs="宋体"/>
                <w:szCs w:val="21"/>
              </w:rPr>
              <w:t>cm/s)，或至少2mm厚高密度聚乙烯膜等人工防渗材料(渗透系数不大于10</w:t>
            </w:r>
            <w:r>
              <w:rPr>
                <w:rFonts w:hint="eastAsia" w:ascii="宋体" w:hAnsi="宋体" w:cs="宋体"/>
                <w:szCs w:val="21"/>
                <w:vertAlign w:val="superscript"/>
              </w:rPr>
              <w:t>-10</w:t>
            </w:r>
            <w:r>
              <w:rPr>
                <w:rFonts w:hint="eastAsia" w:ascii="宋体" w:hAnsi="宋体" w:cs="宋体"/>
                <w:szCs w:val="21"/>
              </w:rPr>
              <w:t>cm/s)，化粪池为重点防渗处理，采取等效黏土防渗层Mb≥6m，防渗系数K≤1×10</w:t>
            </w:r>
            <w:r>
              <w:rPr>
                <w:rFonts w:hint="eastAsia" w:ascii="宋体" w:hAnsi="宋体" w:cs="宋体"/>
                <w:szCs w:val="21"/>
                <w:vertAlign w:val="superscript"/>
              </w:rPr>
              <w:t>-7</w:t>
            </w:r>
            <w:r>
              <w:rPr>
                <w:rFonts w:hint="eastAsia" w:ascii="宋体" w:hAnsi="宋体" w:cs="宋体"/>
                <w:szCs w:val="21"/>
              </w:rPr>
              <w:t>cm/s，粉碎车间、生产车间、仓库为一般防渗区，一般防渗区采取等效黏土层Mb≥1.5m、K≤1.0×10</w:t>
            </w:r>
            <w:r>
              <w:rPr>
                <w:rFonts w:hint="eastAsia" w:ascii="宋体" w:hAnsi="宋体" w:cs="宋体"/>
                <w:szCs w:val="21"/>
                <w:vertAlign w:val="superscript"/>
              </w:rPr>
              <w:t>-7</w:t>
            </w:r>
            <w:r>
              <w:rPr>
                <w:rFonts w:hint="eastAsia" w:ascii="宋体" w:hAnsi="宋体" w:cs="宋体"/>
                <w:szCs w:val="21"/>
              </w:rPr>
              <w:t>cm/s或参照GB16889执行；办公室厂区道路为简单防渗区，一般地面硬化。</w:t>
            </w:r>
          </w:p>
          <w:p>
            <w:pPr>
              <w:spacing w:line="360" w:lineRule="auto"/>
              <w:ind w:firstLine="420" w:firstLineChars="200"/>
              <w:rPr>
                <w:rFonts w:ascii="宋体" w:hAnsi="宋体" w:cs="宋体"/>
                <w:szCs w:val="21"/>
              </w:rPr>
            </w:pPr>
            <w:r>
              <w:rPr>
                <w:rFonts w:hint="eastAsia" w:ascii="宋体" w:hAnsi="宋体" w:cs="宋体"/>
              </w:rPr>
              <w:t>本项目</w:t>
            </w:r>
            <w:r>
              <w:rPr>
                <w:rFonts w:hint="eastAsia" w:ascii="宋体" w:hAnsi="宋体" w:cs="宋体"/>
                <w:szCs w:val="21"/>
              </w:rPr>
              <w:t>厂界外500米范围内无地下水集中式饮用水水源和热水、矿泉水、温泉等特殊地下水资源，</w:t>
            </w:r>
            <w:r>
              <w:rPr>
                <w:rFonts w:hint="eastAsia" w:ascii="宋体" w:hAnsi="宋体" w:cs="宋体"/>
                <w:szCs w:val="21"/>
                <w:lang w:bidi="ar"/>
              </w:rPr>
              <w:t>对土壤及地下水环境不存在污染途径，故不需监测土壤及地下水环境</w:t>
            </w:r>
            <w:r>
              <w:rPr>
                <w:rFonts w:hint="eastAsia" w:ascii="宋体" w:hAnsi="宋体" w:cs="宋体"/>
                <w:szCs w:val="21"/>
              </w:rPr>
              <w:t>。</w:t>
            </w: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pStyle w:val="2"/>
            </w:pPr>
          </w:p>
          <w:p>
            <w:pPr>
              <w:spacing w:line="360" w:lineRule="auto"/>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19" w:hRule="atLeast"/>
          <w:jc w:val="center"/>
        </w:trPr>
        <w:tc>
          <w:tcPr>
            <w:tcW w:w="219" w:type="pct"/>
            <w:noWrap/>
            <w:vAlign w:val="center"/>
          </w:tcPr>
          <w:p>
            <w:pPr>
              <w:adjustRightInd w:val="0"/>
              <w:snapToGrid w:val="0"/>
              <w:rPr>
                <w:rFonts w:ascii="宋体" w:hAnsi="宋体" w:cs="宋体"/>
                <w:kern w:val="0"/>
                <w:szCs w:val="21"/>
              </w:rPr>
            </w:pPr>
            <w:r>
              <w:rPr>
                <w:rFonts w:hint="eastAsia" w:ascii="宋体" w:hAnsi="宋体" w:cs="宋体"/>
                <w:kern w:val="0"/>
                <w:szCs w:val="21"/>
              </w:rPr>
              <w:t>环境</w:t>
            </w:r>
          </w:p>
          <w:p>
            <w:pPr>
              <w:adjustRightInd w:val="0"/>
              <w:snapToGrid w:val="0"/>
              <w:rPr>
                <w:rFonts w:ascii="宋体" w:hAnsi="宋体" w:cs="宋体"/>
                <w:kern w:val="0"/>
                <w:szCs w:val="21"/>
              </w:rPr>
            </w:pPr>
            <w:r>
              <w:rPr>
                <w:rFonts w:hint="eastAsia" w:ascii="宋体" w:hAnsi="宋体" w:cs="宋体"/>
                <w:kern w:val="0"/>
                <w:szCs w:val="21"/>
              </w:rPr>
              <w:t>保护</w:t>
            </w:r>
          </w:p>
          <w:p>
            <w:pPr>
              <w:adjustRightInd w:val="0"/>
              <w:snapToGrid w:val="0"/>
              <w:rPr>
                <w:rFonts w:ascii="宋体" w:hAnsi="宋体" w:cs="宋体"/>
                <w:kern w:val="0"/>
                <w:szCs w:val="21"/>
              </w:rPr>
            </w:pPr>
            <w:r>
              <w:rPr>
                <w:rFonts w:hint="eastAsia" w:ascii="宋体" w:hAnsi="宋体" w:cs="宋体"/>
                <w:kern w:val="0"/>
                <w:szCs w:val="21"/>
              </w:rPr>
              <w:t>目标</w:t>
            </w:r>
          </w:p>
        </w:tc>
        <w:tc>
          <w:tcPr>
            <w:tcW w:w="4780" w:type="pct"/>
            <w:noWrap/>
            <w:vAlign w:val="center"/>
          </w:tcPr>
          <w:p>
            <w:pPr>
              <w:pStyle w:val="41"/>
              <w:spacing w:line="360" w:lineRule="auto"/>
              <w:ind w:firstLine="420" w:firstLineChars="200"/>
              <w:jc w:val="both"/>
              <w:rPr>
                <w:rFonts w:ascii="宋体" w:hAnsi="宋体" w:cs="宋体"/>
                <w:color w:val="auto"/>
                <w:sz w:val="21"/>
                <w:szCs w:val="21"/>
              </w:rPr>
            </w:pPr>
            <w:r>
              <w:rPr>
                <w:rFonts w:ascii="宋体" w:hAnsi="宋体" w:cs="宋体"/>
                <w:sz w:val="21"/>
                <w:szCs w:val="21"/>
              </w:rPr>
              <w:t>根据现状调查，</w:t>
            </w:r>
            <w:r>
              <w:rPr>
                <w:rFonts w:hint="eastAsia" w:ascii="宋体" w:hAnsi="宋体" w:cs="宋体"/>
                <w:color w:val="auto"/>
                <w:kern w:val="2"/>
                <w:sz w:val="21"/>
              </w:rPr>
              <w:t>将本项目边界外500m范围内的居住区敏感目标作为环境空气保护目标，最近保护目标为项目西侧510米处大西沟村，厂房外50m范围内无声环境保护目标；项目厂房边界500m范围内无地下水集中式饮用水水源和热水、矿泉水、温泉等特殊地下水资源等，不再设置地下水环境保护目标。</w:t>
            </w:r>
            <w:r>
              <w:rPr>
                <w:rFonts w:ascii="宋体" w:hAnsi="宋体" w:cs="宋体"/>
                <w:sz w:val="21"/>
                <w:szCs w:val="21"/>
              </w:rPr>
              <w:t>该项目区周边附近无国家、省、市重点保护文物、自然保护区、濒危珍稀动植物和风景旅游区等重点保护目标。根据项目性质及周围环境特征，本项目主要环境保护目标及其保护级别见表</w:t>
            </w:r>
            <w:r>
              <w:rPr>
                <w:rFonts w:hint="eastAsia" w:ascii="宋体" w:hAnsi="宋体" w:cs="宋体"/>
                <w:sz w:val="21"/>
                <w:szCs w:val="21"/>
              </w:rPr>
              <w:t>3-3</w:t>
            </w:r>
            <w:r>
              <w:rPr>
                <w:rFonts w:ascii="宋体" w:hAnsi="宋体" w:cs="宋体"/>
                <w:sz w:val="21"/>
                <w:szCs w:val="21"/>
              </w:rPr>
              <w:t>。</w:t>
            </w:r>
          </w:p>
          <w:tbl>
            <w:tblPr>
              <w:tblStyle w:val="24"/>
              <w:tblpPr w:leftFromText="180" w:rightFromText="180" w:vertAnchor="text" w:horzAnchor="page" w:tblpX="63" w:tblpY="456"/>
              <w:tblOverlap w:val="never"/>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074"/>
              <w:gridCol w:w="1521"/>
              <w:gridCol w:w="1437"/>
              <w:gridCol w:w="1171"/>
              <w:gridCol w:w="32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637" w:type="pct"/>
                  <w:noWrap/>
                  <w:vAlign w:val="center"/>
                </w:tcPr>
                <w:p>
                  <w:pPr>
                    <w:pStyle w:val="53"/>
                    <w:spacing w:line="240" w:lineRule="auto"/>
                    <w:rPr>
                      <w:rFonts w:cs="宋体"/>
                      <w:b/>
                      <w:snapToGrid w:val="0"/>
                      <w:sz w:val="18"/>
                      <w:szCs w:val="18"/>
                    </w:rPr>
                  </w:pPr>
                  <w:r>
                    <w:rPr>
                      <w:rFonts w:hint="eastAsia" w:cs="宋体"/>
                      <w:b/>
                      <w:snapToGrid w:val="0"/>
                      <w:sz w:val="18"/>
                      <w:szCs w:val="18"/>
                    </w:rPr>
                    <w:t>环境要素</w:t>
                  </w:r>
                </w:p>
              </w:tc>
              <w:tc>
                <w:tcPr>
                  <w:tcW w:w="902" w:type="pct"/>
                  <w:noWrap/>
                  <w:vAlign w:val="center"/>
                </w:tcPr>
                <w:p>
                  <w:pPr>
                    <w:pStyle w:val="53"/>
                    <w:spacing w:line="240" w:lineRule="auto"/>
                    <w:rPr>
                      <w:rFonts w:cs="宋体"/>
                      <w:b/>
                      <w:snapToGrid w:val="0"/>
                      <w:sz w:val="18"/>
                      <w:szCs w:val="18"/>
                    </w:rPr>
                  </w:pPr>
                  <w:r>
                    <w:rPr>
                      <w:rFonts w:hint="eastAsia" w:cs="宋体"/>
                      <w:b/>
                      <w:snapToGrid w:val="0"/>
                      <w:sz w:val="18"/>
                      <w:szCs w:val="18"/>
                    </w:rPr>
                    <w:t>保护目标</w:t>
                  </w:r>
                </w:p>
              </w:tc>
              <w:tc>
                <w:tcPr>
                  <w:tcW w:w="853" w:type="pct"/>
                  <w:noWrap/>
                  <w:vAlign w:val="center"/>
                </w:tcPr>
                <w:p>
                  <w:pPr>
                    <w:pStyle w:val="53"/>
                    <w:spacing w:line="240" w:lineRule="auto"/>
                    <w:rPr>
                      <w:rFonts w:cs="宋体"/>
                      <w:b/>
                      <w:snapToGrid w:val="0"/>
                      <w:sz w:val="18"/>
                      <w:szCs w:val="18"/>
                    </w:rPr>
                  </w:pPr>
                  <w:r>
                    <w:rPr>
                      <w:rFonts w:hint="eastAsia" w:cs="宋体"/>
                      <w:b/>
                      <w:snapToGrid w:val="0"/>
                      <w:sz w:val="18"/>
                      <w:szCs w:val="18"/>
                    </w:rPr>
                    <w:t>与项目最近</w:t>
                  </w:r>
                </w:p>
                <w:p>
                  <w:pPr>
                    <w:pStyle w:val="53"/>
                    <w:spacing w:line="240" w:lineRule="auto"/>
                    <w:rPr>
                      <w:rFonts w:cs="宋体"/>
                      <w:b/>
                      <w:snapToGrid w:val="0"/>
                      <w:sz w:val="18"/>
                      <w:szCs w:val="18"/>
                    </w:rPr>
                  </w:pPr>
                  <w:r>
                    <w:rPr>
                      <w:rFonts w:hint="eastAsia" w:cs="宋体"/>
                      <w:b/>
                      <w:snapToGrid w:val="0"/>
                      <w:sz w:val="18"/>
                      <w:szCs w:val="18"/>
                    </w:rPr>
                    <w:t>距离(m)</w:t>
                  </w:r>
                </w:p>
              </w:tc>
              <w:tc>
                <w:tcPr>
                  <w:tcW w:w="694" w:type="pct"/>
                  <w:noWrap/>
                  <w:vAlign w:val="center"/>
                </w:tcPr>
                <w:p>
                  <w:pPr>
                    <w:pStyle w:val="53"/>
                    <w:spacing w:line="240" w:lineRule="auto"/>
                    <w:rPr>
                      <w:rFonts w:cs="宋体"/>
                      <w:b/>
                      <w:snapToGrid w:val="0"/>
                      <w:sz w:val="18"/>
                      <w:szCs w:val="18"/>
                    </w:rPr>
                  </w:pPr>
                  <w:r>
                    <w:rPr>
                      <w:rFonts w:hint="eastAsia" w:cs="宋体"/>
                      <w:b/>
                      <w:snapToGrid w:val="0"/>
                      <w:sz w:val="18"/>
                      <w:szCs w:val="18"/>
                    </w:rPr>
                    <w:t>方位</w:t>
                  </w:r>
                </w:p>
              </w:tc>
              <w:tc>
                <w:tcPr>
                  <w:tcW w:w="1912" w:type="pct"/>
                  <w:noWrap/>
                  <w:vAlign w:val="center"/>
                </w:tcPr>
                <w:p>
                  <w:pPr>
                    <w:pStyle w:val="53"/>
                    <w:spacing w:line="240" w:lineRule="auto"/>
                    <w:rPr>
                      <w:rFonts w:cs="宋体"/>
                      <w:b/>
                      <w:snapToGrid w:val="0"/>
                      <w:sz w:val="18"/>
                      <w:szCs w:val="18"/>
                    </w:rPr>
                  </w:pPr>
                  <w:r>
                    <w:rPr>
                      <w:rFonts w:hint="eastAsia" w:cs="宋体"/>
                      <w:b/>
                      <w:snapToGrid w:val="0"/>
                      <w:sz w:val="18"/>
                      <w:szCs w:val="18"/>
                    </w:rPr>
                    <w:t>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637" w:type="pct"/>
                  <w:noWrap/>
                  <w:vAlign w:val="center"/>
                </w:tcPr>
                <w:p>
                  <w:pPr>
                    <w:pStyle w:val="53"/>
                    <w:spacing w:line="240" w:lineRule="auto"/>
                    <w:rPr>
                      <w:rFonts w:cs="宋体"/>
                      <w:bCs/>
                      <w:snapToGrid w:val="0"/>
                      <w:sz w:val="18"/>
                      <w:szCs w:val="18"/>
                    </w:rPr>
                  </w:pPr>
                  <w:r>
                    <w:rPr>
                      <w:rFonts w:hint="eastAsia" w:cs="宋体"/>
                      <w:bCs/>
                      <w:snapToGrid w:val="0"/>
                      <w:sz w:val="18"/>
                      <w:szCs w:val="18"/>
                    </w:rPr>
                    <w:t>大气环境</w:t>
                  </w:r>
                </w:p>
              </w:tc>
              <w:tc>
                <w:tcPr>
                  <w:tcW w:w="902" w:type="pct"/>
                  <w:noWrap/>
                  <w:vAlign w:val="center"/>
                </w:tcPr>
                <w:p>
                  <w:pPr>
                    <w:pStyle w:val="53"/>
                    <w:spacing w:line="240" w:lineRule="auto"/>
                    <w:rPr>
                      <w:rFonts w:cs="宋体"/>
                      <w:bCs/>
                      <w:snapToGrid w:val="0"/>
                      <w:sz w:val="18"/>
                      <w:szCs w:val="18"/>
                    </w:rPr>
                  </w:pPr>
                  <w:r>
                    <w:rPr>
                      <w:rFonts w:hint="eastAsia" w:cs="宋体"/>
                      <w:bCs/>
                      <w:snapToGrid w:val="0"/>
                      <w:sz w:val="18"/>
                      <w:szCs w:val="18"/>
                    </w:rPr>
                    <w:t>大西沟村</w:t>
                  </w:r>
                </w:p>
              </w:tc>
              <w:tc>
                <w:tcPr>
                  <w:tcW w:w="853" w:type="pct"/>
                  <w:noWrap/>
                  <w:vAlign w:val="center"/>
                </w:tcPr>
                <w:p>
                  <w:pPr>
                    <w:pStyle w:val="53"/>
                    <w:spacing w:line="240" w:lineRule="auto"/>
                    <w:rPr>
                      <w:rFonts w:cs="宋体"/>
                      <w:bCs/>
                      <w:snapToGrid w:val="0"/>
                      <w:sz w:val="18"/>
                      <w:szCs w:val="18"/>
                    </w:rPr>
                  </w:pPr>
                  <w:r>
                    <w:rPr>
                      <w:rFonts w:hint="eastAsia" w:cs="宋体"/>
                      <w:bCs/>
                      <w:snapToGrid w:val="0"/>
                      <w:sz w:val="18"/>
                      <w:szCs w:val="18"/>
                    </w:rPr>
                    <w:t>510</w:t>
                  </w:r>
                </w:p>
              </w:tc>
              <w:tc>
                <w:tcPr>
                  <w:tcW w:w="694" w:type="pct"/>
                  <w:noWrap/>
                  <w:vAlign w:val="center"/>
                </w:tcPr>
                <w:p>
                  <w:pPr>
                    <w:pStyle w:val="53"/>
                    <w:spacing w:line="240" w:lineRule="auto"/>
                    <w:rPr>
                      <w:rFonts w:cs="宋体"/>
                      <w:bCs/>
                      <w:snapToGrid w:val="0"/>
                      <w:sz w:val="18"/>
                      <w:szCs w:val="18"/>
                    </w:rPr>
                  </w:pPr>
                  <w:r>
                    <w:rPr>
                      <w:rFonts w:hint="eastAsia" w:cs="宋体"/>
                      <w:bCs/>
                      <w:snapToGrid w:val="0"/>
                      <w:sz w:val="18"/>
                      <w:szCs w:val="18"/>
                    </w:rPr>
                    <w:t>西</w:t>
                  </w:r>
                </w:p>
              </w:tc>
              <w:tc>
                <w:tcPr>
                  <w:tcW w:w="1912" w:type="pct"/>
                  <w:noWrap/>
                  <w:vAlign w:val="center"/>
                </w:tcPr>
                <w:p>
                  <w:pPr>
                    <w:pStyle w:val="53"/>
                    <w:spacing w:line="240" w:lineRule="auto"/>
                    <w:rPr>
                      <w:rFonts w:cs="宋体"/>
                      <w:bCs/>
                      <w:snapToGrid w:val="0"/>
                      <w:color w:val="000000" w:themeColor="text1"/>
                      <w:sz w:val="18"/>
                      <w:szCs w:val="18"/>
                      <w14:textFill>
                        <w14:solidFill>
                          <w14:schemeClr w14:val="tx1"/>
                        </w14:solidFill>
                      </w14:textFill>
                    </w:rPr>
                  </w:pPr>
                  <w:r>
                    <w:rPr>
                      <w:rFonts w:hint="eastAsia" w:cs="宋体"/>
                      <w:bCs/>
                      <w:snapToGrid w:val="0"/>
                      <w:color w:val="000000" w:themeColor="text1"/>
                      <w:sz w:val="18"/>
                      <w:szCs w:val="18"/>
                      <w14:textFill>
                        <w14:solidFill>
                          <w14:schemeClr w14:val="tx1"/>
                        </w14:solidFill>
                      </w14:textFill>
                    </w:rPr>
                    <w:t>《环境空气质量标准》（GB3095-2012）二级标准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637" w:type="pct"/>
                  <w:noWrap/>
                  <w:vAlign w:val="center"/>
                </w:tcPr>
                <w:p>
                  <w:pPr>
                    <w:pStyle w:val="53"/>
                    <w:spacing w:line="240" w:lineRule="auto"/>
                    <w:rPr>
                      <w:rFonts w:cs="宋体"/>
                      <w:bCs/>
                      <w:snapToGrid w:val="0"/>
                      <w:sz w:val="18"/>
                      <w:szCs w:val="18"/>
                    </w:rPr>
                  </w:pPr>
                  <w:r>
                    <w:rPr>
                      <w:rFonts w:hint="eastAsia" w:cs="宋体"/>
                      <w:bCs/>
                      <w:snapToGrid w:val="0"/>
                      <w:sz w:val="18"/>
                      <w:szCs w:val="18"/>
                    </w:rPr>
                    <w:t>地表水</w:t>
                  </w:r>
                </w:p>
              </w:tc>
              <w:tc>
                <w:tcPr>
                  <w:tcW w:w="902" w:type="pct"/>
                  <w:noWrap/>
                  <w:vAlign w:val="center"/>
                </w:tcPr>
                <w:p>
                  <w:pPr>
                    <w:pStyle w:val="53"/>
                    <w:spacing w:line="240" w:lineRule="auto"/>
                    <w:rPr>
                      <w:rFonts w:cs="宋体"/>
                      <w:bCs/>
                      <w:snapToGrid w:val="0"/>
                      <w:sz w:val="18"/>
                      <w:szCs w:val="18"/>
                    </w:rPr>
                  </w:pPr>
                  <w:r>
                    <w:rPr>
                      <w:rFonts w:hint="eastAsia" w:cs="宋体"/>
                      <w:bCs/>
                      <w:snapToGrid w:val="0"/>
                      <w:sz w:val="18"/>
                      <w:szCs w:val="18"/>
                    </w:rPr>
                    <w:t>伊逊河流域</w:t>
                  </w:r>
                </w:p>
              </w:tc>
              <w:tc>
                <w:tcPr>
                  <w:tcW w:w="853" w:type="pct"/>
                  <w:noWrap/>
                  <w:vAlign w:val="center"/>
                </w:tcPr>
                <w:p>
                  <w:pPr>
                    <w:pStyle w:val="53"/>
                    <w:spacing w:line="240" w:lineRule="auto"/>
                    <w:rPr>
                      <w:rFonts w:cs="宋体"/>
                      <w:bCs/>
                      <w:sz w:val="18"/>
                      <w:szCs w:val="18"/>
                    </w:rPr>
                  </w:pPr>
                  <w:r>
                    <w:rPr>
                      <w:rFonts w:hint="eastAsia" w:cs="宋体"/>
                      <w:bCs/>
                      <w:sz w:val="18"/>
                      <w:szCs w:val="18"/>
                    </w:rPr>
                    <w:t>50</w:t>
                  </w:r>
                </w:p>
              </w:tc>
              <w:tc>
                <w:tcPr>
                  <w:tcW w:w="694" w:type="pct"/>
                  <w:noWrap/>
                  <w:vAlign w:val="center"/>
                </w:tcPr>
                <w:p>
                  <w:pPr>
                    <w:pStyle w:val="53"/>
                    <w:spacing w:line="240" w:lineRule="auto"/>
                    <w:rPr>
                      <w:rFonts w:cs="宋体"/>
                      <w:bCs/>
                      <w:sz w:val="18"/>
                      <w:szCs w:val="18"/>
                    </w:rPr>
                  </w:pPr>
                  <w:r>
                    <w:rPr>
                      <w:rFonts w:hint="eastAsia" w:cs="宋体"/>
                      <w:bCs/>
                      <w:sz w:val="18"/>
                      <w:szCs w:val="18"/>
                    </w:rPr>
                    <w:t>南</w:t>
                  </w:r>
                </w:p>
              </w:tc>
              <w:tc>
                <w:tcPr>
                  <w:tcW w:w="1912" w:type="pct"/>
                  <w:noWrap/>
                  <w:vAlign w:val="center"/>
                </w:tcPr>
                <w:p>
                  <w:pPr>
                    <w:jc w:val="center"/>
                    <w:rPr>
                      <w:rFonts w:ascii="宋体" w:hAnsi="宋体" w:cs="宋体"/>
                      <w:bCs/>
                      <w:sz w:val="18"/>
                      <w:szCs w:val="18"/>
                    </w:rPr>
                  </w:pPr>
                  <w:r>
                    <w:rPr>
                      <w:rFonts w:hint="eastAsia" w:ascii="宋体" w:hAnsi="宋体" w:cs="宋体"/>
                      <w:sz w:val="18"/>
                      <w:szCs w:val="18"/>
                    </w:rPr>
                    <w:t>《地表水环境质量标准》（GB3838-2002）II类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637" w:type="pct"/>
                  <w:noWrap/>
                  <w:vAlign w:val="center"/>
                </w:tcPr>
                <w:p>
                  <w:pPr>
                    <w:pStyle w:val="53"/>
                    <w:spacing w:line="240" w:lineRule="auto"/>
                    <w:rPr>
                      <w:rFonts w:cs="宋体"/>
                      <w:bCs/>
                      <w:snapToGrid w:val="0"/>
                      <w:sz w:val="18"/>
                      <w:szCs w:val="18"/>
                    </w:rPr>
                  </w:pPr>
                  <w:r>
                    <w:rPr>
                      <w:rFonts w:hint="eastAsia" w:cs="宋体"/>
                      <w:bCs/>
                      <w:snapToGrid w:val="0"/>
                      <w:sz w:val="18"/>
                      <w:szCs w:val="18"/>
                    </w:rPr>
                    <w:t>地下水</w:t>
                  </w:r>
                </w:p>
              </w:tc>
              <w:tc>
                <w:tcPr>
                  <w:tcW w:w="2450" w:type="pct"/>
                  <w:gridSpan w:val="3"/>
                  <w:noWrap/>
                  <w:vAlign w:val="center"/>
                </w:tcPr>
                <w:p>
                  <w:pPr>
                    <w:pStyle w:val="53"/>
                    <w:spacing w:line="240" w:lineRule="auto"/>
                    <w:rPr>
                      <w:rFonts w:cs="宋体"/>
                      <w:bCs/>
                      <w:snapToGrid w:val="0"/>
                      <w:sz w:val="18"/>
                      <w:szCs w:val="18"/>
                    </w:rPr>
                  </w:pPr>
                  <w:r>
                    <w:rPr>
                      <w:rFonts w:hint="eastAsia"/>
                      <w:sz w:val="18"/>
                      <w:szCs w:val="18"/>
                    </w:rPr>
                    <w:t>厂界外500米范围内无地下水集中式饮用水水源和热水、矿泉水、温泉等特殊地下水资源。</w:t>
                  </w:r>
                </w:p>
              </w:tc>
              <w:tc>
                <w:tcPr>
                  <w:tcW w:w="1912" w:type="pct"/>
                  <w:noWrap/>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《地下水质量标准》</w:t>
                  </w:r>
                </w:p>
                <w:p>
                  <w:pPr>
                    <w:pStyle w:val="53"/>
                    <w:spacing w:line="240" w:lineRule="auto"/>
                    <w:rPr>
                      <w:rFonts w:cs="宋体"/>
                      <w:bCs/>
                      <w:snapToGrid w:val="0"/>
                      <w:color w:val="000000" w:themeColor="text1"/>
                      <w:sz w:val="18"/>
                      <w:szCs w:val="18"/>
                      <w14:textFill>
                        <w14:solidFill>
                          <w14:schemeClr w14:val="tx1"/>
                        </w14:solidFill>
                      </w14:textFill>
                    </w:rPr>
                  </w:pPr>
                  <w:r>
                    <w:rPr>
                      <w:rFonts w:hint="eastAsia" w:cs="宋体"/>
                      <w:bCs/>
                      <w:color w:val="000000" w:themeColor="text1"/>
                      <w:sz w:val="18"/>
                      <w:szCs w:val="18"/>
                      <w14:textFill>
                        <w14:solidFill>
                          <w14:schemeClr w14:val="tx1"/>
                        </w14:solidFill>
                      </w14:textFill>
                    </w:rPr>
                    <w:t>（GB/T14848-2017）Ⅲ类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637" w:type="pct"/>
                  <w:vMerge w:val="restart"/>
                  <w:noWrap/>
                  <w:vAlign w:val="center"/>
                </w:tcPr>
                <w:p>
                  <w:pPr>
                    <w:pStyle w:val="53"/>
                    <w:spacing w:line="240" w:lineRule="auto"/>
                    <w:rPr>
                      <w:rFonts w:cs="宋体"/>
                      <w:bCs/>
                      <w:snapToGrid w:val="0"/>
                      <w:sz w:val="18"/>
                      <w:szCs w:val="18"/>
                    </w:rPr>
                  </w:pPr>
                  <w:r>
                    <w:rPr>
                      <w:rFonts w:hint="eastAsia" w:cs="宋体"/>
                      <w:bCs/>
                      <w:snapToGrid w:val="0"/>
                      <w:sz w:val="18"/>
                      <w:szCs w:val="18"/>
                    </w:rPr>
                    <w:t>声环境</w:t>
                  </w:r>
                </w:p>
              </w:tc>
              <w:tc>
                <w:tcPr>
                  <w:tcW w:w="902" w:type="pct"/>
                  <w:noWrap/>
                  <w:vAlign w:val="center"/>
                </w:tcPr>
                <w:p>
                  <w:pPr>
                    <w:pStyle w:val="53"/>
                    <w:spacing w:line="240" w:lineRule="auto"/>
                    <w:rPr>
                      <w:rFonts w:cs="宋体"/>
                      <w:bCs/>
                      <w:snapToGrid w:val="0"/>
                      <w:sz w:val="18"/>
                      <w:szCs w:val="18"/>
                    </w:rPr>
                  </w:pPr>
                  <w:r>
                    <w:rPr>
                      <w:rFonts w:hint="eastAsia" w:cs="宋体"/>
                      <w:bCs/>
                      <w:snapToGrid w:val="0"/>
                      <w:sz w:val="18"/>
                      <w:szCs w:val="18"/>
                    </w:rPr>
                    <w:t>东、西、北厂界</w:t>
                  </w:r>
                </w:p>
              </w:tc>
              <w:tc>
                <w:tcPr>
                  <w:tcW w:w="853" w:type="pct"/>
                  <w:noWrap/>
                  <w:vAlign w:val="center"/>
                </w:tcPr>
                <w:p>
                  <w:pPr>
                    <w:pStyle w:val="53"/>
                    <w:spacing w:line="240" w:lineRule="auto"/>
                    <w:rPr>
                      <w:rFonts w:cs="宋体"/>
                      <w:bCs/>
                      <w:snapToGrid w:val="0"/>
                      <w:sz w:val="18"/>
                      <w:szCs w:val="18"/>
                    </w:rPr>
                  </w:pPr>
                  <w:r>
                    <w:rPr>
                      <w:rFonts w:hint="eastAsia" w:cs="宋体"/>
                      <w:bCs/>
                      <w:snapToGrid w:val="0"/>
                      <w:sz w:val="18"/>
                      <w:szCs w:val="18"/>
                    </w:rPr>
                    <w:t>--</w:t>
                  </w:r>
                </w:p>
              </w:tc>
              <w:tc>
                <w:tcPr>
                  <w:tcW w:w="694" w:type="pct"/>
                  <w:noWrap/>
                  <w:vAlign w:val="center"/>
                </w:tcPr>
                <w:p>
                  <w:pPr>
                    <w:pStyle w:val="53"/>
                    <w:spacing w:line="240" w:lineRule="auto"/>
                    <w:rPr>
                      <w:rFonts w:cs="宋体"/>
                      <w:bCs/>
                      <w:snapToGrid w:val="0"/>
                      <w:sz w:val="18"/>
                      <w:szCs w:val="18"/>
                    </w:rPr>
                  </w:pPr>
                  <w:r>
                    <w:rPr>
                      <w:rFonts w:hint="eastAsia" w:cs="宋体"/>
                      <w:bCs/>
                      <w:snapToGrid w:val="0"/>
                      <w:sz w:val="18"/>
                      <w:szCs w:val="18"/>
                    </w:rPr>
                    <w:t>--</w:t>
                  </w:r>
                </w:p>
              </w:tc>
              <w:tc>
                <w:tcPr>
                  <w:tcW w:w="1912" w:type="pct"/>
                  <w:noWrap/>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《声环境质量标准》</w:t>
                  </w:r>
                </w:p>
                <w:p>
                  <w:pPr>
                    <w:pStyle w:val="53"/>
                    <w:spacing w:line="240" w:lineRule="auto"/>
                    <w:rPr>
                      <w:rFonts w:cs="宋体"/>
                      <w:bCs/>
                      <w:snapToGrid w:val="0"/>
                      <w:color w:val="000000" w:themeColor="text1"/>
                      <w:sz w:val="18"/>
                      <w:szCs w:val="18"/>
                      <w14:textFill>
                        <w14:solidFill>
                          <w14:schemeClr w14:val="tx1"/>
                        </w14:solidFill>
                      </w14:textFill>
                    </w:rPr>
                  </w:pPr>
                  <w:r>
                    <w:rPr>
                      <w:rFonts w:hint="eastAsia" w:cs="宋体"/>
                      <w:bCs/>
                      <w:color w:val="000000" w:themeColor="text1"/>
                      <w:sz w:val="18"/>
                      <w:szCs w:val="18"/>
                      <w14:textFill>
                        <w14:solidFill>
                          <w14:schemeClr w14:val="tx1"/>
                        </w14:solidFill>
                      </w14:textFill>
                    </w:rPr>
                    <w:t>（GB3096-2008）2类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637" w:type="pct"/>
                  <w:vMerge w:val="continue"/>
                  <w:noWrap/>
                  <w:vAlign w:val="center"/>
                </w:tcPr>
                <w:p>
                  <w:pPr>
                    <w:pStyle w:val="53"/>
                    <w:spacing w:line="240" w:lineRule="auto"/>
                    <w:rPr>
                      <w:rFonts w:cs="宋体"/>
                      <w:bCs/>
                      <w:snapToGrid w:val="0"/>
                      <w:sz w:val="18"/>
                      <w:szCs w:val="18"/>
                    </w:rPr>
                  </w:pPr>
                </w:p>
              </w:tc>
              <w:tc>
                <w:tcPr>
                  <w:tcW w:w="902" w:type="pct"/>
                  <w:noWrap/>
                  <w:vAlign w:val="center"/>
                </w:tcPr>
                <w:p>
                  <w:pPr>
                    <w:pStyle w:val="53"/>
                    <w:spacing w:line="240" w:lineRule="auto"/>
                    <w:rPr>
                      <w:rFonts w:cs="宋体"/>
                      <w:bCs/>
                      <w:snapToGrid w:val="0"/>
                      <w:sz w:val="18"/>
                      <w:szCs w:val="18"/>
                    </w:rPr>
                  </w:pPr>
                  <w:r>
                    <w:rPr>
                      <w:rFonts w:hint="eastAsia" w:cs="宋体"/>
                      <w:bCs/>
                      <w:snapToGrid w:val="0"/>
                      <w:sz w:val="18"/>
                      <w:szCs w:val="18"/>
                    </w:rPr>
                    <w:t>南厂界</w:t>
                  </w:r>
                </w:p>
              </w:tc>
              <w:tc>
                <w:tcPr>
                  <w:tcW w:w="853" w:type="pct"/>
                  <w:noWrap/>
                  <w:vAlign w:val="center"/>
                </w:tcPr>
                <w:p>
                  <w:pPr>
                    <w:pStyle w:val="53"/>
                    <w:spacing w:line="240" w:lineRule="auto"/>
                    <w:rPr>
                      <w:rFonts w:cs="宋体"/>
                      <w:bCs/>
                      <w:snapToGrid w:val="0"/>
                      <w:sz w:val="18"/>
                      <w:szCs w:val="18"/>
                    </w:rPr>
                  </w:pPr>
                  <w:r>
                    <w:rPr>
                      <w:rFonts w:hint="eastAsia" w:cs="宋体"/>
                      <w:bCs/>
                      <w:snapToGrid w:val="0"/>
                      <w:sz w:val="18"/>
                      <w:szCs w:val="18"/>
                    </w:rPr>
                    <w:t>--</w:t>
                  </w:r>
                </w:p>
              </w:tc>
              <w:tc>
                <w:tcPr>
                  <w:tcW w:w="694" w:type="pct"/>
                  <w:noWrap/>
                  <w:vAlign w:val="center"/>
                </w:tcPr>
                <w:p>
                  <w:pPr>
                    <w:pStyle w:val="53"/>
                    <w:spacing w:line="240" w:lineRule="auto"/>
                    <w:rPr>
                      <w:rFonts w:cs="宋体"/>
                      <w:bCs/>
                      <w:snapToGrid w:val="0"/>
                      <w:sz w:val="18"/>
                      <w:szCs w:val="18"/>
                    </w:rPr>
                  </w:pPr>
                  <w:r>
                    <w:rPr>
                      <w:rFonts w:hint="eastAsia" w:cs="宋体"/>
                      <w:bCs/>
                      <w:snapToGrid w:val="0"/>
                      <w:sz w:val="18"/>
                      <w:szCs w:val="18"/>
                    </w:rPr>
                    <w:t>--</w:t>
                  </w:r>
                </w:p>
              </w:tc>
              <w:tc>
                <w:tcPr>
                  <w:tcW w:w="1912" w:type="pct"/>
                  <w:noWrap/>
                  <w:vAlign w:val="center"/>
                </w:tcPr>
                <w:p>
                  <w:pPr>
                    <w:jc w:val="center"/>
                    <w:rPr>
                      <w:rFonts w:ascii="宋体" w:hAnsi="宋体" w:cs="宋体"/>
                      <w:color w:val="auto"/>
                      <w:sz w:val="18"/>
                      <w:szCs w:val="18"/>
                    </w:rPr>
                  </w:pPr>
                  <w:r>
                    <w:rPr>
                      <w:rFonts w:hint="eastAsia" w:ascii="宋体" w:hAnsi="宋体" w:cs="宋体"/>
                      <w:color w:val="auto"/>
                      <w:sz w:val="18"/>
                      <w:szCs w:val="18"/>
                    </w:rPr>
                    <w:t>《声环境质量标准》</w:t>
                  </w:r>
                </w:p>
                <w:p>
                  <w:pPr>
                    <w:pStyle w:val="53"/>
                    <w:spacing w:line="240" w:lineRule="auto"/>
                    <w:rPr>
                      <w:rFonts w:cs="宋体"/>
                      <w:bCs/>
                      <w:color w:val="000000" w:themeColor="text1"/>
                      <w:sz w:val="18"/>
                      <w:szCs w:val="18"/>
                      <w14:textFill>
                        <w14:solidFill>
                          <w14:schemeClr w14:val="tx1"/>
                        </w14:solidFill>
                      </w14:textFill>
                    </w:rPr>
                  </w:pPr>
                  <w:r>
                    <w:rPr>
                      <w:rFonts w:hint="eastAsia" w:cs="宋体"/>
                      <w:bCs/>
                      <w:color w:val="auto"/>
                      <w:sz w:val="18"/>
                      <w:szCs w:val="18"/>
                    </w:rPr>
                    <w:t>（GB3096-2008）4a类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637" w:type="pct"/>
                  <w:noWrap/>
                  <w:vAlign w:val="center"/>
                </w:tcPr>
                <w:p>
                  <w:pPr>
                    <w:pStyle w:val="53"/>
                    <w:spacing w:line="240" w:lineRule="auto"/>
                    <w:rPr>
                      <w:rFonts w:cs="宋体"/>
                      <w:bCs/>
                      <w:snapToGrid w:val="0"/>
                      <w:sz w:val="18"/>
                      <w:szCs w:val="18"/>
                    </w:rPr>
                  </w:pPr>
                  <w:r>
                    <w:rPr>
                      <w:rFonts w:hint="eastAsia" w:cs="宋体"/>
                      <w:bCs/>
                      <w:snapToGrid w:val="0"/>
                      <w:sz w:val="18"/>
                      <w:szCs w:val="18"/>
                    </w:rPr>
                    <w:t>生态环境</w:t>
                  </w:r>
                </w:p>
              </w:tc>
              <w:tc>
                <w:tcPr>
                  <w:tcW w:w="902" w:type="pct"/>
                  <w:noWrap/>
                  <w:vAlign w:val="center"/>
                </w:tcPr>
                <w:p>
                  <w:pPr>
                    <w:pStyle w:val="53"/>
                    <w:spacing w:line="240" w:lineRule="auto"/>
                    <w:rPr>
                      <w:rFonts w:cs="宋体"/>
                      <w:bCs/>
                      <w:snapToGrid w:val="0"/>
                      <w:sz w:val="18"/>
                      <w:szCs w:val="18"/>
                    </w:rPr>
                  </w:pPr>
                  <w:r>
                    <w:rPr>
                      <w:rFonts w:hint="eastAsia" w:cs="宋体"/>
                      <w:bCs/>
                      <w:snapToGrid w:val="0"/>
                      <w:sz w:val="18"/>
                      <w:szCs w:val="18"/>
                    </w:rPr>
                    <w:t>生态红线</w:t>
                  </w:r>
                </w:p>
              </w:tc>
              <w:tc>
                <w:tcPr>
                  <w:tcW w:w="853" w:type="pct"/>
                  <w:noWrap/>
                  <w:vAlign w:val="center"/>
                </w:tcPr>
                <w:p>
                  <w:pPr>
                    <w:pStyle w:val="53"/>
                    <w:spacing w:line="240" w:lineRule="auto"/>
                    <w:rPr>
                      <w:rFonts w:cs="宋体"/>
                      <w:bCs/>
                      <w:snapToGrid w:val="0"/>
                      <w:sz w:val="18"/>
                      <w:szCs w:val="18"/>
                    </w:rPr>
                  </w:pPr>
                  <w:r>
                    <w:rPr>
                      <w:rFonts w:hint="eastAsia" w:cs="宋体"/>
                      <w:bCs/>
                      <w:snapToGrid w:val="0"/>
                      <w:sz w:val="18"/>
                      <w:szCs w:val="18"/>
                    </w:rPr>
                    <w:t>75</w:t>
                  </w:r>
                </w:p>
              </w:tc>
              <w:tc>
                <w:tcPr>
                  <w:tcW w:w="694" w:type="pct"/>
                  <w:noWrap/>
                  <w:vAlign w:val="center"/>
                </w:tcPr>
                <w:p>
                  <w:pPr>
                    <w:pStyle w:val="53"/>
                    <w:spacing w:line="240" w:lineRule="auto"/>
                    <w:rPr>
                      <w:rFonts w:cs="宋体"/>
                      <w:bCs/>
                      <w:snapToGrid w:val="0"/>
                      <w:sz w:val="18"/>
                      <w:szCs w:val="18"/>
                    </w:rPr>
                  </w:pPr>
                  <w:r>
                    <w:rPr>
                      <w:rFonts w:hint="eastAsia" w:cs="宋体"/>
                      <w:bCs/>
                      <w:snapToGrid w:val="0"/>
                      <w:sz w:val="18"/>
                      <w:szCs w:val="18"/>
                    </w:rPr>
                    <w:t>南</w:t>
                  </w:r>
                </w:p>
              </w:tc>
              <w:tc>
                <w:tcPr>
                  <w:tcW w:w="1912" w:type="pct"/>
                  <w:noWrap/>
                  <w:vAlign w:val="center"/>
                </w:tcPr>
                <w:p>
                  <w:pPr>
                    <w:pStyle w:val="53"/>
                    <w:spacing w:line="240" w:lineRule="auto"/>
                    <w:rPr>
                      <w:rFonts w:cs="宋体"/>
                      <w:bCs/>
                      <w:sz w:val="18"/>
                      <w:szCs w:val="18"/>
                    </w:rPr>
                  </w:pPr>
                  <w:r>
                    <w:rPr>
                      <w:rFonts w:hint="eastAsia" w:cs="宋体"/>
                      <w:bCs/>
                      <w:sz w:val="18"/>
                      <w:szCs w:val="18"/>
                    </w:rPr>
                    <w:t>不受影响</w:t>
                  </w:r>
                </w:p>
              </w:tc>
            </w:tr>
          </w:tbl>
          <w:p>
            <w:pPr>
              <w:pStyle w:val="41"/>
              <w:jc w:val="center"/>
              <w:rPr>
                <w:rFonts w:ascii="宋体" w:hAnsi="宋体" w:cs="宋体"/>
                <w:b/>
                <w:bCs/>
                <w:color w:val="auto"/>
                <w:kern w:val="2"/>
                <w:sz w:val="21"/>
                <w:szCs w:val="21"/>
              </w:rPr>
            </w:pPr>
            <w:r>
              <w:rPr>
                <w:rFonts w:hint="eastAsia" w:ascii="宋体" w:hAnsi="宋体" w:cs="宋体"/>
                <w:b/>
                <w:bCs/>
                <w:kern w:val="2"/>
                <w:sz w:val="21"/>
                <w:szCs w:val="21"/>
              </w:rPr>
              <w:t>表3-3   环境保护目标一览表</w:t>
            </w: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p>
            <w:pPr>
              <w:pStyle w:val="41"/>
              <w:rPr>
                <w:rFonts w:ascii="宋体" w:hAnsi="宋体" w:cs="宋体"/>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9" w:hRule="atLeast"/>
          <w:jc w:val="center"/>
        </w:trPr>
        <w:tc>
          <w:tcPr>
            <w:tcW w:w="219" w:type="pct"/>
            <w:noWrap/>
            <w:tcMar>
              <w:left w:w="28" w:type="dxa"/>
              <w:right w:w="28" w:type="dxa"/>
            </w:tcMar>
            <w:vAlign w:val="center"/>
          </w:tcPr>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kern w:val="0"/>
                <w:szCs w:val="21"/>
              </w:rPr>
            </w:pPr>
            <w:r>
              <w:rPr>
                <w:kern w:val="0"/>
                <w:szCs w:val="21"/>
              </w:rPr>
              <w:t>准</w:t>
            </w:r>
          </w:p>
        </w:tc>
        <w:tc>
          <w:tcPr>
            <w:tcW w:w="4780" w:type="pct"/>
            <w:noWrap/>
            <w:vAlign w:val="center"/>
          </w:tcPr>
          <w:p>
            <w:pPr>
              <w:numPr>
                <w:ilvl w:val="0"/>
                <w:numId w:val="3"/>
              </w:numPr>
              <w:adjustRightInd w:val="0"/>
              <w:snapToGrid w:val="0"/>
              <w:spacing w:line="360" w:lineRule="auto"/>
              <w:ind w:firstLine="422" w:firstLineChars="200"/>
              <w:rPr>
                <w:rFonts w:ascii="宋体" w:hAnsi="宋体" w:cs="宋体"/>
                <w:b/>
                <w:bCs/>
                <w:szCs w:val="21"/>
              </w:rPr>
            </w:pPr>
            <w:r>
              <w:rPr>
                <w:rFonts w:hint="eastAsia" w:ascii="宋体" w:hAnsi="宋体" w:cs="宋体"/>
                <w:b/>
                <w:bCs/>
                <w:szCs w:val="21"/>
              </w:rPr>
              <w:t>废气：</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施工期废气执行河北省《施工场地扬尘排放标准》（DB13/2934-2019）中表 1 扬尘排放浓度限值要求；运营期废气为生物质锅炉排气筒执行《锅炉大气污染物排放标准》（DB13/5161-2020）表1大气污染物排放限值；生物质锅炉排气筒</w:t>
            </w:r>
            <w:r>
              <w:rPr>
                <w:rFonts w:hint="eastAsia" w:ascii="宋体" w:hAnsi="宋体" w:cs="宋体"/>
                <w:color w:val="000000"/>
                <w:kern w:val="0"/>
                <w:szCs w:val="21"/>
              </w:rPr>
              <w:t>高度执行《锅炉大气污染物排放标准》（GB1327</w:t>
            </w:r>
            <w:r>
              <w:rPr>
                <w:rFonts w:hint="eastAsia" w:ascii="宋体" w:hAnsi="宋体" w:cs="宋体"/>
                <w:szCs w:val="21"/>
              </w:rPr>
              <w:t>1-2014）标准，粉碎工序粉尘的排放执行《大气污染物综合排放标准》（GB16297-1996）中表2排放限值，具体见表3-4、3-5、3-6。</w:t>
            </w:r>
          </w:p>
          <w:p>
            <w:pPr>
              <w:snapToGrid w:val="0"/>
              <w:spacing w:line="360" w:lineRule="auto"/>
              <w:jc w:val="center"/>
              <w:rPr>
                <w:rFonts w:ascii="宋体" w:hAnsi="宋体" w:cs="宋体"/>
                <w:b/>
                <w:bCs/>
                <w:szCs w:val="21"/>
              </w:rPr>
            </w:pPr>
            <w:r>
              <w:rPr>
                <w:rFonts w:hint="eastAsia" w:ascii="宋体" w:hAnsi="宋体" w:cs="宋体"/>
                <w:b/>
                <w:bCs/>
                <w:szCs w:val="21"/>
              </w:rPr>
              <w:t>表3-4  施工场地大气污染物排放限值和控制要求</w:t>
            </w:r>
          </w:p>
          <w:tbl>
            <w:tblPr>
              <w:tblStyle w:val="24"/>
              <w:tblpPr w:leftFromText="180" w:rightFromText="180"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6"/>
              <w:gridCol w:w="2342"/>
              <w:gridCol w:w="1724"/>
              <w:gridCol w:w="2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5"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b/>
                      <w:sz w:val="18"/>
                      <w:szCs w:val="18"/>
                    </w:rPr>
                  </w:pPr>
                  <w:r>
                    <w:rPr>
                      <w:rFonts w:hint="eastAsia" w:ascii="宋体" w:hAnsi="宋体" w:cs="宋体"/>
                      <w:b/>
                      <w:sz w:val="18"/>
                      <w:szCs w:val="18"/>
                    </w:rPr>
                    <w:t>标准号</w:t>
                  </w:r>
                </w:p>
              </w:tc>
              <w:tc>
                <w:tcPr>
                  <w:tcW w:w="1387"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b/>
                      <w:sz w:val="18"/>
                      <w:szCs w:val="18"/>
                    </w:rPr>
                  </w:pPr>
                  <w:r>
                    <w:rPr>
                      <w:rFonts w:hint="eastAsia" w:ascii="宋体" w:hAnsi="宋体" w:cs="宋体"/>
                      <w:b/>
                      <w:sz w:val="18"/>
                      <w:szCs w:val="18"/>
                    </w:rPr>
                    <w:t>标准名称</w:t>
                  </w:r>
                </w:p>
              </w:tc>
              <w:tc>
                <w:tcPr>
                  <w:tcW w:w="1022"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b/>
                      <w:sz w:val="18"/>
                      <w:szCs w:val="18"/>
                    </w:rPr>
                  </w:pPr>
                  <w:r>
                    <w:rPr>
                      <w:rFonts w:hint="eastAsia" w:ascii="宋体" w:hAnsi="宋体" w:cs="宋体"/>
                      <w:b/>
                      <w:sz w:val="18"/>
                      <w:szCs w:val="18"/>
                    </w:rPr>
                    <w:t>污染物</w:t>
                  </w:r>
                </w:p>
              </w:tc>
              <w:tc>
                <w:tcPr>
                  <w:tcW w:w="1524"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b/>
                      <w:sz w:val="18"/>
                      <w:szCs w:val="18"/>
                    </w:rPr>
                  </w:pPr>
                  <w:r>
                    <w:rPr>
                      <w:rFonts w:hint="eastAsia" w:ascii="宋体" w:hAnsi="宋体" w:cs="宋体"/>
                      <w:b/>
                      <w:sz w:val="18"/>
                      <w:szCs w:val="18"/>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5"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DB13/2934-2019</w:t>
                  </w:r>
                </w:p>
              </w:tc>
              <w:tc>
                <w:tcPr>
                  <w:tcW w:w="1387"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施工场地扬尘排放标准</w:t>
                  </w:r>
                </w:p>
              </w:tc>
              <w:tc>
                <w:tcPr>
                  <w:tcW w:w="1022"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PM</w:t>
                  </w:r>
                  <w:r>
                    <w:rPr>
                      <w:rFonts w:hint="eastAsia" w:ascii="宋体" w:hAnsi="宋体" w:cs="宋体"/>
                      <w:sz w:val="18"/>
                      <w:szCs w:val="18"/>
                      <w:vertAlign w:val="subscript"/>
                    </w:rPr>
                    <w:t>10</w:t>
                  </w:r>
                </w:p>
              </w:tc>
              <w:tc>
                <w:tcPr>
                  <w:tcW w:w="1524"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80μg/m³</w:t>
                  </w:r>
                </w:p>
              </w:tc>
            </w:tr>
          </w:tbl>
          <w:p>
            <w:pPr>
              <w:pStyle w:val="41"/>
              <w:rPr>
                <w:color w:val="auto"/>
              </w:rPr>
            </w:pPr>
          </w:p>
          <w:tbl>
            <w:tblPr>
              <w:tblStyle w:val="24"/>
              <w:tblpPr w:leftFromText="180" w:rightFromText="180" w:vertAnchor="text" w:horzAnchor="page" w:tblpXSpec="center" w:tblpY="433"/>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863"/>
              <w:gridCol w:w="670"/>
              <w:gridCol w:w="726"/>
              <w:gridCol w:w="4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06" w:type="pct"/>
                  <w:vMerge w:val="restart"/>
                  <w:tcBorders>
                    <w:top w:val="single" w:color="auto" w:sz="4" w:space="0"/>
                    <w:left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b/>
                      <w:sz w:val="18"/>
                      <w:szCs w:val="18"/>
                    </w:rPr>
                  </w:pPr>
                  <w:r>
                    <w:rPr>
                      <w:rFonts w:hint="eastAsia" w:ascii="宋体" w:hAnsi="宋体" w:cs="宋体"/>
                      <w:b/>
                      <w:sz w:val="18"/>
                      <w:szCs w:val="18"/>
                    </w:rPr>
                    <w:t>污染物名称</w:t>
                  </w:r>
                </w:p>
              </w:tc>
              <w:tc>
                <w:tcPr>
                  <w:tcW w:w="908" w:type="pct"/>
                  <w:gridSpan w:val="2"/>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b/>
                      <w:sz w:val="18"/>
                      <w:szCs w:val="18"/>
                    </w:rPr>
                  </w:pPr>
                  <w:r>
                    <w:rPr>
                      <w:rFonts w:hint="eastAsia" w:ascii="宋体" w:hAnsi="宋体" w:cs="宋体"/>
                      <w:b/>
                      <w:sz w:val="18"/>
                      <w:szCs w:val="18"/>
                    </w:rPr>
                    <w:t>燃生物质成型燃料锅炉</w:t>
                  </w:r>
                </w:p>
              </w:tc>
              <w:tc>
                <w:tcPr>
                  <w:tcW w:w="430" w:type="pct"/>
                  <w:vMerge w:val="restart"/>
                  <w:tcBorders>
                    <w:top w:val="single" w:color="auto" w:sz="4" w:space="0"/>
                    <w:left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b/>
                      <w:sz w:val="18"/>
                      <w:szCs w:val="18"/>
                    </w:rPr>
                  </w:pPr>
                  <w:r>
                    <w:rPr>
                      <w:rFonts w:hint="eastAsia" w:ascii="宋体" w:hAnsi="宋体" w:cs="宋体"/>
                      <w:b/>
                      <w:sz w:val="18"/>
                      <w:szCs w:val="18"/>
                    </w:rPr>
                    <w:t>单位</w:t>
                  </w:r>
                </w:p>
              </w:tc>
              <w:tc>
                <w:tcPr>
                  <w:tcW w:w="2953" w:type="pct"/>
                  <w:vMerge w:val="restart"/>
                  <w:tcBorders>
                    <w:top w:val="single" w:color="auto" w:sz="4" w:space="0"/>
                    <w:left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b/>
                      <w:sz w:val="18"/>
                      <w:szCs w:val="18"/>
                    </w:rPr>
                  </w:pPr>
                  <w:r>
                    <w:rPr>
                      <w:rFonts w:hint="eastAsia" w:ascii="宋体" w:hAnsi="宋体" w:cs="宋体"/>
                      <w:b/>
                      <w:sz w:val="18"/>
                      <w:szCs w:val="18"/>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pct"/>
                  <w:vMerge w:val="continue"/>
                  <w:tcBorders>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p>
              </w:tc>
              <w:tc>
                <w:tcPr>
                  <w:tcW w:w="908" w:type="pct"/>
                  <w:gridSpan w:val="2"/>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b/>
                      <w:sz w:val="18"/>
                      <w:szCs w:val="18"/>
                    </w:rPr>
                  </w:pPr>
                  <w:r>
                    <w:rPr>
                      <w:rFonts w:hint="eastAsia" w:ascii="宋体" w:hAnsi="宋体" w:cs="宋体"/>
                      <w:b/>
                      <w:sz w:val="18"/>
                      <w:szCs w:val="18"/>
                    </w:rPr>
                    <w:t>＜20t/h(14MW)</w:t>
                  </w:r>
                </w:p>
              </w:tc>
              <w:tc>
                <w:tcPr>
                  <w:tcW w:w="430" w:type="pct"/>
                  <w:vMerge w:val="continue"/>
                  <w:tcBorders>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b/>
                      <w:sz w:val="18"/>
                      <w:szCs w:val="18"/>
                    </w:rPr>
                  </w:pPr>
                </w:p>
              </w:tc>
              <w:tc>
                <w:tcPr>
                  <w:tcW w:w="2953" w:type="pct"/>
                  <w:vMerge w:val="continue"/>
                  <w:tcBorders>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pct"/>
                  <w:vMerge w:val="restart"/>
                  <w:tcBorders>
                    <w:left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生物质锅炉</w:t>
                  </w:r>
                </w:p>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排气筒</w:t>
                  </w:r>
                </w:p>
              </w:tc>
              <w:tc>
                <w:tcPr>
                  <w:tcW w:w="511"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颗粒物</w:t>
                  </w:r>
                </w:p>
              </w:tc>
              <w:tc>
                <w:tcPr>
                  <w:tcW w:w="397"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20</w:t>
                  </w:r>
                </w:p>
              </w:tc>
              <w:tc>
                <w:tcPr>
                  <w:tcW w:w="430"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mg/m³</w:t>
                  </w:r>
                </w:p>
              </w:tc>
              <w:tc>
                <w:tcPr>
                  <w:tcW w:w="2953" w:type="pct"/>
                  <w:vMerge w:val="restart"/>
                  <w:tcBorders>
                    <w:top w:val="single" w:color="auto" w:sz="4" w:space="0"/>
                    <w:left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《锅炉大气污染物排放标准》（DB13/5161-2020）表1</w:t>
                  </w:r>
                </w:p>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pct"/>
                  <w:vMerge w:val="continue"/>
                  <w:tcBorders>
                    <w:left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p>
              </w:tc>
              <w:tc>
                <w:tcPr>
                  <w:tcW w:w="511"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二氧化硫</w:t>
                  </w:r>
                </w:p>
              </w:tc>
              <w:tc>
                <w:tcPr>
                  <w:tcW w:w="397"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30</w:t>
                  </w:r>
                </w:p>
              </w:tc>
              <w:tc>
                <w:tcPr>
                  <w:tcW w:w="430"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mg/m³</w:t>
                  </w:r>
                </w:p>
              </w:tc>
              <w:tc>
                <w:tcPr>
                  <w:tcW w:w="2953" w:type="pct"/>
                  <w:vMerge w:val="continue"/>
                  <w:tcBorders>
                    <w:left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pct"/>
                  <w:vMerge w:val="continue"/>
                  <w:tcBorders>
                    <w:left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p>
              </w:tc>
              <w:tc>
                <w:tcPr>
                  <w:tcW w:w="511"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氮氧化物</w:t>
                  </w:r>
                </w:p>
              </w:tc>
              <w:tc>
                <w:tcPr>
                  <w:tcW w:w="397"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150</w:t>
                  </w:r>
                </w:p>
              </w:tc>
              <w:tc>
                <w:tcPr>
                  <w:tcW w:w="430" w:type="pct"/>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mg/m³</w:t>
                  </w:r>
                </w:p>
              </w:tc>
              <w:tc>
                <w:tcPr>
                  <w:tcW w:w="2953" w:type="pct"/>
                  <w:vMerge w:val="continue"/>
                  <w:tcBorders>
                    <w:left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pct"/>
                  <w:tcBorders>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粉碎工序</w:t>
                  </w:r>
                </w:p>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排气筒</w:t>
                  </w:r>
                </w:p>
              </w:tc>
              <w:tc>
                <w:tcPr>
                  <w:tcW w:w="863" w:type="dxa"/>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颗粒物</w:t>
                  </w:r>
                </w:p>
              </w:tc>
              <w:tc>
                <w:tcPr>
                  <w:tcW w:w="671" w:type="dxa"/>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120</w:t>
                  </w:r>
                </w:p>
              </w:tc>
              <w:tc>
                <w:tcPr>
                  <w:tcW w:w="727" w:type="dxa"/>
                  <w:tcBorders>
                    <w:top w:val="single" w:color="auto" w:sz="4" w:space="0"/>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sz w:val="18"/>
                      <w:szCs w:val="18"/>
                    </w:rPr>
                    <w:t>mg/m³</w:t>
                  </w:r>
                </w:p>
              </w:tc>
              <w:tc>
                <w:tcPr>
                  <w:tcW w:w="2953" w:type="pct"/>
                  <w:tcBorders>
                    <w:left w:val="single" w:color="auto" w:sz="4" w:space="0"/>
                    <w:bottom w:val="single" w:color="auto" w:sz="4" w:space="0"/>
                    <w:right w:val="single" w:color="auto" w:sz="4" w:space="0"/>
                  </w:tcBorders>
                  <w:noWrap/>
                  <w:vAlign w:val="center"/>
                </w:tcPr>
                <w:p>
                  <w:pPr>
                    <w:topLinePunct/>
                    <w:adjustRightInd w:val="0"/>
                    <w:spacing w:line="240" w:lineRule="atLeast"/>
                    <w:jc w:val="center"/>
                    <w:textAlignment w:val="center"/>
                    <w:rPr>
                      <w:rFonts w:ascii="宋体" w:hAnsi="宋体" w:cs="宋体"/>
                      <w:sz w:val="18"/>
                      <w:szCs w:val="18"/>
                    </w:rPr>
                  </w:pPr>
                  <w:r>
                    <w:rPr>
                      <w:rFonts w:hint="eastAsia" w:ascii="宋体" w:hAnsi="宋体" w:cs="宋体"/>
                      <w:bCs/>
                      <w:sz w:val="18"/>
                      <w:szCs w:val="18"/>
                    </w:rPr>
                    <w:t>《大气污染物综合排放标准》</w:t>
                  </w:r>
                  <w:r>
                    <w:rPr>
                      <w:rFonts w:hint="eastAsia" w:ascii="宋体" w:hAnsi="宋体" w:cs="宋体"/>
                      <w:sz w:val="18"/>
                      <w:szCs w:val="18"/>
                    </w:rPr>
                    <w:t>（GB9078-1996）表2排放限值</w:t>
                  </w:r>
                </w:p>
              </w:tc>
            </w:tr>
          </w:tbl>
          <w:p>
            <w:pPr>
              <w:snapToGrid w:val="0"/>
              <w:spacing w:line="360" w:lineRule="auto"/>
              <w:ind w:firstLine="422" w:firstLineChars="200"/>
              <w:jc w:val="center"/>
              <w:rPr>
                <w:rFonts w:ascii="宋体" w:hAnsi="宋体" w:cs="宋体"/>
                <w:b/>
                <w:bCs/>
                <w:szCs w:val="21"/>
              </w:rPr>
            </w:pPr>
            <w:r>
              <w:rPr>
                <w:rFonts w:hint="eastAsia" w:ascii="宋体" w:hAnsi="宋体" w:cs="宋体"/>
                <w:b/>
                <w:bCs/>
                <w:szCs w:val="21"/>
              </w:rPr>
              <w:t>表3-5  运营期生物质锅炉大气污染物排放限值</w:t>
            </w:r>
          </w:p>
          <w:p>
            <w:pPr>
              <w:snapToGrid w:val="0"/>
              <w:spacing w:line="360" w:lineRule="auto"/>
              <w:ind w:firstLine="422" w:firstLineChars="200"/>
              <w:jc w:val="center"/>
              <w:rPr>
                <w:b/>
                <w:bCs/>
                <w:szCs w:val="21"/>
              </w:rPr>
            </w:pPr>
          </w:p>
          <w:p>
            <w:pPr>
              <w:snapToGrid w:val="0"/>
              <w:spacing w:line="360" w:lineRule="auto"/>
              <w:ind w:firstLine="422" w:firstLineChars="200"/>
              <w:jc w:val="center"/>
              <w:rPr>
                <w:rFonts w:ascii="宋体" w:hAnsi="宋体" w:cs="宋体"/>
                <w:szCs w:val="21"/>
              </w:rPr>
            </w:pPr>
            <w:r>
              <w:rPr>
                <w:rFonts w:hint="eastAsia" w:ascii="宋体" w:hAnsi="宋体" w:cs="宋体"/>
                <w:b/>
                <w:bCs/>
                <w:szCs w:val="21"/>
              </w:rPr>
              <w:t>表3-6  大气污染物综合排放限值</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4160"/>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pct"/>
                  <w:vAlign w:val="center"/>
                </w:tcPr>
                <w:p>
                  <w:pPr>
                    <w:pStyle w:val="64"/>
                    <w:spacing w:line="360" w:lineRule="auto"/>
                    <w:ind w:firstLine="0" w:firstLineChars="0"/>
                    <w:jc w:val="center"/>
                    <w:rPr>
                      <w:rFonts w:ascii="宋体" w:hAnsi="宋体" w:cs="宋体"/>
                      <w:bCs/>
                      <w:sz w:val="18"/>
                      <w:szCs w:val="18"/>
                    </w:rPr>
                  </w:pPr>
                  <w:r>
                    <w:rPr>
                      <w:rFonts w:hint="eastAsia" w:ascii="宋体" w:hAnsi="宋体" w:cs="宋体"/>
                      <w:bCs/>
                      <w:sz w:val="18"/>
                      <w:szCs w:val="18"/>
                    </w:rPr>
                    <w:t>污染物</w:t>
                  </w:r>
                </w:p>
              </w:tc>
              <w:tc>
                <w:tcPr>
                  <w:tcW w:w="2465" w:type="pct"/>
                  <w:vAlign w:val="center"/>
                </w:tcPr>
                <w:p>
                  <w:pPr>
                    <w:pStyle w:val="64"/>
                    <w:spacing w:line="360" w:lineRule="auto"/>
                    <w:ind w:firstLine="0" w:firstLineChars="0"/>
                    <w:jc w:val="center"/>
                    <w:rPr>
                      <w:rFonts w:ascii="宋体" w:hAnsi="宋体" w:cs="宋体"/>
                      <w:bCs/>
                      <w:sz w:val="18"/>
                      <w:szCs w:val="18"/>
                    </w:rPr>
                  </w:pPr>
                  <w:r>
                    <w:rPr>
                      <w:rFonts w:hint="eastAsia" w:ascii="宋体" w:hAnsi="宋体" w:cs="宋体"/>
                      <w:bCs/>
                      <w:sz w:val="18"/>
                      <w:szCs w:val="18"/>
                    </w:rPr>
                    <w:t>标准</w:t>
                  </w:r>
                </w:p>
              </w:tc>
              <w:tc>
                <w:tcPr>
                  <w:tcW w:w="1548" w:type="pct"/>
                  <w:vAlign w:val="center"/>
                </w:tcPr>
                <w:p>
                  <w:pPr>
                    <w:pStyle w:val="64"/>
                    <w:spacing w:line="360" w:lineRule="auto"/>
                    <w:ind w:firstLine="0" w:firstLineChars="0"/>
                    <w:jc w:val="center"/>
                    <w:rPr>
                      <w:rFonts w:ascii="宋体" w:hAnsi="宋体" w:cs="宋体"/>
                      <w:bCs/>
                      <w:sz w:val="18"/>
                      <w:szCs w:val="18"/>
                    </w:rPr>
                  </w:pPr>
                  <w:r>
                    <w:rPr>
                      <w:rFonts w:hint="eastAsia" w:ascii="宋体" w:hAnsi="宋体" w:cs="宋体"/>
                      <w:bCs/>
                      <w:sz w:val="18"/>
                      <w:szCs w:val="18"/>
                    </w:rPr>
                    <w:t>无组织排放厂界最高浓度限值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pct"/>
                  <w:vAlign w:val="center"/>
                </w:tcPr>
                <w:p>
                  <w:pPr>
                    <w:pStyle w:val="64"/>
                    <w:spacing w:line="360" w:lineRule="auto"/>
                    <w:ind w:firstLine="0" w:firstLineChars="0"/>
                    <w:jc w:val="center"/>
                    <w:rPr>
                      <w:rFonts w:ascii="宋体" w:hAnsi="宋体" w:cs="宋体"/>
                      <w:bCs/>
                      <w:sz w:val="18"/>
                      <w:szCs w:val="18"/>
                    </w:rPr>
                  </w:pPr>
                  <w:r>
                    <w:rPr>
                      <w:rFonts w:hint="eastAsia" w:ascii="宋体" w:hAnsi="宋体" w:cs="宋体"/>
                      <w:bCs/>
                      <w:sz w:val="18"/>
                      <w:szCs w:val="18"/>
                    </w:rPr>
                    <w:t>颗粒物</w:t>
                  </w:r>
                </w:p>
              </w:tc>
              <w:tc>
                <w:tcPr>
                  <w:tcW w:w="2465" w:type="pct"/>
                  <w:vAlign w:val="center"/>
                </w:tcPr>
                <w:p>
                  <w:pPr>
                    <w:pStyle w:val="64"/>
                    <w:spacing w:line="360" w:lineRule="auto"/>
                    <w:ind w:firstLine="0" w:firstLineChars="0"/>
                    <w:jc w:val="center"/>
                    <w:rPr>
                      <w:rFonts w:ascii="宋体" w:hAnsi="宋体" w:cs="宋体"/>
                      <w:bCs/>
                      <w:sz w:val="18"/>
                      <w:szCs w:val="18"/>
                    </w:rPr>
                  </w:pPr>
                  <w:r>
                    <w:rPr>
                      <w:rFonts w:hint="eastAsia" w:ascii="宋体" w:hAnsi="宋体" w:cs="宋体"/>
                      <w:bCs/>
                      <w:sz w:val="18"/>
                      <w:szCs w:val="18"/>
                    </w:rPr>
                    <w:t>《大气污染物综合排放标准》</w:t>
                  </w:r>
                  <w:r>
                    <w:rPr>
                      <w:rFonts w:hint="eastAsia" w:ascii="宋体" w:hAnsi="宋体" w:cs="宋体"/>
                      <w:sz w:val="18"/>
                      <w:szCs w:val="18"/>
                    </w:rPr>
                    <w:t>（GB9078-1996）</w:t>
                  </w:r>
                </w:p>
              </w:tc>
              <w:tc>
                <w:tcPr>
                  <w:tcW w:w="1548" w:type="pct"/>
                  <w:vAlign w:val="center"/>
                </w:tcPr>
                <w:p>
                  <w:pPr>
                    <w:pStyle w:val="64"/>
                    <w:spacing w:line="360" w:lineRule="auto"/>
                    <w:ind w:firstLine="0" w:firstLineChars="0"/>
                    <w:jc w:val="center"/>
                    <w:rPr>
                      <w:rFonts w:ascii="宋体" w:hAnsi="宋体" w:cs="宋体"/>
                      <w:bCs/>
                      <w:sz w:val="18"/>
                      <w:szCs w:val="18"/>
                    </w:rPr>
                  </w:pPr>
                  <w:r>
                    <w:rPr>
                      <w:rFonts w:hint="eastAsia" w:ascii="宋体" w:hAnsi="宋体" w:cs="宋体"/>
                      <w:bCs/>
                      <w:sz w:val="18"/>
                      <w:szCs w:val="18"/>
                    </w:rPr>
                    <w:t>1.0</w:t>
                  </w:r>
                </w:p>
              </w:tc>
            </w:tr>
          </w:tbl>
          <w:p>
            <w:pPr>
              <w:spacing w:line="360" w:lineRule="auto"/>
              <w:ind w:firstLine="422" w:firstLineChars="200"/>
              <w:rPr>
                <w:rFonts w:ascii="宋体" w:hAnsi="宋体" w:cs="宋体"/>
                <w:b/>
                <w:bCs/>
                <w:szCs w:val="21"/>
              </w:rPr>
            </w:pPr>
            <w:r>
              <w:rPr>
                <w:rFonts w:hint="eastAsia" w:ascii="宋体" w:hAnsi="宋体" w:cs="宋体"/>
                <w:b/>
                <w:bCs/>
                <w:szCs w:val="21"/>
              </w:rPr>
              <w:t>2、废水：</w:t>
            </w:r>
          </w:p>
          <w:p>
            <w:pPr>
              <w:spacing w:line="360" w:lineRule="auto"/>
              <w:ind w:firstLine="420" w:firstLineChars="200"/>
              <w:rPr>
                <w:rFonts w:ascii="宋体" w:hAnsi="宋体" w:cs="宋体"/>
              </w:rPr>
            </w:pPr>
            <w:r>
              <w:rPr>
                <w:rFonts w:hint="eastAsia" w:ascii="宋体" w:hAnsi="宋体" w:cs="宋体"/>
                <w:szCs w:val="21"/>
              </w:rPr>
              <w:t>项目</w:t>
            </w:r>
            <w:r>
              <w:rPr>
                <w:rFonts w:hint="eastAsia" w:ascii="宋体" w:hAnsi="宋体" w:cs="宋体"/>
                <w:snapToGrid w:val="0"/>
                <w:szCs w:val="21"/>
              </w:rPr>
              <w:t>无生产废水产生；因锅炉产生的蒸汽作用仅为：对菌包进行高温消毒，锅炉用水无需软化，冷凝水经回收装置返回锅炉收集循环利用；每年生产运营期结束后蒸汽锅炉需定期排空水，废水暂存于厂区储水罐内，用于粉碎工序喷淋用水。</w:t>
            </w:r>
          </w:p>
          <w:p>
            <w:pPr>
              <w:spacing w:line="360" w:lineRule="auto"/>
              <w:ind w:firstLine="420" w:firstLineChars="200"/>
              <w:rPr>
                <w:rFonts w:ascii="宋体" w:hAnsi="宋体" w:cs="宋体"/>
                <w:szCs w:val="21"/>
              </w:rPr>
            </w:pPr>
            <w:r>
              <w:rPr>
                <w:rFonts w:hint="eastAsia" w:ascii="宋体" w:hAnsi="宋体" w:cs="宋体"/>
                <w:snapToGrid w:val="0"/>
                <w:szCs w:val="21"/>
              </w:rPr>
              <w:t>生活污水排入厂区化粪池，定期由清污车运送至围场满族蒙古族自治县永溢环保科技有限责任公司克勒沟污水处理厂处理，满足《污水综合排放标准》（GB8978-1996）表1、表4三级标准及围场满族蒙古族自治县永溢环保科技有限责任公司克勒沟污水处理厂收水要求</w:t>
            </w:r>
            <w:r>
              <w:rPr>
                <w:rFonts w:hint="eastAsia" w:ascii="宋体" w:hAnsi="宋体" w:cs="宋体"/>
                <w:szCs w:val="21"/>
              </w:rPr>
              <w:t>。</w:t>
            </w:r>
          </w:p>
          <w:p>
            <w:pPr>
              <w:pStyle w:val="41"/>
              <w:spacing w:line="360" w:lineRule="auto"/>
              <w:jc w:val="center"/>
              <w:rPr>
                <w:rFonts w:ascii="宋体" w:hAnsi="宋体" w:cs="宋体"/>
                <w:b/>
                <w:bCs/>
                <w:color w:val="000000" w:themeColor="text1"/>
                <w:sz w:val="21"/>
                <w:szCs w:val="21"/>
                <w14:textFill>
                  <w14:solidFill>
                    <w14:schemeClr w14:val="tx1"/>
                  </w14:solidFill>
                </w14:textFill>
              </w:rPr>
            </w:pPr>
          </w:p>
          <w:p>
            <w:pPr>
              <w:pStyle w:val="41"/>
              <w:spacing w:line="360" w:lineRule="auto"/>
              <w:jc w:val="both"/>
              <w:rPr>
                <w:b/>
                <w:bCs/>
                <w:color w:val="000000" w:themeColor="text1"/>
                <w:sz w:val="21"/>
                <w:szCs w:val="21"/>
                <w14:textFill>
                  <w14:solidFill>
                    <w14:schemeClr w14:val="tx1"/>
                  </w14:solidFill>
                </w14:textFill>
              </w:rPr>
            </w:pPr>
          </w:p>
          <w:p>
            <w:pPr>
              <w:pStyle w:val="41"/>
              <w:spacing w:line="360" w:lineRule="auto"/>
              <w:jc w:val="center"/>
              <w:rPr>
                <w:b/>
                <w:bCs/>
                <w:color w:val="000000" w:themeColor="text1"/>
                <w:sz w:val="21"/>
                <w:szCs w:val="21"/>
                <w14:textFill>
                  <w14:solidFill>
                    <w14:schemeClr w14:val="tx1"/>
                  </w14:solidFill>
                </w14:textFill>
              </w:rPr>
            </w:pPr>
          </w:p>
          <w:p>
            <w:pPr>
              <w:pStyle w:val="41"/>
              <w:spacing w:line="360" w:lineRule="auto"/>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表3-7  污水排放标准 （单位mg/L）</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67"/>
              <w:gridCol w:w="2551"/>
              <w:gridCol w:w="1718"/>
              <w:gridCol w:w="1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4" w:type="pct"/>
                  <w:vAlign w:val="center"/>
                </w:tcPr>
                <w:p>
                  <w:pPr>
                    <w:pStyle w:val="41"/>
                    <w:jc w:val="center"/>
                    <w:rPr>
                      <w:rFonts w:ascii="宋体" w:hAnsi="宋体" w:cs="宋体"/>
                      <w:b/>
                      <w:bCs/>
                      <w:sz w:val="18"/>
                      <w:szCs w:val="18"/>
                    </w:rPr>
                  </w:pPr>
                  <w:r>
                    <w:rPr>
                      <w:rFonts w:hint="eastAsia" w:ascii="宋体" w:hAnsi="宋体" w:cs="宋体"/>
                      <w:b/>
                      <w:bCs/>
                      <w:sz w:val="18"/>
                      <w:szCs w:val="18"/>
                    </w:rPr>
                    <w:t>控制项目</w:t>
                  </w:r>
                </w:p>
              </w:tc>
              <w:tc>
                <w:tcPr>
                  <w:tcW w:w="1515" w:type="pct"/>
                  <w:vAlign w:val="center"/>
                </w:tcPr>
                <w:p>
                  <w:pPr>
                    <w:pStyle w:val="41"/>
                    <w:jc w:val="center"/>
                    <w:rPr>
                      <w:rFonts w:ascii="宋体" w:hAnsi="宋体" w:cs="宋体"/>
                      <w:b/>
                      <w:bCs/>
                      <w:sz w:val="18"/>
                      <w:szCs w:val="18"/>
                    </w:rPr>
                  </w:pPr>
                  <w:r>
                    <w:rPr>
                      <w:rFonts w:hint="eastAsia" w:ascii="宋体" w:hAnsi="宋体" w:cs="宋体"/>
                      <w:b/>
                      <w:bCs/>
                      <w:sz w:val="18"/>
                      <w:szCs w:val="18"/>
                    </w:rPr>
                    <w:t>《污水综合排放标准》 （GB8978-1996）表1、</w:t>
                  </w:r>
                </w:p>
                <w:p>
                  <w:pPr>
                    <w:pStyle w:val="41"/>
                    <w:jc w:val="center"/>
                    <w:rPr>
                      <w:rFonts w:ascii="宋体" w:hAnsi="宋体" w:cs="宋体"/>
                      <w:b/>
                      <w:bCs/>
                      <w:sz w:val="18"/>
                      <w:szCs w:val="18"/>
                    </w:rPr>
                  </w:pPr>
                  <w:r>
                    <w:rPr>
                      <w:rFonts w:hint="eastAsia" w:ascii="宋体" w:hAnsi="宋体" w:cs="宋体"/>
                      <w:b/>
                      <w:bCs/>
                      <w:sz w:val="18"/>
                      <w:szCs w:val="18"/>
                    </w:rPr>
                    <w:t>表4三级标准</w:t>
                  </w:r>
                </w:p>
              </w:tc>
              <w:tc>
                <w:tcPr>
                  <w:tcW w:w="1021" w:type="pct"/>
                  <w:vAlign w:val="center"/>
                </w:tcPr>
                <w:p>
                  <w:pPr>
                    <w:pStyle w:val="41"/>
                    <w:jc w:val="center"/>
                    <w:rPr>
                      <w:rFonts w:ascii="宋体" w:hAnsi="宋体" w:cs="宋体"/>
                      <w:sz w:val="18"/>
                      <w:szCs w:val="18"/>
                    </w:rPr>
                  </w:pPr>
                  <w:r>
                    <w:rPr>
                      <w:rFonts w:hint="eastAsia" w:ascii="宋体" w:hAnsi="宋体" w:cs="宋体"/>
                      <w:b/>
                      <w:bCs/>
                      <w:sz w:val="18"/>
                      <w:szCs w:val="18"/>
                    </w:rPr>
                    <w:t>围场满族蒙古族自治县永溢环保科技有限责任公司克勒沟污水处理厂进水指标要求</w:t>
                  </w:r>
                </w:p>
              </w:tc>
              <w:tc>
                <w:tcPr>
                  <w:tcW w:w="938" w:type="pct"/>
                  <w:vAlign w:val="center"/>
                </w:tcPr>
                <w:p>
                  <w:pPr>
                    <w:pStyle w:val="41"/>
                    <w:jc w:val="center"/>
                    <w:rPr>
                      <w:rFonts w:ascii="宋体" w:hAnsi="宋体" w:cs="宋体"/>
                      <w:b/>
                      <w:bCs/>
                      <w:sz w:val="18"/>
                      <w:szCs w:val="18"/>
                    </w:rPr>
                  </w:pPr>
                  <w:r>
                    <w:rPr>
                      <w:rFonts w:hint="eastAsia" w:ascii="宋体" w:hAnsi="宋体" w:cs="宋体"/>
                      <w:b/>
                      <w:bCs/>
                      <w:sz w:val="18"/>
                      <w:szCs w:val="18"/>
                    </w:rPr>
                    <w:t>项目污水口执行排放浓度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4" w:type="pct"/>
                  <w:vAlign w:val="center"/>
                </w:tcPr>
                <w:p>
                  <w:pPr>
                    <w:pStyle w:val="41"/>
                    <w:jc w:val="center"/>
                    <w:rPr>
                      <w:rFonts w:ascii="宋体" w:hAnsi="宋体" w:cs="宋体"/>
                      <w:sz w:val="18"/>
                      <w:szCs w:val="18"/>
                    </w:rPr>
                  </w:pPr>
                  <w:r>
                    <w:rPr>
                      <w:rFonts w:hint="eastAsia" w:ascii="宋体" w:hAnsi="宋体" w:cs="宋体"/>
                      <w:sz w:val="18"/>
                      <w:szCs w:val="18"/>
                    </w:rPr>
                    <w:t>pH</w:t>
                  </w:r>
                </w:p>
              </w:tc>
              <w:tc>
                <w:tcPr>
                  <w:tcW w:w="1515" w:type="pct"/>
                  <w:vAlign w:val="center"/>
                </w:tcPr>
                <w:p>
                  <w:pPr>
                    <w:pStyle w:val="41"/>
                    <w:jc w:val="center"/>
                    <w:rPr>
                      <w:rFonts w:ascii="宋体" w:hAnsi="宋体" w:cs="宋体"/>
                      <w:sz w:val="18"/>
                      <w:szCs w:val="18"/>
                    </w:rPr>
                  </w:pPr>
                  <w:r>
                    <w:rPr>
                      <w:rFonts w:hint="eastAsia" w:ascii="宋体" w:hAnsi="宋体" w:cs="宋体"/>
                      <w:sz w:val="18"/>
                      <w:szCs w:val="18"/>
                    </w:rPr>
                    <w:t>6~9</w:t>
                  </w:r>
                </w:p>
              </w:tc>
              <w:tc>
                <w:tcPr>
                  <w:tcW w:w="1021" w:type="pct"/>
                  <w:vAlign w:val="center"/>
                </w:tcPr>
                <w:p>
                  <w:pPr>
                    <w:pStyle w:val="41"/>
                    <w:jc w:val="center"/>
                    <w:rPr>
                      <w:rFonts w:ascii="宋体" w:hAnsi="宋体" w:cs="宋体"/>
                      <w:sz w:val="18"/>
                      <w:szCs w:val="18"/>
                    </w:rPr>
                  </w:pPr>
                  <w:r>
                    <w:rPr>
                      <w:rFonts w:hint="eastAsia" w:ascii="宋体" w:hAnsi="宋体" w:cs="宋体"/>
                      <w:sz w:val="18"/>
                      <w:szCs w:val="18"/>
                    </w:rPr>
                    <w:t>6~9</w:t>
                  </w:r>
                </w:p>
              </w:tc>
              <w:tc>
                <w:tcPr>
                  <w:tcW w:w="938" w:type="pct"/>
                  <w:vAlign w:val="center"/>
                </w:tcPr>
                <w:p>
                  <w:pPr>
                    <w:pStyle w:val="41"/>
                    <w:jc w:val="center"/>
                    <w:rPr>
                      <w:rFonts w:ascii="宋体" w:hAnsi="宋体" w:cs="宋体"/>
                      <w:sz w:val="18"/>
                      <w:szCs w:val="18"/>
                    </w:rPr>
                  </w:pPr>
                  <w:r>
                    <w:rPr>
                      <w:rFonts w:hint="eastAsia" w:ascii="宋体" w:hAnsi="宋体" w:cs="宋体"/>
                      <w:sz w:val="18"/>
                      <w:szCs w:val="18"/>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4" w:type="pct"/>
                  <w:vAlign w:val="center"/>
                </w:tcPr>
                <w:p>
                  <w:pPr>
                    <w:pStyle w:val="41"/>
                    <w:jc w:val="center"/>
                    <w:rPr>
                      <w:rFonts w:ascii="宋体" w:hAnsi="宋体" w:cs="宋体"/>
                      <w:sz w:val="18"/>
                      <w:szCs w:val="18"/>
                    </w:rPr>
                  </w:pPr>
                  <w:r>
                    <w:rPr>
                      <w:rFonts w:hint="eastAsia" w:ascii="宋体" w:hAnsi="宋体" w:cs="宋体"/>
                      <w:sz w:val="18"/>
                      <w:szCs w:val="18"/>
                    </w:rPr>
                    <w:t>化学需氧量（COD）（mg/L）</w:t>
                  </w:r>
                </w:p>
              </w:tc>
              <w:tc>
                <w:tcPr>
                  <w:tcW w:w="1515" w:type="pct"/>
                  <w:vAlign w:val="center"/>
                </w:tcPr>
                <w:p>
                  <w:pPr>
                    <w:pStyle w:val="41"/>
                    <w:jc w:val="center"/>
                    <w:rPr>
                      <w:rFonts w:ascii="宋体" w:hAnsi="宋体" w:cs="宋体"/>
                      <w:sz w:val="18"/>
                      <w:szCs w:val="18"/>
                    </w:rPr>
                  </w:pPr>
                  <w:r>
                    <w:rPr>
                      <w:rFonts w:hint="eastAsia" w:ascii="宋体" w:hAnsi="宋体" w:cs="宋体"/>
                      <w:sz w:val="18"/>
                      <w:szCs w:val="18"/>
                    </w:rPr>
                    <w:t>500</w:t>
                  </w:r>
                </w:p>
              </w:tc>
              <w:tc>
                <w:tcPr>
                  <w:tcW w:w="1021" w:type="pct"/>
                  <w:vAlign w:val="center"/>
                </w:tcPr>
                <w:p>
                  <w:pPr>
                    <w:pStyle w:val="41"/>
                    <w:jc w:val="center"/>
                    <w:rPr>
                      <w:rFonts w:ascii="宋体" w:hAnsi="宋体" w:cs="宋体"/>
                      <w:sz w:val="18"/>
                      <w:szCs w:val="18"/>
                    </w:rPr>
                  </w:pPr>
                  <w:r>
                    <w:rPr>
                      <w:rFonts w:hint="eastAsia" w:ascii="宋体" w:hAnsi="宋体" w:cs="宋体"/>
                      <w:sz w:val="18"/>
                      <w:szCs w:val="18"/>
                    </w:rPr>
                    <w:t>350</w:t>
                  </w:r>
                </w:p>
              </w:tc>
              <w:tc>
                <w:tcPr>
                  <w:tcW w:w="938" w:type="pct"/>
                  <w:vAlign w:val="center"/>
                </w:tcPr>
                <w:p>
                  <w:pPr>
                    <w:pStyle w:val="41"/>
                    <w:jc w:val="center"/>
                    <w:rPr>
                      <w:rFonts w:ascii="宋体" w:hAnsi="宋体" w:cs="宋体"/>
                      <w:sz w:val="18"/>
                      <w:szCs w:val="18"/>
                    </w:rPr>
                  </w:pPr>
                  <w:r>
                    <w:rPr>
                      <w:rFonts w:hint="eastAsia" w:ascii="宋体" w:hAnsi="宋体" w:cs="宋体"/>
                      <w:sz w:val="18"/>
                      <w:szCs w:val="18"/>
                    </w:rPr>
                    <w: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4" w:type="pct"/>
                  <w:vAlign w:val="center"/>
                </w:tcPr>
                <w:p>
                  <w:pPr>
                    <w:pStyle w:val="41"/>
                    <w:jc w:val="center"/>
                    <w:rPr>
                      <w:rFonts w:ascii="宋体" w:hAnsi="宋体" w:cs="宋体"/>
                      <w:sz w:val="18"/>
                      <w:szCs w:val="18"/>
                    </w:rPr>
                  </w:pPr>
                  <w:r>
                    <w:rPr>
                      <w:rFonts w:hint="eastAsia" w:ascii="宋体" w:hAnsi="宋体" w:cs="宋体"/>
                      <w:sz w:val="18"/>
                      <w:szCs w:val="18"/>
                    </w:rPr>
                    <w:t>生化需氧量（BOD</w:t>
                  </w:r>
                  <w:r>
                    <w:rPr>
                      <w:rFonts w:hint="eastAsia" w:ascii="宋体" w:hAnsi="宋体" w:cs="宋体"/>
                      <w:sz w:val="18"/>
                      <w:szCs w:val="18"/>
                      <w:vertAlign w:val="subscript"/>
                    </w:rPr>
                    <w:t>5</w:t>
                  </w:r>
                  <w:r>
                    <w:rPr>
                      <w:rFonts w:hint="eastAsia" w:ascii="宋体" w:hAnsi="宋体" w:cs="宋体"/>
                      <w:sz w:val="18"/>
                      <w:szCs w:val="18"/>
                    </w:rPr>
                    <w:t>）（mg/L）</w:t>
                  </w:r>
                </w:p>
              </w:tc>
              <w:tc>
                <w:tcPr>
                  <w:tcW w:w="1515" w:type="pct"/>
                  <w:vAlign w:val="center"/>
                </w:tcPr>
                <w:p>
                  <w:pPr>
                    <w:pStyle w:val="41"/>
                    <w:jc w:val="center"/>
                    <w:rPr>
                      <w:rFonts w:ascii="宋体" w:hAnsi="宋体" w:cs="宋体"/>
                      <w:sz w:val="18"/>
                      <w:szCs w:val="18"/>
                    </w:rPr>
                  </w:pPr>
                  <w:r>
                    <w:rPr>
                      <w:rFonts w:hint="eastAsia" w:ascii="宋体" w:hAnsi="宋体" w:cs="宋体"/>
                      <w:sz w:val="18"/>
                      <w:szCs w:val="18"/>
                    </w:rPr>
                    <w:t>300</w:t>
                  </w:r>
                </w:p>
              </w:tc>
              <w:tc>
                <w:tcPr>
                  <w:tcW w:w="1021" w:type="pct"/>
                  <w:vAlign w:val="center"/>
                </w:tcPr>
                <w:p>
                  <w:pPr>
                    <w:pStyle w:val="41"/>
                    <w:jc w:val="center"/>
                    <w:rPr>
                      <w:rFonts w:ascii="宋体" w:hAnsi="宋体" w:cs="宋体"/>
                      <w:sz w:val="18"/>
                      <w:szCs w:val="18"/>
                    </w:rPr>
                  </w:pPr>
                  <w:r>
                    <w:rPr>
                      <w:rFonts w:hint="eastAsia" w:ascii="宋体" w:hAnsi="宋体" w:cs="宋体"/>
                      <w:sz w:val="18"/>
                      <w:szCs w:val="18"/>
                    </w:rPr>
                    <w:t>180</w:t>
                  </w:r>
                </w:p>
              </w:tc>
              <w:tc>
                <w:tcPr>
                  <w:tcW w:w="938" w:type="pct"/>
                  <w:vAlign w:val="center"/>
                </w:tcPr>
                <w:p>
                  <w:pPr>
                    <w:pStyle w:val="41"/>
                    <w:jc w:val="center"/>
                    <w:rPr>
                      <w:rFonts w:ascii="宋体" w:hAnsi="宋体" w:cs="宋体"/>
                      <w:sz w:val="18"/>
                      <w:szCs w:val="18"/>
                    </w:rPr>
                  </w:pPr>
                  <w:r>
                    <w:rPr>
                      <w:rFonts w:hint="eastAsia" w:ascii="宋体" w:hAnsi="宋体" w:cs="宋体"/>
                      <w:sz w:val="18"/>
                      <w:szCs w:val="18"/>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4" w:type="pct"/>
                  <w:vAlign w:val="center"/>
                </w:tcPr>
                <w:p>
                  <w:pPr>
                    <w:pStyle w:val="41"/>
                    <w:jc w:val="center"/>
                    <w:rPr>
                      <w:rFonts w:ascii="宋体" w:hAnsi="宋体" w:cs="宋体"/>
                      <w:sz w:val="18"/>
                      <w:szCs w:val="18"/>
                    </w:rPr>
                  </w:pPr>
                  <w:r>
                    <w:rPr>
                      <w:rFonts w:hint="eastAsia" w:ascii="宋体" w:hAnsi="宋体" w:cs="宋体"/>
                      <w:sz w:val="18"/>
                      <w:szCs w:val="18"/>
                    </w:rPr>
                    <w:t>悬浮物（SS）（mg/L）</w:t>
                  </w:r>
                </w:p>
              </w:tc>
              <w:tc>
                <w:tcPr>
                  <w:tcW w:w="1515" w:type="pct"/>
                  <w:vAlign w:val="center"/>
                </w:tcPr>
                <w:p>
                  <w:pPr>
                    <w:pStyle w:val="41"/>
                    <w:jc w:val="center"/>
                    <w:rPr>
                      <w:rFonts w:ascii="宋体" w:hAnsi="宋体" w:cs="宋体"/>
                      <w:sz w:val="18"/>
                      <w:szCs w:val="18"/>
                    </w:rPr>
                  </w:pPr>
                  <w:r>
                    <w:rPr>
                      <w:rFonts w:hint="eastAsia" w:ascii="宋体" w:hAnsi="宋体" w:cs="宋体"/>
                      <w:sz w:val="18"/>
                      <w:szCs w:val="18"/>
                    </w:rPr>
                    <w:t>400</w:t>
                  </w:r>
                </w:p>
              </w:tc>
              <w:tc>
                <w:tcPr>
                  <w:tcW w:w="1021" w:type="pct"/>
                  <w:vAlign w:val="center"/>
                </w:tcPr>
                <w:p>
                  <w:pPr>
                    <w:pStyle w:val="41"/>
                    <w:jc w:val="center"/>
                    <w:rPr>
                      <w:rFonts w:ascii="宋体" w:hAnsi="宋体" w:cs="宋体"/>
                      <w:sz w:val="18"/>
                      <w:szCs w:val="18"/>
                    </w:rPr>
                  </w:pPr>
                  <w:r>
                    <w:rPr>
                      <w:rFonts w:hint="eastAsia" w:ascii="宋体" w:hAnsi="宋体" w:cs="宋体"/>
                      <w:sz w:val="18"/>
                      <w:szCs w:val="18"/>
                    </w:rPr>
                    <w:t>220</w:t>
                  </w:r>
                </w:p>
              </w:tc>
              <w:tc>
                <w:tcPr>
                  <w:tcW w:w="938" w:type="pct"/>
                  <w:vAlign w:val="center"/>
                </w:tcPr>
                <w:p>
                  <w:pPr>
                    <w:pStyle w:val="41"/>
                    <w:jc w:val="center"/>
                    <w:rPr>
                      <w:rFonts w:ascii="宋体" w:hAnsi="宋体" w:cs="宋体"/>
                      <w:sz w:val="18"/>
                      <w:szCs w:val="18"/>
                    </w:rPr>
                  </w:pPr>
                  <w:r>
                    <w:rPr>
                      <w:rFonts w:hint="eastAsia" w:ascii="宋体" w:hAnsi="宋体" w:cs="宋体"/>
                      <w:sz w:val="18"/>
                      <w:szCs w:val="18"/>
                    </w:rPr>
                    <w:t>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4" w:type="pct"/>
                  <w:vAlign w:val="center"/>
                </w:tcPr>
                <w:p>
                  <w:pPr>
                    <w:pStyle w:val="41"/>
                    <w:jc w:val="center"/>
                    <w:rPr>
                      <w:rFonts w:ascii="宋体" w:hAnsi="宋体" w:cs="宋体"/>
                      <w:sz w:val="18"/>
                      <w:szCs w:val="18"/>
                    </w:rPr>
                  </w:pPr>
                  <w:r>
                    <w:rPr>
                      <w:rFonts w:hint="eastAsia" w:ascii="宋体" w:hAnsi="宋体" w:cs="宋体"/>
                      <w:sz w:val="18"/>
                      <w:szCs w:val="18"/>
                    </w:rPr>
                    <w:t>氨氮（mg/L）</w:t>
                  </w:r>
                </w:p>
              </w:tc>
              <w:tc>
                <w:tcPr>
                  <w:tcW w:w="1515" w:type="pct"/>
                  <w:vAlign w:val="center"/>
                </w:tcPr>
                <w:p>
                  <w:pPr>
                    <w:pStyle w:val="41"/>
                    <w:jc w:val="center"/>
                    <w:rPr>
                      <w:rFonts w:ascii="宋体" w:hAnsi="宋体" w:cs="宋体"/>
                      <w:sz w:val="18"/>
                      <w:szCs w:val="18"/>
                    </w:rPr>
                  </w:pPr>
                  <w:r>
                    <w:rPr>
                      <w:rFonts w:hint="eastAsia" w:ascii="宋体" w:hAnsi="宋体" w:cs="宋体"/>
                      <w:sz w:val="18"/>
                      <w:szCs w:val="18"/>
                    </w:rPr>
                    <w:t>——</w:t>
                  </w:r>
                </w:p>
              </w:tc>
              <w:tc>
                <w:tcPr>
                  <w:tcW w:w="1021" w:type="pct"/>
                  <w:vAlign w:val="center"/>
                </w:tcPr>
                <w:p>
                  <w:pPr>
                    <w:pStyle w:val="41"/>
                    <w:jc w:val="center"/>
                    <w:rPr>
                      <w:rFonts w:ascii="宋体" w:hAnsi="宋体" w:cs="宋体"/>
                      <w:sz w:val="18"/>
                      <w:szCs w:val="18"/>
                    </w:rPr>
                  </w:pPr>
                  <w:r>
                    <w:rPr>
                      <w:rFonts w:hint="eastAsia" w:ascii="宋体" w:hAnsi="宋体" w:cs="宋体"/>
                      <w:sz w:val="18"/>
                      <w:szCs w:val="18"/>
                    </w:rPr>
                    <w:t>35</w:t>
                  </w:r>
                </w:p>
              </w:tc>
              <w:tc>
                <w:tcPr>
                  <w:tcW w:w="938" w:type="pct"/>
                  <w:vAlign w:val="center"/>
                </w:tcPr>
                <w:p>
                  <w:pPr>
                    <w:pStyle w:val="41"/>
                    <w:jc w:val="center"/>
                    <w:rPr>
                      <w:rFonts w:ascii="宋体" w:hAnsi="宋体" w:cs="宋体"/>
                      <w:sz w:val="18"/>
                      <w:szCs w:val="18"/>
                    </w:rPr>
                  </w:pPr>
                  <w:r>
                    <w:rPr>
                      <w:rFonts w:hint="eastAsia" w:ascii="宋体" w:hAnsi="宋体" w:cs="宋体"/>
                      <w:sz w:val="18"/>
                      <w:szCs w:val="18"/>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4" w:type="pct"/>
                  <w:vAlign w:val="center"/>
                </w:tcPr>
                <w:p>
                  <w:pPr>
                    <w:pStyle w:val="41"/>
                    <w:jc w:val="center"/>
                    <w:rPr>
                      <w:rFonts w:ascii="宋体" w:hAnsi="宋体" w:cs="宋体"/>
                      <w:sz w:val="18"/>
                      <w:szCs w:val="18"/>
                    </w:rPr>
                  </w:pPr>
                  <w:r>
                    <w:rPr>
                      <w:rFonts w:hint="eastAsia" w:ascii="宋体" w:hAnsi="宋体" w:cs="宋体"/>
                      <w:sz w:val="18"/>
                      <w:szCs w:val="18"/>
                    </w:rPr>
                    <w:t>总磷</w:t>
                  </w:r>
                </w:p>
              </w:tc>
              <w:tc>
                <w:tcPr>
                  <w:tcW w:w="1515" w:type="pct"/>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021" w:type="pct"/>
                  <w:vAlign w:val="center"/>
                </w:tcPr>
                <w:p>
                  <w:pPr>
                    <w:pStyle w:val="41"/>
                    <w:jc w:val="center"/>
                    <w:rPr>
                      <w:rFonts w:ascii="宋体" w:hAnsi="宋体" w:cs="宋体"/>
                      <w:sz w:val="18"/>
                      <w:szCs w:val="18"/>
                    </w:rPr>
                  </w:pPr>
                  <w:r>
                    <w:rPr>
                      <w:rFonts w:hint="eastAsia" w:ascii="宋体" w:hAnsi="宋体" w:cs="宋体"/>
                      <w:sz w:val="18"/>
                      <w:szCs w:val="18"/>
                    </w:rPr>
                    <w:t>4</w:t>
                  </w:r>
                </w:p>
              </w:tc>
              <w:tc>
                <w:tcPr>
                  <w:tcW w:w="938" w:type="pct"/>
                  <w:vAlign w:val="center"/>
                </w:tcPr>
                <w:p>
                  <w:pPr>
                    <w:pStyle w:val="41"/>
                    <w:jc w:val="center"/>
                    <w:rPr>
                      <w:rFonts w:ascii="宋体" w:hAnsi="宋体" w:cs="宋体"/>
                      <w:sz w:val="18"/>
                      <w:szCs w:val="18"/>
                    </w:rPr>
                  </w:pPr>
                  <w:r>
                    <w:rPr>
                      <w:rFonts w:hint="eastAsia" w:ascii="宋体" w:hAnsi="宋体" w:cs="宋体"/>
                      <w:sz w:val="18"/>
                      <w:szCs w:val="18"/>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4" w:type="pct"/>
                  <w:vAlign w:val="center"/>
                </w:tcPr>
                <w:p>
                  <w:pPr>
                    <w:pStyle w:val="41"/>
                    <w:jc w:val="center"/>
                    <w:rPr>
                      <w:rFonts w:ascii="宋体" w:hAnsi="宋体" w:cs="宋体"/>
                      <w:sz w:val="18"/>
                      <w:szCs w:val="18"/>
                    </w:rPr>
                  </w:pPr>
                  <w:r>
                    <w:rPr>
                      <w:rFonts w:hint="eastAsia" w:ascii="宋体" w:hAnsi="宋体" w:cs="宋体"/>
                      <w:sz w:val="18"/>
                      <w:szCs w:val="18"/>
                    </w:rPr>
                    <w:t>总氮</w:t>
                  </w:r>
                </w:p>
              </w:tc>
              <w:tc>
                <w:tcPr>
                  <w:tcW w:w="1515" w:type="pct"/>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021" w:type="pct"/>
                  <w:vAlign w:val="center"/>
                </w:tcPr>
                <w:p>
                  <w:pPr>
                    <w:pStyle w:val="41"/>
                    <w:jc w:val="center"/>
                    <w:rPr>
                      <w:rFonts w:ascii="宋体" w:hAnsi="宋体" w:cs="宋体"/>
                      <w:sz w:val="18"/>
                      <w:szCs w:val="18"/>
                    </w:rPr>
                  </w:pPr>
                  <w:r>
                    <w:rPr>
                      <w:rFonts w:hint="eastAsia" w:ascii="宋体" w:hAnsi="宋体" w:cs="宋体"/>
                      <w:sz w:val="18"/>
                      <w:szCs w:val="18"/>
                    </w:rPr>
                    <w:t>40</w:t>
                  </w:r>
                </w:p>
              </w:tc>
              <w:tc>
                <w:tcPr>
                  <w:tcW w:w="938" w:type="pct"/>
                  <w:vAlign w:val="center"/>
                </w:tcPr>
                <w:p>
                  <w:pPr>
                    <w:pStyle w:val="41"/>
                    <w:jc w:val="center"/>
                    <w:rPr>
                      <w:rFonts w:ascii="宋体" w:hAnsi="宋体" w:cs="宋体"/>
                      <w:sz w:val="18"/>
                      <w:szCs w:val="18"/>
                    </w:rPr>
                  </w:pPr>
                  <w:r>
                    <w:rPr>
                      <w:rFonts w:hint="eastAsia" w:ascii="宋体" w:hAnsi="宋体" w:cs="宋体"/>
                      <w:sz w:val="18"/>
                      <w:szCs w:val="18"/>
                    </w:rPr>
                    <w:t>40</w:t>
                  </w:r>
                </w:p>
              </w:tc>
            </w:tr>
          </w:tbl>
          <w:p>
            <w:pPr>
              <w:tabs>
                <w:tab w:val="left" w:pos="-108"/>
                <w:tab w:val="left" w:pos="627"/>
                <w:tab w:val="left" w:pos="942"/>
              </w:tabs>
              <w:spacing w:line="360" w:lineRule="auto"/>
              <w:ind w:firstLine="422" w:firstLineChars="200"/>
              <w:rPr>
                <w:rFonts w:ascii="宋体" w:hAnsi="宋体" w:cs="宋体"/>
                <w:b/>
                <w:bCs/>
                <w:szCs w:val="21"/>
              </w:rPr>
            </w:pPr>
            <w:r>
              <w:rPr>
                <w:rFonts w:hint="eastAsia" w:ascii="宋体" w:hAnsi="宋体" w:cs="宋体"/>
                <w:b/>
                <w:bCs/>
                <w:szCs w:val="21"/>
              </w:rPr>
              <w:t>3、噪声：</w:t>
            </w:r>
          </w:p>
          <w:p>
            <w:pPr>
              <w:tabs>
                <w:tab w:val="left" w:pos="-108"/>
                <w:tab w:val="left" w:pos="627"/>
                <w:tab w:val="left" w:pos="942"/>
              </w:tabs>
              <w:spacing w:line="360" w:lineRule="auto"/>
              <w:ind w:left="420" w:leftChars="200"/>
              <w:rPr>
                <w:rFonts w:ascii="宋体" w:hAnsi="宋体" w:cs="宋体"/>
                <w:b/>
                <w:szCs w:val="21"/>
              </w:rPr>
            </w:pPr>
            <w:r>
              <w:rPr>
                <w:rFonts w:hint="eastAsia" w:ascii="宋体" w:hAnsi="宋体" w:cs="宋体"/>
                <w:szCs w:val="21"/>
              </w:rPr>
              <w:t>施工期执行《建筑施工场界环境噪声排放标准》（GB12523-2011），具体限值见下表。</w:t>
            </w:r>
          </w:p>
          <w:p>
            <w:pPr>
              <w:spacing w:line="360" w:lineRule="auto"/>
              <w:jc w:val="center"/>
              <w:rPr>
                <w:rFonts w:ascii="宋体" w:hAnsi="宋体" w:cs="宋体"/>
                <w:b/>
                <w:szCs w:val="21"/>
              </w:rPr>
            </w:pPr>
            <w:r>
              <w:rPr>
                <w:rFonts w:hint="eastAsia" w:ascii="宋体" w:hAnsi="宋体" w:cs="宋体"/>
                <w:b/>
                <w:szCs w:val="21"/>
              </w:rPr>
              <w:t>表3-8  建筑施工场界环境噪声排放标准</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19"/>
              <w:gridCol w:w="4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0" w:type="pct"/>
                  <w:noWrap/>
                  <w:vAlign w:val="center"/>
                </w:tcPr>
                <w:p>
                  <w:pPr>
                    <w:adjustRightInd w:val="0"/>
                    <w:snapToGrid w:val="0"/>
                    <w:jc w:val="center"/>
                    <w:rPr>
                      <w:rFonts w:ascii="宋体" w:hAnsi="宋体" w:cs="宋体"/>
                      <w:b/>
                      <w:sz w:val="18"/>
                      <w:szCs w:val="18"/>
                    </w:rPr>
                  </w:pPr>
                  <w:r>
                    <w:rPr>
                      <w:rFonts w:hint="eastAsia" w:ascii="宋体" w:hAnsi="宋体" w:cs="宋体"/>
                      <w:b/>
                      <w:sz w:val="18"/>
                      <w:szCs w:val="18"/>
                    </w:rPr>
                    <w:t>昼间</w:t>
                  </w:r>
                </w:p>
              </w:tc>
              <w:tc>
                <w:tcPr>
                  <w:tcW w:w="2500" w:type="pct"/>
                  <w:noWrap/>
                  <w:vAlign w:val="center"/>
                </w:tcPr>
                <w:p>
                  <w:pPr>
                    <w:adjustRightInd w:val="0"/>
                    <w:snapToGrid w:val="0"/>
                    <w:jc w:val="center"/>
                    <w:rPr>
                      <w:rFonts w:ascii="宋体" w:hAnsi="宋体" w:cs="宋体"/>
                      <w:b/>
                      <w:sz w:val="18"/>
                      <w:szCs w:val="18"/>
                    </w:rPr>
                  </w:pPr>
                  <w:r>
                    <w:rPr>
                      <w:rFonts w:hint="eastAsia" w:ascii="宋体" w:hAnsi="宋体" w:cs="宋体"/>
                      <w:b/>
                      <w:sz w:val="18"/>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00" w:type="pct"/>
                  <w:noWrap/>
                  <w:vAlign w:val="center"/>
                </w:tcPr>
                <w:p>
                  <w:pPr>
                    <w:adjustRightInd w:val="0"/>
                    <w:snapToGrid w:val="0"/>
                    <w:jc w:val="center"/>
                    <w:rPr>
                      <w:rFonts w:ascii="宋体" w:hAnsi="宋体" w:cs="宋体"/>
                      <w:sz w:val="18"/>
                      <w:szCs w:val="18"/>
                    </w:rPr>
                  </w:pPr>
                  <w:r>
                    <w:rPr>
                      <w:rFonts w:hint="eastAsia" w:ascii="宋体" w:hAnsi="宋体" w:cs="宋体"/>
                      <w:sz w:val="18"/>
                      <w:szCs w:val="18"/>
                    </w:rPr>
                    <w:t>70dB(A)</w:t>
                  </w:r>
                </w:p>
              </w:tc>
              <w:tc>
                <w:tcPr>
                  <w:tcW w:w="2500" w:type="pct"/>
                  <w:noWrap/>
                  <w:vAlign w:val="center"/>
                </w:tcPr>
                <w:p>
                  <w:pPr>
                    <w:adjustRightInd w:val="0"/>
                    <w:snapToGrid w:val="0"/>
                    <w:jc w:val="center"/>
                    <w:rPr>
                      <w:rFonts w:ascii="宋体" w:hAnsi="宋体" w:cs="宋体"/>
                      <w:sz w:val="18"/>
                      <w:szCs w:val="18"/>
                    </w:rPr>
                  </w:pPr>
                  <w:r>
                    <w:rPr>
                      <w:rFonts w:hint="eastAsia" w:ascii="宋体" w:hAnsi="宋体" w:cs="宋体"/>
                      <w:sz w:val="18"/>
                      <w:szCs w:val="18"/>
                    </w:rPr>
                    <w:t>55dB(A)</w:t>
                  </w:r>
                </w:p>
              </w:tc>
            </w:tr>
          </w:tbl>
          <w:p>
            <w:pPr>
              <w:snapToGrid w:val="0"/>
              <w:spacing w:line="360" w:lineRule="auto"/>
              <w:ind w:firstLine="420" w:firstLineChars="200"/>
              <w:rPr>
                <w:rFonts w:ascii="宋体" w:hAnsi="宋体" w:cs="宋体"/>
                <w:szCs w:val="21"/>
              </w:rPr>
            </w:pPr>
            <w:r>
              <w:rPr>
                <w:rFonts w:hint="eastAsia" w:ascii="宋体" w:hAnsi="宋体" w:cs="宋体"/>
                <w:szCs w:val="21"/>
              </w:rPr>
              <w:t>运营期边界噪声执行《工业企业厂界环境噪声排放标准》（GB 12348-2008）中的2类及4类标准。具体指标见下表。</w:t>
            </w:r>
          </w:p>
          <w:p>
            <w:pPr>
              <w:spacing w:line="360" w:lineRule="auto"/>
              <w:ind w:firstLine="422" w:firstLineChars="200"/>
              <w:jc w:val="center"/>
              <w:rPr>
                <w:b/>
                <w:szCs w:val="21"/>
              </w:rPr>
            </w:pPr>
            <w:r>
              <w:rPr>
                <w:rFonts w:hint="eastAsia" w:ascii="宋体" w:hAnsi="宋体" w:cs="宋体"/>
                <w:b/>
                <w:szCs w:val="21"/>
              </w:rPr>
              <w:t>表3-9 工业企业厂界环境噪声排放标准</w:t>
            </w:r>
          </w:p>
          <w:tbl>
            <w:tblPr>
              <w:tblStyle w:val="24"/>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18"/>
              <w:gridCol w:w="1911"/>
              <w:gridCol w:w="33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08" w:type="pct"/>
                  <w:vMerge w:val="restart"/>
                  <w:noWrap/>
                  <w:vAlign w:val="center"/>
                </w:tcPr>
                <w:p>
                  <w:pPr>
                    <w:adjustRightInd w:val="0"/>
                    <w:snapToGrid w:val="0"/>
                    <w:jc w:val="center"/>
                    <w:rPr>
                      <w:rFonts w:ascii="宋体" w:hAnsi="宋体" w:cs="宋体"/>
                      <w:b/>
                      <w:sz w:val="18"/>
                      <w:szCs w:val="18"/>
                    </w:rPr>
                  </w:pPr>
                  <w:r>
                    <w:rPr>
                      <w:rFonts w:hint="eastAsia" w:ascii="宋体" w:hAnsi="宋体" w:cs="宋体"/>
                      <w:b/>
                      <w:sz w:val="18"/>
                      <w:szCs w:val="18"/>
                    </w:rPr>
                    <w:t>类别</w:t>
                  </w:r>
                </w:p>
              </w:tc>
              <w:tc>
                <w:tcPr>
                  <w:tcW w:w="3091" w:type="pct"/>
                  <w:gridSpan w:val="2"/>
                  <w:noWrap/>
                  <w:vAlign w:val="center"/>
                </w:tcPr>
                <w:p>
                  <w:pPr>
                    <w:adjustRightInd w:val="0"/>
                    <w:snapToGrid w:val="0"/>
                    <w:jc w:val="center"/>
                    <w:rPr>
                      <w:rFonts w:ascii="宋体" w:hAnsi="宋体" w:cs="宋体"/>
                      <w:b/>
                      <w:sz w:val="18"/>
                      <w:szCs w:val="18"/>
                    </w:rPr>
                  </w:pPr>
                  <w:r>
                    <w:rPr>
                      <w:rFonts w:hint="eastAsia" w:ascii="宋体" w:hAnsi="宋体" w:cs="宋体"/>
                      <w:b/>
                      <w:sz w:val="18"/>
                      <w:szCs w:val="18"/>
                    </w:rPr>
                    <w:t>时 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08" w:type="pct"/>
                  <w:vMerge w:val="continue"/>
                  <w:noWrap/>
                  <w:vAlign w:val="center"/>
                </w:tcPr>
                <w:p>
                  <w:pPr>
                    <w:adjustRightInd w:val="0"/>
                    <w:snapToGrid w:val="0"/>
                    <w:jc w:val="center"/>
                    <w:rPr>
                      <w:rFonts w:ascii="宋体" w:hAnsi="宋体" w:cs="宋体"/>
                      <w:b/>
                      <w:sz w:val="18"/>
                      <w:szCs w:val="18"/>
                    </w:rPr>
                  </w:pPr>
                </w:p>
              </w:tc>
              <w:tc>
                <w:tcPr>
                  <w:tcW w:w="1133" w:type="pct"/>
                  <w:noWrap/>
                  <w:vAlign w:val="center"/>
                </w:tcPr>
                <w:p>
                  <w:pPr>
                    <w:adjustRightInd w:val="0"/>
                    <w:snapToGrid w:val="0"/>
                    <w:jc w:val="center"/>
                    <w:rPr>
                      <w:rFonts w:ascii="宋体" w:hAnsi="宋体" w:cs="宋体"/>
                      <w:b/>
                      <w:sz w:val="18"/>
                      <w:szCs w:val="18"/>
                    </w:rPr>
                  </w:pPr>
                  <w:r>
                    <w:rPr>
                      <w:rFonts w:hint="eastAsia" w:ascii="宋体" w:hAnsi="宋体" w:cs="宋体"/>
                      <w:b/>
                      <w:sz w:val="18"/>
                      <w:szCs w:val="18"/>
                    </w:rPr>
                    <w:t>昼间 （dB(A)）</w:t>
                  </w:r>
                </w:p>
              </w:tc>
              <w:tc>
                <w:tcPr>
                  <w:tcW w:w="1957" w:type="pct"/>
                  <w:noWrap/>
                  <w:vAlign w:val="center"/>
                </w:tcPr>
                <w:p>
                  <w:pPr>
                    <w:adjustRightInd w:val="0"/>
                    <w:snapToGrid w:val="0"/>
                    <w:jc w:val="center"/>
                    <w:rPr>
                      <w:rFonts w:ascii="宋体" w:hAnsi="宋体" w:cs="宋体"/>
                      <w:b/>
                      <w:sz w:val="18"/>
                      <w:szCs w:val="18"/>
                    </w:rPr>
                  </w:pPr>
                  <w:r>
                    <w:rPr>
                      <w:rFonts w:hint="eastAsia" w:ascii="宋体" w:hAnsi="宋体" w:cs="宋体"/>
                      <w:b/>
                      <w:sz w:val="18"/>
                      <w:szCs w:val="18"/>
                    </w:rPr>
                    <w:t>夜间 （dB(A)）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08" w:type="pct"/>
                  <w:noWrap/>
                  <w:vAlign w:val="center"/>
                </w:tcPr>
                <w:p>
                  <w:pPr>
                    <w:adjustRightInd w:val="0"/>
                    <w:snapToGrid w:val="0"/>
                    <w:jc w:val="center"/>
                    <w:rPr>
                      <w:rFonts w:ascii="宋体" w:hAnsi="宋体" w:cs="宋体"/>
                      <w:sz w:val="18"/>
                      <w:szCs w:val="18"/>
                    </w:rPr>
                  </w:pPr>
                  <w:r>
                    <w:rPr>
                      <w:rFonts w:hint="eastAsia" w:ascii="宋体" w:hAnsi="宋体" w:cs="宋体"/>
                      <w:sz w:val="18"/>
                      <w:szCs w:val="18"/>
                    </w:rPr>
                    <w:t>2类（东、西、北厂界）</w:t>
                  </w:r>
                </w:p>
              </w:tc>
              <w:tc>
                <w:tcPr>
                  <w:tcW w:w="1133" w:type="pct"/>
                  <w:noWrap/>
                  <w:vAlign w:val="center"/>
                </w:tcPr>
                <w:p>
                  <w:pPr>
                    <w:adjustRightInd w:val="0"/>
                    <w:snapToGrid w:val="0"/>
                    <w:jc w:val="center"/>
                    <w:rPr>
                      <w:rFonts w:ascii="宋体" w:hAnsi="宋体" w:cs="宋体"/>
                      <w:sz w:val="18"/>
                      <w:szCs w:val="18"/>
                    </w:rPr>
                  </w:pPr>
                  <w:r>
                    <w:rPr>
                      <w:rFonts w:hint="eastAsia" w:ascii="宋体" w:hAnsi="宋体" w:cs="宋体"/>
                      <w:sz w:val="18"/>
                      <w:szCs w:val="18"/>
                    </w:rPr>
                    <w:t>60</w:t>
                  </w:r>
                </w:p>
              </w:tc>
              <w:tc>
                <w:tcPr>
                  <w:tcW w:w="1957" w:type="pct"/>
                  <w:noWrap/>
                  <w:vAlign w:val="center"/>
                </w:tcPr>
                <w:p>
                  <w:pPr>
                    <w:adjustRightInd w:val="0"/>
                    <w:snapToGrid w:val="0"/>
                    <w:jc w:val="center"/>
                    <w:rPr>
                      <w:rFonts w:ascii="宋体" w:hAnsi="宋体" w:cs="宋体"/>
                      <w:sz w:val="18"/>
                      <w:szCs w:val="18"/>
                    </w:rPr>
                  </w:pPr>
                  <w:r>
                    <w:rPr>
                      <w:rFonts w:hint="eastAsia" w:ascii="宋体" w:hAnsi="宋体" w:cs="宋体"/>
                      <w:sz w:val="18"/>
                      <w:szCs w:val="18"/>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08" w:type="pct"/>
                  <w:noWrap/>
                  <w:vAlign w:val="center"/>
                </w:tcPr>
                <w:p>
                  <w:pPr>
                    <w:adjustRightInd w:val="0"/>
                    <w:snapToGrid w:val="0"/>
                    <w:jc w:val="center"/>
                    <w:rPr>
                      <w:rFonts w:ascii="宋体" w:hAnsi="宋体" w:cs="宋体"/>
                      <w:sz w:val="18"/>
                      <w:szCs w:val="18"/>
                    </w:rPr>
                  </w:pPr>
                  <w:r>
                    <w:rPr>
                      <w:rFonts w:hint="eastAsia" w:ascii="宋体" w:hAnsi="宋体" w:cs="宋体"/>
                      <w:sz w:val="18"/>
                      <w:szCs w:val="18"/>
                    </w:rPr>
                    <w:t>4类（南厂界）</w:t>
                  </w:r>
                </w:p>
              </w:tc>
              <w:tc>
                <w:tcPr>
                  <w:tcW w:w="1133" w:type="pct"/>
                  <w:noWrap/>
                  <w:vAlign w:val="center"/>
                </w:tcPr>
                <w:p>
                  <w:pPr>
                    <w:adjustRightInd w:val="0"/>
                    <w:snapToGrid w:val="0"/>
                    <w:jc w:val="center"/>
                    <w:rPr>
                      <w:rFonts w:ascii="宋体" w:hAnsi="宋体" w:cs="宋体"/>
                      <w:sz w:val="18"/>
                      <w:szCs w:val="18"/>
                    </w:rPr>
                  </w:pPr>
                  <w:r>
                    <w:rPr>
                      <w:rFonts w:hint="eastAsia" w:ascii="宋体" w:hAnsi="宋体" w:cs="宋体"/>
                      <w:sz w:val="18"/>
                      <w:szCs w:val="18"/>
                    </w:rPr>
                    <w:t>70</w:t>
                  </w:r>
                </w:p>
              </w:tc>
              <w:tc>
                <w:tcPr>
                  <w:tcW w:w="1957" w:type="pct"/>
                  <w:noWrap/>
                  <w:vAlign w:val="center"/>
                </w:tcPr>
                <w:p>
                  <w:pPr>
                    <w:adjustRightInd w:val="0"/>
                    <w:snapToGrid w:val="0"/>
                    <w:jc w:val="center"/>
                    <w:rPr>
                      <w:rFonts w:ascii="宋体" w:hAnsi="宋体" w:cs="宋体"/>
                      <w:sz w:val="18"/>
                      <w:szCs w:val="18"/>
                    </w:rPr>
                  </w:pPr>
                  <w:r>
                    <w:rPr>
                      <w:rFonts w:hint="eastAsia" w:ascii="宋体" w:hAnsi="宋体" w:cs="宋体"/>
                      <w:sz w:val="18"/>
                      <w:szCs w:val="18"/>
                    </w:rPr>
                    <w:t>55</w:t>
                  </w:r>
                </w:p>
              </w:tc>
            </w:tr>
          </w:tbl>
          <w:p>
            <w:pPr>
              <w:adjustRightInd w:val="0"/>
              <w:snapToGrid w:val="0"/>
              <w:spacing w:line="360" w:lineRule="auto"/>
              <w:ind w:firstLine="422" w:firstLineChars="200"/>
              <w:rPr>
                <w:b/>
                <w:bCs/>
                <w:szCs w:val="21"/>
              </w:rPr>
            </w:pPr>
          </w:p>
          <w:p>
            <w:pPr>
              <w:adjustRightInd w:val="0"/>
              <w:snapToGrid w:val="0"/>
              <w:spacing w:line="360" w:lineRule="auto"/>
              <w:ind w:firstLine="422" w:firstLineChars="200"/>
              <w:rPr>
                <w:rFonts w:ascii="宋体" w:hAnsi="宋体" w:cs="宋体"/>
                <w:b/>
                <w:bCs/>
                <w:color w:val="000000" w:themeColor="text1"/>
                <w:szCs w:val="21"/>
                <w14:textFill>
                  <w14:solidFill>
                    <w14:schemeClr w14:val="tx1"/>
                  </w14:solidFill>
                </w14:textFill>
              </w:rPr>
            </w:pPr>
            <w:r>
              <w:rPr>
                <w:rFonts w:hint="eastAsia" w:ascii="宋体" w:hAnsi="宋体" w:cs="宋体"/>
                <w:b/>
                <w:bCs/>
                <w:szCs w:val="21"/>
              </w:rPr>
              <w:t>4、固体废</w:t>
            </w:r>
            <w:r>
              <w:rPr>
                <w:rFonts w:hint="eastAsia" w:ascii="宋体" w:hAnsi="宋体" w:cs="宋体"/>
                <w:b/>
                <w:bCs/>
                <w:color w:val="000000" w:themeColor="text1"/>
                <w:szCs w:val="21"/>
                <w14:textFill>
                  <w14:solidFill>
                    <w14:schemeClr w14:val="tx1"/>
                  </w14:solidFill>
                </w14:textFill>
              </w:rPr>
              <w:t>物：</w:t>
            </w:r>
          </w:p>
          <w:p>
            <w:pPr>
              <w:adjustRightInd w:val="0"/>
              <w:snapToGrid w:val="0"/>
              <w:spacing w:line="360" w:lineRule="auto"/>
              <w:ind w:firstLine="420" w:firstLineChars="200"/>
            </w:pPr>
            <w:r>
              <w:rPr>
                <w:rFonts w:hint="eastAsia" w:ascii="宋体" w:hAnsi="宋体" w:cs="宋体"/>
                <w:color w:val="000000" w:themeColor="text1"/>
                <w:szCs w:val="21"/>
                <w14:textFill>
                  <w14:solidFill>
                    <w14:schemeClr w14:val="tx1"/>
                  </w14:solidFill>
                </w14:textFill>
              </w:rPr>
              <w:t>一般固体废物贮存和处置执行《</w:t>
            </w:r>
            <w:r>
              <w:rPr>
                <w:rFonts w:hint="eastAsia" w:ascii="宋体" w:hAnsi="宋体" w:cs="宋体"/>
                <w:color w:val="000000" w:themeColor="text1"/>
                <w:spacing w:val="16"/>
                <w:szCs w:val="21"/>
                <w14:textFill>
                  <w14:solidFill>
                    <w14:schemeClr w14:val="tx1"/>
                  </w14:solidFill>
                </w14:textFill>
              </w:rPr>
              <w:t>一般工业固体废物贮存和填埋污染控制标准</w:t>
            </w:r>
            <w:r>
              <w:rPr>
                <w:rFonts w:hint="eastAsia" w:ascii="宋体" w:hAnsi="宋体" w:cs="宋体"/>
                <w:color w:val="000000" w:themeColor="text1"/>
                <w:szCs w:val="21"/>
                <w14:textFill>
                  <w14:solidFill>
                    <w14:schemeClr w14:val="tx1"/>
                  </w14:solidFill>
                </w14:textFill>
              </w:rPr>
              <w:t>》（GB 18599-2020）。危险废物执行《危险废物贮存污染控制标准》（GB18597-2023）</w:t>
            </w: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8" w:hRule="atLeast"/>
          <w:jc w:val="center"/>
        </w:trPr>
        <w:tc>
          <w:tcPr>
            <w:tcW w:w="219" w:type="pct"/>
            <w:noWrap/>
            <w:vAlign w:val="center"/>
          </w:tcPr>
          <w:p>
            <w:pPr>
              <w:adjustRightInd w:val="0"/>
              <w:snapToGrid w:val="0"/>
              <w:jc w:val="center"/>
              <w:rPr>
                <w:kern w:val="0"/>
                <w:szCs w:val="21"/>
              </w:rPr>
            </w:pPr>
            <w:r>
              <w:rPr>
                <w:kern w:val="0"/>
                <w:szCs w:val="21"/>
              </w:rPr>
              <w:t>总量</w:t>
            </w:r>
          </w:p>
          <w:p>
            <w:pPr>
              <w:adjustRightInd w:val="0"/>
              <w:snapToGrid w:val="0"/>
              <w:jc w:val="center"/>
              <w:rPr>
                <w:kern w:val="0"/>
                <w:szCs w:val="21"/>
              </w:rPr>
            </w:pPr>
            <w:r>
              <w:rPr>
                <w:kern w:val="0"/>
                <w:szCs w:val="21"/>
              </w:rPr>
              <w:t>控制</w:t>
            </w:r>
          </w:p>
          <w:p>
            <w:pPr>
              <w:adjustRightInd w:val="0"/>
              <w:snapToGrid w:val="0"/>
              <w:jc w:val="center"/>
              <w:rPr>
                <w:kern w:val="0"/>
                <w:szCs w:val="21"/>
              </w:rPr>
            </w:pPr>
            <w:r>
              <w:rPr>
                <w:kern w:val="0"/>
                <w:szCs w:val="21"/>
              </w:rPr>
              <w:t>指标</w:t>
            </w:r>
          </w:p>
        </w:tc>
        <w:tc>
          <w:tcPr>
            <w:tcW w:w="4780" w:type="pct"/>
            <w:noWrap/>
            <w:vAlign w:val="center"/>
          </w:tcPr>
          <w:p>
            <w:pPr>
              <w:adjustRightInd w:val="0"/>
              <w:snapToGrid w:val="0"/>
              <w:spacing w:line="360" w:lineRule="auto"/>
              <w:ind w:firstLine="420" w:firstLineChars="200"/>
              <w:rPr>
                <w:rFonts w:ascii="宋体" w:hAnsi="宋体" w:cs="宋体"/>
              </w:rPr>
            </w:pPr>
            <w:r>
              <w:rPr>
                <w:rFonts w:hint="eastAsia" w:ascii="宋体" w:hAnsi="宋体" w:cs="宋体"/>
              </w:rPr>
              <w:t xml:space="preserve">根据拟建项目污染物排放的种类及区域环境特征，确定本项目总量控制因子为 COD、NH3-N、SO2、NOx。 </w:t>
            </w:r>
          </w:p>
          <w:p>
            <w:pPr>
              <w:adjustRightInd w:val="0"/>
              <w:snapToGrid w:val="0"/>
              <w:spacing w:line="360" w:lineRule="auto"/>
              <w:ind w:firstLine="422" w:firstLineChars="200"/>
              <w:rPr>
                <w:rFonts w:ascii="宋体" w:hAnsi="宋体" w:cs="宋体"/>
                <w:b/>
                <w:bCs/>
              </w:rPr>
            </w:pPr>
            <w:r>
              <w:rPr>
                <w:rFonts w:hint="eastAsia" w:ascii="宋体" w:hAnsi="宋体" w:cs="宋体"/>
                <w:b/>
                <w:bCs/>
              </w:rPr>
              <w:t>1、锅炉废气</w:t>
            </w:r>
          </w:p>
          <w:p>
            <w:pPr>
              <w:adjustRightInd w:val="0"/>
              <w:snapToGrid w:val="0"/>
              <w:spacing w:line="360" w:lineRule="auto"/>
              <w:ind w:firstLine="420" w:firstLineChars="200"/>
              <w:rPr>
                <w:rFonts w:ascii="宋体" w:hAnsi="宋体" w:cs="宋体"/>
              </w:rPr>
            </w:pPr>
            <w:r>
              <w:rPr>
                <w:rFonts w:hint="eastAsia" w:ascii="宋体" w:hAnsi="宋体" w:cs="宋体"/>
              </w:rPr>
              <w:t>本项目锅炉为生物质锅炉，主要有颗粒物、SO</w:t>
            </w:r>
            <w:r>
              <w:rPr>
                <w:rFonts w:hint="eastAsia" w:ascii="宋体" w:hAnsi="宋体" w:cs="宋体"/>
                <w:vertAlign w:val="subscript"/>
              </w:rPr>
              <w:t>2</w:t>
            </w:r>
            <w:r>
              <w:rPr>
                <w:rFonts w:hint="eastAsia" w:ascii="宋体" w:hAnsi="宋体" w:cs="宋体"/>
              </w:rPr>
              <w:t xml:space="preserve">、氮氧化物排放。 </w:t>
            </w:r>
          </w:p>
          <w:p>
            <w:pPr>
              <w:spacing w:line="360" w:lineRule="auto"/>
              <w:ind w:firstLine="420" w:firstLineChars="200"/>
              <w:rPr>
                <w:rFonts w:ascii="宋体" w:hAnsi="宋体" w:cs="宋体"/>
              </w:rPr>
            </w:pPr>
            <w:r>
              <w:rPr>
                <w:rFonts w:hint="eastAsia" w:ascii="宋体" w:hAnsi="宋体" w:cs="宋体"/>
              </w:rPr>
              <w:t>根据环境影响分析，项目有组织排放的SO</w:t>
            </w:r>
            <w:r>
              <w:rPr>
                <w:rFonts w:hint="eastAsia" w:ascii="宋体" w:hAnsi="宋体" w:cs="宋体"/>
                <w:vertAlign w:val="subscript"/>
              </w:rPr>
              <w:t>2</w:t>
            </w:r>
            <w:r>
              <w:rPr>
                <w:rFonts w:hint="eastAsia" w:ascii="宋体" w:hAnsi="宋体" w:cs="宋体"/>
              </w:rPr>
              <w:t>、</w:t>
            </w:r>
            <w:r>
              <w:rPr>
                <w:rFonts w:hint="eastAsia" w:ascii="宋体" w:hAnsi="宋体" w:cs="宋体"/>
                <w:szCs w:val="21"/>
              </w:rPr>
              <w:t>氮氧化物执行《锅炉大气污染物排放标准》（DB13/5161-2020）表1大气污染物排放限值</w:t>
            </w:r>
            <w:r>
              <w:rPr>
                <w:rFonts w:hint="eastAsia" w:ascii="宋体" w:hAnsi="宋体" w:cs="宋体"/>
              </w:rPr>
              <w:t>。SO</w:t>
            </w:r>
            <w:r>
              <w:rPr>
                <w:rFonts w:hint="eastAsia" w:ascii="宋体" w:hAnsi="宋体" w:cs="宋体"/>
                <w:vertAlign w:val="subscript"/>
              </w:rPr>
              <w:t>2</w:t>
            </w:r>
            <w:r>
              <w:rPr>
                <w:rFonts w:hint="eastAsia" w:ascii="宋体" w:hAnsi="宋体" w:cs="宋体"/>
              </w:rPr>
              <w:t>、氮氧化物计算公式如下：</w:t>
            </w:r>
          </w:p>
          <w:p>
            <w:pPr>
              <w:numPr>
                <w:ilvl w:val="0"/>
                <w:numId w:val="4"/>
              </w:numPr>
              <w:spacing w:line="360" w:lineRule="auto"/>
              <w:ind w:left="0" w:firstLine="420" w:firstLineChars="200"/>
              <w:rPr>
                <w:rFonts w:ascii="宋体" w:hAnsi="宋体" w:cs="宋体"/>
              </w:rPr>
            </w:pPr>
            <w:r>
              <w:rPr>
                <w:rFonts w:hint="eastAsia" w:ascii="宋体" w:hAnsi="宋体" w:cs="宋体"/>
              </w:rPr>
              <w:t>标准浓度核算SO</w:t>
            </w:r>
            <w:r>
              <w:rPr>
                <w:rFonts w:hint="eastAsia" w:ascii="宋体" w:hAnsi="宋体" w:cs="宋体"/>
                <w:vertAlign w:val="subscript"/>
              </w:rPr>
              <w:t>2</w:t>
            </w:r>
            <w:r>
              <w:rPr>
                <w:rFonts w:hint="eastAsia" w:ascii="宋体" w:hAnsi="宋体" w:cs="宋体"/>
              </w:rPr>
              <w:t>、</w:t>
            </w:r>
            <w:r>
              <w:rPr>
                <w:rFonts w:hint="eastAsia" w:ascii="宋体" w:hAnsi="宋体" w:cs="宋体"/>
                <w:szCs w:val="21"/>
              </w:rPr>
              <w:t>氮氧化物</w:t>
            </w:r>
          </w:p>
          <w:p>
            <w:pPr>
              <w:spacing w:line="360" w:lineRule="auto"/>
              <w:ind w:firstLine="420" w:firstLineChars="200"/>
              <w:rPr>
                <w:rFonts w:ascii="宋体" w:hAnsi="宋体" w:cs="宋体"/>
              </w:rPr>
            </w:pPr>
            <w:r>
              <w:rPr>
                <w:rFonts w:hint="eastAsia" w:ascii="宋体" w:hAnsi="宋体" w:cs="宋体"/>
              </w:rPr>
              <w:t>标准浓度核算SO</w:t>
            </w:r>
            <w:r>
              <w:rPr>
                <w:rFonts w:hint="eastAsia" w:ascii="宋体" w:hAnsi="宋体" w:cs="宋体"/>
                <w:vertAlign w:val="subscript"/>
              </w:rPr>
              <w:t>2</w:t>
            </w:r>
          </w:p>
          <w:p>
            <w:pPr>
              <w:spacing w:line="440" w:lineRule="exact"/>
              <w:ind w:firstLine="420" w:firstLineChars="200"/>
              <w:rPr>
                <w:rFonts w:ascii="宋体" w:hAnsi="宋体" w:cs="宋体"/>
              </w:rPr>
            </w:pPr>
            <w:r>
              <w:rPr>
                <w:rFonts w:hint="eastAsia" w:ascii="宋体" w:hAnsi="宋体" w:cs="宋体"/>
              </w:rPr>
              <w:t>M=K×Q×T/10</w:t>
            </w:r>
            <w:r>
              <w:rPr>
                <w:rFonts w:hint="eastAsia" w:ascii="宋体" w:hAnsi="宋体" w:cs="宋体"/>
                <w:vertAlign w:val="superscript"/>
              </w:rPr>
              <w:t>9</w:t>
            </w:r>
          </w:p>
          <w:p>
            <w:pPr>
              <w:spacing w:line="440" w:lineRule="exact"/>
              <w:ind w:firstLine="420" w:firstLineChars="200"/>
              <w:rPr>
                <w:rFonts w:ascii="宋体" w:hAnsi="宋体" w:cs="宋体"/>
              </w:rPr>
            </w:pPr>
            <w:r>
              <w:rPr>
                <w:rFonts w:hint="eastAsia" w:ascii="宋体" w:hAnsi="宋体" w:cs="宋体"/>
              </w:rPr>
              <w:t xml:space="preserve">其中：M—核算值，t/a； </w:t>
            </w:r>
          </w:p>
          <w:p>
            <w:pPr>
              <w:spacing w:line="440" w:lineRule="exact"/>
              <w:ind w:firstLine="420" w:firstLineChars="200"/>
              <w:rPr>
                <w:rFonts w:ascii="宋体" w:hAnsi="宋体" w:cs="宋体"/>
              </w:rPr>
            </w:pPr>
            <w:r>
              <w:rPr>
                <w:rFonts w:hint="eastAsia" w:ascii="宋体" w:hAnsi="宋体" w:cs="宋体"/>
              </w:rPr>
              <w:t>K—核定排放浓度，mg/m</w:t>
            </w:r>
            <w:r>
              <w:rPr>
                <w:rFonts w:hint="eastAsia" w:ascii="宋体" w:hAnsi="宋体" w:cs="宋体"/>
                <w:vertAlign w:val="superscript"/>
              </w:rPr>
              <w:t>3</w:t>
            </w:r>
            <w:r>
              <w:rPr>
                <w:rFonts w:hint="eastAsia" w:ascii="宋体" w:hAnsi="宋体" w:cs="宋体"/>
              </w:rPr>
              <w:t>，本次 K=30mg/m</w:t>
            </w:r>
            <w:r>
              <w:rPr>
                <w:rFonts w:hint="eastAsia" w:ascii="宋体" w:hAnsi="宋体" w:cs="宋体"/>
                <w:vertAlign w:val="superscript"/>
              </w:rPr>
              <w:t>3</w:t>
            </w:r>
            <w:r>
              <w:rPr>
                <w:rFonts w:hint="eastAsia" w:ascii="宋体" w:hAnsi="宋体" w:cs="宋体"/>
              </w:rPr>
              <w:t>；</w:t>
            </w:r>
          </w:p>
          <w:p>
            <w:pPr>
              <w:spacing w:line="440" w:lineRule="exact"/>
              <w:ind w:firstLine="420" w:firstLineChars="200"/>
              <w:rPr>
                <w:rFonts w:ascii="宋体" w:hAnsi="宋体" w:cs="宋体"/>
              </w:rPr>
            </w:pPr>
            <w:r>
              <w:rPr>
                <w:rFonts w:hint="eastAsia" w:ascii="宋体" w:hAnsi="宋体" w:cs="宋体"/>
              </w:rPr>
              <w:t>Q—废气量，m</w:t>
            </w:r>
            <w:r>
              <w:rPr>
                <w:rFonts w:hint="eastAsia" w:ascii="宋体" w:hAnsi="宋体" w:cs="宋体"/>
                <w:vertAlign w:val="superscript"/>
              </w:rPr>
              <w:t>3</w:t>
            </w:r>
            <w:r>
              <w:rPr>
                <w:rFonts w:hint="eastAsia" w:ascii="宋体" w:hAnsi="宋体" w:cs="宋体"/>
              </w:rPr>
              <w:t>/h，本次Q=</w:t>
            </w:r>
            <w:r>
              <w:rPr>
                <w:rFonts w:hint="eastAsia" w:ascii="宋体" w:hAnsi="宋体" w:cs="宋体"/>
                <w:szCs w:val="21"/>
              </w:rPr>
              <w:t xml:space="preserve">6739.2 </w:t>
            </w:r>
            <w:r>
              <w:rPr>
                <w:rFonts w:hint="eastAsia" w:ascii="宋体" w:hAnsi="宋体" w:cs="宋体"/>
              </w:rPr>
              <w:t>m</w:t>
            </w:r>
            <w:r>
              <w:rPr>
                <w:rFonts w:hint="eastAsia" w:ascii="宋体" w:hAnsi="宋体" w:cs="宋体"/>
                <w:vertAlign w:val="superscript"/>
              </w:rPr>
              <w:t>3</w:t>
            </w:r>
            <w:r>
              <w:rPr>
                <w:rFonts w:hint="eastAsia" w:ascii="宋体" w:hAnsi="宋体" w:cs="宋体"/>
              </w:rPr>
              <w:t xml:space="preserve">/h； </w:t>
            </w:r>
          </w:p>
          <w:p>
            <w:pPr>
              <w:spacing w:line="440" w:lineRule="exact"/>
              <w:ind w:firstLine="420" w:firstLineChars="200"/>
              <w:rPr>
                <w:rFonts w:ascii="宋体" w:hAnsi="宋体" w:cs="宋体"/>
              </w:rPr>
            </w:pPr>
            <w:r>
              <w:rPr>
                <w:rFonts w:hint="eastAsia" w:ascii="宋体" w:hAnsi="宋体" w:cs="宋体"/>
              </w:rPr>
              <w:t xml:space="preserve">T—年有效工作时间，h，本次T=400h； </w:t>
            </w:r>
          </w:p>
          <w:p>
            <w:pPr>
              <w:spacing w:line="440" w:lineRule="exact"/>
              <w:ind w:firstLine="420" w:firstLineChars="200"/>
              <w:rPr>
                <w:rFonts w:ascii="宋体" w:hAnsi="宋体" w:cs="宋体"/>
              </w:rPr>
            </w:pPr>
            <w:r>
              <w:rPr>
                <w:rFonts w:hint="eastAsia" w:ascii="宋体" w:hAnsi="宋体" w:cs="宋体"/>
              </w:rPr>
              <w:t>根据上述公式核算结果，可得SO</w:t>
            </w:r>
            <w:r>
              <w:rPr>
                <w:rFonts w:hint="eastAsia" w:ascii="宋体" w:hAnsi="宋体" w:cs="宋体"/>
                <w:vertAlign w:val="subscript"/>
              </w:rPr>
              <w:t>2</w:t>
            </w:r>
            <w:r>
              <w:rPr>
                <w:rFonts w:hint="eastAsia" w:ascii="宋体" w:hAnsi="宋体" w:cs="宋体"/>
              </w:rPr>
              <w:t>的年排放量为 0.08t/a。</w:t>
            </w:r>
          </w:p>
          <w:p>
            <w:pPr>
              <w:spacing w:line="440" w:lineRule="exact"/>
              <w:ind w:firstLine="420" w:firstLineChars="200"/>
              <w:rPr>
                <w:rFonts w:ascii="宋体" w:hAnsi="宋体" w:cs="宋体"/>
              </w:rPr>
            </w:pPr>
            <w:r>
              <w:rPr>
                <w:rFonts w:hint="eastAsia" w:ascii="宋体" w:hAnsi="宋体" w:cs="宋体"/>
              </w:rPr>
              <w:t>标准浓度核算氮氧化物</w:t>
            </w:r>
          </w:p>
          <w:p>
            <w:pPr>
              <w:spacing w:line="440" w:lineRule="exact"/>
              <w:ind w:firstLine="420" w:firstLineChars="200"/>
              <w:rPr>
                <w:rFonts w:ascii="宋体" w:hAnsi="宋体" w:cs="宋体"/>
              </w:rPr>
            </w:pPr>
            <w:r>
              <w:rPr>
                <w:rFonts w:hint="eastAsia" w:ascii="宋体" w:hAnsi="宋体" w:cs="宋体"/>
              </w:rPr>
              <w:t>M=K×Q×T/10</w:t>
            </w:r>
            <w:r>
              <w:rPr>
                <w:rFonts w:hint="eastAsia" w:ascii="宋体" w:hAnsi="宋体" w:cs="宋体"/>
                <w:vertAlign w:val="superscript"/>
              </w:rPr>
              <w:t xml:space="preserve">9 </w:t>
            </w:r>
          </w:p>
          <w:p>
            <w:pPr>
              <w:spacing w:line="440" w:lineRule="exact"/>
              <w:ind w:firstLine="420" w:firstLineChars="200"/>
              <w:rPr>
                <w:rFonts w:ascii="宋体" w:hAnsi="宋体" w:cs="宋体"/>
              </w:rPr>
            </w:pPr>
            <w:r>
              <w:rPr>
                <w:rFonts w:hint="eastAsia" w:ascii="宋体" w:hAnsi="宋体" w:cs="宋体"/>
              </w:rPr>
              <w:t xml:space="preserve">其中：M—核算值，t/a； </w:t>
            </w:r>
          </w:p>
          <w:p>
            <w:pPr>
              <w:spacing w:line="440" w:lineRule="exact"/>
              <w:ind w:firstLine="420" w:firstLineChars="200"/>
              <w:rPr>
                <w:rFonts w:ascii="宋体" w:hAnsi="宋体" w:cs="宋体"/>
              </w:rPr>
            </w:pPr>
            <w:r>
              <w:rPr>
                <w:rFonts w:hint="eastAsia" w:ascii="宋体" w:hAnsi="宋体" w:cs="宋体"/>
              </w:rPr>
              <w:t>K—核定排放浓度，mg/m</w:t>
            </w:r>
            <w:r>
              <w:rPr>
                <w:rFonts w:hint="eastAsia" w:ascii="宋体" w:hAnsi="宋体" w:cs="宋体"/>
                <w:vertAlign w:val="superscript"/>
              </w:rPr>
              <w:t>3</w:t>
            </w:r>
            <w:r>
              <w:rPr>
                <w:rFonts w:hint="eastAsia" w:ascii="宋体" w:hAnsi="宋体" w:cs="宋体"/>
              </w:rPr>
              <w:t>，本次 K=150mg/m</w:t>
            </w:r>
            <w:r>
              <w:rPr>
                <w:rFonts w:hint="eastAsia" w:ascii="宋体" w:hAnsi="宋体" w:cs="宋体"/>
                <w:vertAlign w:val="superscript"/>
              </w:rPr>
              <w:t>3</w:t>
            </w:r>
            <w:r>
              <w:rPr>
                <w:rFonts w:hint="eastAsia" w:ascii="宋体" w:hAnsi="宋体" w:cs="宋体"/>
              </w:rPr>
              <w:t>；</w:t>
            </w:r>
          </w:p>
          <w:p>
            <w:pPr>
              <w:spacing w:line="440" w:lineRule="exact"/>
              <w:ind w:firstLine="420" w:firstLineChars="200"/>
              <w:rPr>
                <w:rFonts w:ascii="宋体" w:hAnsi="宋体" w:cs="宋体"/>
              </w:rPr>
            </w:pPr>
            <w:r>
              <w:rPr>
                <w:rFonts w:hint="eastAsia" w:ascii="宋体" w:hAnsi="宋体" w:cs="宋体"/>
              </w:rPr>
              <w:t>Q—废气量，m3/h，本次Q=</w:t>
            </w:r>
            <w:r>
              <w:rPr>
                <w:rFonts w:hint="eastAsia" w:ascii="宋体" w:hAnsi="宋体" w:cs="宋体"/>
                <w:szCs w:val="21"/>
              </w:rPr>
              <w:t xml:space="preserve">6739.2 </w:t>
            </w:r>
            <w:r>
              <w:rPr>
                <w:rFonts w:hint="eastAsia" w:ascii="宋体" w:hAnsi="宋体" w:cs="宋体"/>
              </w:rPr>
              <w:t>m</w:t>
            </w:r>
            <w:r>
              <w:rPr>
                <w:rFonts w:hint="eastAsia" w:ascii="宋体" w:hAnsi="宋体" w:cs="宋体"/>
                <w:vertAlign w:val="superscript"/>
              </w:rPr>
              <w:t>3</w:t>
            </w:r>
            <w:r>
              <w:rPr>
                <w:rFonts w:hint="eastAsia" w:ascii="宋体" w:hAnsi="宋体" w:cs="宋体"/>
              </w:rPr>
              <w:t xml:space="preserve">/h； </w:t>
            </w:r>
          </w:p>
          <w:p>
            <w:pPr>
              <w:spacing w:line="440" w:lineRule="exact"/>
              <w:ind w:firstLine="420" w:firstLineChars="200"/>
              <w:rPr>
                <w:rFonts w:ascii="宋体" w:hAnsi="宋体" w:cs="宋体"/>
              </w:rPr>
            </w:pPr>
            <w:r>
              <w:rPr>
                <w:rFonts w:hint="eastAsia" w:ascii="宋体" w:hAnsi="宋体" w:cs="宋体"/>
              </w:rPr>
              <w:t xml:space="preserve">T—年有效工作时间，h，本次T=400h； </w:t>
            </w:r>
          </w:p>
          <w:p>
            <w:pPr>
              <w:spacing w:line="440" w:lineRule="exact"/>
              <w:ind w:firstLine="420" w:firstLineChars="200"/>
              <w:rPr>
                <w:rFonts w:ascii="宋体" w:hAnsi="宋体" w:cs="宋体"/>
              </w:rPr>
            </w:pPr>
            <w:r>
              <w:rPr>
                <w:rFonts w:hint="eastAsia" w:ascii="宋体" w:hAnsi="宋体" w:cs="宋体"/>
              </w:rPr>
              <w:t>根据上述公式核算结果，可得氮氧化物的年排放量为 0.40t/a。</w:t>
            </w:r>
          </w:p>
          <w:p>
            <w:pPr>
              <w:pStyle w:val="55"/>
              <w:numPr>
                <w:ilvl w:val="0"/>
                <w:numId w:val="4"/>
              </w:numPr>
              <w:ind w:firstLine="482" w:firstLineChars="0"/>
              <w:rPr>
                <w:rFonts w:ascii="宋体" w:hAnsi="宋体" w:cs="宋体"/>
                <w:kern w:val="2"/>
                <w:sz w:val="21"/>
              </w:rPr>
            </w:pPr>
            <w:r>
              <w:rPr>
                <w:rFonts w:hint="eastAsia" w:ascii="宋体" w:hAnsi="宋体" w:cs="宋体"/>
                <w:kern w:val="2"/>
                <w:sz w:val="21"/>
              </w:rPr>
              <w:t>预测浓度核算SO2、氮氧化物</w:t>
            </w:r>
          </w:p>
          <w:p>
            <w:pPr>
              <w:pStyle w:val="55"/>
              <w:ind w:left="420" w:firstLine="0" w:firstLineChars="0"/>
              <w:rPr>
                <w:rFonts w:ascii="宋体" w:hAnsi="宋体" w:cs="宋体"/>
                <w:kern w:val="2"/>
                <w:sz w:val="21"/>
              </w:rPr>
            </w:pPr>
            <w:r>
              <w:rPr>
                <w:rFonts w:hint="eastAsia" w:ascii="宋体" w:hAnsi="宋体" w:cs="宋体"/>
                <w:kern w:val="2"/>
                <w:sz w:val="21"/>
              </w:rPr>
              <w:t>预测浓度核算SO</w:t>
            </w:r>
            <w:r>
              <w:rPr>
                <w:rFonts w:hint="eastAsia" w:ascii="宋体" w:hAnsi="宋体" w:cs="宋体"/>
                <w:kern w:val="2"/>
                <w:sz w:val="21"/>
                <w:vertAlign w:val="subscript"/>
              </w:rPr>
              <w:t>2</w:t>
            </w:r>
          </w:p>
          <w:p>
            <w:pPr>
              <w:pStyle w:val="55"/>
              <w:ind w:firstLine="420"/>
              <w:rPr>
                <w:rFonts w:ascii="宋体" w:hAnsi="宋体" w:cs="宋体"/>
                <w:kern w:val="2"/>
                <w:sz w:val="21"/>
              </w:rPr>
            </w:pPr>
            <w:r>
              <w:rPr>
                <w:rFonts w:hint="eastAsia" w:ascii="宋体" w:hAnsi="宋体" w:cs="宋体"/>
                <w:kern w:val="2"/>
                <w:sz w:val="21"/>
              </w:rPr>
              <w:t>M=K×Q×T/10</w:t>
            </w:r>
            <w:r>
              <w:rPr>
                <w:rFonts w:hint="eastAsia" w:ascii="宋体" w:hAnsi="宋体" w:cs="宋体"/>
                <w:kern w:val="2"/>
                <w:sz w:val="21"/>
                <w:vertAlign w:val="superscript"/>
              </w:rPr>
              <w:t xml:space="preserve">9 </w:t>
            </w:r>
          </w:p>
          <w:p>
            <w:pPr>
              <w:spacing w:line="440" w:lineRule="exact"/>
              <w:ind w:firstLine="420" w:firstLineChars="200"/>
              <w:rPr>
                <w:rFonts w:ascii="宋体" w:hAnsi="宋体" w:cs="宋体"/>
                <w:highlight w:val="none"/>
              </w:rPr>
            </w:pPr>
            <w:r>
              <w:rPr>
                <w:rFonts w:hint="eastAsia" w:ascii="宋体" w:hAnsi="宋体" w:cs="宋体"/>
              </w:rPr>
              <w:t>其</w:t>
            </w:r>
            <w:r>
              <w:rPr>
                <w:rFonts w:hint="eastAsia" w:ascii="宋体" w:hAnsi="宋体" w:cs="宋体"/>
                <w:highlight w:val="none"/>
              </w:rPr>
              <w:t xml:space="preserve">中：M—核算值，t/a； </w:t>
            </w:r>
          </w:p>
          <w:p>
            <w:pPr>
              <w:pStyle w:val="55"/>
              <w:ind w:firstLine="420"/>
              <w:rPr>
                <w:rFonts w:ascii="宋体" w:hAnsi="宋体" w:cs="宋体"/>
                <w:kern w:val="2"/>
                <w:sz w:val="21"/>
                <w:highlight w:val="none"/>
              </w:rPr>
            </w:pPr>
            <w:r>
              <w:rPr>
                <w:rFonts w:hint="eastAsia" w:ascii="宋体" w:hAnsi="宋体" w:cs="宋体"/>
                <w:kern w:val="2"/>
                <w:sz w:val="21"/>
                <w:highlight w:val="none"/>
              </w:rPr>
              <w:t>K—预测排放浓度，mg/m</w:t>
            </w:r>
            <w:r>
              <w:rPr>
                <w:rFonts w:hint="eastAsia" w:ascii="宋体" w:hAnsi="宋体" w:cs="宋体"/>
                <w:kern w:val="2"/>
                <w:sz w:val="21"/>
                <w:highlight w:val="none"/>
                <w:vertAlign w:val="superscript"/>
              </w:rPr>
              <w:t>3</w:t>
            </w:r>
            <w:r>
              <w:rPr>
                <w:rFonts w:hint="eastAsia" w:ascii="宋体" w:hAnsi="宋体" w:cs="宋体"/>
                <w:kern w:val="2"/>
                <w:sz w:val="21"/>
                <w:highlight w:val="none"/>
              </w:rPr>
              <w:t>，本次 K=18.88mg/m</w:t>
            </w:r>
            <w:r>
              <w:rPr>
                <w:rFonts w:hint="eastAsia" w:ascii="宋体" w:hAnsi="宋体" w:cs="宋体"/>
                <w:kern w:val="2"/>
                <w:sz w:val="21"/>
                <w:highlight w:val="none"/>
                <w:vertAlign w:val="superscript"/>
              </w:rPr>
              <w:t>3</w:t>
            </w:r>
            <w:r>
              <w:rPr>
                <w:rFonts w:hint="eastAsia" w:ascii="宋体" w:hAnsi="宋体" w:cs="宋体"/>
                <w:kern w:val="2"/>
                <w:sz w:val="21"/>
                <w:highlight w:val="none"/>
              </w:rPr>
              <w:t>；</w:t>
            </w:r>
          </w:p>
          <w:p>
            <w:pPr>
              <w:pStyle w:val="55"/>
              <w:ind w:firstLine="420"/>
              <w:rPr>
                <w:rFonts w:ascii="宋体" w:hAnsi="宋体" w:cs="宋体"/>
                <w:kern w:val="2"/>
                <w:sz w:val="21"/>
                <w:highlight w:val="none"/>
              </w:rPr>
            </w:pPr>
            <w:r>
              <w:rPr>
                <w:rFonts w:hint="eastAsia" w:ascii="宋体" w:hAnsi="宋体" w:cs="宋体"/>
                <w:kern w:val="2"/>
                <w:sz w:val="21"/>
                <w:highlight w:val="none"/>
              </w:rPr>
              <w:t>Q—废气量，m</w:t>
            </w:r>
            <w:r>
              <w:rPr>
                <w:rFonts w:hint="eastAsia" w:ascii="宋体" w:hAnsi="宋体" w:cs="宋体"/>
                <w:kern w:val="2"/>
                <w:sz w:val="21"/>
                <w:highlight w:val="none"/>
                <w:vertAlign w:val="superscript"/>
              </w:rPr>
              <w:t>3</w:t>
            </w:r>
            <w:r>
              <w:rPr>
                <w:rFonts w:hint="eastAsia" w:ascii="宋体" w:hAnsi="宋体" w:cs="宋体"/>
                <w:kern w:val="2"/>
                <w:sz w:val="21"/>
                <w:highlight w:val="none"/>
              </w:rPr>
              <w:t>/h，本次Q=</w:t>
            </w:r>
            <w:r>
              <w:rPr>
                <w:rFonts w:hint="eastAsia" w:ascii="宋体" w:hAnsi="宋体" w:cs="宋体"/>
                <w:sz w:val="21"/>
                <w:szCs w:val="21"/>
                <w:highlight w:val="none"/>
              </w:rPr>
              <w:t>8208</w:t>
            </w:r>
            <w:r>
              <w:rPr>
                <w:rFonts w:hint="eastAsia" w:ascii="宋体" w:hAnsi="宋体" w:cs="宋体"/>
                <w:kern w:val="2"/>
                <w:sz w:val="21"/>
                <w:highlight w:val="none"/>
              </w:rPr>
              <w:t>m</w:t>
            </w:r>
            <w:r>
              <w:rPr>
                <w:rFonts w:hint="eastAsia" w:ascii="宋体" w:hAnsi="宋体" w:cs="宋体"/>
                <w:kern w:val="2"/>
                <w:sz w:val="21"/>
                <w:highlight w:val="none"/>
                <w:vertAlign w:val="superscript"/>
              </w:rPr>
              <w:t>3</w:t>
            </w:r>
            <w:r>
              <w:rPr>
                <w:rFonts w:hint="eastAsia" w:ascii="宋体" w:hAnsi="宋体" w:cs="宋体"/>
                <w:kern w:val="2"/>
                <w:sz w:val="21"/>
                <w:highlight w:val="none"/>
              </w:rPr>
              <w:t xml:space="preserve">/h； </w:t>
            </w:r>
          </w:p>
          <w:p>
            <w:pPr>
              <w:pStyle w:val="55"/>
              <w:ind w:firstLine="420"/>
              <w:rPr>
                <w:rFonts w:ascii="宋体" w:hAnsi="宋体" w:cs="宋体"/>
                <w:kern w:val="2"/>
                <w:sz w:val="21"/>
                <w:highlight w:val="none"/>
              </w:rPr>
            </w:pPr>
            <w:r>
              <w:rPr>
                <w:rFonts w:hint="eastAsia" w:ascii="宋体" w:hAnsi="宋体" w:cs="宋体"/>
                <w:kern w:val="2"/>
                <w:sz w:val="21"/>
                <w:highlight w:val="none"/>
              </w:rPr>
              <w:t xml:space="preserve">T—年有效工作时间，h，本次T=400h； </w:t>
            </w:r>
          </w:p>
          <w:p>
            <w:pPr>
              <w:pStyle w:val="31"/>
              <w:ind w:firstLine="420"/>
              <w:rPr>
                <w:rFonts w:ascii="宋体" w:hAnsi="宋体" w:cs="宋体"/>
                <w:highlight w:val="yellow"/>
              </w:rPr>
            </w:pPr>
            <w:r>
              <w:rPr>
                <w:rFonts w:hint="eastAsia" w:ascii="宋体" w:hAnsi="宋体" w:cs="宋体"/>
                <w:highlight w:val="none"/>
              </w:rPr>
              <w:t>根据上述公式核算结果，可得SO</w:t>
            </w:r>
            <w:r>
              <w:rPr>
                <w:rFonts w:hint="eastAsia" w:ascii="宋体" w:hAnsi="宋体" w:cs="宋体"/>
                <w:highlight w:val="none"/>
                <w:vertAlign w:val="subscript"/>
              </w:rPr>
              <w:t>2</w:t>
            </w:r>
            <w:r>
              <w:rPr>
                <w:rFonts w:hint="eastAsia" w:ascii="宋体" w:hAnsi="宋体" w:cs="宋体"/>
                <w:highlight w:val="none"/>
              </w:rPr>
              <w:t>的预测年排放量为 0.062t/a。</w:t>
            </w:r>
          </w:p>
          <w:p>
            <w:pPr>
              <w:pStyle w:val="55"/>
              <w:ind w:firstLine="420"/>
              <w:rPr>
                <w:rFonts w:ascii="宋体" w:hAnsi="宋体" w:cs="宋体"/>
                <w:kern w:val="2"/>
                <w:sz w:val="21"/>
                <w:highlight w:val="none"/>
              </w:rPr>
            </w:pPr>
            <w:r>
              <w:rPr>
                <w:rFonts w:hint="eastAsia" w:ascii="宋体" w:hAnsi="宋体" w:cs="宋体"/>
                <w:kern w:val="2"/>
                <w:sz w:val="21"/>
                <w:highlight w:val="none"/>
              </w:rPr>
              <w:t>预测浓度核算氮氧化物</w:t>
            </w:r>
          </w:p>
          <w:p>
            <w:pPr>
              <w:pStyle w:val="55"/>
              <w:ind w:firstLine="420"/>
              <w:rPr>
                <w:rFonts w:ascii="宋体" w:hAnsi="宋体" w:cs="宋体"/>
                <w:kern w:val="2"/>
                <w:sz w:val="21"/>
                <w:highlight w:val="none"/>
              </w:rPr>
            </w:pPr>
            <w:r>
              <w:rPr>
                <w:rFonts w:hint="eastAsia" w:ascii="宋体" w:hAnsi="宋体" w:cs="宋体"/>
                <w:kern w:val="2"/>
                <w:sz w:val="21"/>
                <w:highlight w:val="none"/>
              </w:rPr>
              <w:t>M=K×Q×T/10</w:t>
            </w:r>
            <w:r>
              <w:rPr>
                <w:rFonts w:hint="eastAsia" w:ascii="宋体" w:hAnsi="宋体" w:cs="宋体"/>
                <w:kern w:val="2"/>
                <w:sz w:val="21"/>
                <w:highlight w:val="none"/>
                <w:vertAlign w:val="superscript"/>
              </w:rPr>
              <w:t xml:space="preserve">9 </w:t>
            </w:r>
          </w:p>
          <w:p>
            <w:pPr>
              <w:spacing w:line="440" w:lineRule="exact"/>
              <w:ind w:firstLine="420" w:firstLineChars="200"/>
              <w:rPr>
                <w:rFonts w:ascii="宋体" w:hAnsi="宋体" w:cs="宋体"/>
                <w:highlight w:val="none"/>
              </w:rPr>
            </w:pPr>
            <w:r>
              <w:rPr>
                <w:rFonts w:hint="eastAsia" w:ascii="宋体" w:hAnsi="宋体" w:cs="宋体"/>
                <w:highlight w:val="none"/>
              </w:rPr>
              <w:t xml:space="preserve">其中：M—核算值，t/a； </w:t>
            </w:r>
          </w:p>
          <w:p>
            <w:pPr>
              <w:pStyle w:val="55"/>
              <w:ind w:firstLine="420"/>
              <w:rPr>
                <w:rFonts w:ascii="宋体" w:hAnsi="宋体" w:cs="宋体"/>
                <w:kern w:val="2"/>
                <w:sz w:val="21"/>
                <w:highlight w:val="none"/>
              </w:rPr>
            </w:pPr>
            <w:r>
              <w:rPr>
                <w:rFonts w:hint="eastAsia" w:ascii="宋体" w:hAnsi="宋体" w:cs="宋体"/>
                <w:kern w:val="2"/>
                <w:sz w:val="21"/>
                <w:highlight w:val="none"/>
              </w:rPr>
              <w:t>K—预测排放浓度，mg/m</w:t>
            </w:r>
            <w:r>
              <w:rPr>
                <w:rFonts w:hint="eastAsia" w:ascii="宋体" w:hAnsi="宋体" w:cs="宋体"/>
                <w:kern w:val="2"/>
                <w:sz w:val="21"/>
                <w:highlight w:val="none"/>
                <w:vertAlign w:val="superscript"/>
              </w:rPr>
              <w:t>3</w:t>
            </w:r>
            <w:r>
              <w:rPr>
                <w:rFonts w:hint="eastAsia" w:ascii="宋体" w:hAnsi="宋体" w:cs="宋体"/>
                <w:kern w:val="2"/>
                <w:sz w:val="21"/>
                <w:highlight w:val="none"/>
              </w:rPr>
              <w:t>，本次 K=</w:t>
            </w:r>
            <w:r>
              <w:rPr>
                <w:rFonts w:hint="eastAsia" w:ascii="宋体" w:hAnsi="宋体" w:cs="宋体"/>
                <w:kern w:val="2"/>
                <w:sz w:val="21"/>
                <w:highlight w:val="none"/>
                <w:lang w:val="en-US" w:eastAsia="zh-CN"/>
              </w:rPr>
              <w:t>56.04</w:t>
            </w:r>
            <w:r>
              <w:rPr>
                <w:rFonts w:hint="eastAsia" w:ascii="宋体" w:hAnsi="宋体" w:cs="宋体"/>
                <w:kern w:val="2"/>
                <w:sz w:val="21"/>
                <w:highlight w:val="none"/>
              </w:rPr>
              <w:t>mg/m</w:t>
            </w:r>
            <w:r>
              <w:rPr>
                <w:rFonts w:hint="eastAsia" w:ascii="宋体" w:hAnsi="宋体" w:cs="宋体"/>
                <w:kern w:val="2"/>
                <w:sz w:val="21"/>
                <w:highlight w:val="none"/>
                <w:vertAlign w:val="superscript"/>
              </w:rPr>
              <w:t>3</w:t>
            </w:r>
            <w:r>
              <w:rPr>
                <w:rFonts w:hint="eastAsia" w:ascii="宋体" w:hAnsi="宋体" w:cs="宋体"/>
                <w:kern w:val="2"/>
                <w:sz w:val="21"/>
                <w:highlight w:val="none"/>
              </w:rPr>
              <w:t>；</w:t>
            </w:r>
          </w:p>
          <w:p>
            <w:pPr>
              <w:pStyle w:val="55"/>
              <w:ind w:firstLine="420"/>
              <w:rPr>
                <w:rFonts w:ascii="宋体" w:hAnsi="宋体" w:cs="宋体"/>
                <w:kern w:val="2"/>
                <w:sz w:val="21"/>
                <w:highlight w:val="none"/>
              </w:rPr>
            </w:pPr>
            <w:r>
              <w:rPr>
                <w:rFonts w:hint="eastAsia" w:ascii="宋体" w:hAnsi="宋体" w:cs="宋体"/>
                <w:kern w:val="2"/>
                <w:sz w:val="21"/>
                <w:highlight w:val="none"/>
              </w:rPr>
              <w:t>Q—废气量，m</w:t>
            </w:r>
            <w:r>
              <w:rPr>
                <w:rFonts w:hint="eastAsia" w:ascii="宋体" w:hAnsi="宋体" w:cs="宋体"/>
                <w:kern w:val="2"/>
                <w:sz w:val="21"/>
                <w:highlight w:val="none"/>
                <w:vertAlign w:val="superscript"/>
              </w:rPr>
              <w:t>3</w:t>
            </w:r>
            <w:r>
              <w:rPr>
                <w:rFonts w:hint="eastAsia" w:ascii="宋体" w:hAnsi="宋体" w:cs="宋体"/>
                <w:kern w:val="2"/>
                <w:sz w:val="21"/>
                <w:highlight w:val="none"/>
              </w:rPr>
              <w:t>/h，本次Q=</w:t>
            </w:r>
            <w:r>
              <w:rPr>
                <w:rFonts w:hint="eastAsia" w:ascii="宋体" w:hAnsi="宋体" w:cs="宋体"/>
                <w:sz w:val="21"/>
                <w:szCs w:val="21"/>
                <w:highlight w:val="none"/>
                <w:lang w:val="en-US" w:eastAsia="zh-CN"/>
              </w:rPr>
              <w:t>8208</w:t>
            </w:r>
            <w:r>
              <w:rPr>
                <w:rFonts w:hint="eastAsia" w:ascii="宋体" w:hAnsi="宋体" w:cs="宋体"/>
                <w:kern w:val="2"/>
                <w:sz w:val="21"/>
                <w:highlight w:val="none"/>
              </w:rPr>
              <w:t>m</w:t>
            </w:r>
            <w:r>
              <w:rPr>
                <w:rFonts w:hint="eastAsia" w:ascii="宋体" w:hAnsi="宋体" w:cs="宋体"/>
                <w:kern w:val="2"/>
                <w:sz w:val="21"/>
                <w:highlight w:val="none"/>
                <w:vertAlign w:val="superscript"/>
              </w:rPr>
              <w:t>3</w:t>
            </w:r>
            <w:r>
              <w:rPr>
                <w:rFonts w:hint="eastAsia" w:ascii="宋体" w:hAnsi="宋体" w:cs="宋体"/>
                <w:kern w:val="2"/>
                <w:sz w:val="21"/>
                <w:highlight w:val="none"/>
              </w:rPr>
              <w:t xml:space="preserve">/h； </w:t>
            </w:r>
          </w:p>
          <w:p>
            <w:pPr>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 xml:space="preserve">T—年有效工作时间，h，本次T=400h； </w:t>
            </w:r>
          </w:p>
          <w:p>
            <w:pPr>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 xml:space="preserve">根据上述公式核算结果，可得氮氧化物的预测年排放量为 </w:t>
            </w:r>
            <w:r>
              <w:rPr>
                <w:rFonts w:hint="eastAsia" w:ascii="宋体" w:hAnsi="宋体" w:cs="宋体"/>
                <w:highlight w:val="none"/>
                <w:lang w:val="en-US" w:eastAsia="zh-CN"/>
              </w:rPr>
              <w:t>0.184</w:t>
            </w:r>
            <w:r>
              <w:rPr>
                <w:rFonts w:hint="eastAsia" w:ascii="宋体" w:hAnsi="宋体" w:cs="宋体"/>
                <w:highlight w:val="none"/>
              </w:rPr>
              <w:t>t/a。</w:t>
            </w:r>
          </w:p>
          <w:p>
            <w:pPr>
              <w:adjustRightInd w:val="0"/>
              <w:snapToGrid w:val="0"/>
              <w:spacing w:line="440" w:lineRule="exact"/>
              <w:ind w:firstLine="420" w:firstLineChars="200"/>
              <w:rPr>
                <w:rFonts w:ascii="宋体" w:hAnsi="宋体" w:cs="宋体"/>
              </w:rPr>
            </w:pPr>
            <w:r>
              <w:rPr>
                <w:rFonts w:hint="eastAsia" w:ascii="宋体" w:hAnsi="宋体" w:cs="宋体"/>
                <w:highlight w:val="none"/>
              </w:rPr>
              <w:t>本项目废气总产生量为269.57万m</w:t>
            </w:r>
            <w:r>
              <w:rPr>
                <w:rFonts w:hint="eastAsia" w:ascii="宋体" w:hAnsi="宋体" w:cs="宋体"/>
                <w:highlight w:val="none"/>
                <w:vertAlign w:val="superscript"/>
              </w:rPr>
              <w:t>3</w:t>
            </w:r>
            <w:r>
              <w:rPr>
                <w:rFonts w:hint="eastAsia" w:ascii="宋体" w:hAnsi="宋体" w:cs="宋体"/>
                <w:highlight w:val="none"/>
              </w:rPr>
              <w:t>，二氧化硫标准排放浓度为30mg/m</w:t>
            </w:r>
            <w:r>
              <w:rPr>
                <w:rFonts w:hint="eastAsia" w:ascii="宋体" w:hAnsi="宋体" w:cs="宋体"/>
                <w:highlight w:val="none"/>
                <w:vertAlign w:val="superscript"/>
              </w:rPr>
              <w:t>3</w:t>
            </w:r>
            <w:r>
              <w:rPr>
                <w:rFonts w:hint="eastAsia" w:ascii="宋体" w:hAnsi="宋体" w:cs="宋体"/>
                <w:highlight w:val="none"/>
              </w:rPr>
              <w:t>、产生量为0.08t/a，氮氧化物标准排放浓度为150mg/m</w:t>
            </w:r>
            <w:r>
              <w:rPr>
                <w:rFonts w:hint="eastAsia" w:ascii="宋体" w:hAnsi="宋体" w:cs="宋体"/>
                <w:highlight w:val="none"/>
                <w:vertAlign w:val="superscript"/>
              </w:rPr>
              <w:t>3</w:t>
            </w:r>
            <w:r>
              <w:rPr>
                <w:rFonts w:hint="eastAsia" w:ascii="宋体" w:hAnsi="宋体" w:cs="宋体"/>
                <w:highlight w:val="none"/>
              </w:rPr>
              <w:t>、排放量为0.40t/a（</w:t>
            </w:r>
            <w:r>
              <w:rPr>
                <w:rFonts w:hint="eastAsia" w:ascii="宋体" w:hAnsi="宋体" w:cs="宋体"/>
                <w:color w:val="000000" w:themeColor="text1"/>
                <w:highlight w:val="none"/>
                <w14:textFill>
                  <w14:solidFill>
                    <w14:schemeClr w14:val="tx1"/>
                  </w14:solidFill>
                </w14:textFill>
              </w:rPr>
              <w:t>预测二氧化硫排放浓度为18.88mg/m</w:t>
            </w:r>
            <w:r>
              <w:rPr>
                <w:rFonts w:hint="eastAsia" w:ascii="宋体" w:hAnsi="宋体" w:cs="宋体"/>
                <w:color w:val="000000" w:themeColor="text1"/>
                <w:highlight w:val="none"/>
                <w:vertAlign w:val="superscript"/>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、排放量为0.06</w:t>
            </w:r>
            <w:r>
              <w:rPr>
                <w:rFonts w:hint="eastAsia" w:ascii="宋体" w:hAnsi="宋体" w:cs="宋体"/>
                <w:highlight w:val="none"/>
              </w:rPr>
              <w:t>2t/a，氮氧化物排放浓度为</w:t>
            </w:r>
            <w:r>
              <w:rPr>
                <w:rFonts w:hint="eastAsia" w:ascii="宋体" w:hAnsi="宋体" w:cs="宋体"/>
                <w:highlight w:val="none"/>
                <w:lang w:val="en-US" w:eastAsia="zh-CN"/>
              </w:rPr>
              <w:t>56.04</w:t>
            </w:r>
            <w:r>
              <w:rPr>
                <w:rFonts w:hint="eastAsia" w:ascii="宋体" w:hAnsi="宋体" w:cs="宋体"/>
                <w:highlight w:val="none"/>
              </w:rPr>
              <w:t>mg/m</w:t>
            </w:r>
            <w:r>
              <w:rPr>
                <w:rFonts w:hint="eastAsia" w:ascii="宋体" w:hAnsi="宋体" w:cs="宋体"/>
                <w:highlight w:val="none"/>
                <w:vertAlign w:val="superscript"/>
              </w:rPr>
              <w:t>3</w:t>
            </w:r>
            <w:r>
              <w:rPr>
                <w:rFonts w:hint="eastAsia" w:ascii="宋体" w:hAnsi="宋体" w:cs="宋体"/>
                <w:highlight w:val="none"/>
              </w:rPr>
              <w:t>、排放量为</w:t>
            </w:r>
            <w:r>
              <w:rPr>
                <w:rFonts w:hint="eastAsia" w:ascii="宋体" w:hAnsi="宋体" w:cs="宋体"/>
                <w:highlight w:val="none"/>
                <w:lang w:val="en-US" w:eastAsia="zh-CN"/>
              </w:rPr>
              <w:t>0.184</w:t>
            </w:r>
            <w:r>
              <w:rPr>
                <w:rFonts w:hint="eastAsia" w:ascii="宋体" w:hAnsi="宋体" w:cs="宋体"/>
                <w:highlight w:val="none"/>
              </w:rPr>
              <w:t>t/a，</w:t>
            </w:r>
            <w:r>
              <w:rPr>
                <w:rFonts w:hint="eastAsia" w:ascii="宋体" w:hAnsi="宋体" w:cs="宋体"/>
              </w:rPr>
              <w:t>预测浓度、排放量均小于标准浓度及排放量），最终按执行标准浓度排放量计算总量控制指标。</w:t>
            </w:r>
          </w:p>
          <w:p>
            <w:pPr>
              <w:spacing w:line="360" w:lineRule="auto"/>
              <w:jc w:val="center"/>
              <w:rPr>
                <w:rFonts w:ascii="宋体" w:hAnsi="宋体" w:cs="宋体"/>
                <w:b/>
                <w:bCs/>
              </w:rPr>
            </w:pPr>
          </w:p>
          <w:p>
            <w:pPr>
              <w:spacing w:line="360" w:lineRule="auto"/>
              <w:jc w:val="center"/>
              <w:rPr>
                <w:rFonts w:ascii="宋体" w:hAnsi="宋体" w:cs="宋体"/>
                <w:b/>
                <w:bCs/>
              </w:rPr>
            </w:pPr>
            <w:r>
              <w:rPr>
                <w:rFonts w:hint="eastAsia" w:ascii="宋体" w:hAnsi="宋体" w:cs="宋体"/>
                <w:b/>
                <w:bCs/>
              </w:rPr>
              <w:t>表3-10  废气排放量核定过程一览表</w:t>
            </w:r>
          </w:p>
          <w:tbl>
            <w:tblPr>
              <w:tblStyle w:val="24"/>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608"/>
              <w:gridCol w:w="1215"/>
              <w:gridCol w:w="1252"/>
              <w:gridCol w:w="1482"/>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restart"/>
                  <w:vAlign w:val="center"/>
                </w:tcPr>
                <w:p>
                  <w:pPr>
                    <w:jc w:val="center"/>
                    <w:rPr>
                      <w:rFonts w:ascii="宋体" w:hAnsi="宋体" w:cs="宋体"/>
                      <w:sz w:val="18"/>
                      <w:szCs w:val="18"/>
                    </w:rPr>
                  </w:pPr>
                  <w:r>
                    <w:rPr>
                      <w:rFonts w:hint="eastAsia" w:ascii="宋体" w:hAnsi="宋体" w:cs="宋体"/>
                      <w:sz w:val="18"/>
                      <w:szCs w:val="18"/>
                    </w:rPr>
                    <w:t>项目</w:t>
                  </w:r>
                </w:p>
              </w:tc>
              <w:tc>
                <w:tcPr>
                  <w:tcW w:w="969" w:type="pct"/>
                  <w:vMerge w:val="restart"/>
                  <w:vAlign w:val="center"/>
                </w:tcPr>
                <w:p>
                  <w:pPr>
                    <w:jc w:val="center"/>
                    <w:rPr>
                      <w:rFonts w:ascii="宋体" w:hAnsi="宋体" w:cs="宋体"/>
                      <w:sz w:val="18"/>
                      <w:szCs w:val="18"/>
                    </w:rPr>
                  </w:pPr>
                  <w:r>
                    <w:rPr>
                      <w:rFonts w:hint="eastAsia" w:ascii="宋体" w:hAnsi="宋体" w:cs="宋体"/>
                      <w:sz w:val="18"/>
                      <w:szCs w:val="18"/>
                    </w:rPr>
                    <w:t>废气量（m</w:t>
                  </w:r>
                  <w:r>
                    <w:rPr>
                      <w:rFonts w:hint="eastAsia" w:ascii="宋体" w:hAnsi="宋体" w:cs="宋体"/>
                      <w:sz w:val="18"/>
                      <w:szCs w:val="18"/>
                      <w:vertAlign w:val="superscript"/>
                    </w:rPr>
                    <w:t>3</w:t>
                  </w:r>
                  <w:r>
                    <w:rPr>
                      <w:rFonts w:hint="eastAsia" w:ascii="宋体" w:hAnsi="宋体" w:cs="宋体"/>
                      <w:sz w:val="18"/>
                      <w:szCs w:val="18"/>
                    </w:rPr>
                    <w:t>/a）</w:t>
                  </w:r>
                </w:p>
              </w:tc>
              <w:tc>
                <w:tcPr>
                  <w:tcW w:w="1487" w:type="pct"/>
                  <w:gridSpan w:val="2"/>
                  <w:vAlign w:val="center"/>
                </w:tcPr>
                <w:p>
                  <w:pPr>
                    <w:jc w:val="center"/>
                    <w:rPr>
                      <w:rFonts w:ascii="宋体" w:hAnsi="宋体" w:cs="宋体"/>
                      <w:sz w:val="18"/>
                      <w:szCs w:val="18"/>
                    </w:rPr>
                  </w:pPr>
                  <w:r>
                    <w:rPr>
                      <w:rFonts w:hint="eastAsia" w:ascii="宋体" w:hAnsi="宋体" w:cs="宋体"/>
                      <w:sz w:val="18"/>
                      <w:szCs w:val="18"/>
                    </w:rPr>
                    <w:t>排放标准（mg/L）</w:t>
                  </w:r>
                </w:p>
              </w:tc>
              <w:tc>
                <w:tcPr>
                  <w:tcW w:w="1859" w:type="pct"/>
                  <w:gridSpan w:val="2"/>
                  <w:vAlign w:val="center"/>
                </w:tcPr>
                <w:p>
                  <w:pPr>
                    <w:jc w:val="center"/>
                    <w:rPr>
                      <w:rFonts w:ascii="宋体" w:hAnsi="宋体" w:cs="宋体"/>
                      <w:sz w:val="18"/>
                      <w:szCs w:val="18"/>
                    </w:rPr>
                  </w:pPr>
                  <w:r>
                    <w:rPr>
                      <w:rFonts w:hint="eastAsia" w:ascii="宋体" w:hAnsi="宋体" w:cs="宋体"/>
                      <w:sz w:val="18"/>
                      <w:szCs w:val="18"/>
                    </w:rPr>
                    <w:t>核算排放总量（t/a）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vAlign w:val="center"/>
                </w:tcPr>
                <w:p>
                  <w:pPr>
                    <w:jc w:val="center"/>
                    <w:rPr>
                      <w:rFonts w:ascii="宋体" w:hAnsi="宋体" w:cs="宋体"/>
                      <w:sz w:val="18"/>
                      <w:szCs w:val="18"/>
                    </w:rPr>
                  </w:pPr>
                </w:p>
              </w:tc>
              <w:tc>
                <w:tcPr>
                  <w:tcW w:w="969" w:type="pct"/>
                  <w:vMerge w:val="continue"/>
                  <w:vAlign w:val="center"/>
                </w:tcPr>
                <w:p>
                  <w:pPr>
                    <w:jc w:val="center"/>
                    <w:rPr>
                      <w:rFonts w:ascii="宋体" w:hAnsi="宋体" w:cs="宋体"/>
                      <w:sz w:val="18"/>
                      <w:szCs w:val="18"/>
                    </w:rPr>
                  </w:pPr>
                </w:p>
              </w:tc>
              <w:tc>
                <w:tcPr>
                  <w:tcW w:w="733" w:type="pct"/>
                  <w:vAlign w:val="center"/>
                </w:tcPr>
                <w:p>
                  <w:pPr>
                    <w:jc w:val="center"/>
                    <w:rPr>
                      <w:rFonts w:ascii="宋体" w:hAnsi="宋体" w:cs="宋体"/>
                      <w:sz w:val="18"/>
                      <w:szCs w:val="18"/>
                    </w:rPr>
                  </w:pPr>
                  <w:r>
                    <w:rPr>
                      <w:rFonts w:hint="eastAsia" w:ascii="宋体" w:hAnsi="宋体" w:cs="宋体"/>
                      <w:sz w:val="18"/>
                      <w:szCs w:val="18"/>
                    </w:rPr>
                    <w:t>SO</w:t>
                  </w:r>
                  <w:r>
                    <w:rPr>
                      <w:rFonts w:hint="eastAsia" w:ascii="宋体" w:hAnsi="宋体" w:cs="宋体"/>
                      <w:sz w:val="18"/>
                      <w:szCs w:val="18"/>
                      <w:vertAlign w:val="subscript"/>
                    </w:rPr>
                    <w:t>2</w:t>
                  </w:r>
                </w:p>
              </w:tc>
              <w:tc>
                <w:tcPr>
                  <w:tcW w:w="753" w:type="pct"/>
                  <w:vAlign w:val="center"/>
                </w:tcPr>
                <w:p>
                  <w:pPr>
                    <w:jc w:val="center"/>
                    <w:rPr>
                      <w:rFonts w:ascii="宋体" w:hAnsi="宋体" w:cs="宋体"/>
                      <w:sz w:val="18"/>
                      <w:szCs w:val="18"/>
                    </w:rPr>
                  </w:pPr>
                  <w:r>
                    <w:rPr>
                      <w:rFonts w:hint="eastAsia" w:ascii="宋体" w:hAnsi="宋体" w:cs="宋体"/>
                      <w:sz w:val="18"/>
                      <w:szCs w:val="18"/>
                    </w:rPr>
                    <w:t>NOx</w:t>
                  </w:r>
                </w:p>
              </w:tc>
              <w:tc>
                <w:tcPr>
                  <w:tcW w:w="894" w:type="pct"/>
                  <w:vAlign w:val="center"/>
                </w:tcPr>
                <w:p>
                  <w:pPr>
                    <w:jc w:val="center"/>
                    <w:rPr>
                      <w:rFonts w:ascii="宋体" w:hAnsi="宋体" w:cs="宋体"/>
                      <w:sz w:val="18"/>
                      <w:szCs w:val="18"/>
                    </w:rPr>
                  </w:pPr>
                  <w:r>
                    <w:rPr>
                      <w:rFonts w:hint="eastAsia" w:ascii="宋体" w:hAnsi="宋体" w:cs="宋体"/>
                      <w:sz w:val="18"/>
                      <w:szCs w:val="18"/>
                    </w:rPr>
                    <w:t>SO</w:t>
                  </w:r>
                  <w:r>
                    <w:rPr>
                      <w:rFonts w:hint="eastAsia" w:ascii="宋体" w:hAnsi="宋体" w:cs="宋体"/>
                      <w:sz w:val="18"/>
                      <w:szCs w:val="18"/>
                      <w:vertAlign w:val="subscript"/>
                    </w:rPr>
                    <w:t>2</w:t>
                  </w:r>
                </w:p>
              </w:tc>
              <w:tc>
                <w:tcPr>
                  <w:tcW w:w="964" w:type="pct"/>
                  <w:vAlign w:val="center"/>
                </w:tcPr>
                <w:p>
                  <w:pPr>
                    <w:jc w:val="center"/>
                    <w:rPr>
                      <w:rFonts w:ascii="宋体" w:hAnsi="宋体" w:cs="宋体"/>
                      <w:sz w:val="18"/>
                      <w:szCs w:val="18"/>
                    </w:rPr>
                  </w:pPr>
                  <w:r>
                    <w:rPr>
                      <w:rFonts w:hint="eastAsia" w:ascii="宋体" w:hAnsi="宋体" w:cs="宋体"/>
                      <w:sz w:val="18"/>
                      <w:szCs w:val="18"/>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Align w:val="center"/>
                </w:tcPr>
                <w:p>
                  <w:pPr>
                    <w:jc w:val="center"/>
                    <w:rPr>
                      <w:rFonts w:ascii="宋体" w:hAnsi="宋体" w:cs="宋体"/>
                      <w:sz w:val="18"/>
                      <w:szCs w:val="18"/>
                    </w:rPr>
                  </w:pPr>
                  <w:r>
                    <w:rPr>
                      <w:rFonts w:hint="eastAsia" w:ascii="宋体" w:hAnsi="宋体" w:cs="宋体"/>
                      <w:sz w:val="18"/>
                      <w:szCs w:val="18"/>
                    </w:rPr>
                    <w:t>废气</w:t>
                  </w:r>
                </w:p>
              </w:tc>
              <w:tc>
                <w:tcPr>
                  <w:tcW w:w="969" w:type="pct"/>
                  <w:vAlign w:val="center"/>
                </w:tcPr>
                <w:p>
                  <w:pPr>
                    <w:jc w:val="center"/>
                    <w:rPr>
                      <w:rFonts w:ascii="宋体" w:hAnsi="宋体" w:cs="宋体"/>
                      <w:sz w:val="18"/>
                      <w:szCs w:val="18"/>
                    </w:rPr>
                  </w:pPr>
                  <w:r>
                    <w:rPr>
                      <w:rFonts w:hint="eastAsia" w:ascii="宋体" w:hAnsi="宋体" w:cs="宋体"/>
                      <w:sz w:val="18"/>
                      <w:szCs w:val="18"/>
                    </w:rPr>
                    <w:t>269.57万m</w:t>
                  </w:r>
                  <w:r>
                    <w:rPr>
                      <w:rFonts w:hint="eastAsia" w:ascii="宋体" w:hAnsi="宋体" w:cs="宋体"/>
                      <w:sz w:val="18"/>
                      <w:szCs w:val="18"/>
                      <w:vertAlign w:val="superscript"/>
                    </w:rPr>
                    <w:t>3</w:t>
                  </w:r>
                  <w:r>
                    <w:rPr>
                      <w:rFonts w:hint="eastAsia" w:ascii="宋体" w:hAnsi="宋体" w:cs="宋体"/>
                      <w:sz w:val="18"/>
                      <w:szCs w:val="18"/>
                    </w:rPr>
                    <w:t>/a</w:t>
                  </w:r>
                </w:p>
              </w:tc>
              <w:tc>
                <w:tcPr>
                  <w:tcW w:w="733" w:type="pct"/>
                  <w:vAlign w:val="center"/>
                </w:tcPr>
                <w:p>
                  <w:pPr>
                    <w:jc w:val="center"/>
                    <w:rPr>
                      <w:rFonts w:ascii="宋体" w:hAnsi="宋体" w:cs="宋体"/>
                      <w:sz w:val="18"/>
                      <w:szCs w:val="18"/>
                    </w:rPr>
                  </w:pPr>
                  <w:r>
                    <w:rPr>
                      <w:rFonts w:hint="eastAsia" w:ascii="宋体" w:hAnsi="宋体" w:cs="宋体"/>
                      <w:sz w:val="18"/>
                      <w:szCs w:val="18"/>
                    </w:rPr>
                    <w:t>30</w:t>
                  </w:r>
                </w:p>
              </w:tc>
              <w:tc>
                <w:tcPr>
                  <w:tcW w:w="753" w:type="pct"/>
                  <w:vAlign w:val="center"/>
                </w:tcPr>
                <w:p>
                  <w:pPr>
                    <w:jc w:val="center"/>
                    <w:rPr>
                      <w:rFonts w:ascii="宋体" w:hAnsi="宋体" w:cs="宋体"/>
                      <w:sz w:val="18"/>
                      <w:szCs w:val="18"/>
                    </w:rPr>
                  </w:pPr>
                  <w:r>
                    <w:rPr>
                      <w:rFonts w:hint="eastAsia" w:ascii="宋体" w:hAnsi="宋体" w:cs="宋体"/>
                      <w:sz w:val="18"/>
                      <w:szCs w:val="18"/>
                    </w:rPr>
                    <w:t>150</w:t>
                  </w:r>
                </w:p>
              </w:tc>
              <w:tc>
                <w:tcPr>
                  <w:tcW w:w="894" w:type="pct"/>
                  <w:vAlign w:val="center"/>
                </w:tcPr>
                <w:p>
                  <w:pPr>
                    <w:jc w:val="center"/>
                    <w:rPr>
                      <w:rFonts w:ascii="宋体" w:hAnsi="宋体" w:cs="宋体"/>
                      <w:sz w:val="18"/>
                      <w:szCs w:val="18"/>
                    </w:rPr>
                  </w:pPr>
                  <w:r>
                    <w:rPr>
                      <w:rFonts w:hint="eastAsia" w:ascii="宋体" w:hAnsi="宋体" w:cs="宋体"/>
                      <w:sz w:val="18"/>
                      <w:szCs w:val="18"/>
                    </w:rPr>
                    <w:t>0.08</w:t>
                  </w:r>
                </w:p>
              </w:tc>
              <w:tc>
                <w:tcPr>
                  <w:tcW w:w="964" w:type="pct"/>
                  <w:vAlign w:val="center"/>
                </w:tcPr>
                <w:p>
                  <w:pPr>
                    <w:jc w:val="center"/>
                    <w:rPr>
                      <w:rFonts w:ascii="宋体" w:hAnsi="宋体" w:cs="宋体"/>
                      <w:sz w:val="18"/>
                      <w:szCs w:val="18"/>
                    </w:rPr>
                  </w:pPr>
                  <w:r>
                    <w:rPr>
                      <w:rFonts w:hint="eastAsia" w:ascii="宋体" w:hAnsi="宋体" w:cs="宋体"/>
                      <w:sz w:val="18"/>
                      <w:szCs w:val="18"/>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40" w:type="pct"/>
                  <w:gridSpan w:val="4"/>
                  <w:vAlign w:val="center"/>
                </w:tcPr>
                <w:p>
                  <w:pPr>
                    <w:jc w:val="center"/>
                    <w:rPr>
                      <w:rFonts w:ascii="宋体" w:hAnsi="宋体" w:cs="宋体"/>
                      <w:sz w:val="18"/>
                      <w:szCs w:val="18"/>
                    </w:rPr>
                  </w:pPr>
                  <w:r>
                    <w:rPr>
                      <w:rFonts w:hint="eastAsia" w:ascii="宋体" w:hAnsi="宋体" w:cs="宋体"/>
                      <w:sz w:val="18"/>
                      <w:szCs w:val="18"/>
                    </w:rPr>
                    <w:t>合计</w:t>
                  </w:r>
                </w:p>
              </w:tc>
              <w:tc>
                <w:tcPr>
                  <w:tcW w:w="1483" w:type="dxa"/>
                  <w:vAlign w:val="center"/>
                </w:tcPr>
                <w:p>
                  <w:pPr>
                    <w:jc w:val="center"/>
                    <w:rPr>
                      <w:rFonts w:ascii="宋体" w:hAnsi="宋体" w:cs="宋体"/>
                      <w:sz w:val="18"/>
                      <w:szCs w:val="18"/>
                    </w:rPr>
                  </w:pPr>
                  <w:r>
                    <w:rPr>
                      <w:rFonts w:hint="eastAsia" w:ascii="宋体" w:hAnsi="宋体" w:cs="宋体"/>
                      <w:sz w:val="18"/>
                      <w:szCs w:val="18"/>
                    </w:rPr>
                    <w:t>0.08</w:t>
                  </w:r>
                </w:p>
              </w:tc>
              <w:tc>
                <w:tcPr>
                  <w:tcW w:w="1600" w:type="dxa"/>
                  <w:vAlign w:val="center"/>
                </w:tcPr>
                <w:p>
                  <w:pPr>
                    <w:jc w:val="center"/>
                    <w:rPr>
                      <w:rFonts w:ascii="宋体" w:hAnsi="宋体" w:cs="宋体"/>
                      <w:sz w:val="18"/>
                      <w:szCs w:val="18"/>
                    </w:rPr>
                  </w:pPr>
                  <w:r>
                    <w:rPr>
                      <w:rFonts w:hint="eastAsia" w:ascii="宋体" w:hAnsi="宋体" w:cs="宋体"/>
                      <w:sz w:val="18"/>
                      <w:szCs w:val="18"/>
                    </w:rPr>
                    <w:t>0.40</w:t>
                  </w:r>
                </w:p>
              </w:tc>
            </w:tr>
          </w:tbl>
          <w:p>
            <w:pPr>
              <w:adjustRightInd w:val="0"/>
              <w:snapToGrid w:val="0"/>
              <w:spacing w:line="440" w:lineRule="exact"/>
              <w:ind w:firstLine="422" w:firstLineChars="200"/>
              <w:rPr>
                <w:rFonts w:ascii="宋体" w:hAnsi="宋体" w:cs="宋体"/>
                <w:b/>
                <w:bCs/>
              </w:rPr>
            </w:pPr>
            <w:r>
              <w:rPr>
                <w:rFonts w:hint="eastAsia" w:ascii="宋体" w:hAnsi="宋体" w:cs="宋体"/>
                <w:b/>
                <w:bCs/>
              </w:rPr>
              <w:t>2、废水</w:t>
            </w:r>
          </w:p>
          <w:p>
            <w:pPr>
              <w:adjustRightInd w:val="0"/>
              <w:snapToGrid w:val="0"/>
              <w:spacing w:line="440" w:lineRule="exact"/>
              <w:ind w:firstLine="420" w:firstLineChars="200"/>
              <w:rPr>
                <w:rFonts w:ascii="宋体" w:hAnsi="宋体" w:cs="宋体"/>
              </w:rPr>
            </w:pPr>
            <w:r>
              <w:rPr>
                <w:rFonts w:hint="eastAsia" w:ascii="宋体" w:hAnsi="宋体" w:cs="宋体"/>
              </w:rPr>
              <w:t>项目无生产废水产生；</w:t>
            </w:r>
            <w:r>
              <w:rPr>
                <w:rFonts w:hint="eastAsia" w:ascii="宋体" w:hAnsi="宋体" w:cs="宋体"/>
                <w:snapToGrid w:val="0"/>
                <w:szCs w:val="21"/>
              </w:rPr>
              <w:t>因锅炉产生的蒸汽作用仅为：对菌包进行高温消毒，锅炉用水无需软化，</w:t>
            </w:r>
            <w:r>
              <w:rPr>
                <w:rFonts w:hint="eastAsia" w:ascii="宋体" w:hAnsi="宋体" w:cs="宋体"/>
              </w:rPr>
              <w:t>冷凝水经回收装置返回锅炉收集循环利用；每年生产运营期结束后蒸汽锅炉需定期排空水，废水暂存于厂区储水罐内，用于粉碎工序喷淋用水。</w:t>
            </w:r>
          </w:p>
          <w:p>
            <w:pPr>
              <w:adjustRightInd w:val="0"/>
              <w:snapToGrid w:val="0"/>
              <w:spacing w:line="440" w:lineRule="exact"/>
              <w:ind w:firstLine="420" w:firstLineChars="200"/>
              <w:rPr>
                <w:rFonts w:ascii="宋体" w:hAnsi="宋体" w:cs="宋体"/>
              </w:rPr>
            </w:pPr>
            <w:r>
              <w:rPr>
                <w:rFonts w:hint="eastAsia" w:ascii="宋体" w:hAnsi="宋体" w:cs="宋体"/>
              </w:rPr>
              <w:t>生活污水排入厂区化粪池，定期由清污车运送至围场满族蒙古族自治县永溢环保科技有限责任公司克勒沟污水处理厂处理，满足《污水综合排放标准》（GB8978-1996）表1、表4三级标准及围场满族蒙古族自治县永溢环保科技有限责任公司克勒沟污水处理厂收水要求。</w:t>
            </w:r>
          </w:p>
          <w:p>
            <w:pPr>
              <w:adjustRightInd w:val="0"/>
              <w:snapToGrid w:val="0"/>
              <w:spacing w:line="440" w:lineRule="exact"/>
              <w:ind w:firstLine="420" w:firstLineChars="200"/>
              <w:rPr>
                <w:rFonts w:ascii="宋体" w:hAnsi="宋体" w:cs="宋体"/>
              </w:rPr>
            </w:pPr>
            <w:r>
              <w:rPr>
                <w:rFonts w:hint="eastAsia" w:ascii="宋体" w:hAnsi="宋体" w:cs="宋体"/>
              </w:rPr>
              <w:t>本项目废水总排放量为80.68t/a，预测COD排放浓度为330mg/m</w:t>
            </w:r>
            <w:r>
              <w:rPr>
                <w:rFonts w:hint="eastAsia" w:ascii="宋体" w:hAnsi="宋体" w:cs="宋体"/>
                <w:vertAlign w:val="superscript"/>
              </w:rPr>
              <w:t>3</w:t>
            </w:r>
            <w:r>
              <w:rPr>
                <w:rFonts w:hint="eastAsia" w:ascii="宋体" w:hAnsi="宋体" w:cs="宋体"/>
              </w:rPr>
              <w:t>，氨氮排放浓度为30mg/m</w:t>
            </w:r>
            <w:r>
              <w:rPr>
                <w:rFonts w:hint="eastAsia" w:ascii="宋体" w:hAnsi="宋体" w:cs="宋体"/>
                <w:vertAlign w:val="superscript"/>
              </w:rPr>
              <w:t>3</w:t>
            </w:r>
            <w:r>
              <w:rPr>
                <w:rFonts w:hint="eastAsia" w:ascii="宋体" w:hAnsi="宋体" w:cs="宋体"/>
              </w:rPr>
              <w:t>；污水综合排放标准COD排放浓度为500mg/m</w:t>
            </w:r>
            <w:r>
              <w:rPr>
                <w:rFonts w:hint="eastAsia" w:ascii="宋体" w:hAnsi="宋体" w:cs="宋体"/>
                <w:vertAlign w:val="superscript"/>
              </w:rPr>
              <w:t>3</w:t>
            </w:r>
            <w:r>
              <w:rPr>
                <w:rFonts w:hint="eastAsia" w:ascii="宋体" w:hAnsi="宋体" w:cs="宋体"/>
              </w:rPr>
              <w:t>、氨氮排放浓度为35mg/m</w:t>
            </w:r>
            <w:r>
              <w:rPr>
                <w:rFonts w:hint="eastAsia" w:ascii="宋体" w:hAnsi="宋体" w:cs="宋体"/>
                <w:vertAlign w:val="superscript"/>
              </w:rPr>
              <w:t>3</w:t>
            </w:r>
            <w:r>
              <w:rPr>
                <w:rFonts w:hint="eastAsia" w:ascii="宋体" w:hAnsi="宋体" w:cs="宋体"/>
              </w:rPr>
              <w:t>（因污水综合排放标准对 氨氮浓度没有限制，故采用污水处理厂收水氨氮浓度）；围场满族蒙古族自治县永溢环保科技有限责任公司克勒沟污水处理厂进水COD排放浓度为350mg/m</w:t>
            </w:r>
            <w:r>
              <w:rPr>
                <w:rFonts w:hint="eastAsia" w:ascii="宋体" w:hAnsi="宋体" w:cs="宋体"/>
                <w:vertAlign w:val="superscript"/>
              </w:rPr>
              <w:t>3</w:t>
            </w:r>
            <w:r>
              <w:rPr>
                <w:rFonts w:hint="eastAsia" w:ascii="宋体" w:hAnsi="宋体" w:cs="宋体"/>
              </w:rPr>
              <w:t>，氨氮排放浓度为35mg/m</w:t>
            </w:r>
            <w:r>
              <w:rPr>
                <w:rFonts w:hint="eastAsia" w:ascii="宋体" w:hAnsi="宋体" w:cs="宋体"/>
                <w:vertAlign w:val="superscript"/>
              </w:rPr>
              <w:t>3</w:t>
            </w:r>
            <w:r>
              <w:rPr>
                <w:rFonts w:hint="eastAsia" w:ascii="宋体" w:hAnsi="宋体" w:cs="宋体"/>
              </w:rPr>
              <w:t>；故本项目COD、氨氮预测浓度、排放量均小于污水综合排放标准浓度及排放量和围场满族蒙古族自治县永溢环保科技有限责任公司克勒沟污水处理厂收水排放浓度。</w:t>
            </w:r>
          </w:p>
          <w:p>
            <w:pPr>
              <w:adjustRightInd w:val="0"/>
              <w:snapToGrid w:val="0"/>
              <w:spacing w:line="440" w:lineRule="exact"/>
              <w:ind w:firstLine="420" w:firstLineChars="200"/>
              <w:rPr>
                <w:rFonts w:ascii="宋体" w:hAnsi="宋体" w:cs="宋体"/>
              </w:rPr>
            </w:pPr>
            <w:r>
              <w:rPr>
                <w:rFonts w:hint="eastAsia" w:ascii="宋体" w:hAnsi="宋体" w:cs="宋体"/>
              </w:rPr>
              <w:t>根据《河北省生态环境厅办公室关于进一步做好建设项目新增水主要污染物排污权核定有关事宜的通知》（文号：冀环办字函【2023】283号），“间接排放的，按照建设项目排水量及所排入污水集中处理设施执行的水污染物排放标准核算”，本项目最终核算COD、氨氮排放总量按照围场满族蒙古族自治县永溢环保科技有限责任公司克勒沟污水处理厂执行的排放浓度标准为《</w:t>
            </w:r>
            <w:r>
              <w:rPr>
                <w:rFonts w:hint="eastAsia" w:ascii="宋体" w:hAnsi="宋体" w:cs="宋体"/>
                <w:kern w:val="0"/>
                <w:szCs w:val="21"/>
              </w:rPr>
              <w:t>城镇污水处理厂污染物排放标准GB18918-2002</w:t>
            </w:r>
            <w:r>
              <w:rPr>
                <w:rFonts w:hint="eastAsia" w:ascii="宋体" w:hAnsi="宋体" w:cs="宋体"/>
              </w:rPr>
              <w:t>》一级A 类排放限值要求，COD执行50mg/L，氨氮执行5mg/L。核算过程见下表3-11。</w:t>
            </w:r>
          </w:p>
          <w:p>
            <w:pPr>
              <w:adjustRightInd w:val="0"/>
              <w:snapToGrid w:val="0"/>
              <w:spacing w:line="440" w:lineRule="exact"/>
              <w:ind w:firstLine="420" w:firstLineChars="200"/>
              <w:rPr>
                <w:rFonts w:ascii="宋体" w:hAnsi="宋体" w:cs="宋体"/>
              </w:rPr>
            </w:pPr>
          </w:p>
          <w:p>
            <w:pPr>
              <w:spacing w:line="360" w:lineRule="auto"/>
              <w:jc w:val="center"/>
              <w:rPr>
                <w:rFonts w:ascii="宋体" w:hAnsi="宋体" w:cs="宋体"/>
                <w:b/>
                <w:bCs/>
              </w:rPr>
            </w:pPr>
            <w:r>
              <w:rPr>
                <w:rFonts w:hint="eastAsia" w:ascii="宋体" w:hAnsi="宋体" w:cs="宋体"/>
                <w:b/>
                <w:bCs/>
              </w:rPr>
              <w:t>表3-11  废水排放量核定过程一览表</w:t>
            </w:r>
          </w:p>
          <w:tbl>
            <w:tblPr>
              <w:tblStyle w:val="24"/>
              <w:tblW w:w="8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9"/>
              <w:gridCol w:w="1233"/>
              <w:gridCol w:w="1018"/>
              <w:gridCol w:w="1020"/>
              <w:gridCol w:w="1066"/>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4" w:type="pct"/>
                  <w:vMerge w:val="restart"/>
                  <w:vAlign w:val="center"/>
                </w:tcPr>
                <w:p>
                  <w:pPr>
                    <w:jc w:val="center"/>
                    <w:rPr>
                      <w:rFonts w:ascii="宋体" w:hAnsi="宋体" w:cs="宋体"/>
                      <w:sz w:val="18"/>
                      <w:szCs w:val="18"/>
                    </w:rPr>
                  </w:pPr>
                  <w:r>
                    <w:rPr>
                      <w:rFonts w:hint="eastAsia" w:ascii="宋体" w:hAnsi="宋体" w:cs="宋体"/>
                      <w:sz w:val="18"/>
                      <w:szCs w:val="18"/>
                    </w:rPr>
                    <w:t>项目生活废水、生产废水总量（m</w:t>
                  </w:r>
                  <w:r>
                    <w:rPr>
                      <w:rFonts w:hint="eastAsia" w:ascii="宋体" w:hAnsi="宋体" w:cs="宋体"/>
                      <w:sz w:val="18"/>
                      <w:szCs w:val="18"/>
                      <w:vertAlign w:val="superscript"/>
                    </w:rPr>
                    <w:t>3</w:t>
                  </w:r>
                  <w:r>
                    <w:rPr>
                      <w:rFonts w:hint="eastAsia" w:ascii="宋体" w:hAnsi="宋体" w:cs="宋体"/>
                      <w:sz w:val="18"/>
                      <w:szCs w:val="18"/>
                    </w:rPr>
                    <w:t>/a）</w:t>
                  </w:r>
                </w:p>
              </w:tc>
              <w:tc>
                <w:tcPr>
                  <w:tcW w:w="732" w:type="pct"/>
                  <w:vMerge w:val="restart"/>
                  <w:vAlign w:val="center"/>
                </w:tcPr>
                <w:p>
                  <w:pPr>
                    <w:jc w:val="center"/>
                    <w:rPr>
                      <w:rFonts w:ascii="宋体" w:hAnsi="宋体" w:cs="宋体"/>
                      <w:sz w:val="18"/>
                      <w:szCs w:val="18"/>
                    </w:rPr>
                  </w:pPr>
                  <w:r>
                    <w:rPr>
                      <w:rFonts w:hint="eastAsia" w:ascii="宋体" w:hAnsi="宋体" w:cs="宋体"/>
                      <w:sz w:val="18"/>
                      <w:szCs w:val="18"/>
                    </w:rPr>
                    <w:t>排水量（m</w:t>
                  </w:r>
                  <w:r>
                    <w:rPr>
                      <w:rFonts w:hint="eastAsia" w:ascii="宋体" w:hAnsi="宋体" w:cs="宋体"/>
                      <w:sz w:val="18"/>
                      <w:szCs w:val="18"/>
                      <w:vertAlign w:val="superscript"/>
                    </w:rPr>
                    <w:t>3</w:t>
                  </w:r>
                  <w:r>
                    <w:rPr>
                      <w:rFonts w:hint="eastAsia" w:ascii="宋体" w:hAnsi="宋体" w:cs="宋体"/>
                      <w:sz w:val="18"/>
                      <w:szCs w:val="18"/>
                    </w:rPr>
                    <w:t>/a）</w:t>
                  </w:r>
                </w:p>
              </w:tc>
              <w:tc>
                <w:tcPr>
                  <w:tcW w:w="1211" w:type="pct"/>
                  <w:gridSpan w:val="2"/>
                  <w:vAlign w:val="center"/>
                </w:tcPr>
                <w:p>
                  <w:pPr>
                    <w:jc w:val="center"/>
                    <w:rPr>
                      <w:rFonts w:ascii="宋体" w:hAnsi="宋体" w:cs="宋体"/>
                      <w:sz w:val="18"/>
                      <w:szCs w:val="18"/>
                    </w:rPr>
                  </w:pPr>
                  <w:r>
                    <w:rPr>
                      <w:rFonts w:hint="eastAsia" w:ascii="宋体" w:hAnsi="宋体" w:cs="宋体"/>
                      <w:sz w:val="18"/>
                      <w:szCs w:val="18"/>
                    </w:rPr>
                    <w:t>排放标准（mg/L）</w:t>
                  </w:r>
                </w:p>
              </w:tc>
              <w:tc>
                <w:tcPr>
                  <w:tcW w:w="1412" w:type="pct"/>
                  <w:gridSpan w:val="2"/>
                  <w:vAlign w:val="center"/>
                </w:tcPr>
                <w:p>
                  <w:pPr>
                    <w:jc w:val="center"/>
                    <w:rPr>
                      <w:rFonts w:ascii="宋体" w:hAnsi="宋体" w:cs="宋体"/>
                      <w:sz w:val="18"/>
                      <w:szCs w:val="18"/>
                    </w:rPr>
                  </w:pPr>
                  <w:r>
                    <w:rPr>
                      <w:rFonts w:hint="eastAsia" w:ascii="宋体" w:hAnsi="宋体" w:cs="宋体"/>
                      <w:sz w:val="18"/>
                      <w:szCs w:val="18"/>
                    </w:rPr>
                    <w:t>核算排放总量（t/a）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4" w:type="pct"/>
                  <w:vMerge w:val="continue"/>
                  <w:vAlign w:val="center"/>
                </w:tcPr>
                <w:p>
                  <w:pPr>
                    <w:jc w:val="center"/>
                    <w:rPr>
                      <w:rFonts w:ascii="宋体" w:hAnsi="宋体" w:cs="宋体"/>
                      <w:sz w:val="18"/>
                      <w:szCs w:val="18"/>
                    </w:rPr>
                  </w:pPr>
                </w:p>
              </w:tc>
              <w:tc>
                <w:tcPr>
                  <w:tcW w:w="732" w:type="pct"/>
                  <w:vMerge w:val="continue"/>
                  <w:vAlign w:val="center"/>
                </w:tcPr>
                <w:p>
                  <w:pPr>
                    <w:jc w:val="center"/>
                    <w:rPr>
                      <w:rFonts w:ascii="宋体" w:hAnsi="宋体" w:cs="宋体"/>
                      <w:sz w:val="18"/>
                      <w:szCs w:val="18"/>
                    </w:rPr>
                  </w:pPr>
                </w:p>
              </w:tc>
              <w:tc>
                <w:tcPr>
                  <w:tcW w:w="605" w:type="pct"/>
                  <w:vAlign w:val="center"/>
                </w:tcPr>
                <w:p>
                  <w:pPr>
                    <w:jc w:val="center"/>
                    <w:rPr>
                      <w:rFonts w:ascii="宋体" w:hAnsi="宋体" w:cs="宋体"/>
                      <w:sz w:val="18"/>
                      <w:szCs w:val="18"/>
                    </w:rPr>
                  </w:pPr>
                  <w:r>
                    <w:rPr>
                      <w:rFonts w:hint="eastAsia" w:ascii="宋体" w:hAnsi="宋体" w:cs="宋体"/>
                      <w:sz w:val="18"/>
                      <w:szCs w:val="18"/>
                    </w:rPr>
                    <w:t>COD</w:t>
                  </w:r>
                </w:p>
              </w:tc>
              <w:tc>
                <w:tcPr>
                  <w:tcW w:w="605" w:type="pct"/>
                  <w:vAlign w:val="center"/>
                </w:tcPr>
                <w:p>
                  <w:pPr>
                    <w:jc w:val="center"/>
                    <w:rPr>
                      <w:rFonts w:ascii="宋体" w:hAnsi="宋体" w:cs="宋体"/>
                      <w:sz w:val="18"/>
                      <w:szCs w:val="18"/>
                    </w:rPr>
                  </w:pPr>
                  <w:r>
                    <w:rPr>
                      <w:rFonts w:hint="eastAsia" w:ascii="宋体" w:hAnsi="宋体" w:cs="宋体"/>
                      <w:sz w:val="18"/>
                      <w:szCs w:val="18"/>
                    </w:rPr>
                    <w:t>氨氮</w:t>
                  </w:r>
                </w:p>
              </w:tc>
              <w:tc>
                <w:tcPr>
                  <w:tcW w:w="633" w:type="pct"/>
                  <w:vAlign w:val="center"/>
                </w:tcPr>
                <w:p>
                  <w:pPr>
                    <w:jc w:val="center"/>
                    <w:rPr>
                      <w:rFonts w:ascii="宋体" w:hAnsi="宋体" w:cs="宋体"/>
                      <w:sz w:val="18"/>
                      <w:szCs w:val="18"/>
                    </w:rPr>
                  </w:pPr>
                  <w:r>
                    <w:rPr>
                      <w:rFonts w:hint="eastAsia" w:ascii="宋体" w:hAnsi="宋体" w:cs="宋体"/>
                      <w:sz w:val="18"/>
                      <w:szCs w:val="18"/>
                    </w:rPr>
                    <w:t>COD</w:t>
                  </w:r>
                </w:p>
              </w:tc>
              <w:tc>
                <w:tcPr>
                  <w:tcW w:w="778" w:type="pct"/>
                  <w:vAlign w:val="center"/>
                </w:tcPr>
                <w:p>
                  <w:pPr>
                    <w:jc w:val="center"/>
                    <w:rPr>
                      <w:rFonts w:ascii="宋体" w:hAnsi="宋体" w:cs="宋体"/>
                      <w:sz w:val="18"/>
                      <w:szCs w:val="18"/>
                    </w:rPr>
                  </w:pPr>
                  <w:r>
                    <w:rPr>
                      <w:rFonts w:hint="eastAsia" w:ascii="宋体" w:hAnsi="宋体" w:cs="宋体"/>
                      <w:sz w:val="18"/>
                      <w:szCs w:val="18"/>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4" w:type="pct"/>
                  <w:vAlign w:val="center"/>
                </w:tcPr>
                <w:p>
                  <w:pPr>
                    <w:jc w:val="center"/>
                    <w:rPr>
                      <w:rFonts w:ascii="宋体" w:hAnsi="宋体" w:cs="宋体"/>
                      <w:sz w:val="18"/>
                      <w:szCs w:val="18"/>
                    </w:rPr>
                  </w:pPr>
                  <w:r>
                    <w:rPr>
                      <w:rFonts w:hint="eastAsia" w:ascii="宋体" w:hAnsi="宋体" w:cs="宋体"/>
                      <w:sz w:val="18"/>
                      <w:szCs w:val="18"/>
                    </w:rPr>
                    <w:t>生活污水</w:t>
                  </w:r>
                </w:p>
              </w:tc>
              <w:tc>
                <w:tcPr>
                  <w:tcW w:w="732" w:type="pct"/>
                  <w:vAlign w:val="center"/>
                </w:tcPr>
                <w:p>
                  <w:pPr>
                    <w:jc w:val="center"/>
                    <w:rPr>
                      <w:rFonts w:ascii="宋体" w:hAnsi="宋体" w:cs="宋体"/>
                      <w:sz w:val="18"/>
                      <w:szCs w:val="18"/>
                    </w:rPr>
                  </w:pPr>
                  <w:r>
                    <w:rPr>
                      <w:rFonts w:hint="eastAsia" w:ascii="宋体" w:hAnsi="宋体" w:cs="宋体"/>
                      <w:sz w:val="18"/>
                      <w:szCs w:val="18"/>
                    </w:rPr>
                    <w:t>80.68</w:t>
                  </w:r>
                </w:p>
              </w:tc>
              <w:tc>
                <w:tcPr>
                  <w:tcW w:w="605" w:type="pct"/>
                  <w:vAlign w:val="center"/>
                </w:tcPr>
                <w:p>
                  <w:pPr>
                    <w:jc w:val="center"/>
                    <w:rPr>
                      <w:rFonts w:ascii="宋体" w:hAnsi="宋体" w:cs="宋体"/>
                      <w:sz w:val="18"/>
                      <w:szCs w:val="18"/>
                    </w:rPr>
                  </w:pPr>
                  <w:r>
                    <w:rPr>
                      <w:rFonts w:hint="eastAsia" w:ascii="宋体" w:hAnsi="宋体" w:cs="宋体"/>
                      <w:sz w:val="18"/>
                      <w:szCs w:val="18"/>
                    </w:rPr>
                    <w:t>50</w:t>
                  </w:r>
                </w:p>
              </w:tc>
              <w:tc>
                <w:tcPr>
                  <w:tcW w:w="605" w:type="pct"/>
                  <w:vAlign w:val="center"/>
                </w:tcPr>
                <w:p>
                  <w:pPr>
                    <w:jc w:val="center"/>
                    <w:rPr>
                      <w:rFonts w:ascii="宋体" w:hAnsi="宋体" w:cs="宋体"/>
                      <w:sz w:val="18"/>
                      <w:szCs w:val="18"/>
                    </w:rPr>
                  </w:pPr>
                  <w:r>
                    <w:rPr>
                      <w:rFonts w:hint="eastAsia" w:ascii="宋体" w:hAnsi="宋体" w:cs="宋体"/>
                      <w:sz w:val="18"/>
                      <w:szCs w:val="18"/>
                    </w:rPr>
                    <w:t>5</w:t>
                  </w:r>
                </w:p>
              </w:tc>
              <w:tc>
                <w:tcPr>
                  <w:tcW w:w="633" w:type="pct"/>
                  <w:vAlign w:val="center"/>
                </w:tcPr>
                <w:p>
                  <w:pPr>
                    <w:jc w:val="center"/>
                    <w:rPr>
                      <w:rFonts w:ascii="宋体" w:hAnsi="宋体" w:cs="宋体"/>
                      <w:sz w:val="18"/>
                      <w:szCs w:val="18"/>
                    </w:rPr>
                  </w:pPr>
                  <w:r>
                    <w:rPr>
                      <w:rFonts w:hint="eastAsia" w:ascii="宋体" w:hAnsi="宋体" w:cs="宋体"/>
                      <w:sz w:val="18"/>
                      <w:szCs w:val="18"/>
                    </w:rPr>
                    <w:t>0.004034</w:t>
                  </w:r>
                </w:p>
              </w:tc>
              <w:tc>
                <w:tcPr>
                  <w:tcW w:w="778" w:type="pct"/>
                  <w:vAlign w:val="center"/>
                </w:tcPr>
                <w:p>
                  <w:pPr>
                    <w:jc w:val="center"/>
                    <w:rPr>
                      <w:rFonts w:ascii="宋体" w:hAnsi="宋体" w:cs="宋体"/>
                      <w:sz w:val="18"/>
                      <w:szCs w:val="18"/>
                    </w:rPr>
                  </w:pPr>
                  <w:r>
                    <w:rPr>
                      <w:rFonts w:hint="eastAsia" w:ascii="宋体" w:hAnsi="宋体" w:cs="宋体"/>
                      <w:sz w:val="18"/>
                      <w:szCs w:val="18"/>
                    </w:rPr>
                    <w:t>0.0004034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87" w:type="pct"/>
                  <w:gridSpan w:val="4"/>
                  <w:vAlign w:val="center"/>
                </w:tcPr>
                <w:p>
                  <w:pPr>
                    <w:jc w:val="center"/>
                    <w:rPr>
                      <w:rFonts w:ascii="宋体" w:hAnsi="宋体" w:cs="宋体"/>
                      <w:sz w:val="18"/>
                      <w:szCs w:val="18"/>
                    </w:rPr>
                  </w:pPr>
                  <w:r>
                    <w:rPr>
                      <w:rFonts w:hint="eastAsia" w:ascii="宋体" w:hAnsi="宋体" w:cs="宋体"/>
                      <w:sz w:val="18"/>
                      <w:szCs w:val="18"/>
                    </w:rPr>
                    <w:t>合计</w:t>
                  </w:r>
                </w:p>
              </w:tc>
              <w:tc>
                <w:tcPr>
                  <w:tcW w:w="633" w:type="pct"/>
                  <w:vAlign w:val="center"/>
                </w:tcPr>
                <w:p>
                  <w:pPr>
                    <w:jc w:val="center"/>
                    <w:rPr>
                      <w:rFonts w:ascii="宋体" w:hAnsi="宋体" w:cs="宋体"/>
                      <w:sz w:val="18"/>
                      <w:szCs w:val="18"/>
                    </w:rPr>
                  </w:pPr>
                  <w:r>
                    <w:rPr>
                      <w:rFonts w:hint="eastAsia" w:ascii="宋体" w:hAnsi="宋体" w:cs="宋体"/>
                      <w:sz w:val="18"/>
                      <w:szCs w:val="18"/>
                    </w:rPr>
                    <w:t>0.004034</w:t>
                  </w:r>
                </w:p>
              </w:tc>
              <w:tc>
                <w:tcPr>
                  <w:tcW w:w="778" w:type="pct"/>
                  <w:vAlign w:val="center"/>
                </w:tcPr>
                <w:p>
                  <w:pPr>
                    <w:jc w:val="center"/>
                    <w:rPr>
                      <w:rFonts w:ascii="宋体" w:hAnsi="宋体" w:cs="宋体"/>
                      <w:sz w:val="18"/>
                      <w:szCs w:val="18"/>
                    </w:rPr>
                  </w:pPr>
                  <w:r>
                    <w:rPr>
                      <w:rFonts w:hint="eastAsia" w:ascii="宋体" w:hAnsi="宋体" w:cs="宋体"/>
                      <w:sz w:val="18"/>
                      <w:szCs w:val="18"/>
                    </w:rPr>
                    <w:t>0.0004034</w:t>
                  </w:r>
                </w:p>
              </w:tc>
            </w:tr>
          </w:tbl>
          <w:p>
            <w:pPr>
              <w:pStyle w:val="55"/>
              <w:ind w:firstLine="420"/>
              <w:rPr>
                <w:rFonts w:ascii="宋体" w:hAnsi="宋体" w:cs="宋体"/>
                <w:kern w:val="2"/>
                <w:sz w:val="21"/>
                <w:szCs w:val="21"/>
              </w:rPr>
            </w:pPr>
          </w:p>
          <w:p>
            <w:pPr>
              <w:pStyle w:val="55"/>
              <w:ind w:firstLine="420"/>
              <w:rPr>
                <w:rFonts w:ascii="宋体" w:hAnsi="宋体" w:cs="宋体"/>
                <w:b/>
                <w:bCs/>
                <w:kern w:val="2"/>
                <w:sz w:val="21"/>
                <w:szCs w:val="21"/>
              </w:rPr>
            </w:pPr>
            <w:r>
              <w:rPr>
                <w:rFonts w:hint="eastAsia" w:ascii="宋体" w:hAnsi="宋体" w:cs="宋体"/>
                <w:kern w:val="2"/>
                <w:sz w:val="21"/>
                <w:szCs w:val="21"/>
              </w:rPr>
              <w:t>综上所述，本项目废气总排放量为269.57万</w:t>
            </w:r>
            <w:r>
              <w:rPr>
                <w:rFonts w:hint="eastAsia" w:ascii="宋体" w:hAnsi="宋体" w:cs="宋体"/>
                <w:sz w:val="21"/>
                <w:szCs w:val="21"/>
              </w:rPr>
              <w:t>m</w:t>
            </w:r>
            <w:r>
              <w:rPr>
                <w:rFonts w:hint="eastAsia" w:ascii="宋体" w:hAnsi="宋体" w:cs="宋体"/>
                <w:sz w:val="21"/>
                <w:szCs w:val="21"/>
                <w:vertAlign w:val="superscript"/>
              </w:rPr>
              <w:t>3</w:t>
            </w:r>
            <w:r>
              <w:rPr>
                <w:rFonts w:hint="eastAsia" w:ascii="宋体" w:hAnsi="宋体" w:cs="宋体"/>
                <w:sz w:val="21"/>
                <w:szCs w:val="21"/>
              </w:rPr>
              <w:t>/a</w:t>
            </w:r>
            <w:r>
              <w:rPr>
                <w:rFonts w:hint="eastAsia" w:ascii="宋体" w:hAnsi="宋体" w:cs="宋体"/>
                <w:kern w:val="2"/>
                <w:sz w:val="21"/>
                <w:szCs w:val="21"/>
              </w:rPr>
              <w:t>，废水总排放量为80.68t/a，新增污染物总量控制指标为：废气：SO</w:t>
            </w:r>
            <w:r>
              <w:rPr>
                <w:rFonts w:hint="eastAsia" w:ascii="宋体" w:hAnsi="宋体" w:cs="宋体"/>
                <w:kern w:val="2"/>
                <w:sz w:val="21"/>
                <w:szCs w:val="21"/>
                <w:vertAlign w:val="subscript"/>
              </w:rPr>
              <w:t>2</w:t>
            </w:r>
            <w:r>
              <w:rPr>
                <w:rFonts w:hint="eastAsia" w:ascii="宋体" w:hAnsi="宋体" w:cs="宋体"/>
                <w:kern w:val="2"/>
                <w:sz w:val="21"/>
                <w:szCs w:val="21"/>
              </w:rPr>
              <w:t>：0.08t/a，NOx：0.40t/a；废水：COD≈0.004t/a；氨氮≈0.001t/a。</w:t>
            </w:r>
            <w:r>
              <w:rPr>
                <w:rFonts w:hint="eastAsia" w:ascii="宋体" w:hAnsi="宋体" w:cs="宋体"/>
                <w:b/>
                <w:bCs/>
                <w:kern w:val="2"/>
                <w:sz w:val="21"/>
                <w:szCs w:val="21"/>
              </w:rPr>
              <w:t xml:space="preserve"> </w:t>
            </w:r>
          </w:p>
          <w:p>
            <w:pPr>
              <w:pStyle w:val="55"/>
              <w:ind w:firstLine="422"/>
              <w:rPr>
                <w:b/>
                <w:bCs/>
                <w:kern w:val="2"/>
                <w:sz w:val="21"/>
              </w:rPr>
            </w:pPr>
          </w:p>
        </w:tc>
      </w:tr>
    </w:tbl>
    <w:p>
      <w:pPr>
        <w:pStyle w:val="20"/>
        <w:jc w:val="center"/>
        <w:outlineLvl w:val="0"/>
        <w:rPr>
          <w:rFonts w:ascii="黑体" w:hAnsi="黑体" w:eastAsia="黑体"/>
          <w:snapToGrid w:val="0"/>
          <w:sz w:val="30"/>
          <w:szCs w:val="30"/>
        </w:rPr>
      </w:pPr>
      <w:bookmarkStart w:id="17" w:name="_Toc20172"/>
      <w:r>
        <w:rPr>
          <w:rFonts w:hint="eastAsia" w:cs="宋体"/>
          <w:b/>
          <w:bCs/>
          <w:snapToGrid w:val="0"/>
          <w:szCs w:val="24"/>
        </w:rPr>
        <w:t>四、主要环境影响和保护措施</w:t>
      </w:r>
      <w:bookmarkEnd w:id="17"/>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tcMar>
              <w:left w:w="28" w:type="dxa"/>
              <w:right w:w="28" w:type="dxa"/>
            </w:tcMar>
            <w:vAlign w:val="center"/>
          </w:tcPr>
          <w:p>
            <w:pPr>
              <w:adjustRightInd w:val="0"/>
              <w:snapToGrid w:val="0"/>
              <w:jc w:val="center"/>
              <w:rPr>
                <w:rFonts w:ascii="宋体" w:hAnsi="宋体" w:cs="宋体"/>
                <w:kern w:val="0"/>
                <w:szCs w:val="21"/>
              </w:rPr>
            </w:pPr>
            <w:r>
              <w:rPr>
                <w:rFonts w:hint="eastAsia" w:ascii="宋体" w:hAnsi="宋体" w:cs="宋体"/>
                <w:kern w:val="0"/>
                <w:szCs w:val="21"/>
              </w:rPr>
              <w:t>施工</w:t>
            </w:r>
          </w:p>
          <w:p>
            <w:pPr>
              <w:adjustRightInd w:val="0"/>
              <w:snapToGrid w:val="0"/>
              <w:jc w:val="center"/>
              <w:rPr>
                <w:rFonts w:ascii="宋体" w:hAnsi="宋体" w:cs="宋体"/>
                <w:kern w:val="0"/>
                <w:szCs w:val="21"/>
              </w:rPr>
            </w:pPr>
            <w:r>
              <w:rPr>
                <w:rFonts w:hint="eastAsia" w:ascii="宋体" w:hAnsi="宋体" w:cs="宋体"/>
                <w:kern w:val="0"/>
                <w:szCs w:val="21"/>
              </w:rPr>
              <w:t>期环</w:t>
            </w:r>
          </w:p>
          <w:p>
            <w:pPr>
              <w:adjustRightInd w:val="0"/>
              <w:snapToGrid w:val="0"/>
              <w:jc w:val="center"/>
              <w:rPr>
                <w:rFonts w:ascii="宋体" w:hAnsi="宋体" w:cs="宋体"/>
                <w:kern w:val="0"/>
                <w:szCs w:val="21"/>
              </w:rPr>
            </w:pPr>
            <w:r>
              <w:rPr>
                <w:rFonts w:hint="eastAsia" w:ascii="宋体" w:hAnsi="宋体" w:cs="宋体"/>
                <w:kern w:val="0"/>
                <w:szCs w:val="21"/>
              </w:rPr>
              <w:t>境保</w:t>
            </w:r>
          </w:p>
          <w:p>
            <w:pPr>
              <w:adjustRightInd w:val="0"/>
              <w:snapToGrid w:val="0"/>
              <w:jc w:val="center"/>
              <w:rPr>
                <w:rFonts w:ascii="宋体" w:hAnsi="宋体" w:cs="宋体"/>
                <w:kern w:val="0"/>
                <w:szCs w:val="21"/>
              </w:rPr>
            </w:pPr>
            <w:r>
              <w:rPr>
                <w:rFonts w:hint="eastAsia" w:ascii="宋体" w:hAnsi="宋体" w:cs="宋体"/>
                <w:kern w:val="0"/>
                <w:szCs w:val="21"/>
              </w:rPr>
              <w:t>护措</w:t>
            </w:r>
          </w:p>
          <w:p>
            <w:pPr>
              <w:adjustRightInd w:val="0"/>
              <w:snapToGrid w:val="0"/>
              <w:jc w:val="center"/>
              <w:rPr>
                <w:rFonts w:cs="宋体"/>
                <w:bCs/>
                <w:szCs w:val="21"/>
              </w:rPr>
            </w:pPr>
            <w:r>
              <w:rPr>
                <w:rFonts w:hint="eastAsia" w:ascii="宋体" w:hAnsi="宋体" w:cs="宋体"/>
                <w:kern w:val="0"/>
                <w:szCs w:val="21"/>
              </w:rPr>
              <w:t>施</w:t>
            </w:r>
          </w:p>
        </w:tc>
        <w:tc>
          <w:tcPr>
            <w:tcW w:w="8162" w:type="dxa"/>
            <w:noWrap/>
            <w:vAlign w:val="center"/>
          </w:tcPr>
          <w:p>
            <w:pPr>
              <w:pStyle w:val="41"/>
              <w:numPr>
                <w:ilvl w:val="0"/>
                <w:numId w:val="5"/>
              </w:numPr>
              <w:spacing w:line="360" w:lineRule="auto"/>
              <w:ind w:firstLine="422" w:firstLineChars="200"/>
              <w:jc w:val="both"/>
              <w:rPr>
                <w:rFonts w:ascii="宋体" w:hAnsi="宋体" w:cs="宋体"/>
                <w:b/>
                <w:bCs/>
                <w:color w:val="auto"/>
                <w:sz w:val="21"/>
                <w:szCs w:val="21"/>
              </w:rPr>
            </w:pPr>
            <w:r>
              <w:rPr>
                <w:rFonts w:hint="eastAsia" w:ascii="宋体" w:hAnsi="宋体" w:cs="宋体"/>
                <w:b/>
                <w:bCs/>
                <w:color w:val="auto"/>
                <w:sz w:val="21"/>
                <w:szCs w:val="21"/>
              </w:rPr>
              <w:t xml:space="preserve">施工期大气环境影响和保护措施 </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项目建设阶段土方挖掘及运输、土地平整、建筑材料装卸及堆存、工程施工、车辆行驶等过程产生的扬尘，对周边环境空气产生一定的影响。 </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建设项目施工过程中由于土石方挖掘破坏了地表的原有结构，造成地面扬尘污染环境。 扬尘量的大小与建设施工现场条件、施工阶段、管理水平、机械化程度及施工季节、土质及天气条件等诸多因素有关。施工场界周边无组织排放浓度一般达到 4-6mg/m</w:t>
            </w:r>
            <w:r>
              <w:rPr>
                <w:rFonts w:hint="eastAsia" w:ascii="宋体" w:hAnsi="宋体" w:cs="宋体"/>
                <w:color w:val="auto"/>
                <w:sz w:val="21"/>
                <w:szCs w:val="21"/>
                <w:vertAlign w:val="superscript"/>
              </w:rPr>
              <w:t>3</w:t>
            </w:r>
            <w:r>
              <w:rPr>
                <w:rFonts w:hint="eastAsia" w:ascii="宋体" w:hAnsi="宋体" w:cs="宋体"/>
                <w:color w:val="auto"/>
                <w:sz w:val="21"/>
                <w:szCs w:val="21"/>
              </w:rPr>
              <w:t>左右；当风速为 2.5m/s时，工地内的</w:t>
            </w:r>
            <w:r>
              <w:rPr>
                <w:rFonts w:hint="eastAsia" w:ascii="宋体" w:hAnsi="宋体" w:cs="宋体"/>
                <w:sz w:val="21"/>
                <w:szCs w:val="21"/>
              </w:rPr>
              <w:t>pm</w:t>
            </w:r>
            <w:r>
              <w:rPr>
                <w:rFonts w:hint="eastAsia" w:ascii="宋体" w:hAnsi="宋体" w:cs="宋体"/>
                <w:sz w:val="21"/>
                <w:szCs w:val="21"/>
                <w:vertAlign w:val="subscript"/>
              </w:rPr>
              <w:t>10</w:t>
            </w:r>
            <w:r>
              <w:rPr>
                <w:rFonts w:hint="eastAsia" w:ascii="宋体" w:hAnsi="宋体" w:cs="宋体"/>
                <w:color w:val="auto"/>
                <w:sz w:val="21"/>
                <w:szCs w:val="21"/>
              </w:rPr>
              <w:t xml:space="preserve">浓度为上风向对照点的1.9倍。同时，施工场地定期洒水对扬尘的抑制作用明显，场地洒水后扬尘量将降低28%～75%，大大减少其对区域环境空气的影响。 </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距项目最近的敏感点为项目西侧的大西沟村，结合《国务院关于印发大气污染防治行动计划的通知》(国发[2013]37号)、《河北省大气污染防治行动计划实施方案》、《河北省住房和城乡建设厅关于印发全省建筑施工扬尘治理实施意见的通知》(冀建办安[2013]33号)、河北省住建厅《关于贯彻落实(全省建筑施工扬尘治理实施意见)的通知》(冀建安[2013]11 号)、《河北省建筑施工扬尘防治新18条标准》、《河北省扬尘污染防治办法》（河北省人民政府令[2020]第1号）等有关文件要求，为减轻项目施工对周围环境的影响，拟采取如下措施</w:t>
            </w:r>
          </w:p>
          <w:p>
            <w:pPr>
              <w:pStyle w:val="41"/>
              <w:numPr>
                <w:ilvl w:val="0"/>
                <w:numId w:val="6"/>
              </w:num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在工程四周设置稳固整齐的围挡，围挡高度不低于2米；</w:t>
            </w:r>
          </w:p>
          <w:p>
            <w:pPr>
              <w:pStyle w:val="41"/>
              <w:numPr>
                <w:ilvl w:val="0"/>
                <w:numId w:val="6"/>
              </w:num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场地进出口道路等进行硬化处理；</w:t>
            </w:r>
          </w:p>
          <w:p>
            <w:pPr>
              <w:pStyle w:val="41"/>
              <w:numPr>
                <w:ilvl w:val="0"/>
                <w:numId w:val="6"/>
              </w:num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项目建设产生的废弃土石方优先进行回用，多余的及时外运，不在施工场地内设置 大型废土石方堆存场，少量土方临时存放采用苫布遮盖，堆场远离周边居民区设置； </w:t>
            </w:r>
          </w:p>
          <w:p>
            <w:pPr>
              <w:pStyle w:val="41"/>
              <w:numPr>
                <w:ilvl w:val="0"/>
                <w:numId w:val="6"/>
              </w:num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对于装运含尘物料的运输车辆加盖蓬布，控制和规范车辆运输量和运输方式，控制物料的洒落；建设场地设置车辆清洗设施，车辆冲洗干净后再驶出工地，从事运载建筑原料、 建筑垃圾、渣土的车辆符合相关规定，渣土运输车按批准的时间、线路行驶； </w:t>
            </w:r>
          </w:p>
          <w:p>
            <w:pPr>
              <w:pStyle w:val="41"/>
              <w:numPr>
                <w:ilvl w:val="0"/>
                <w:numId w:val="6"/>
              </w:num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对于运输车辆和机械扬尘，采取洒水湿法抑尘，对建设现场和进出道路洒水，使空气中的扬尘降低75%左右，大风天气加大洒水次数，大大减少建设施工扬尘对周边环境的影响；</w:t>
            </w:r>
          </w:p>
          <w:p>
            <w:pPr>
              <w:pStyle w:val="41"/>
              <w:numPr>
                <w:ilvl w:val="0"/>
                <w:numId w:val="6"/>
              </w:num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建筑材料用篷布遮挡，定期清运建筑垃圾，不长时间堆存，减少建筑材料在堆放时 由于风力作用产生的扬尘；</w:t>
            </w:r>
          </w:p>
          <w:p>
            <w:pPr>
              <w:pStyle w:val="41"/>
              <w:numPr>
                <w:ilvl w:val="0"/>
                <w:numId w:val="6"/>
              </w:num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不在施工现场堆积大量物料，粉状材料如水泥、石灰等罐装或袋装，不散装运输； </w:t>
            </w:r>
          </w:p>
          <w:p>
            <w:pPr>
              <w:pStyle w:val="41"/>
              <w:numPr>
                <w:ilvl w:val="0"/>
                <w:numId w:val="6"/>
              </w:num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文明施工。 </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在采取上述措施后，项目建设阶段场地周界外扬尘的排放满足《施工场地扬尘排放标准》（DB13/2934-2019）中表1施工场地扬尘排放浓度限值的要求，项目的建设产生的大气污染物达标排放，对周围环境空气的影响较小。</w:t>
            </w:r>
          </w:p>
          <w:p>
            <w:pPr>
              <w:pStyle w:val="41"/>
              <w:numPr>
                <w:ilvl w:val="0"/>
                <w:numId w:val="5"/>
              </w:numPr>
              <w:spacing w:line="360" w:lineRule="auto"/>
              <w:ind w:firstLine="422" w:firstLineChars="200"/>
              <w:jc w:val="both"/>
              <w:rPr>
                <w:rFonts w:ascii="宋体" w:hAnsi="宋体" w:cs="宋体"/>
                <w:b/>
                <w:bCs/>
                <w:color w:val="auto"/>
                <w:sz w:val="21"/>
                <w:szCs w:val="21"/>
              </w:rPr>
            </w:pPr>
            <w:r>
              <w:rPr>
                <w:rFonts w:hint="eastAsia" w:ascii="宋体" w:hAnsi="宋体" w:cs="宋体"/>
                <w:b/>
                <w:bCs/>
                <w:color w:val="auto"/>
                <w:sz w:val="21"/>
                <w:szCs w:val="21"/>
              </w:rPr>
              <w:t>施工期水环境影响及保护措施</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 项目建设过程中产生的污水主要为施工作业产生的泥浆水、受雨水冲刷造成地表径流而形成的泥浆水等施工污水及工人的生活污水。 </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项目建设过程中，不可避免地会受雨水的冲刷，雨后的地表径流冲刷浮土、建筑砂石、 垃圾等会形成泥浆水。通过在施工现场修建临时性集水池，将雨后地表径流形成的泥浆水和 施工废水引至集水池收集处理后，用于建筑场地的洒水降尘及周边植被的绿化使用，不外排。</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 建设过程中工人生活污水产生量较少，主要是工人的盥洗用水，水质较为清洁，泼洒至施工现场用于降尘或周边植被绿化使用，对区域地表水环境影响较小。 </w:t>
            </w:r>
          </w:p>
          <w:p>
            <w:pPr>
              <w:pStyle w:val="41"/>
              <w:numPr>
                <w:ilvl w:val="0"/>
                <w:numId w:val="5"/>
              </w:numPr>
              <w:spacing w:line="360" w:lineRule="auto"/>
              <w:ind w:firstLine="422" w:firstLineChars="200"/>
              <w:jc w:val="both"/>
              <w:rPr>
                <w:rFonts w:ascii="宋体" w:hAnsi="宋体" w:cs="宋体"/>
                <w:color w:val="auto"/>
                <w:sz w:val="21"/>
                <w:szCs w:val="21"/>
              </w:rPr>
            </w:pPr>
            <w:r>
              <w:rPr>
                <w:rFonts w:hint="eastAsia" w:ascii="宋体" w:hAnsi="宋体" w:cs="宋体"/>
                <w:b/>
                <w:bCs/>
                <w:color w:val="auto"/>
                <w:sz w:val="21"/>
                <w:szCs w:val="21"/>
              </w:rPr>
              <w:t>施工期声环境影响及保护措施</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项目建设过程中，噪声主要来自建设施工机械和运输车辆的噪声，根据类比调查，其产生源强一般为：施工机械80-95dB（A）；车辆70-85dB（A）。 </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采取的措施为： </w:t>
            </w:r>
          </w:p>
          <w:p>
            <w:pPr>
              <w:pStyle w:val="41"/>
              <w:numPr>
                <w:ilvl w:val="0"/>
                <w:numId w:val="7"/>
              </w:num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选用低噪声的设备和先进的工艺，保持设备处于良好的运转状态，闲置设备及时关 闭，定时检修； </w:t>
            </w:r>
          </w:p>
          <w:p>
            <w:pPr>
              <w:pStyle w:val="41"/>
              <w:numPr>
                <w:ilvl w:val="0"/>
                <w:numId w:val="7"/>
              </w:num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夜间 22:00~次日早6:00不建设，不在同一时间集中使用大量的动力机械设备，如 6:00~22:00期间使用噪声值大的设备分散使用；</w:t>
            </w:r>
          </w:p>
          <w:p>
            <w:pPr>
              <w:pStyle w:val="41"/>
              <w:numPr>
                <w:ilvl w:val="0"/>
                <w:numId w:val="7"/>
              </w:num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在需连续建设施工的特殊工段，首先做好区域协调工作，然后经过有关部门批准， 办理相应手续后，公告，在征得同意后实施； </w:t>
            </w:r>
          </w:p>
          <w:p>
            <w:pPr>
              <w:pStyle w:val="41"/>
              <w:numPr>
                <w:ilvl w:val="0"/>
                <w:numId w:val="7"/>
              </w:num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对于运输建筑材料、土石方等物料的车辆，不在敏感时段运输，加强管理，车辆减速、不鸣笛，场地内运输车辆不长时间行驶； </w:t>
            </w:r>
          </w:p>
          <w:p>
            <w:pPr>
              <w:pStyle w:val="41"/>
              <w:numPr>
                <w:ilvl w:val="0"/>
                <w:numId w:val="7"/>
              </w:num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加强建设阶段的环境管理工作。</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（6） 以上措施均在建筑施工单位的工程实际中广泛采用，应用实践表明以上措施切实可行，采用后能较好地减轻建筑施工噪声对周围环境的影响。在采取上述措施后，项目建设阶段施 工场界噪声满足《建筑施工场界环境噪声排放标准》（GB12523-2011）的要求，达标排放， 对周围声环境影响较小。</w:t>
            </w:r>
          </w:p>
          <w:p>
            <w:pPr>
              <w:pStyle w:val="41"/>
              <w:numPr>
                <w:ilvl w:val="0"/>
                <w:numId w:val="5"/>
              </w:numPr>
              <w:spacing w:line="360" w:lineRule="auto"/>
              <w:ind w:firstLine="422" w:firstLineChars="200"/>
              <w:jc w:val="both"/>
              <w:rPr>
                <w:rFonts w:ascii="宋体" w:hAnsi="宋体" w:cs="宋体"/>
                <w:b/>
                <w:bCs/>
                <w:color w:val="auto"/>
                <w:sz w:val="21"/>
                <w:szCs w:val="21"/>
              </w:rPr>
            </w:pPr>
            <w:r>
              <w:rPr>
                <w:rFonts w:hint="eastAsia" w:ascii="宋体" w:hAnsi="宋体" w:cs="宋体"/>
                <w:b/>
                <w:bCs/>
                <w:color w:val="auto"/>
                <w:sz w:val="21"/>
                <w:szCs w:val="21"/>
              </w:rPr>
              <w:t xml:space="preserve">施工期固体废物处置措施 </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项目建设过程中产生的固体废物主要为弃土、弃渣、建筑垃圾和工人日常生活产生的生活垃圾。建筑垃圾的特征是产生量大、时间短、而且是局部的，建设过程中产生的弃土石及建筑 垃圾等指定地点堆存，优先进行回用，剩余部分及时清运；建设过程中产生的生活垃圾集中收集，送至区域指定垃圾集中堆存点，由区域环卫部门统一负责处置，对周边环境影响较小。在采取上述措施后，项目建设过程中产生的固体废物得到妥善处置，对区域环境影响较小。</w:t>
            </w:r>
          </w:p>
          <w:p>
            <w:pPr>
              <w:pStyle w:val="41"/>
              <w:numPr>
                <w:ilvl w:val="0"/>
                <w:numId w:val="5"/>
              </w:numPr>
              <w:spacing w:line="360" w:lineRule="auto"/>
              <w:ind w:firstLine="422" w:firstLineChars="200"/>
              <w:jc w:val="both"/>
              <w:rPr>
                <w:rFonts w:ascii="宋体" w:hAnsi="宋体" w:cs="宋体"/>
                <w:b/>
                <w:bCs/>
                <w:color w:val="auto"/>
                <w:sz w:val="21"/>
                <w:szCs w:val="21"/>
              </w:rPr>
            </w:pPr>
            <w:r>
              <w:rPr>
                <w:rFonts w:hint="eastAsia" w:ascii="宋体" w:hAnsi="宋体" w:cs="宋体"/>
                <w:b/>
                <w:bCs/>
                <w:color w:val="auto"/>
                <w:sz w:val="21"/>
                <w:szCs w:val="21"/>
              </w:rPr>
              <w:t>施工期生态环境影响及保护措施</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项目选址位于围场满族蒙古族自治县新地镇大西沟村，现有已经开发平整的建设用地地块，不重新开拓地块，不新增生态环境影响。项目现有厂区已进行地面硬化，主要的工程建设内容是车间厂房建设，及扩建厂区地面硬化等，项目的建设本身产生的生态环境影响较小。</w:t>
            </w:r>
          </w:p>
          <w:p>
            <w:pPr>
              <w:pStyle w:val="41"/>
              <w:spacing w:line="360" w:lineRule="auto"/>
              <w:ind w:firstLine="420" w:firstLineChars="200"/>
              <w:jc w:val="both"/>
              <w:rPr>
                <w:rFonts w:ascii="宋体" w:hAnsi="宋体" w:cs="宋体"/>
                <w:color w:val="auto"/>
                <w:sz w:val="21"/>
                <w:szCs w:val="21"/>
              </w:rPr>
            </w:pPr>
          </w:p>
          <w:p>
            <w:pPr>
              <w:pStyle w:val="41"/>
              <w:spacing w:line="360" w:lineRule="auto"/>
              <w:ind w:firstLine="420" w:firstLineChars="200"/>
              <w:jc w:val="both"/>
              <w:rPr>
                <w:rFonts w:ascii="宋体" w:hAnsi="宋体" w:cs="宋体"/>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color w:val="auto"/>
                <w:sz w:val="21"/>
                <w:szCs w:val="21"/>
              </w:rPr>
            </w:pPr>
          </w:p>
          <w:p>
            <w:pPr>
              <w:pStyle w:val="41"/>
              <w:rPr>
                <w:rFonts w:ascii="宋体" w:hAnsi="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79" w:hRule="atLeast"/>
          <w:jc w:val="center"/>
        </w:trPr>
        <w:tc>
          <w:tcPr>
            <w:tcW w:w="746" w:type="dxa"/>
            <w:noWrap/>
            <w:tcMar>
              <w:left w:w="28" w:type="dxa"/>
              <w:right w:w="28" w:type="dxa"/>
            </w:tcMar>
            <w:vAlign w:val="center"/>
          </w:tcPr>
          <w:p>
            <w:pPr>
              <w:adjustRightInd w:val="0"/>
              <w:snapToGrid w:val="0"/>
              <w:jc w:val="center"/>
              <w:rPr>
                <w:rFonts w:ascii="宋体" w:hAnsi="宋体" w:cs="宋体"/>
                <w:bCs/>
                <w:szCs w:val="21"/>
              </w:rPr>
            </w:pPr>
            <w:r>
              <w:rPr>
                <w:rFonts w:hint="eastAsia" w:ascii="宋体" w:hAnsi="宋体" w:cs="宋体"/>
                <w:bCs/>
                <w:szCs w:val="21"/>
              </w:rPr>
              <w:t>运营</w:t>
            </w:r>
          </w:p>
          <w:p>
            <w:pPr>
              <w:adjustRightInd w:val="0"/>
              <w:snapToGrid w:val="0"/>
              <w:jc w:val="center"/>
              <w:rPr>
                <w:rFonts w:ascii="宋体" w:hAnsi="宋体" w:cs="宋体"/>
                <w:bCs/>
                <w:szCs w:val="21"/>
              </w:rPr>
            </w:pPr>
            <w:r>
              <w:rPr>
                <w:rFonts w:hint="eastAsia" w:ascii="宋体" w:hAnsi="宋体" w:cs="宋体"/>
                <w:bCs/>
                <w:szCs w:val="21"/>
              </w:rPr>
              <w:t>期环</w:t>
            </w:r>
          </w:p>
          <w:p>
            <w:pPr>
              <w:adjustRightInd w:val="0"/>
              <w:snapToGrid w:val="0"/>
              <w:jc w:val="center"/>
              <w:rPr>
                <w:rFonts w:ascii="宋体" w:hAnsi="宋体" w:cs="宋体"/>
                <w:bCs/>
                <w:szCs w:val="21"/>
              </w:rPr>
            </w:pPr>
            <w:r>
              <w:rPr>
                <w:rFonts w:hint="eastAsia" w:ascii="宋体" w:hAnsi="宋体" w:cs="宋体"/>
                <w:bCs/>
                <w:szCs w:val="21"/>
              </w:rPr>
              <w:t>境影</w:t>
            </w:r>
          </w:p>
          <w:p>
            <w:pPr>
              <w:adjustRightInd w:val="0"/>
              <w:snapToGrid w:val="0"/>
              <w:jc w:val="center"/>
              <w:rPr>
                <w:rFonts w:ascii="宋体" w:hAnsi="宋体" w:cs="宋体"/>
                <w:bCs/>
                <w:szCs w:val="21"/>
              </w:rPr>
            </w:pPr>
            <w:r>
              <w:rPr>
                <w:rFonts w:hint="eastAsia" w:ascii="宋体" w:hAnsi="宋体" w:cs="宋体"/>
                <w:bCs/>
                <w:szCs w:val="21"/>
              </w:rPr>
              <w:t>响和</w:t>
            </w:r>
          </w:p>
          <w:p>
            <w:pPr>
              <w:adjustRightInd w:val="0"/>
              <w:snapToGrid w:val="0"/>
              <w:jc w:val="center"/>
              <w:rPr>
                <w:rFonts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8162" w:type="dxa"/>
            <w:noWrap/>
            <w:vAlign w:val="center"/>
          </w:tcPr>
          <w:p>
            <w:pPr>
              <w:adjustRightInd w:val="0"/>
              <w:snapToGrid w:val="0"/>
              <w:spacing w:line="360" w:lineRule="auto"/>
              <w:ind w:firstLine="422" w:firstLineChars="200"/>
              <w:rPr>
                <w:rFonts w:ascii="宋体" w:hAnsi="宋体" w:cs="宋体"/>
                <w:b/>
                <w:bCs/>
                <w:szCs w:val="21"/>
              </w:rPr>
            </w:pPr>
            <w:r>
              <w:rPr>
                <w:rFonts w:hint="eastAsia" w:ascii="宋体" w:hAnsi="宋体" w:cs="宋体"/>
                <w:b/>
                <w:bCs/>
                <w:szCs w:val="21"/>
              </w:rPr>
              <w:t>1、废气</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废气产排污节点、污染物及污染物治理信息见表4-1。</w:t>
            </w:r>
          </w:p>
          <w:p>
            <w:pPr>
              <w:pStyle w:val="41"/>
              <w:spacing w:line="360" w:lineRule="auto"/>
              <w:ind w:firstLine="422" w:firstLineChars="200"/>
              <w:jc w:val="center"/>
              <w:rPr>
                <w:rFonts w:ascii="宋体" w:hAnsi="宋体" w:cs="宋体"/>
                <w:b/>
                <w:bCs/>
                <w:color w:val="auto"/>
                <w:sz w:val="21"/>
                <w:szCs w:val="21"/>
              </w:rPr>
            </w:pPr>
            <w:r>
              <w:rPr>
                <w:rFonts w:hint="eastAsia" w:ascii="宋体" w:hAnsi="宋体" w:cs="宋体"/>
                <w:b/>
                <w:bCs/>
                <w:color w:val="auto"/>
                <w:sz w:val="21"/>
                <w:szCs w:val="21"/>
              </w:rPr>
              <w:t>表4-1  废气产排污节点、污染物及污染治理设施信息表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246"/>
              <w:gridCol w:w="1484"/>
              <w:gridCol w:w="102"/>
              <w:gridCol w:w="1327"/>
              <w:gridCol w:w="1460"/>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4" w:type="pct"/>
                  <w:gridSpan w:val="2"/>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排放形式</w:t>
                  </w:r>
                </w:p>
              </w:tc>
              <w:tc>
                <w:tcPr>
                  <w:tcW w:w="2755" w:type="pct"/>
                  <w:gridSpan w:val="4"/>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有组织</w:t>
                  </w:r>
                </w:p>
              </w:tc>
              <w:tc>
                <w:tcPr>
                  <w:tcW w:w="960"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4" w:type="pct"/>
                  <w:gridSpan w:val="2"/>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产排污设施</w:t>
                  </w:r>
                </w:p>
              </w:tc>
              <w:tc>
                <w:tcPr>
                  <w:tcW w:w="2755" w:type="pct"/>
                  <w:gridSpan w:val="4"/>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生物质锅炉</w:t>
                  </w:r>
                </w:p>
              </w:tc>
              <w:tc>
                <w:tcPr>
                  <w:tcW w:w="960"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粉碎机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4" w:type="pct"/>
                  <w:gridSpan w:val="2"/>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产排污环节</w:t>
                  </w:r>
                </w:p>
              </w:tc>
              <w:tc>
                <w:tcPr>
                  <w:tcW w:w="2755" w:type="pct"/>
                  <w:gridSpan w:val="4"/>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灭菌</w:t>
                  </w:r>
                </w:p>
              </w:tc>
              <w:tc>
                <w:tcPr>
                  <w:tcW w:w="960"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粉碎工序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4" w:type="pct"/>
                  <w:gridSpan w:val="2"/>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污染物种类</w:t>
                  </w:r>
                </w:p>
              </w:tc>
              <w:tc>
                <w:tcPr>
                  <w:tcW w:w="935"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二氧化硫</w:t>
                  </w:r>
                </w:p>
              </w:tc>
              <w:tc>
                <w:tcPr>
                  <w:tcW w:w="900" w:type="pct"/>
                  <w:gridSpan w:val="2"/>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颗粒物</w:t>
                  </w:r>
                </w:p>
              </w:tc>
              <w:tc>
                <w:tcPr>
                  <w:tcW w:w="919"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氮氧化物</w:t>
                  </w:r>
                </w:p>
              </w:tc>
              <w:tc>
                <w:tcPr>
                  <w:tcW w:w="960"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4" w:type="pct"/>
                  <w:gridSpan w:val="2"/>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污染物产生量</w:t>
                  </w:r>
                </w:p>
              </w:tc>
              <w:tc>
                <w:tcPr>
                  <w:tcW w:w="935" w:type="pct"/>
                  <w:noWrap/>
                  <w:vAlign w:val="center"/>
                </w:tcPr>
                <w:p>
                  <w:pPr>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0.062t/a</w:t>
                  </w:r>
                </w:p>
              </w:tc>
              <w:tc>
                <w:tcPr>
                  <w:tcW w:w="900" w:type="pct"/>
                  <w:gridSpan w:val="2"/>
                  <w:noWrap/>
                  <w:vAlign w:val="center"/>
                </w:tcPr>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8.668t/a</w:t>
                  </w:r>
                </w:p>
              </w:tc>
              <w:tc>
                <w:tcPr>
                  <w:tcW w:w="919" w:type="pct"/>
                  <w:noWrap/>
                  <w:vAlign w:val="center"/>
                </w:tcPr>
                <w:p>
                  <w:pPr>
                    <w:jc w:val="center"/>
                    <w:rPr>
                      <w:rFonts w:ascii="宋体" w:hAnsi="宋体" w:cs="宋体"/>
                      <w:sz w:val="18"/>
                      <w:szCs w:val="18"/>
                    </w:rPr>
                  </w:pPr>
                  <w:r>
                    <w:rPr>
                      <w:rFonts w:hint="eastAsia" w:ascii="宋体" w:hAnsi="宋体" w:cs="宋体"/>
                      <w:sz w:val="18"/>
                      <w:szCs w:val="18"/>
                    </w:rPr>
                    <w:t>0.44t/a</w:t>
                  </w:r>
                </w:p>
              </w:tc>
              <w:tc>
                <w:tcPr>
                  <w:tcW w:w="960" w:type="pct"/>
                  <w:noWrap/>
                  <w:vAlign w:val="center"/>
                </w:tcPr>
                <w:p>
                  <w:pPr>
                    <w:jc w:val="center"/>
                    <w:rPr>
                      <w:rFonts w:ascii="宋体" w:hAnsi="宋体" w:cs="宋体"/>
                      <w:sz w:val="18"/>
                      <w:szCs w:val="18"/>
                    </w:rPr>
                  </w:pPr>
                  <w:r>
                    <w:rPr>
                      <w:rFonts w:hint="eastAsia" w:ascii="宋体" w:hAnsi="宋体" w:cs="宋体"/>
                      <w:sz w:val="18"/>
                      <w:szCs w:val="18"/>
                    </w:rPr>
                    <w:t>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4" w:type="pct"/>
                  <w:gridSpan w:val="2"/>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污染物产生浓度</w:t>
                  </w:r>
                </w:p>
              </w:tc>
              <w:tc>
                <w:tcPr>
                  <w:tcW w:w="935" w:type="pct"/>
                  <w:noWrap/>
                  <w:vAlign w:val="center"/>
                </w:tcPr>
                <w:p>
                  <w:pPr>
                    <w:pStyle w:val="41"/>
                    <w:spacing w:line="36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18.88mg/m</w:t>
                  </w:r>
                  <w:r>
                    <w:rPr>
                      <w:rFonts w:hint="eastAsia" w:ascii="宋体" w:hAnsi="宋体" w:cs="宋体"/>
                      <w:color w:val="000000" w:themeColor="text1"/>
                      <w:sz w:val="18"/>
                      <w:szCs w:val="18"/>
                      <w:highlight w:val="none"/>
                      <w:vertAlign w:val="superscript"/>
                      <w14:textFill>
                        <w14:solidFill>
                          <w14:schemeClr w14:val="tx1"/>
                        </w14:solidFill>
                      </w14:textFill>
                    </w:rPr>
                    <w:t>3</w:t>
                  </w:r>
                </w:p>
              </w:tc>
              <w:tc>
                <w:tcPr>
                  <w:tcW w:w="900" w:type="pct"/>
                  <w:gridSpan w:val="2"/>
                  <w:noWrap/>
                  <w:vAlign w:val="center"/>
                </w:tcPr>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2640.11mg/m</w:t>
                  </w:r>
                  <w:r>
                    <w:rPr>
                      <w:rFonts w:hint="eastAsia" w:ascii="宋体" w:hAnsi="宋体" w:cs="宋体"/>
                      <w:color w:val="auto"/>
                      <w:sz w:val="18"/>
                      <w:szCs w:val="18"/>
                      <w:highlight w:val="none"/>
                      <w:vertAlign w:val="superscript"/>
                    </w:rPr>
                    <w:t>3</w:t>
                  </w:r>
                </w:p>
              </w:tc>
              <w:tc>
                <w:tcPr>
                  <w:tcW w:w="919"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163.22mg</w:t>
                  </w:r>
                  <w:r>
                    <w:rPr>
                      <w:rFonts w:hint="eastAsia" w:ascii="宋体" w:hAnsi="宋体" w:cs="宋体"/>
                      <w:color w:val="auto"/>
                      <w:sz w:val="18"/>
                      <w:szCs w:val="18"/>
                      <w:vertAlign w:val="superscript"/>
                    </w:rPr>
                    <w:t>3</w:t>
                  </w:r>
                  <w:r>
                    <w:rPr>
                      <w:rFonts w:hint="eastAsia" w:ascii="宋体" w:hAnsi="宋体" w:cs="宋体"/>
                      <w:color w:val="auto"/>
                      <w:sz w:val="18"/>
                      <w:szCs w:val="18"/>
                    </w:rPr>
                    <w:t>/m</w:t>
                  </w:r>
                  <w:r>
                    <w:rPr>
                      <w:rFonts w:hint="eastAsia" w:ascii="宋体" w:hAnsi="宋体" w:cs="宋体"/>
                      <w:color w:val="auto"/>
                      <w:sz w:val="18"/>
                      <w:szCs w:val="18"/>
                      <w:vertAlign w:val="superscript"/>
                    </w:rPr>
                    <w:t>3</w:t>
                  </w:r>
                </w:p>
              </w:tc>
              <w:tc>
                <w:tcPr>
                  <w:tcW w:w="960"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833.33mg</w:t>
                  </w:r>
                  <w:r>
                    <w:rPr>
                      <w:rFonts w:hint="eastAsia" w:ascii="宋体" w:hAnsi="宋体" w:cs="宋体"/>
                      <w:color w:val="auto"/>
                      <w:sz w:val="18"/>
                      <w:szCs w:val="18"/>
                      <w:vertAlign w:val="superscript"/>
                    </w:rPr>
                    <w:t>3</w:t>
                  </w:r>
                  <w:r>
                    <w:rPr>
                      <w:rFonts w:hint="eastAsia" w:ascii="宋体" w:hAnsi="宋体" w:cs="宋体"/>
                      <w:color w:val="auto"/>
                      <w:sz w:val="18"/>
                      <w:szCs w:val="18"/>
                    </w:rPr>
                    <w:t>/m</w:t>
                  </w:r>
                  <w:r>
                    <w:rPr>
                      <w:rFonts w:hint="eastAsia" w:ascii="宋体" w:hAnsi="宋体" w:cs="宋体"/>
                      <w:color w:val="auto"/>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4" w:type="pct"/>
                  <w:gridSpan w:val="2"/>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排放标准</w:t>
                  </w:r>
                </w:p>
              </w:tc>
              <w:tc>
                <w:tcPr>
                  <w:tcW w:w="2755" w:type="pct"/>
                  <w:gridSpan w:val="4"/>
                  <w:noWrap/>
                  <w:vAlign w:val="center"/>
                </w:tcPr>
                <w:p>
                  <w:pPr>
                    <w:pStyle w:val="41"/>
                    <w:spacing w:line="360" w:lineRule="auto"/>
                    <w:ind w:firstLine="360" w:firstLineChars="200"/>
                    <w:jc w:val="center"/>
                    <w:rPr>
                      <w:rFonts w:ascii="宋体" w:hAnsi="宋体" w:cs="宋体"/>
                      <w:color w:val="auto"/>
                      <w:sz w:val="18"/>
                      <w:szCs w:val="18"/>
                    </w:rPr>
                  </w:pPr>
                  <w:r>
                    <w:rPr>
                      <w:rFonts w:hint="eastAsia" w:ascii="宋体" w:hAnsi="宋体" w:cs="宋体"/>
                      <w:color w:val="auto"/>
                      <w:sz w:val="18"/>
                      <w:szCs w:val="18"/>
                    </w:rPr>
                    <w:t>《锅炉大气污染物排放标准》 （DB13/5161-2020）表1 生物质锅炉排放限值</w:t>
                  </w:r>
                </w:p>
              </w:tc>
              <w:tc>
                <w:tcPr>
                  <w:tcW w:w="960"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《大气污染物综合排放标准》（GB9078-1996）表2排放限值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pct"/>
                  <w:vMerge w:val="restar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治理</w:t>
                  </w:r>
                </w:p>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设施</w:t>
                  </w:r>
                </w:p>
              </w:tc>
              <w:tc>
                <w:tcPr>
                  <w:tcW w:w="784"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治理设施</w:t>
                  </w:r>
                </w:p>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名称</w:t>
                  </w:r>
                </w:p>
              </w:tc>
              <w:tc>
                <w:tcPr>
                  <w:tcW w:w="999" w:type="pct"/>
                  <w:gridSpan w:val="2"/>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生物质颗粒含硫量低，经计算后无需增加脱硫设备可达标排放</w:t>
                  </w:r>
                </w:p>
              </w:tc>
              <w:tc>
                <w:tcPr>
                  <w:tcW w:w="836"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布袋除尘器+排气筒</w:t>
                  </w:r>
                </w:p>
              </w:tc>
              <w:tc>
                <w:tcPr>
                  <w:tcW w:w="919" w:type="pct"/>
                  <w:noWrap/>
                  <w:vAlign w:val="center"/>
                </w:tcPr>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低氮燃烧技术</w:t>
                  </w:r>
                </w:p>
              </w:tc>
              <w:tc>
                <w:tcPr>
                  <w:tcW w:w="960" w:type="pct"/>
                  <w:noWrap/>
                  <w:vAlign w:val="center"/>
                </w:tcPr>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布袋除尘器+15m高排气筒，封闭车间，设置喷淋装置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pct"/>
                  <w:vMerge w:val="continue"/>
                  <w:noWrap/>
                  <w:vAlign w:val="center"/>
                </w:tcPr>
                <w:p>
                  <w:pPr>
                    <w:pStyle w:val="41"/>
                    <w:spacing w:line="360" w:lineRule="auto"/>
                    <w:jc w:val="center"/>
                    <w:rPr>
                      <w:rFonts w:ascii="宋体" w:hAnsi="宋体" w:cs="宋体"/>
                      <w:color w:val="auto"/>
                      <w:sz w:val="18"/>
                      <w:szCs w:val="18"/>
                    </w:rPr>
                  </w:pPr>
                </w:p>
              </w:tc>
              <w:tc>
                <w:tcPr>
                  <w:tcW w:w="784"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处理能力</w:t>
                  </w:r>
                </w:p>
              </w:tc>
              <w:tc>
                <w:tcPr>
                  <w:tcW w:w="2755" w:type="pct"/>
                  <w:gridSpan w:val="4"/>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lang w:val="en-US" w:eastAsia="zh-CN"/>
                    </w:rPr>
                    <w:t>8208</w:t>
                  </w:r>
                  <w:r>
                    <w:rPr>
                      <w:rFonts w:hint="eastAsia" w:ascii="宋体" w:hAnsi="宋体" w:cs="宋体"/>
                      <w:color w:val="auto"/>
                      <w:sz w:val="18"/>
                      <w:szCs w:val="18"/>
                    </w:rPr>
                    <w:t>m</w:t>
                  </w:r>
                  <w:r>
                    <w:rPr>
                      <w:rFonts w:hint="eastAsia" w:ascii="宋体" w:hAnsi="宋体" w:cs="宋体"/>
                      <w:color w:val="auto"/>
                      <w:sz w:val="18"/>
                      <w:szCs w:val="18"/>
                      <w:vertAlign w:val="superscript"/>
                    </w:rPr>
                    <w:t>3</w:t>
                  </w:r>
                  <w:r>
                    <w:rPr>
                      <w:rFonts w:hint="eastAsia" w:ascii="宋体" w:hAnsi="宋体" w:cs="宋体"/>
                      <w:color w:val="auto"/>
                      <w:sz w:val="18"/>
                      <w:szCs w:val="18"/>
                    </w:rPr>
                    <w:t>/h</w:t>
                  </w:r>
                </w:p>
              </w:tc>
              <w:tc>
                <w:tcPr>
                  <w:tcW w:w="960"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500m</w:t>
                  </w:r>
                  <w:r>
                    <w:rPr>
                      <w:rFonts w:hint="eastAsia" w:ascii="宋体" w:hAnsi="宋体" w:cs="宋体"/>
                      <w:color w:val="auto"/>
                      <w:sz w:val="18"/>
                      <w:szCs w:val="18"/>
                      <w:vertAlign w:val="superscript"/>
                    </w:rPr>
                    <w:t>3</w:t>
                  </w:r>
                  <w:r>
                    <w:rPr>
                      <w:rFonts w:hint="eastAsia" w:ascii="宋体" w:hAnsi="宋体" w:cs="宋体"/>
                      <w:color w:val="auto"/>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pct"/>
                  <w:vMerge w:val="continue"/>
                  <w:noWrap/>
                  <w:vAlign w:val="center"/>
                </w:tcPr>
                <w:p>
                  <w:pPr>
                    <w:pStyle w:val="41"/>
                    <w:spacing w:line="360" w:lineRule="auto"/>
                    <w:jc w:val="center"/>
                    <w:rPr>
                      <w:rFonts w:ascii="宋体" w:hAnsi="宋体" w:cs="宋体"/>
                      <w:color w:val="auto"/>
                      <w:sz w:val="18"/>
                      <w:szCs w:val="18"/>
                    </w:rPr>
                  </w:pPr>
                </w:p>
              </w:tc>
              <w:tc>
                <w:tcPr>
                  <w:tcW w:w="784"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收集效率</w:t>
                  </w:r>
                </w:p>
              </w:tc>
              <w:tc>
                <w:tcPr>
                  <w:tcW w:w="2755" w:type="pct"/>
                  <w:gridSpan w:val="4"/>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100%</w:t>
                  </w:r>
                </w:p>
              </w:tc>
              <w:tc>
                <w:tcPr>
                  <w:tcW w:w="960"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pct"/>
                  <w:vMerge w:val="continue"/>
                  <w:noWrap/>
                  <w:vAlign w:val="center"/>
                </w:tcPr>
                <w:p>
                  <w:pPr>
                    <w:pStyle w:val="41"/>
                    <w:spacing w:line="360" w:lineRule="auto"/>
                    <w:jc w:val="center"/>
                    <w:rPr>
                      <w:rFonts w:ascii="宋体" w:hAnsi="宋体" w:cs="宋体"/>
                      <w:color w:val="auto"/>
                      <w:sz w:val="18"/>
                      <w:szCs w:val="18"/>
                    </w:rPr>
                  </w:pPr>
                </w:p>
              </w:tc>
              <w:tc>
                <w:tcPr>
                  <w:tcW w:w="784"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治理工艺去除效率</w:t>
                  </w:r>
                </w:p>
              </w:tc>
              <w:tc>
                <w:tcPr>
                  <w:tcW w:w="999" w:type="pct"/>
                  <w:gridSpan w:val="2"/>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w:t>
                  </w:r>
                </w:p>
              </w:tc>
              <w:tc>
                <w:tcPr>
                  <w:tcW w:w="836" w:type="pct"/>
                  <w:noWrap/>
                  <w:vAlign w:val="center"/>
                </w:tcPr>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99</w:t>
                  </w:r>
                  <w:r>
                    <w:rPr>
                      <w:rFonts w:hint="eastAsia" w:ascii="宋体" w:hAnsi="宋体" w:cs="宋体"/>
                      <w:color w:val="auto"/>
                      <w:sz w:val="18"/>
                      <w:szCs w:val="18"/>
                      <w:highlight w:val="none"/>
                      <w:lang w:val="en-US" w:eastAsia="zh-CN"/>
                    </w:rPr>
                    <w:t>.5</w:t>
                  </w:r>
                  <w:r>
                    <w:rPr>
                      <w:rFonts w:hint="eastAsia" w:ascii="宋体" w:hAnsi="宋体" w:cs="宋体"/>
                      <w:color w:val="auto"/>
                      <w:sz w:val="18"/>
                      <w:szCs w:val="18"/>
                      <w:highlight w:val="none"/>
                    </w:rPr>
                    <w:t>%</w:t>
                  </w:r>
                </w:p>
              </w:tc>
              <w:tc>
                <w:tcPr>
                  <w:tcW w:w="919" w:type="pct"/>
                  <w:noWrap/>
                  <w:vAlign w:val="center"/>
                </w:tcPr>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40%</w:t>
                  </w:r>
                </w:p>
              </w:tc>
              <w:tc>
                <w:tcPr>
                  <w:tcW w:w="960"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pct"/>
                  <w:vMerge w:val="continue"/>
                  <w:noWrap/>
                  <w:vAlign w:val="center"/>
                </w:tcPr>
                <w:p>
                  <w:pPr>
                    <w:pStyle w:val="41"/>
                    <w:spacing w:line="360" w:lineRule="auto"/>
                    <w:jc w:val="center"/>
                    <w:rPr>
                      <w:rFonts w:ascii="宋体" w:hAnsi="宋体" w:cs="宋体"/>
                      <w:color w:val="auto"/>
                      <w:sz w:val="18"/>
                      <w:szCs w:val="18"/>
                    </w:rPr>
                  </w:pPr>
                </w:p>
              </w:tc>
              <w:tc>
                <w:tcPr>
                  <w:tcW w:w="784"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是否为可行技术</w:t>
                  </w:r>
                </w:p>
              </w:tc>
              <w:tc>
                <w:tcPr>
                  <w:tcW w:w="2755" w:type="pct"/>
                  <w:gridSpan w:val="4"/>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是</w:t>
                  </w:r>
                </w:p>
              </w:tc>
              <w:tc>
                <w:tcPr>
                  <w:tcW w:w="960"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284" w:type="pct"/>
                  <w:gridSpan w:val="2"/>
                  <w:noWrap/>
                  <w:vAlign w:val="center"/>
                </w:tcPr>
                <w:p>
                  <w:pPr>
                    <w:pStyle w:val="41"/>
                    <w:spacing w:line="360" w:lineRule="auto"/>
                    <w:jc w:val="both"/>
                    <w:rPr>
                      <w:rFonts w:ascii="宋体" w:hAnsi="宋体" w:cs="宋体"/>
                      <w:color w:val="auto"/>
                      <w:sz w:val="18"/>
                      <w:szCs w:val="18"/>
                    </w:rPr>
                  </w:pPr>
                  <w:r>
                    <w:rPr>
                      <w:rFonts w:hint="eastAsia" w:ascii="宋体" w:hAnsi="宋体" w:cs="宋体"/>
                      <w:color w:val="auto"/>
                      <w:sz w:val="18"/>
                      <w:szCs w:val="18"/>
                    </w:rPr>
                    <w:t>污染物排放浓度、</w:t>
                  </w:r>
                </w:p>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速率、</w:t>
                  </w:r>
                </w:p>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排放量</w:t>
                  </w:r>
                </w:p>
              </w:tc>
              <w:tc>
                <w:tcPr>
                  <w:tcW w:w="935" w:type="pct"/>
                  <w:noWrap/>
                  <w:vAlign w:val="center"/>
                </w:tcPr>
                <w:p>
                  <w:pPr>
                    <w:pStyle w:val="41"/>
                    <w:spacing w:line="36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18.88mg/m</w:t>
                  </w:r>
                  <w:r>
                    <w:rPr>
                      <w:rFonts w:hint="eastAsia" w:ascii="宋体" w:hAnsi="宋体" w:cs="宋体"/>
                      <w:color w:val="000000" w:themeColor="text1"/>
                      <w:sz w:val="18"/>
                      <w:szCs w:val="18"/>
                      <w:highlight w:val="none"/>
                      <w:vertAlign w:val="superscript"/>
                      <w14:textFill>
                        <w14:solidFill>
                          <w14:schemeClr w14:val="tx1"/>
                        </w14:solidFill>
                      </w14:textFill>
                    </w:rPr>
                    <w:t>3</w:t>
                  </w:r>
                </w:p>
                <w:p>
                  <w:pPr>
                    <w:pStyle w:val="41"/>
                    <w:spacing w:line="36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0.155kg/h</w:t>
                  </w:r>
                </w:p>
                <w:p>
                  <w:pPr>
                    <w:pStyle w:val="41"/>
                    <w:spacing w:line="360" w:lineRule="auto"/>
                    <w:jc w:val="center"/>
                    <w:rPr>
                      <w:rFonts w:ascii="宋体" w:hAnsi="宋体" w:cs="宋体"/>
                      <w:color w:val="auto"/>
                      <w:sz w:val="18"/>
                      <w:szCs w:val="18"/>
                      <w:highlight w:val="yellow"/>
                    </w:rPr>
                  </w:pPr>
                  <w:r>
                    <w:rPr>
                      <w:rFonts w:hint="eastAsia" w:ascii="宋体" w:hAnsi="宋体" w:cs="宋体"/>
                      <w:color w:val="000000" w:themeColor="text1"/>
                      <w:sz w:val="18"/>
                      <w:szCs w:val="18"/>
                      <w:highlight w:val="none"/>
                      <w14:textFill>
                        <w14:solidFill>
                          <w14:schemeClr w14:val="tx1"/>
                        </w14:solidFill>
                      </w14:textFill>
                    </w:rPr>
                    <w:t>0.062t/a</w:t>
                  </w:r>
                </w:p>
              </w:tc>
              <w:tc>
                <w:tcPr>
                  <w:tcW w:w="900" w:type="pct"/>
                  <w:gridSpan w:val="2"/>
                  <w:noWrap/>
                  <w:vAlign w:val="center"/>
                </w:tcPr>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13.10</w:t>
                  </w:r>
                  <w:r>
                    <w:rPr>
                      <w:rFonts w:hint="eastAsia" w:ascii="宋体" w:hAnsi="宋体" w:cs="宋体"/>
                      <w:color w:val="auto"/>
                      <w:sz w:val="18"/>
                      <w:szCs w:val="18"/>
                      <w:highlight w:val="none"/>
                    </w:rPr>
                    <w:t>mg/m</w:t>
                  </w:r>
                  <w:r>
                    <w:rPr>
                      <w:rFonts w:hint="eastAsia" w:ascii="宋体" w:hAnsi="宋体" w:cs="宋体"/>
                      <w:color w:val="auto"/>
                      <w:sz w:val="18"/>
                      <w:szCs w:val="18"/>
                      <w:highlight w:val="none"/>
                      <w:vertAlign w:val="superscript"/>
                    </w:rPr>
                    <w:t>3</w:t>
                  </w:r>
                </w:p>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0.11</w:t>
                  </w:r>
                  <w:r>
                    <w:rPr>
                      <w:rFonts w:hint="eastAsia" w:ascii="宋体" w:hAnsi="宋体" w:cs="宋体"/>
                      <w:color w:val="auto"/>
                      <w:sz w:val="18"/>
                      <w:szCs w:val="18"/>
                      <w:highlight w:val="none"/>
                    </w:rPr>
                    <w:t>kg/h</w:t>
                  </w:r>
                </w:p>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0.043</w:t>
                  </w:r>
                  <w:r>
                    <w:rPr>
                      <w:rFonts w:hint="eastAsia" w:ascii="宋体" w:hAnsi="宋体" w:cs="宋体"/>
                      <w:color w:val="auto"/>
                      <w:sz w:val="18"/>
                      <w:szCs w:val="18"/>
                      <w:highlight w:val="none"/>
                    </w:rPr>
                    <w:t>t/a</w:t>
                  </w:r>
                </w:p>
              </w:tc>
              <w:tc>
                <w:tcPr>
                  <w:tcW w:w="919" w:type="pct"/>
                  <w:noWrap/>
                  <w:vAlign w:val="center"/>
                </w:tcPr>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56.04</w:t>
                  </w:r>
                  <w:r>
                    <w:rPr>
                      <w:rFonts w:hint="eastAsia" w:ascii="宋体" w:hAnsi="宋体" w:cs="宋体"/>
                      <w:color w:val="auto"/>
                      <w:sz w:val="18"/>
                      <w:szCs w:val="18"/>
                      <w:highlight w:val="none"/>
                    </w:rPr>
                    <w:t>mg/</w:t>
                  </w:r>
                  <w:r>
                    <w:rPr>
                      <w:rFonts w:hint="eastAsia" w:ascii="宋体" w:hAnsi="宋体" w:cs="宋体"/>
                      <w:color w:val="auto"/>
                      <w:sz w:val="18"/>
                      <w:szCs w:val="18"/>
                      <w:highlight w:val="none"/>
                      <w:vertAlign w:val="superscript"/>
                    </w:rPr>
                    <w:t>3</w:t>
                  </w:r>
                </w:p>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0.46</w:t>
                  </w:r>
                  <w:r>
                    <w:rPr>
                      <w:rFonts w:hint="eastAsia" w:ascii="宋体" w:hAnsi="宋体" w:cs="宋体"/>
                      <w:color w:val="auto"/>
                      <w:sz w:val="18"/>
                      <w:szCs w:val="18"/>
                      <w:highlight w:val="none"/>
                    </w:rPr>
                    <w:t>kg/h</w:t>
                  </w:r>
                </w:p>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0.184</w:t>
                  </w:r>
                  <w:r>
                    <w:rPr>
                      <w:rFonts w:hint="eastAsia" w:ascii="宋体" w:hAnsi="宋体" w:cs="宋体"/>
                      <w:color w:val="auto"/>
                      <w:sz w:val="18"/>
                      <w:szCs w:val="18"/>
                      <w:highlight w:val="none"/>
                    </w:rPr>
                    <w:t>t/a</w:t>
                  </w:r>
                </w:p>
              </w:tc>
              <w:tc>
                <w:tcPr>
                  <w:tcW w:w="960" w:type="pct"/>
                  <w:noWrap/>
                  <w:vAlign w:val="center"/>
                </w:tcPr>
                <w:p>
                  <w:pPr>
                    <w:pStyle w:val="41"/>
                    <w:spacing w:line="360" w:lineRule="auto"/>
                    <w:jc w:val="center"/>
                    <w:rPr>
                      <w:rFonts w:ascii="宋体" w:hAnsi="宋体" w:cs="宋体"/>
                      <w:color w:val="auto"/>
                      <w:sz w:val="18"/>
                      <w:szCs w:val="18"/>
                    </w:rPr>
                  </w:pPr>
                </w:p>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37.6mg/3</w:t>
                  </w:r>
                </w:p>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0.0188kg/h</w:t>
                  </w:r>
                </w:p>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0.045t/a</w:t>
                  </w:r>
                </w:p>
                <w:p>
                  <w:pPr>
                    <w:pStyle w:val="41"/>
                    <w:spacing w:line="360" w:lineRule="auto"/>
                    <w:jc w:val="center"/>
                    <w:rPr>
                      <w:rFonts w:ascii="宋体" w:hAnsi="宋体" w:cs="宋体"/>
                      <w:color w:val="auto"/>
                      <w:sz w:val="18"/>
                      <w:szCs w:val="18"/>
                    </w:rPr>
                  </w:pPr>
                </w:p>
              </w:tc>
            </w:tr>
          </w:tbl>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（1）锅炉烟气</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本项目设置1台6t/h生物质锅炉，由于1台6t/h生物质锅炉燃烧1小时需要消耗大概1080kg生物质颗粒，年工作时间为400h，因此本项目所需生物质颗粒大概为432t/a。</w:t>
            </w:r>
          </w:p>
          <w:p>
            <w:pPr>
              <w:pStyle w:val="41"/>
              <w:spacing w:line="360" w:lineRule="auto"/>
              <w:ind w:firstLine="420" w:firstLineChars="20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源强核算根据《污染源源强核算技术指南 锅炉》（HJ991-2018），结合《排污许可证申请与核发技术规范 锅炉》（HJ953-2018）中关于燃生物质锅炉相关内容的规定。</w:t>
            </w:r>
          </w:p>
          <w:p>
            <w:pPr>
              <w:pStyle w:val="41"/>
              <w:spacing w:line="360" w:lineRule="auto"/>
              <w:ind w:firstLine="420" w:firstLineChars="20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1）废气量</w:t>
            </w:r>
          </w:p>
          <w:p>
            <w:pPr>
              <w:pStyle w:val="41"/>
              <w:spacing w:line="360" w:lineRule="auto"/>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 xml:space="preserve">   采用经验公式法估算基准烟气量，生物质颗粒含硫量低，经计算后无需增加脱硫设备可达标排放基准烟气量取值表如下：</w:t>
            </w:r>
          </w:p>
          <w:p>
            <w:pPr>
              <w:pStyle w:val="41"/>
              <w:spacing w:line="360" w:lineRule="auto"/>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基准烟气量取值表</w:t>
            </w:r>
          </w:p>
          <w:p>
            <w:pPr>
              <w:pStyle w:val="41"/>
              <w:spacing w:line="360" w:lineRule="auto"/>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drawing>
                <wp:inline distT="0" distB="0" distL="114300" distR="114300">
                  <wp:extent cx="4921885" cy="995045"/>
                  <wp:effectExtent l="0" t="0" r="12065" b="1460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6"/>
                          <a:stretch>
                            <a:fillRect/>
                          </a:stretch>
                        </pic:blipFill>
                        <pic:spPr>
                          <a:xfrm>
                            <a:off x="0" y="0"/>
                            <a:ext cx="4921885" cy="995045"/>
                          </a:xfrm>
                          <a:prstGeom prst="rect">
                            <a:avLst/>
                          </a:prstGeom>
                          <a:noFill/>
                          <a:ln>
                            <a:noFill/>
                          </a:ln>
                        </pic:spPr>
                      </pic:pic>
                    </a:graphicData>
                  </a:graphic>
                </wp:inline>
              </w:drawing>
            </w:r>
          </w:p>
          <w:p>
            <w:pPr>
              <w:pStyle w:val="41"/>
              <w:spacing w:line="360" w:lineRule="auto"/>
              <w:ind w:firstLine="420" w:firstLineChars="20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本项目生物质锅炉Qnet,ar为17.09MJ/kg，Vdaf为83.44%，据公式核算，基准烟气量7.60Nm</w:t>
            </w:r>
            <w:r>
              <w:rPr>
                <w:rFonts w:hint="eastAsia" w:ascii="宋体" w:hAnsi="宋体" w:cs="宋体"/>
                <w:color w:val="000000" w:themeColor="text1"/>
                <w:sz w:val="21"/>
                <w:szCs w:val="21"/>
                <w:highlight w:val="none"/>
                <w:vertAlign w:val="superscript"/>
                <w14:textFill>
                  <w14:solidFill>
                    <w14:schemeClr w14:val="tx1"/>
                  </w14:solidFill>
                </w14:textFill>
              </w:rPr>
              <w:t>3</w:t>
            </w:r>
            <w:r>
              <w:rPr>
                <w:rFonts w:hint="eastAsia" w:ascii="宋体" w:hAnsi="宋体" w:cs="宋体"/>
                <w:color w:val="000000" w:themeColor="text1"/>
                <w:sz w:val="21"/>
                <w:szCs w:val="21"/>
                <w:highlight w:val="none"/>
                <w14:textFill>
                  <w14:solidFill>
                    <w14:schemeClr w14:val="tx1"/>
                  </w14:solidFill>
                </w14:textFill>
              </w:rPr>
              <w:t>/kg，年生物质成型燃料用量为432t，年产生烟气量为3283200Nm</w:t>
            </w:r>
            <w:r>
              <w:rPr>
                <w:rFonts w:hint="eastAsia" w:ascii="宋体" w:hAnsi="宋体" w:cs="宋体"/>
                <w:color w:val="000000" w:themeColor="text1"/>
                <w:sz w:val="21"/>
                <w:szCs w:val="21"/>
                <w:highlight w:val="none"/>
                <w:vertAlign w:val="superscript"/>
                <w14:textFill>
                  <w14:solidFill>
                    <w14:schemeClr w14:val="tx1"/>
                  </w14:solidFill>
                </w14:textFill>
              </w:rPr>
              <w:t>3</w:t>
            </w:r>
            <w:r>
              <w:rPr>
                <w:rFonts w:hint="eastAsia" w:ascii="宋体" w:hAnsi="宋体" w:cs="宋体"/>
                <w:color w:val="000000" w:themeColor="text1"/>
                <w:sz w:val="21"/>
                <w:szCs w:val="21"/>
                <w:highlight w:val="none"/>
                <w14:textFill>
                  <w14:solidFill>
                    <w14:schemeClr w14:val="tx1"/>
                  </w14:solidFill>
                </w14:textFill>
              </w:rPr>
              <w:t>，即8208m</w:t>
            </w:r>
            <w:r>
              <w:rPr>
                <w:rFonts w:hint="eastAsia" w:ascii="宋体" w:hAnsi="宋体" w:cs="宋体"/>
                <w:color w:val="000000" w:themeColor="text1"/>
                <w:sz w:val="21"/>
                <w:szCs w:val="21"/>
                <w:highlight w:val="none"/>
                <w:vertAlign w:val="superscript"/>
                <w14:textFill>
                  <w14:solidFill>
                    <w14:schemeClr w14:val="tx1"/>
                  </w14:solidFill>
                </w14:textFill>
              </w:rPr>
              <w:t>3</w:t>
            </w:r>
            <w:r>
              <w:rPr>
                <w:rFonts w:hint="eastAsia" w:ascii="宋体" w:hAnsi="宋体" w:cs="宋体"/>
                <w:color w:val="000000" w:themeColor="text1"/>
                <w:sz w:val="21"/>
                <w:szCs w:val="21"/>
                <w:highlight w:val="none"/>
                <w14:textFill>
                  <w14:solidFill>
                    <w14:schemeClr w14:val="tx1"/>
                  </w14:solidFill>
                </w14:textFill>
              </w:rPr>
              <w:t>/h。</w:t>
            </w:r>
          </w:p>
          <w:p>
            <w:pPr>
              <w:pStyle w:val="41"/>
              <w:spacing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2）二氧化硫</w:t>
            </w:r>
          </w:p>
          <w:p>
            <w:pPr>
              <w:pStyle w:val="41"/>
              <w:spacing w:line="360" w:lineRule="auto"/>
              <w:ind w:firstLine="420" w:firstLineChars="20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采用物料衡算法核算二氧化硫排放量，根据燃料消耗量、硫含量进行核算，按直排进行核算，核算方法见下：</w:t>
            </w:r>
          </w:p>
          <w:p>
            <w:pPr>
              <w:pStyle w:val="41"/>
              <w:spacing w:line="360" w:lineRule="auto"/>
              <w:ind w:left="420" w:leftChars="200"/>
              <w:jc w:val="both"/>
              <w:rPr>
                <w:rFonts w:ascii="宋体" w:hAnsi="宋体" w:cs="宋体"/>
                <w:color w:val="auto"/>
                <w:sz w:val="21"/>
                <w:szCs w:val="21"/>
              </w:rPr>
            </w:pPr>
            <w:r>
              <w:rPr>
                <w:rFonts w:hint="eastAsia" w:ascii="宋体" w:hAnsi="宋体" w:cs="宋体"/>
                <w:color w:val="auto"/>
                <w:sz w:val="21"/>
                <w:szCs w:val="21"/>
              </w:rPr>
              <w:drawing>
                <wp:inline distT="0" distB="0" distL="114300" distR="114300">
                  <wp:extent cx="4324350" cy="1819275"/>
                  <wp:effectExtent l="0" t="0" r="0" b="9525"/>
                  <wp:docPr id="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pic:cNvPicPr>
                            <a:picLocks noChangeAspect="1"/>
                          </pic:cNvPicPr>
                        </pic:nvPicPr>
                        <pic:blipFill>
                          <a:blip r:embed="rId17"/>
                          <a:stretch>
                            <a:fillRect/>
                          </a:stretch>
                        </pic:blipFill>
                        <pic:spPr>
                          <a:xfrm>
                            <a:off x="0" y="0"/>
                            <a:ext cx="4324350" cy="1819275"/>
                          </a:xfrm>
                          <a:prstGeom prst="rect">
                            <a:avLst/>
                          </a:prstGeom>
                          <a:noFill/>
                          <a:ln>
                            <a:noFill/>
                          </a:ln>
                        </pic:spPr>
                      </pic:pic>
                    </a:graphicData>
                  </a:graphic>
                </wp:inline>
              </w:drawing>
            </w:r>
          </w:p>
          <w:p>
            <w:pPr>
              <w:pStyle w:val="41"/>
              <w:spacing w:line="360" w:lineRule="auto"/>
              <w:ind w:left="420" w:leftChars="200"/>
              <w:jc w:val="center"/>
              <w:rPr>
                <w:rFonts w:ascii="宋体" w:hAnsi="宋体" w:cs="宋体"/>
                <w:color w:val="auto"/>
                <w:sz w:val="21"/>
                <w:szCs w:val="21"/>
              </w:rPr>
            </w:pPr>
            <w:r>
              <w:rPr>
                <w:rFonts w:hint="eastAsia" w:ascii="宋体" w:hAnsi="宋体" w:cs="宋体"/>
                <w:color w:val="auto"/>
                <w:sz w:val="21"/>
                <w:szCs w:val="21"/>
              </w:rPr>
              <w:t>机械未完全燃烧热损失q4的一般取值</w:t>
            </w:r>
          </w:p>
          <w:p>
            <w:pPr>
              <w:pStyle w:val="41"/>
              <w:spacing w:line="360" w:lineRule="auto"/>
              <w:jc w:val="both"/>
              <w:rPr>
                <w:rFonts w:ascii="宋体" w:hAnsi="宋体" w:cs="宋体"/>
                <w:color w:val="auto"/>
                <w:sz w:val="21"/>
                <w:szCs w:val="21"/>
              </w:rPr>
            </w:pPr>
            <w:r>
              <w:rPr>
                <w:rFonts w:hint="eastAsia" w:ascii="宋体" w:hAnsi="宋体" w:cs="宋体"/>
                <w:color w:val="auto"/>
                <w:sz w:val="21"/>
                <w:szCs w:val="21"/>
              </w:rPr>
              <w:drawing>
                <wp:inline distT="0" distB="0" distL="114300" distR="114300">
                  <wp:extent cx="5019040" cy="1676400"/>
                  <wp:effectExtent l="0" t="0" r="10160" b="0"/>
                  <wp:docPr id="1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pic:cNvPicPr>
                            <a:picLocks noChangeAspect="1"/>
                          </pic:cNvPicPr>
                        </pic:nvPicPr>
                        <pic:blipFill>
                          <a:blip r:embed="rId18"/>
                          <a:srcRect l="1883" r="2222"/>
                          <a:stretch>
                            <a:fillRect/>
                          </a:stretch>
                        </pic:blipFill>
                        <pic:spPr>
                          <a:xfrm>
                            <a:off x="0" y="0"/>
                            <a:ext cx="5019040" cy="1676400"/>
                          </a:xfrm>
                          <a:prstGeom prst="rect">
                            <a:avLst/>
                          </a:prstGeom>
                          <a:noFill/>
                          <a:ln>
                            <a:noFill/>
                          </a:ln>
                        </pic:spPr>
                      </pic:pic>
                    </a:graphicData>
                  </a:graphic>
                </wp:inline>
              </w:drawing>
            </w:r>
          </w:p>
          <w:p>
            <w:pPr>
              <w:pStyle w:val="41"/>
              <w:spacing w:line="360" w:lineRule="auto"/>
              <w:ind w:left="420" w:leftChars="200"/>
              <w:jc w:val="center"/>
              <w:rPr>
                <w:rFonts w:ascii="宋体" w:hAnsi="宋体" w:cs="宋体"/>
                <w:color w:val="auto"/>
                <w:sz w:val="21"/>
                <w:szCs w:val="21"/>
              </w:rPr>
            </w:pPr>
          </w:p>
          <w:p>
            <w:pPr>
              <w:pStyle w:val="41"/>
              <w:spacing w:line="360" w:lineRule="auto"/>
              <w:ind w:left="420" w:leftChars="200"/>
              <w:jc w:val="center"/>
              <w:rPr>
                <w:rFonts w:ascii="宋体" w:hAnsi="宋体" w:cs="宋体"/>
                <w:color w:val="auto"/>
                <w:sz w:val="21"/>
                <w:szCs w:val="21"/>
              </w:rPr>
            </w:pPr>
          </w:p>
          <w:p>
            <w:pPr>
              <w:pStyle w:val="41"/>
              <w:spacing w:line="360" w:lineRule="auto"/>
              <w:ind w:left="420" w:leftChars="200"/>
              <w:jc w:val="center"/>
              <w:rPr>
                <w:rFonts w:ascii="宋体" w:hAnsi="宋体" w:cs="宋体"/>
                <w:color w:val="auto"/>
                <w:sz w:val="21"/>
                <w:szCs w:val="21"/>
              </w:rPr>
            </w:pPr>
          </w:p>
          <w:p>
            <w:pPr>
              <w:pStyle w:val="41"/>
              <w:spacing w:line="360" w:lineRule="auto"/>
              <w:ind w:left="420" w:leftChars="200"/>
              <w:jc w:val="center"/>
              <w:rPr>
                <w:rFonts w:ascii="宋体" w:hAnsi="宋体" w:cs="宋体"/>
                <w:color w:val="auto"/>
                <w:sz w:val="21"/>
                <w:szCs w:val="21"/>
              </w:rPr>
            </w:pPr>
          </w:p>
          <w:p>
            <w:pPr>
              <w:pStyle w:val="41"/>
              <w:spacing w:line="360" w:lineRule="auto"/>
              <w:ind w:left="420" w:leftChars="200"/>
              <w:jc w:val="center"/>
              <w:rPr>
                <w:rFonts w:ascii="宋体" w:hAnsi="宋体" w:cs="宋体"/>
                <w:color w:val="auto"/>
                <w:sz w:val="21"/>
                <w:szCs w:val="21"/>
              </w:rPr>
            </w:pPr>
            <w:r>
              <w:rPr>
                <w:rFonts w:hint="eastAsia" w:ascii="宋体" w:hAnsi="宋体" w:cs="宋体"/>
                <w:color w:val="auto"/>
                <w:sz w:val="21"/>
                <w:szCs w:val="21"/>
              </w:rPr>
              <w:t>燃料中的硫生成二氧化硫的份额</w:t>
            </w:r>
          </w:p>
          <w:p>
            <w:pPr>
              <w:pStyle w:val="41"/>
              <w:spacing w:line="360" w:lineRule="auto"/>
              <w:jc w:val="both"/>
              <w:rPr>
                <w:rFonts w:ascii="宋体" w:hAnsi="宋体" w:cs="宋体"/>
                <w:color w:val="auto"/>
                <w:sz w:val="21"/>
                <w:szCs w:val="21"/>
              </w:rPr>
            </w:pPr>
            <w:r>
              <w:rPr>
                <w:rFonts w:hint="eastAsia" w:ascii="宋体" w:hAnsi="宋体" w:cs="宋体"/>
                <w:color w:val="auto"/>
                <w:sz w:val="21"/>
                <w:szCs w:val="21"/>
              </w:rPr>
              <w:drawing>
                <wp:inline distT="0" distB="0" distL="114300" distR="114300">
                  <wp:extent cx="5059680" cy="1851025"/>
                  <wp:effectExtent l="0" t="0" r="7620" b="15875"/>
                  <wp:docPr id="1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
                          <pic:cNvPicPr>
                            <a:picLocks noChangeAspect="1"/>
                          </pic:cNvPicPr>
                        </pic:nvPicPr>
                        <pic:blipFill>
                          <a:blip r:embed="rId19"/>
                          <a:stretch>
                            <a:fillRect/>
                          </a:stretch>
                        </pic:blipFill>
                        <pic:spPr>
                          <a:xfrm>
                            <a:off x="0" y="0"/>
                            <a:ext cx="5059680" cy="1851025"/>
                          </a:xfrm>
                          <a:prstGeom prst="rect">
                            <a:avLst/>
                          </a:prstGeom>
                          <a:noFill/>
                          <a:ln>
                            <a:noFill/>
                          </a:ln>
                        </pic:spPr>
                      </pic:pic>
                    </a:graphicData>
                  </a:graphic>
                </wp:inline>
              </w:drawing>
            </w:r>
          </w:p>
          <w:p>
            <w:pPr>
              <w:pStyle w:val="41"/>
              <w:spacing w:line="360" w:lineRule="auto"/>
              <w:ind w:firstLine="420" w:firstLineChars="20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对照上表，q</w:t>
            </w:r>
            <w:r>
              <w:rPr>
                <w:rFonts w:hint="eastAsia" w:ascii="宋体" w:hAnsi="宋体" w:cs="宋体"/>
                <w:color w:val="000000" w:themeColor="text1"/>
                <w:sz w:val="21"/>
                <w:szCs w:val="21"/>
                <w:highlight w:val="none"/>
                <w:vertAlign w:val="subscript"/>
                <w14:textFill>
                  <w14:solidFill>
                    <w14:schemeClr w14:val="tx1"/>
                  </w14:solidFill>
                </w14:textFill>
              </w:rPr>
              <w:t>4</w:t>
            </w:r>
            <w:r>
              <w:rPr>
                <w:rFonts w:hint="eastAsia" w:ascii="宋体" w:hAnsi="宋体" w:cs="宋体"/>
                <w:color w:val="000000" w:themeColor="text1"/>
                <w:sz w:val="21"/>
                <w:szCs w:val="21"/>
                <w:highlight w:val="none"/>
                <w14:textFill>
                  <w14:solidFill>
                    <w14:schemeClr w14:val="tx1"/>
                  </w14:solidFill>
                </w14:textFill>
              </w:rPr>
              <w:t>取值10，K取值0.4，经核算，二氧化硫实际排放量为0.062t/a，排放速率为0.053kg/h，排放浓度为18.88mg/m</w:t>
            </w:r>
            <w:r>
              <w:rPr>
                <w:rFonts w:hint="eastAsia" w:ascii="宋体" w:hAnsi="宋体" w:cs="宋体"/>
                <w:color w:val="000000" w:themeColor="text1"/>
                <w:sz w:val="21"/>
                <w:szCs w:val="21"/>
                <w:highlight w:val="none"/>
                <w:vertAlign w:val="superscript"/>
                <w14:textFill>
                  <w14:solidFill>
                    <w14:schemeClr w14:val="tx1"/>
                  </w14:solidFill>
                </w14:textFill>
              </w:rPr>
              <w:t>3</w:t>
            </w:r>
            <w:r>
              <w:rPr>
                <w:rFonts w:hint="eastAsia" w:ascii="宋体" w:hAnsi="宋体" w:cs="宋体"/>
                <w:color w:val="000000" w:themeColor="text1"/>
                <w:sz w:val="21"/>
                <w:szCs w:val="21"/>
                <w:highlight w:val="none"/>
                <w14:textFill>
                  <w14:solidFill>
                    <w14:schemeClr w14:val="tx1"/>
                  </w14:solidFill>
                </w14:textFill>
              </w:rPr>
              <w:t>。</w:t>
            </w:r>
          </w:p>
          <w:p>
            <w:pPr>
              <w:pStyle w:val="41"/>
              <w:spacing w:line="360" w:lineRule="auto"/>
              <w:ind w:left="420" w:leftChars="200"/>
              <w:jc w:val="both"/>
              <w:rPr>
                <w:rFonts w:ascii="宋体" w:hAnsi="宋体" w:cs="宋体"/>
                <w:color w:val="auto"/>
                <w:sz w:val="21"/>
                <w:szCs w:val="21"/>
              </w:rPr>
            </w:pPr>
            <w:r>
              <w:rPr>
                <w:rFonts w:hint="eastAsia" w:ascii="宋体" w:hAnsi="宋体" w:cs="宋体"/>
                <w:color w:val="auto"/>
                <w:sz w:val="21"/>
                <w:szCs w:val="21"/>
              </w:rPr>
              <w:t>3）颗粒物</w:t>
            </w:r>
          </w:p>
          <w:p>
            <w:pPr>
              <w:pStyle w:val="41"/>
              <w:spacing w:line="360" w:lineRule="auto"/>
              <w:ind w:firstLine="420" w:firstLineChars="20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采用物料衡算法核算颗粒物排放量，详见下式：</w:t>
            </w:r>
          </w:p>
          <w:p>
            <w:pPr>
              <w:pStyle w:val="8"/>
              <w:adjustRightInd w:val="0"/>
              <w:snapToGrid w:val="0"/>
              <w:spacing w:before="120" w:beforeLines="50" w:line="360" w:lineRule="auto"/>
              <w:ind w:firstLine="0"/>
              <w:jc w:val="center"/>
            </w:pPr>
            <w:r>
              <w:drawing>
                <wp:inline distT="0" distB="0" distL="114300" distR="114300">
                  <wp:extent cx="2698750" cy="856615"/>
                  <wp:effectExtent l="0" t="0" r="6350" b="635"/>
                  <wp:docPr id="119" name="图片 119" descr="1631447134423_BEE68D95-9AD3-4777-8233-F8E991D2C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1631447134423_BEE68D95-9AD3-4777-8233-F8E991D2C6FB"/>
                          <pic:cNvPicPr>
                            <a:picLocks noChangeAspect="1"/>
                          </pic:cNvPicPr>
                        </pic:nvPicPr>
                        <pic:blipFill>
                          <a:blip r:embed="rId20"/>
                          <a:srcRect b="13526"/>
                          <a:stretch>
                            <a:fillRect/>
                          </a:stretch>
                        </pic:blipFill>
                        <pic:spPr>
                          <a:xfrm>
                            <a:off x="0" y="0"/>
                            <a:ext cx="2698750" cy="856615"/>
                          </a:xfrm>
                          <a:prstGeom prst="rect">
                            <a:avLst/>
                          </a:prstGeom>
                        </pic:spPr>
                      </pic:pic>
                    </a:graphicData>
                  </a:graphic>
                </wp:inline>
              </w:drawing>
            </w:r>
          </w:p>
          <w:p>
            <w:pPr>
              <w:pStyle w:val="8"/>
              <w:adjustRightInd w:val="0"/>
              <w:snapToGrid w:val="0"/>
              <w:spacing w:line="360" w:lineRule="auto"/>
              <w:ind w:firstLine="400" w:firstLineChars="200"/>
              <w:rPr>
                <w:sz w:val="24"/>
              </w:rPr>
            </w:pPr>
            <w:r>
              <w:drawing>
                <wp:inline distT="0" distB="0" distL="114300" distR="114300">
                  <wp:extent cx="4550410" cy="1440180"/>
                  <wp:effectExtent l="0" t="0" r="2540" b="7620"/>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pic:cNvPicPr>
                        </pic:nvPicPr>
                        <pic:blipFill>
                          <a:blip r:embed="rId21"/>
                          <a:srcRect t="39813"/>
                          <a:stretch>
                            <a:fillRect/>
                          </a:stretch>
                        </pic:blipFill>
                        <pic:spPr>
                          <a:xfrm>
                            <a:off x="0" y="0"/>
                            <a:ext cx="4550410" cy="1440180"/>
                          </a:xfrm>
                          <a:prstGeom prst="rect">
                            <a:avLst/>
                          </a:prstGeom>
                          <a:noFill/>
                          <a:ln>
                            <a:noFill/>
                          </a:ln>
                        </pic:spPr>
                      </pic:pic>
                    </a:graphicData>
                  </a:graphic>
                </wp:inline>
              </w:drawing>
            </w:r>
          </w:p>
          <w:p>
            <w:pPr>
              <w:adjustRightInd w:val="0"/>
              <w:snapToGrid w:val="0"/>
              <w:spacing w:line="360" w:lineRule="auto"/>
              <w:ind w:firstLine="480" w:firstLineChars="200"/>
              <w:rPr>
                <w:sz w:val="24"/>
                <w:highlight w:val="none"/>
              </w:rPr>
            </w:pPr>
            <w:r>
              <w:rPr>
                <w:sz w:val="24"/>
                <w:highlight w:val="none"/>
              </w:rPr>
              <w:t>A</w:t>
            </w:r>
            <w:r>
              <w:rPr>
                <w:sz w:val="24"/>
                <w:highlight w:val="none"/>
                <w:vertAlign w:val="subscript"/>
              </w:rPr>
              <w:t>ar</w:t>
            </w:r>
            <w:r>
              <w:rPr>
                <w:sz w:val="24"/>
                <w:highlight w:val="none"/>
              </w:rPr>
              <w:t>取值</w:t>
            </w:r>
            <w:r>
              <w:rPr>
                <w:rFonts w:hint="eastAsia"/>
                <w:sz w:val="24"/>
                <w:highlight w:val="none"/>
              </w:rPr>
              <w:t>3.79</w:t>
            </w:r>
            <w:r>
              <w:rPr>
                <w:sz w:val="24"/>
                <w:highlight w:val="none"/>
              </w:rPr>
              <w:t>，R为</w:t>
            </w:r>
            <w:r>
              <w:rPr>
                <w:rFonts w:hint="eastAsia"/>
                <w:sz w:val="24"/>
                <w:highlight w:val="none"/>
              </w:rPr>
              <w:t>432</w:t>
            </w:r>
            <w:r>
              <w:rPr>
                <w:sz w:val="24"/>
                <w:highlight w:val="none"/>
              </w:rPr>
              <w:t>t，d</w:t>
            </w:r>
            <w:r>
              <w:rPr>
                <w:sz w:val="24"/>
                <w:highlight w:val="none"/>
                <w:vertAlign w:val="subscript"/>
              </w:rPr>
              <w:t xml:space="preserve">jh </w:t>
            </w:r>
            <w:r>
              <w:rPr>
                <w:sz w:val="24"/>
                <w:highlight w:val="none"/>
              </w:rPr>
              <w:t>取值45%，综合除尘效率取值99</w:t>
            </w:r>
            <w:r>
              <w:rPr>
                <w:rFonts w:hint="eastAsia"/>
                <w:sz w:val="24"/>
                <w:highlight w:val="none"/>
                <w:lang w:val="en-US" w:eastAsia="zh-CN"/>
              </w:rPr>
              <w:t>.5</w:t>
            </w:r>
            <w:r>
              <w:rPr>
                <w:sz w:val="24"/>
                <w:highlight w:val="none"/>
              </w:rPr>
              <w:t>%，飞灰中可燃物含量取15%，经计算，颗粒物排放量为</w:t>
            </w:r>
            <w:r>
              <w:rPr>
                <w:rFonts w:hint="eastAsia"/>
                <w:sz w:val="24"/>
                <w:highlight w:val="none"/>
                <w:lang w:val="en-US" w:eastAsia="zh-CN"/>
              </w:rPr>
              <w:t>0.043</w:t>
            </w:r>
            <w:r>
              <w:rPr>
                <w:sz w:val="24"/>
                <w:highlight w:val="none"/>
              </w:rPr>
              <w:t>t/a，排放速率为</w:t>
            </w:r>
            <w:r>
              <w:rPr>
                <w:rFonts w:hint="eastAsia"/>
                <w:sz w:val="24"/>
                <w:highlight w:val="none"/>
              </w:rPr>
              <w:t>0.</w:t>
            </w:r>
            <w:r>
              <w:rPr>
                <w:rFonts w:hint="eastAsia"/>
                <w:sz w:val="24"/>
                <w:highlight w:val="none"/>
                <w:lang w:val="en-US" w:eastAsia="zh-CN"/>
              </w:rPr>
              <w:t>11</w:t>
            </w:r>
            <w:r>
              <w:rPr>
                <w:sz w:val="24"/>
                <w:highlight w:val="none"/>
              </w:rPr>
              <w:t>kg/h，排放浓度为</w:t>
            </w:r>
            <w:r>
              <w:rPr>
                <w:rFonts w:hint="eastAsia"/>
                <w:sz w:val="24"/>
                <w:highlight w:val="none"/>
                <w:lang w:val="en-US" w:eastAsia="zh-CN"/>
              </w:rPr>
              <w:t>13.1</w:t>
            </w:r>
            <w:r>
              <w:rPr>
                <w:sz w:val="24"/>
                <w:highlight w:val="none"/>
              </w:rPr>
              <w:t>mg/m</w:t>
            </w:r>
            <w:r>
              <w:rPr>
                <w:sz w:val="24"/>
                <w:highlight w:val="none"/>
                <w:vertAlign w:val="superscript"/>
              </w:rPr>
              <w:t>3</w:t>
            </w:r>
            <w:r>
              <w:rPr>
                <w:sz w:val="24"/>
                <w:highlight w:val="none"/>
              </w:rPr>
              <w:t>，除尘灰产生量为</w:t>
            </w:r>
            <w:r>
              <w:rPr>
                <w:rFonts w:hint="eastAsia"/>
                <w:sz w:val="24"/>
                <w:highlight w:val="none"/>
                <w:lang w:eastAsia="zh-CN"/>
              </w:rPr>
              <w:t>8.62</w:t>
            </w:r>
            <w:r>
              <w:rPr>
                <w:sz w:val="24"/>
                <w:highlight w:val="none"/>
              </w:rPr>
              <w:t>t/a。</w:t>
            </w:r>
          </w:p>
          <w:p>
            <w:pPr>
              <w:pStyle w:val="41"/>
              <w:spacing w:line="360" w:lineRule="auto"/>
              <w:ind w:left="420" w:leftChars="200"/>
              <w:jc w:val="both"/>
              <w:rPr>
                <w:rFonts w:ascii="宋体" w:hAnsi="宋体" w:cs="宋体"/>
                <w:color w:val="auto"/>
                <w:sz w:val="21"/>
                <w:szCs w:val="21"/>
              </w:rPr>
            </w:pPr>
            <w:r>
              <w:rPr>
                <w:rFonts w:hint="eastAsia" w:ascii="宋体" w:hAnsi="宋体" w:cs="宋体"/>
                <w:color w:val="auto"/>
                <w:sz w:val="21"/>
                <w:szCs w:val="21"/>
              </w:rPr>
              <w:t>4）氮氧化物</w:t>
            </w:r>
          </w:p>
          <w:p>
            <w:pPr>
              <w:pStyle w:val="8"/>
              <w:spacing w:line="360" w:lineRule="auto"/>
              <w:ind w:firstLine="512"/>
              <w:contextualSpacing/>
              <w:rPr>
                <w:sz w:val="21"/>
                <w:szCs w:val="21"/>
              </w:rPr>
            </w:pPr>
            <w:r>
              <w:rPr>
                <w:sz w:val="21"/>
                <w:szCs w:val="21"/>
              </w:rPr>
              <w:t>氮氧化物排放量采用产污系数法进行计算。公式如下:</w:t>
            </w:r>
          </w:p>
          <w:p>
            <w:pPr>
              <w:jc w:val="center"/>
              <w:rPr>
                <w:szCs w:val="21"/>
              </w:rPr>
            </w:pPr>
            <w:r>
              <w:rPr>
                <w:szCs w:val="21"/>
              </w:rPr>
              <w:drawing>
                <wp:inline distT="0" distB="0" distL="0" distR="0">
                  <wp:extent cx="2618740" cy="485140"/>
                  <wp:effectExtent l="0" t="0" r="10160" b="1016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2"/>
                          <a:stretch>
                            <a:fillRect/>
                          </a:stretch>
                        </pic:blipFill>
                        <pic:spPr>
                          <a:xfrm>
                            <a:off x="0" y="0"/>
                            <a:ext cx="2619048" cy="485714"/>
                          </a:xfrm>
                          <a:prstGeom prst="rect">
                            <a:avLst/>
                          </a:prstGeom>
                        </pic:spPr>
                      </pic:pic>
                    </a:graphicData>
                  </a:graphic>
                </wp:inline>
              </w:drawing>
            </w:r>
          </w:p>
          <w:p>
            <w:pPr>
              <w:pStyle w:val="8"/>
              <w:spacing w:line="360" w:lineRule="auto"/>
              <w:ind w:firstLine="0"/>
              <w:contextualSpacing/>
              <w:rPr>
                <w:sz w:val="21"/>
                <w:szCs w:val="21"/>
              </w:rPr>
            </w:pPr>
            <w:r>
              <w:rPr>
                <w:sz w:val="21"/>
                <w:szCs w:val="21"/>
              </w:rPr>
              <w:drawing>
                <wp:inline distT="0" distB="0" distL="0" distR="0">
                  <wp:extent cx="5419725" cy="1381760"/>
                  <wp:effectExtent l="0" t="0" r="9525" b="889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3"/>
                          <a:stretch>
                            <a:fillRect/>
                          </a:stretch>
                        </pic:blipFill>
                        <pic:spPr>
                          <a:xfrm>
                            <a:off x="0" y="0"/>
                            <a:ext cx="5433818" cy="1385921"/>
                          </a:xfrm>
                          <a:prstGeom prst="rect">
                            <a:avLst/>
                          </a:prstGeom>
                        </pic:spPr>
                      </pic:pic>
                    </a:graphicData>
                  </a:graphic>
                </wp:inline>
              </w:drawing>
            </w:r>
          </w:p>
          <w:p>
            <w:pPr>
              <w:pStyle w:val="41"/>
              <w:spacing w:line="360" w:lineRule="auto"/>
              <w:ind w:firstLine="420" w:firstLineChars="200"/>
              <w:jc w:val="both"/>
              <w:rPr>
                <w:color w:val="auto"/>
                <w:sz w:val="21"/>
                <w:szCs w:val="21"/>
                <w:highlight w:val="none"/>
              </w:rPr>
            </w:pPr>
            <w:r>
              <w:rPr>
                <w:sz w:val="21"/>
                <w:szCs w:val="21"/>
                <w:highlight w:val="none"/>
              </w:rPr>
              <w:t>R为</w:t>
            </w:r>
            <w:r>
              <w:rPr>
                <w:rFonts w:hint="eastAsia"/>
                <w:sz w:val="21"/>
                <w:szCs w:val="21"/>
                <w:highlight w:val="none"/>
              </w:rPr>
              <w:t>432</w:t>
            </w:r>
            <w:r>
              <w:rPr>
                <w:sz w:val="21"/>
                <w:szCs w:val="21"/>
                <w:highlight w:val="none"/>
              </w:rPr>
              <w:t>t，根据《HJ 953-2018 排污许可证申请与核发技术规范 锅炉》附录F中生物质锅炉氮氧化物</w:t>
            </w:r>
            <w:r>
              <w:rPr>
                <w:rFonts w:hint="eastAsia"/>
                <w:sz w:val="21"/>
                <w:szCs w:val="21"/>
                <w:highlight w:val="none"/>
                <w:lang w:eastAsia="zh-CN"/>
              </w:rPr>
              <w:t>低氮燃烧</w:t>
            </w:r>
            <w:r>
              <w:rPr>
                <w:sz w:val="21"/>
                <w:szCs w:val="21"/>
                <w:highlight w:val="none"/>
              </w:rPr>
              <w:t>产污系数为</w:t>
            </w:r>
            <w:r>
              <w:rPr>
                <w:rFonts w:hint="eastAsia"/>
                <w:sz w:val="21"/>
                <w:szCs w:val="21"/>
                <w:highlight w:val="none"/>
                <w:lang w:val="en-US" w:eastAsia="zh-CN"/>
              </w:rPr>
              <w:t>0.71</w:t>
            </w:r>
            <w:r>
              <w:rPr>
                <w:sz w:val="21"/>
                <w:szCs w:val="21"/>
                <w:highlight w:val="none"/>
              </w:rPr>
              <w:t>kg/吨-燃料，</w:t>
            </w:r>
            <w:r>
              <w:rPr>
                <w:color w:val="auto"/>
                <w:sz w:val="21"/>
                <w:szCs w:val="21"/>
                <w:highlight w:val="none"/>
              </w:rPr>
              <w:t>本项目拟采用</w:t>
            </w:r>
            <w:r>
              <w:rPr>
                <w:rFonts w:hint="eastAsia"/>
                <w:color w:val="auto"/>
                <w:sz w:val="21"/>
                <w:szCs w:val="21"/>
                <w:highlight w:val="none"/>
              </w:rPr>
              <w:t>锅炉低氮燃烧技术将部分燃烧后的烟气重新引入锅炉内部,与新鲜的空气混合后再次进行燃烧，有效降低燃烧温度和氧化剂浓度(去除率约为 40%)，从而有效地减少燃烧过程中氮氧化物的生成，经低氮处理</w:t>
            </w:r>
            <w:r>
              <w:rPr>
                <w:color w:val="auto"/>
                <w:sz w:val="21"/>
                <w:szCs w:val="21"/>
                <w:highlight w:val="none"/>
              </w:rPr>
              <w:t>后本项目氮氧化物排放量为</w:t>
            </w:r>
            <w:r>
              <w:rPr>
                <w:rFonts w:hint="eastAsia"/>
                <w:color w:val="auto"/>
                <w:sz w:val="21"/>
                <w:szCs w:val="21"/>
                <w:highlight w:val="none"/>
                <w:lang w:val="en-US" w:eastAsia="zh-CN"/>
              </w:rPr>
              <w:t xml:space="preserve">0.184 </w:t>
            </w:r>
            <w:r>
              <w:rPr>
                <w:color w:val="auto"/>
                <w:sz w:val="21"/>
                <w:szCs w:val="21"/>
                <w:highlight w:val="none"/>
              </w:rPr>
              <w:t>t/a，排放速率为</w:t>
            </w:r>
            <w:r>
              <w:rPr>
                <w:rFonts w:hint="eastAsia"/>
                <w:color w:val="auto"/>
                <w:sz w:val="21"/>
                <w:szCs w:val="21"/>
                <w:highlight w:val="none"/>
              </w:rPr>
              <w:t>0.</w:t>
            </w:r>
            <w:r>
              <w:rPr>
                <w:rFonts w:hint="eastAsia"/>
                <w:color w:val="auto"/>
                <w:sz w:val="21"/>
                <w:szCs w:val="21"/>
                <w:highlight w:val="none"/>
                <w:lang w:val="en-US" w:eastAsia="zh-CN"/>
              </w:rPr>
              <w:t xml:space="preserve">46 </w:t>
            </w:r>
            <w:r>
              <w:rPr>
                <w:color w:val="auto"/>
                <w:sz w:val="21"/>
                <w:szCs w:val="21"/>
                <w:highlight w:val="none"/>
              </w:rPr>
              <w:t>kg/h，排放浓度为</w:t>
            </w:r>
            <w:r>
              <w:rPr>
                <w:rFonts w:hint="eastAsia"/>
                <w:color w:val="auto"/>
                <w:sz w:val="21"/>
                <w:szCs w:val="21"/>
                <w:highlight w:val="none"/>
                <w:lang w:val="en-US" w:eastAsia="zh-CN"/>
              </w:rPr>
              <w:t xml:space="preserve">56.04 </w:t>
            </w:r>
            <w:r>
              <w:rPr>
                <w:color w:val="auto"/>
                <w:sz w:val="21"/>
                <w:szCs w:val="21"/>
                <w:highlight w:val="none"/>
              </w:rPr>
              <w:t>mg/m</w:t>
            </w:r>
            <w:r>
              <w:rPr>
                <w:color w:val="auto"/>
                <w:sz w:val="21"/>
                <w:szCs w:val="21"/>
                <w:highlight w:val="none"/>
                <w:vertAlign w:val="superscript"/>
              </w:rPr>
              <w:t>3</w:t>
            </w:r>
            <w:r>
              <w:rPr>
                <w:color w:val="auto"/>
                <w:sz w:val="21"/>
                <w:szCs w:val="21"/>
                <w:highlight w:val="none"/>
              </w:rPr>
              <w:t>。</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（2）原料堆存粉尘</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本项目原料主要为木材、豆粕等，其中木材以每段约55cm长度成垛堆存于厂区南侧的原料堆场内，考虑木材含有一定湿度且柱状，堆存过程中无扬尘产生。原料豆粕、红糖均以袋装形式对存于厂区库房内，库房为全封闭且地面硬化处理，产生较小粉尘对周围环境无明显影响。生物质锅炉所需原料生物质颗粒以袋装形式堆存于锅炉房内，锅炉房车间封闭且地面硬化处理，堆存过程产生较小粉尘对周围环境无明显影响。封闭车间，及时洒水抑尘，在严格落实本评价提出的措施后，项目粉尘对车间及周边环境影响不大。</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（3）粉碎工序粉尘</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本项目木材为55cm木段，通过粉碎机粉碎后进入下一道工序，本项目粉碎机为全封闭式，设置物料入口及出口，其中出入料口设置喷淋装置，防止粉尘逸散，粉碎机出口物料通过皮带机运送至厂房内的搅拌机内，输送皮带要求封闭廊道，出入料口设置喷淋装置。粉碎机在进行木材粉碎过程中产生一部分粉尘，类比同类项目，粉尘产生量为原料使用量的0.02%，本项目原料用木材5000t/a，则粉尘产生量为1t/a。粉碎工序位于封闭车间内，并设置一台布袋除尘器通过集气罩手机破碎过程中产生的粉尘，风量为500m</w:t>
            </w:r>
            <w:r>
              <w:rPr>
                <w:rFonts w:hint="eastAsia" w:ascii="宋体" w:hAnsi="宋体" w:cs="宋体"/>
                <w:color w:val="auto"/>
                <w:sz w:val="21"/>
                <w:szCs w:val="21"/>
                <w:vertAlign w:val="superscript"/>
              </w:rPr>
              <w:t>3</w:t>
            </w:r>
            <w:r>
              <w:rPr>
                <w:rFonts w:hint="eastAsia" w:ascii="宋体" w:hAnsi="宋体" w:cs="宋体"/>
                <w:color w:val="auto"/>
                <w:sz w:val="21"/>
                <w:szCs w:val="21"/>
              </w:rPr>
              <w:t>/h，通过15m高排气筒排放，布袋除尘器收集率90%，去除率为95%，年生产2400h，则粉尘排放量为0.045t/a，排放速率为0.0188kg/h，排放浓度为37.6mg/m</w:t>
            </w:r>
            <w:r>
              <w:rPr>
                <w:rFonts w:hint="eastAsia" w:ascii="宋体" w:hAnsi="宋体" w:cs="宋体"/>
                <w:color w:val="auto"/>
                <w:sz w:val="21"/>
                <w:szCs w:val="21"/>
                <w:vertAlign w:val="superscript"/>
              </w:rPr>
              <w:t>3</w:t>
            </w:r>
            <w:r>
              <w:rPr>
                <w:rFonts w:hint="eastAsia" w:ascii="宋体" w:hAnsi="宋体" w:cs="宋体"/>
                <w:color w:val="auto"/>
                <w:sz w:val="21"/>
                <w:szCs w:val="21"/>
              </w:rPr>
              <w:t>；无组织排放浓度为0.1t/a，排放速率为0.042kg/h，粉碎粉尘的排放执行《大气污染物综合排放标准》（GB16297-1996）中表2排放限值。粉碎工序未被收集的无组织粉尘采取封闭车间，及时洒水抑尘，设置喷淋装置，在严格落实本评价提出的措施后，项目粉碎粉尘对车间及周边环境影响不大。</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（4）拌料工序粉尘</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粉碎后的主料在预湿后配以营养料、糖等，再置于搅拌机中搅拌至混料均匀，由于预湿过程需要大量加水调解至合适的含水量，故搅拌工序基本无废气产生。</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（5）非正常工况分析 </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项目主要涉及非正常工况为环保设备出现故障。当环保设备突然发生故障时，虽然相关生产设备可立刻停止运行，但根据本项目生产特点，产污不会立刻停止，在此情况下可能会出现废气未经完全处理而排放至空气中，此时废气治理设施处理效率以0计。根据最大工况污染物产排放情况分析，结合根据建设单位提供的资料，在通讯正常的情况下，从发现废气设施故障到停止相关工位生产的时间间隔约30分钟，计算本项目主要废气处理装置非正常工况下污染物最大排放情况如下表所示。</w:t>
            </w:r>
          </w:p>
          <w:p>
            <w:pPr>
              <w:pStyle w:val="41"/>
              <w:spacing w:line="360" w:lineRule="auto"/>
              <w:ind w:firstLine="422" w:firstLineChars="200"/>
              <w:jc w:val="center"/>
              <w:rPr>
                <w:rFonts w:ascii="宋体" w:hAnsi="宋体" w:cs="宋体"/>
                <w:b/>
                <w:bCs/>
                <w:color w:val="auto"/>
                <w:sz w:val="21"/>
                <w:szCs w:val="21"/>
              </w:rPr>
            </w:pPr>
            <w:r>
              <w:rPr>
                <w:rFonts w:hint="eastAsia" w:ascii="宋体" w:hAnsi="宋体" w:cs="宋体"/>
                <w:b/>
                <w:bCs/>
                <w:color w:val="auto"/>
                <w:sz w:val="21"/>
                <w:szCs w:val="21"/>
              </w:rPr>
              <w:t>表4-2  非正常工况污染物排放情况</w:t>
            </w:r>
          </w:p>
          <w:tbl>
            <w:tblPr>
              <w:tblStyle w:val="24"/>
              <w:tblW w:w="79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561"/>
              <w:gridCol w:w="1562"/>
              <w:gridCol w:w="1576"/>
              <w:gridCol w:w="974"/>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pct"/>
                  <w:noWrap/>
                  <w:vAlign w:val="center"/>
                </w:tcPr>
                <w:p>
                  <w:pPr>
                    <w:pStyle w:val="41"/>
                    <w:spacing w:line="360" w:lineRule="auto"/>
                    <w:jc w:val="both"/>
                    <w:rPr>
                      <w:rFonts w:ascii="宋体" w:hAnsi="宋体" w:cs="宋体"/>
                      <w:color w:val="auto"/>
                      <w:sz w:val="18"/>
                      <w:szCs w:val="18"/>
                    </w:rPr>
                  </w:pPr>
                  <w:r>
                    <w:rPr>
                      <w:rFonts w:hint="eastAsia" w:ascii="宋体" w:hAnsi="宋体" w:cs="宋体"/>
                      <w:color w:val="auto"/>
                      <w:sz w:val="18"/>
                      <w:szCs w:val="18"/>
                    </w:rPr>
                    <w:t>非正常排放源</w:t>
                  </w:r>
                </w:p>
              </w:tc>
              <w:tc>
                <w:tcPr>
                  <w:tcW w:w="980" w:type="pct"/>
                  <w:noWrap/>
                  <w:vAlign w:val="center"/>
                </w:tcPr>
                <w:p>
                  <w:pPr>
                    <w:pStyle w:val="41"/>
                    <w:spacing w:line="360" w:lineRule="auto"/>
                    <w:jc w:val="both"/>
                    <w:rPr>
                      <w:rFonts w:ascii="宋体" w:hAnsi="宋体" w:cs="宋体"/>
                      <w:color w:val="auto"/>
                      <w:sz w:val="18"/>
                      <w:szCs w:val="18"/>
                    </w:rPr>
                  </w:pPr>
                  <w:r>
                    <w:rPr>
                      <w:rFonts w:hint="eastAsia" w:ascii="宋体" w:hAnsi="宋体" w:cs="宋体"/>
                      <w:color w:val="auto"/>
                      <w:sz w:val="18"/>
                      <w:szCs w:val="18"/>
                    </w:rPr>
                    <w:t>非正常排放原因</w:t>
                  </w:r>
                </w:p>
              </w:tc>
              <w:tc>
                <w:tcPr>
                  <w:tcW w:w="981"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非正常排放次数</w:t>
                  </w:r>
                </w:p>
              </w:tc>
              <w:tc>
                <w:tcPr>
                  <w:tcW w:w="990"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非正常</w:t>
                  </w:r>
                </w:p>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排放速率（kg/h）</w:t>
                  </w:r>
                </w:p>
              </w:tc>
              <w:tc>
                <w:tcPr>
                  <w:tcW w:w="612" w:type="pct"/>
                  <w:noWrap/>
                  <w:vAlign w:val="center"/>
                </w:tcPr>
                <w:p>
                  <w:pPr>
                    <w:pStyle w:val="41"/>
                    <w:spacing w:line="360" w:lineRule="auto"/>
                    <w:jc w:val="both"/>
                    <w:rPr>
                      <w:rFonts w:ascii="宋体" w:hAnsi="宋体" w:cs="宋体"/>
                      <w:color w:val="auto"/>
                      <w:sz w:val="18"/>
                      <w:szCs w:val="18"/>
                    </w:rPr>
                  </w:pPr>
                  <w:r>
                    <w:rPr>
                      <w:rFonts w:hint="eastAsia" w:ascii="宋体" w:hAnsi="宋体" w:cs="宋体"/>
                      <w:color w:val="auto"/>
                      <w:sz w:val="18"/>
                      <w:szCs w:val="18"/>
                    </w:rPr>
                    <w:t>持续时间</w:t>
                  </w:r>
                </w:p>
              </w:tc>
              <w:tc>
                <w:tcPr>
                  <w:tcW w:w="583"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粉碎机颗粒物</w:t>
                  </w:r>
                </w:p>
              </w:tc>
              <w:tc>
                <w:tcPr>
                  <w:tcW w:w="980" w:type="pct"/>
                  <w:vMerge w:val="restar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环保设备故障</w:t>
                  </w:r>
                </w:p>
              </w:tc>
              <w:tc>
                <w:tcPr>
                  <w:tcW w:w="981" w:type="pct"/>
                  <w:vMerge w:val="restar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2次/年</w:t>
                  </w:r>
                </w:p>
              </w:tc>
              <w:tc>
                <w:tcPr>
                  <w:tcW w:w="990"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0.42</w:t>
                  </w:r>
                </w:p>
              </w:tc>
              <w:tc>
                <w:tcPr>
                  <w:tcW w:w="612" w:type="pct"/>
                  <w:vMerge w:val="restar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0.5h/次</w:t>
                  </w:r>
                </w:p>
              </w:tc>
              <w:tc>
                <w:tcPr>
                  <w:tcW w:w="583" w:type="pct"/>
                  <w:vMerge w:val="restar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及时维修环保设备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生物质锅炉颗粒物</w:t>
                  </w:r>
                </w:p>
              </w:tc>
              <w:tc>
                <w:tcPr>
                  <w:tcW w:w="980" w:type="pct"/>
                  <w:vMerge w:val="continue"/>
                  <w:noWrap/>
                  <w:vAlign w:val="center"/>
                </w:tcPr>
                <w:p>
                  <w:pPr>
                    <w:pStyle w:val="41"/>
                    <w:spacing w:line="360" w:lineRule="auto"/>
                    <w:jc w:val="center"/>
                    <w:rPr>
                      <w:rFonts w:ascii="宋体" w:hAnsi="宋体" w:cs="宋体"/>
                      <w:color w:val="auto"/>
                      <w:sz w:val="18"/>
                      <w:szCs w:val="18"/>
                    </w:rPr>
                  </w:pPr>
                </w:p>
              </w:tc>
              <w:tc>
                <w:tcPr>
                  <w:tcW w:w="981" w:type="pct"/>
                  <w:vMerge w:val="continue"/>
                  <w:noWrap/>
                  <w:vAlign w:val="center"/>
                </w:tcPr>
                <w:p>
                  <w:pPr>
                    <w:pStyle w:val="41"/>
                    <w:spacing w:line="360" w:lineRule="auto"/>
                    <w:jc w:val="center"/>
                    <w:rPr>
                      <w:rFonts w:ascii="宋体" w:hAnsi="宋体" w:cs="宋体"/>
                      <w:color w:val="auto"/>
                      <w:sz w:val="18"/>
                      <w:szCs w:val="18"/>
                      <w:highlight w:val="none"/>
                    </w:rPr>
                  </w:pPr>
                </w:p>
              </w:tc>
              <w:tc>
                <w:tcPr>
                  <w:tcW w:w="990" w:type="pct"/>
                  <w:noWrap/>
                  <w:vAlign w:val="center"/>
                </w:tcPr>
                <w:p>
                  <w:pPr>
                    <w:pStyle w:val="41"/>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21.67</w:t>
                  </w:r>
                </w:p>
              </w:tc>
              <w:tc>
                <w:tcPr>
                  <w:tcW w:w="612" w:type="pct"/>
                  <w:vMerge w:val="continue"/>
                  <w:noWrap/>
                  <w:vAlign w:val="center"/>
                </w:tcPr>
                <w:p>
                  <w:pPr>
                    <w:pStyle w:val="41"/>
                    <w:spacing w:line="360" w:lineRule="auto"/>
                    <w:jc w:val="center"/>
                    <w:rPr>
                      <w:rFonts w:ascii="宋体" w:hAnsi="宋体" w:cs="宋体"/>
                      <w:color w:val="auto"/>
                      <w:sz w:val="18"/>
                      <w:szCs w:val="18"/>
                    </w:rPr>
                  </w:pPr>
                </w:p>
              </w:tc>
              <w:tc>
                <w:tcPr>
                  <w:tcW w:w="583" w:type="pct"/>
                  <w:vMerge w:val="continue"/>
                  <w:noWrap/>
                  <w:vAlign w:val="center"/>
                </w:tcPr>
                <w:p>
                  <w:pPr>
                    <w:pStyle w:val="41"/>
                    <w:spacing w:line="360" w:lineRule="auto"/>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1"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氮氧化物</w:t>
                  </w:r>
                </w:p>
              </w:tc>
              <w:tc>
                <w:tcPr>
                  <w:tcW w:w="980" w:type="pct"/>
                  <w:vMerge w:val="continue"/>
                  <w:noWrap/>
                  <w:vAlign w:val="center"/>
                </w:tcPr>
                <w:p>
                  <w:pPr>
                    <w:pStyle w:val="41"/>
                    <w:spacing w:line="360" w:lineRule="auto"/>
                    <w:jc w:val="center"/>
                    <w:rPr>
                      <w:rFonts w:ascii="宋体" w:hAnsi="宋体" w:cs="宋体"/>
                      <w:color w:val="auto"/>
                      <w:sz w:val="18"/>
                      <w:szCs w:val="18"/>
                    </w:rPr>
                  </w:pPr>
                </w:p>
              </w:tc>
              <w:tc>
                <w:tcPr>
                  <w:tcW w:w="981" w:type="pct"/>
                  <w:vMerge w:val="continue"/>
                  <w:noWrap/>
                  <w:vAlign w:val="center"/>
                </w:tcPr>
                <w:p>
                  <w:pPr>
                    <w:pStyle w:val="41"/>
                    <w:spacing w:line="360" w:lineRule="auto"/>
                    <w:jc w:val="center"/>
                    <w:rPr>
                      <w:rFonts w:ascii="宋体" w:hAnsi="宋体" w:cs="宋体"/>
                      <w:color w:val="auto"/>
                      <w:sz w:val="18"/>
                      <w:szCs w:val="18"/>
                    </w:rPr>
                  </w:pPr>
                </w:p>
              </w:tc>
              <w:tc>
                <w:tcPr>
                  <w:tcW w:w="990"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1.1</w:t>
                  </w:r>
                </w:p>
              </w:tc>
              <w:tc>
                <w:tcPr>
                  <w:tcW w:w="612" w:type="pct"/>
                  <w:vMerge w:val="continue"/>
                  <w:noWrap/>
                  <w:vAlign w:val="center"/>
                </w:tcPr>
                <w:p>
                  <w:pPr>
                    <w:pStyle w:val="41"/>
                    <w:spacing w:line="360" w:lineRule="auto"/>
                    <w:jc w:val="center"/>
                    <w:rPr>
                      <w:rFonts w:ascii="宋体" w:hAnsi="宋体" w:cs="宋体"/>
                      <w:color w:val="auto"/>
                      <w:sz w:val="18"/>
                      <w:szCs w:val="18"/>
                    </w:rPr>
                  </w:pPr>
                </w:p>
              </w:tc>
              <w:tc>
                <w:tcPr>
                  <w:tcW w:w="583" w:type="pct"/>
                  <w:vMerge w:val="continue"/>
                  <w:noWrap/>
                  <w:vAlign w:val="center"/>
                </w:tcPr>
                <w:p>
                  <w:pPr>
                    <w:pStyle w:val="41"/>
                    <w:spacing w:line="360" w:lineRule="auto"/>
                    <w:jc w:val="center"/>
                    <w:rPr>
                      <w:rFonts w:ascii="宋体" w:hAnsi="宋体" w:cs="宋体"/>
                      <w:color w:val="auto"/>
                      <w:sz w:val="18"/>
                      <w:szCs w:val="18"/>
                    </w:rPr>
                  </w:pPr>
                </w:p>
              </w:tc>
            </w:tr>
          </w:tbl>
          <w:p>
            <w:pPr>
              <w:pStyle w:val="20"/>
              <w:spacing w:before="0" w:beforeAutospacing="0" w:after="0" w:afterAutospacing="0" w:line="360" w:lineRule="auto"/>
              <w:ind w:firstLine="420" w:firstLineChars="200"/>
              <w:jc w:val="both"/>
              <w:rPr>
                <w:sz w:val="21"/>
                <w:szCs w:val="21"/>
              </w:rPr>
            </w:pPr>
            <w:r>
              <w:rPr>
                <w:sz w:val="21"/>
                <w:szCs w:val="21"/>
              </w:rPr>
              <w:t>因此，本项目营运过程中，建设单位设专人对各环保处理系统进行维护、检查，并通过对其加强日常监测来了解净化设施净化效率的变化情况， 及时对设备进行更换或维修，避免环保设备不正常运行。</w:t>
            </w:r>
          </w:p>
          <w:p>
            <w:pPr>
              <w:pStyle w:val="20"/>
              <w:spacing w:before="0" w:beforeAutospacing="0" w:after="0" w:afterAutospacing="0" w:line="360" w:lineRule="auto"/>
              <w:ind w:left="420" w:leftChars="200"/>
              <w:jc w:val="both"/>
              <w:rPr>
                <w:sz w:val="21"/>
                <w:szCs w:val="21"/>
              </w:rPr>
            </w:pPr>
            <w:r>
              <w:rPr>
                <w:rFonts w:hint="eastAsia"/>
                <w:sz w:val="21"/>
                <w:szCs w:val="21"/>
              </w:rPr>
              <w:t>（6）污染治理技术可行性</w:t>
            </w:r>
          </w:p>
          <w:p>
            <w:pPr>
              <w:pStyle w:val="20"/>
              <w:spacing w:before="0" w:beforeAutospacing="0" w:after="0" w:afterAutospacing="0" w:line="360" w:lineRule="auto"/>
              <w:ind w:firstLine="420" w:firstLineChars="200"/>
              <w:jc w:val="both"/>
              <w:rPr>
                <w:rFonts w:cs="宋体"/>
                <w:b/>
                <w:bCs/>
                <w:sz w:val="21"/>
                <w:szCs w:val="21"/>
              </w:rPr>
            </w:pPr>
            <w:r>
              <w:rPr>
                <w:sz w:val="21"/>
                <w:szCs w:val="21"/>
              </w:rPr>
              <w:t>根据源强核算根据《污染源源强核算技术指南 锅炉》（HJ991-2018），结合《排污许可证申请与核发技术规范 锅炉》（HJ953-2018）</w:t>
            </w:r>
            <w:r>
              <w:rPr>
                <w:rFonts w:hint="eastAsia"/>
                <w:sz w:val="21"/>
                <w:szCs w:val="21"/>
              </w:rPr>
              <w:t>、大气污染物综合排放标准（1629</w:t>
            </w:r>
            <w:r>
              <w:rPr>
                <w:rFonts w:hint="eastAsia"/>
                <w:sz w:val="21"/>
                <w:szCs w:val="21"/>
                <w:highlight w:val="none"/>
              </w:rPr>
              <w:t>7-1996）</w:t>
            </w:r>
            <w:r>
              <w:rPr>
                <w:sz w:val="21"/>
                <w:szCs w:val="21"/>
                <w:highlight w:val="none"/>
              </w:rPr>
              <w:t>中关于生物质锅炉相关内容的规定可知，本项目</w:t>
            </w:r>
            <w:r>
              <w:rPr>
                <w:rFonts w:hint="eastAsia"/>
                <w:sz w:val="21"/>
                <w:szCs w:val="21"/>
                <w:highlight w:val="none"/>
              </w:rPr>
              <w:t>生物质锅炉烟气中氮氧化物通过低氮燃烧技术处理、颗粒</w:t>
            </w:r>
            <w:r>
              <w:rPr>
                <w:rFonts w:hint="eastAsia"/>
                <w:sz w:val="21"/>
                <w:szCs w:val="21"/>
              </w:rPr>
              <w:t>物通过布袋除尘器+35米高排气筒处理</w:t>
            </w:r>
            <w:r>
              <w:rPr>
                <w:sz w:val="21"/>
                <w:szCs w:val="21"/>
              </w:rPr>
              <w:t>，措施可行。</w:t>
            </w:r>
            <w:r>
              <w:rPr>
                <w:rFonts w:hint="eastAsia" w:cs="宋体"/>
                <w:sz w:val="21"/>
                <w:szCs w:val="21"/>
              </w:rPr>
              <w:t>粉碎粉尘经过布袋除尘器及喷淋装置，封闭廊道等措施可有效减少粉尘排放，对周围环境影响不大，措施可行。</w:t>
            </w:r>
          </w:p>
          <w:p>
            <w:pPr>
              <w:spacing w:line="360" w:lineRule="auto"/>
              <w:jc w:val="center"/>
              <w:rPr>
                <w:rFonts w:ascii="宋体" w:hAnsi="宋体" w:cs="宋体"/>
                <w:b/>
                <w:bCs/>
                <w:szCs w:val="21"/>
              </w:rPr>
            </w:pPr>
            <w:r>
              <w:rPr>
                <w:rFonts w:hint="eastAsia" w:ascii="宋体" w:hAnsi="宋体" w:cs="宋体"/>
                <w:b/>
                <w:bCs/>
                <w:szCs w:val="21"/>
              </w:rPr>
              <w:t>表4-3  废气治理措施可行性分析</w:t>
            </w:r>
          </w:p>
          <w:tbl>
            <w:tblPr>
              <w:tblStyle w:val="24"/>
              <w:tblW w:w="79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1278"/>
              <w:gridCol w:w="970"/>
              <w:gridCol w:w="1446"/>
              <w:gridCol w:w="1858"/>
              <w:gridCol w:w="9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5" w:type="dxa"/>
                  <w:noWrap/>
                  <w:vAlign w:val="center"/>
                </w:tcPr>
                <w:p>
                  <w:pPr>
                    <w:widowControl/>
                    <w:jc w:val="center"/>
                    <w:rPr>
                      <w:rFonts w:ascii="宋体" w:hAnsi="宋体" w:cs="宋体"/>
                      <w:sz w:val="18"/>
                      <w:szCs w:val="18"/>
                    </w:rPr>
                  </w:pPr>
                  <w:r>
                    <w:rPr>
                      <w:rFonts w:hint="eastAsia" w:ascii="宋体" w:hAnsi="宋体" w:cs="宋体"/>
                      <w:sz w:val="18"/>
                      <w:szCs w:val="18"/>
                    </w:rPr>
                    <w:t>污染物产生设施</w:t>
                  </w:r>
                </w:p>
              </w:tc>
              <w:tc>
                <w:tcPr>
                  <w:tcW w:w="1278" w:type="dxa"/>
                  <w:noWrap/>
                  <w:vAlign w:val="center"/>
                </w:tcPr>
                <w:p>
                  <w:pPr>
                    <w:widowControl/>
                    <w:jc w:val="center"/>
                    <w:rPr>
                      <w:rFonts w:ascii="宋体" w:hAnsi="宋体" w:cs="宋体"/>
                      <w:sz w:val="18"/>
                      <w:szCs w:val="18"/>
                    </w:rPr>
                  </w:pPr>
                  <w:r>
                    <w:rPr>
                      <w:rFonts w:hint="eastAsia" w:ascii="宋体" w:hAnsi="宋体" w:cs="宋体"/>
                      <w:sz w:val="18"/>
                      <w:szCs w:val="18"/>
                    </w:rPr>
                    <w:t>污染物种类</w:t>
                  </w:r>
                </w:p>
              </w:tc>
              <w:tc>
                <w:tcPr>
                  <w:tcW w:w="970" w:type="dxa"/>
                  <w:noWrap/>
                  <w:vAlign w:val="center"/>
                </w:tcPr>
                <w:p>
                  <w:pPr>
                    <w:widowControl/>
                    <w:jc w:val="center"/>
                    <w:rPr>
                      <w:rFonts w:ascii="宋体" w:hAnsi="宋体" w:cs="宋体"/>
                      <w:sz w:val="18"/>
                      <w:szCs w:val="18"/>
                    </w:rPr>
                  </w:pPr>
                  <w:r>
                    <w:rPr>
                      <w:rFonts w:hint="eastAsia" w:ascii="宋体" w:hAnsi="宋体" w:cs="宋体"/>
                      <w:sz w:val="18"/>
                      <w:szCs w:val="18"/>
                    </w:rPr>
                    <w:t>排放</w:t>
                  </w:r>
                </w:p>
                <w:p>
                  <w:pPr>
                    <w:widowControl/>
                    <w:jc w:val="center"/>
                    <w:rPr>
                      <w:rFonts w:ascii="宋体" w:hAnsi="宋体" w:cs="宋体"/>
                      <w:sz w:val="18"/>
                      <w:szCs w:val="18"/>
                    </w:rPr>
                  </w:pPr>
                  <w:r>
                    <w:rPr>
                      <w:rFonts w:hint="eastAsia" w:ascii="宋体" w:hAnsi="宋体" w:cs="宋体"/>
                      <w:sz w:val="18"/>
                      <w:szCs w:val="18"/>
                    </w:rPr>
                    <w:t>形式</w:t>
                  </w:r>
                </w:p>
              </w:tc>
              <w:tc>
                <w:tcPr>
                  <w:tcW w:w="1446" w:type="dxa"/>
                  <w:noWrap/>
                  <w:vAlign w:val="center"/>
                </w:tcPr>
                <w:p>
                  <w:pPr>
                    <w:widowControl/>
                    <w:jc w:val="center"/>
                    <w:rPr>
                      <w:rFonts w:ascii="宋体" w:hAnsi="宋体" w:cs="宋体"/>
                      <w:sz w:val="18"/>
                      <w:szCs w:val="18"/>
                    </w:rPr>
                  </w:pPr>
                  <w:r>
                    <w:rPr>
                      <w:rFonts w:hint="eastAsia" w:ascii="宋体" w:hAnsi="宋体" w:cs="宋体"/>
                      <w:sz w:val="18"/>
                      <w:szCs w:val="18"/>
                    </w:rPr>
                    <w:t>可行技术</w:t>
                  </w:r>
                </w:p>
              </w:tc>
              <w:tc>
                <w:tcPr>
                  <w:tcW w:w="1858" w:type="dxa"/>
                  <w:noWrap/>
                  <w:vAlign w:val="center"/>
                </w:tcPr>
                <w:p>
                  <w:pPr>
                    <w:widowControl/>
                    <w:jc w:val="center"/>
                    <w:rPr>
                      <w:rFonts w:ascii="宋体" w:hAnsi="宋体" w:cs="宋体"/>
                      <w:sz w:val="18"/>
                      <w:szCs w:val="18"/>
                    </w:rPr>
                  </w:pPr>
                  <w:r>
                    <w:rPr>
                      <w:rFonts w:hint="eastAsia" w:ascii="宋体" w:hAnsi="宋体" w:cs="宋体"/>
                      <w:sz w:val="18"/>
                      <w:szCs w:val="18"/>
                    </w:rPr>
                    <w:t>本项目处理工艺</w:t>
                  </w:r>
                </w:p>
              </w:tc>
              <w:tc>
                <w:tcPr>
                  <w:tcW w:w="940" w:type="dxa"/>
                  <w:noWrap/>
                  <w:vAlign w:val="center"/>
                </w:tcPr>
                <w:p>
                  <w:pPr>
                    <w:widowControl/>
                    <w:jc w:val="center"/>
                    <w:rPr>
                      <w:rFonts w:ascii="宋体" w:hAnsi="宋体" w:cs="宋体"/>
                      <w:sz w:val="18"/>
                      <w:szCs w:val="18"/>
                    </w:rPr>
                  </w:pPr>
                  <w:r>
                    <w:rPr>
                      <w:rFonts w:hint="eastAsia" w:ascii="宋体" w:hAnsi="宋体" w:cs="宋体"/>
                      <w:sz w:val="18"/>
                      <w:szCs w:val="18"/>
                    </w:rPr>
                    <w:t>是否为可行技术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5" w:type="dxa"/>
                  <w:noWrap/>
                  <w:vAlign w:val="center"/>
                </w:tcPr>
                <w:p>
                  <w:pPr>
                    <w:widowControl/>
                    <w:jc w:val="center"/>
                    <w:rPr>
                      <w:rFonts w:ascii="宋体" w:hAnsi="宋体" w:cs="宋体"/>
                      <w:sz w:val="18"/>
                      <w:szCs w:val="18"/>
                    </w:rPr>
                  </w:pPr>
                  <w:r>
                    <w:rPr>
                      <w:rFonts w:hint="eastAsia" w:ascii="宋体" w:hAnsi="宋体" w:cs="宋体"/>
                      <w:sz w:val="18"/>
                      <w:szCs w:val="18"/>
                    </w:rPr>
                    <w:t>生物质锅炉</w:t>
                  </w:r>
                </w:p>
              </w:tc>
              <w:tc>
                <w:tcPr>
                  <w:tcW w:w="1278" w:type="dxa"/>
                  <w:noWrap/>
                  <w:vAlign w:val="center"/>
                </w:tcPr>
                <w:p>
                  <w:pPr>
                    <w:widowControl/>
                    <w:jc w:val="center"/>
                    <w:rPr>
                      <w:rFonts w:ascii="宋体" w:hAnsi="宋体" w:cs="宋体"/>
                      <w:sz w:val="18"/>
                      <w:szCs w:val="18"/>
                    </w:rPr>
                  </w:pPr>
                  <w:r>
                    <w:rPr>
                      <w:rFonts w:hint="eastAsia" w:ascii="宋体" w:hAnsi="宋体" w:cs="宋体"/>
                      <w:sz w:val="18"/>
                      <w:szCs w:val="18"/>
                    </w:rPr>
                    <w:t>颗粒物、</w:t>
                  </w:r>
                </w:p>
                <w:p>
                  <w:pPr>
                    <w:widowControl/>
                    <w:jc w:val="center"/>
                    <w:rPr>
                      <w:rFonts w:ascii="宋体" w:hAnsi="宋体" w:cs="宋体"/>
                      <w:sz w:val="18"/>
                      <w:szCs w:val="18"/>
                    </w:rPr>
                  </w:pPr>
                  <w:r>
                    <w:rPr>
                      <w:rFonts w:hint="eastAsia" w:ascii="宋体" w:hAnsi="宋体" w:cs="宋体"/>
                      <w:sz w:val="18"/>
                      <w:szCs w:val="18"/>
                    </w:rPr>
                    <w:t>氮氧化物</w:t>
                  </w:r>
                </w:p>
              </w:tc>
              <w:tc>
                <w:tcPr>
                  <w:tcW w:w="970" w:type="dxa"/>
                  <w:noWrap/>
                  <w:vAlign w:val="center"/>
                </w:tcPr>
                <w:p>
                  <w:pPr>
                    <w:widowControl/>
                    <w:jc w:val="center"/>
                    <w:rPr>
                      <w:rFonts w:ascii="宋体" w:hAnsi="宋体" w:cs="宋体"/>
                      <w:sz w:val="18"/>
                      <w:szCs w:val="18"/>
                    </w:rPr>
                  </w:pPr>
                  <w:r>
                    <w:rPr>
                      <w:rFonts w:hint="eastAsia" w:ascii="宋体" w:hAnsi="宋体" w:cs="宋体"/>
                      <w:sz w:val="18"/>
                      <w:szCs w:val="18"/>
                    </w:rPr>
                    <w:t>有组织</w:t>
                  </w:r>
                </w:p>
              </w:tc>
              <w:tc>
                <w:tcPr>
                  <w:tcW w:w="1446" w:type="dxa"/>
                  <w:noWrap/>
                  <w:vAlign w:val="center"/>
                </w:tcPr>
                <w:p>
                  <w:pPr>
                    <w:widowControl/>
                    <w:jc w:val="center"/>
                    <w:rPr>
                      <w:rFonts w:ascii="宋体" w:hAnsi="宋体" w:cs="宋体"/>
                      <w:sz w:val="18"/>
                      <w:szCs w:val="18"/>
                      <w:highlight w:val="none"/>
                    </w:rPr>
                  </w:pPr>
                  <w:r>
                    <w:rPr>
                      <w:rFonts w:hint="eastAsia" w:ascii="宋体" w:hAnsi="宋体" w:cs="宋体"/>
                      <w:sz w:val="18"/>
                      <w:szCs w:val="18"/>
                      <w:highlight w:val="none"/>
                    </w:rPr>
                    <w:t>布袋除尘器+35米高排气筒、低氮燃烧技术</w:t>
                  </w:r>
                </w:p>
              </w:tc>
              <w:tc>
                <w:tcPr>
                  <w:tcW w:w="1858" w:type="dxa"/>
                  <w:noWrap/>
                  <w:vAlign w:val="center"/>
                </w:tcPr>
                <w:p>
                  <w:pPr>
                    <w:widowControl/>
                    <w:jc w:val="center"/>
                    <w:rPr>
                      <w:rFonts w:ascii="宋体" w:hAnsi="宋体" w:cs="宋体"/>
                      <w:sz w:val="18"/>
                      <w:szCs w:val="18"/>
                      <w:highlight w:val="none"/>
                    </w:rPr>
                  </w:pPr>
                  <w:r>
                    <w:rPr>
                      <w:rFonts w:hint="eastAsia" w:ascii="宋体" w:hAnsi="宋体" w:cs="宋体"/>
                      <w:sz w:val="18"/>
                      <w:szCs w:val="18"/>
                      <w:highlight w:val="none"/>
                    </w:rPr>
                    <w:t>生物质锅炉烟气中的氮氧化物通过低氮燃烧技术、颗粒物通过布袋除尘器+35米高排气筒处理后达标排放；</w:t>
                  </w:r>
                </w:p>
              </w:tc>
              <w:tc>
                <w:tcPr>
                  <w:tcW w:w="940" w:type="dxa"/>
                  <w:noWrap/>
                  <w:vAlign w:val="center"/>
                </w:tcPr>
                <w:p>
                  <w:pPr>
                    <w:widowControl/>
                    <w:jc w:val="center"/>
                    <w:rPr>
                      <w:rFonts w:ascii="宋体" w:hAnsi="宋体" w:cs="宋体"/>
                      <w:sz w:val="18"/>
                      <w:szCs w:val="18"/>
                    </w:rPr>
                  </w:pPr>
                  <w:r>
                    <w:rPr>
                      <w:rFonts w:hint="eastAsia" w:ascii="宋体" w:hAnsi="宋体" w:cs="宋体"/>
                      <w:sz w:val="18"/>
                      <w:szCs w:val="18"/>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5" w:type="dxa"/>
                  <w:noWrap/>
                  <w:vAlign w:val="center"/>
                </w:tcPr>
                <w:p>
                  <w:pPr>
                    <w:widowControl/>
                    <w:jc w:val="center"/>
                    <w:rPr>
                      <w:rFonts w:ascii="宋体" w:hAnsi="宋体" w:cs="宋体"/>
                      <w:sz w:val="18"/>
                      <w:szCs w:val="18"/>
                    </w:rPr>
                  </w:pPr>
                  <w:r>
                    <w:rPr>
                      <w:rFonts w:hint="eastAsia" w:ascii="宋体" w:hAnsi="宋体" w:cs="宋体"/>
                      <w:sz w:val="18"/>
                      <w:szCs w:val="18"/>
                    </w:rPr>
                    <w:t>粉碎工序</w:t>
                  </w:r>
                </w:p>
              </w:tc>
              <w:tc>
                <w:tcPr>
                  <w:tcW w:w="1278" w:type="dxa"/>
                  <w:noWrap/>
                  <w:vAlign w:val="center"/>
                </w:tcPr>
                <w:p>
                  <w:pPr>
                    <w:widowControl/>
                    <w:jc w:val="center"/>
                    <w:rPr>
                      <w:rFonts w:ascii="宋体" w:hAnsi="宋体" w:cs="宋体"/>
                      <w:sz w:val="18"/>
                      <w:szCs w:val="18"/>
                    </w:rPr>
                  </w:pPr>
                  <w:r>
                    <w:rPr>
                      <w:rFonts w:hint="eastAsia" w:ascii="宋体" w:hAnsi="宋体" w:cs="宋体"/>
                      <w:sz w:val="18"/>
                      <w:szCs w:val="18"/>
                    </w:rPr>
                    <w:t>颗粒物</w:t>
                  </w:r>
                </w:p>
              </w:tc>
              <w:tc>
                <w:tcPr>
                  <w:tcW w:w="970" w:type="dxa"/>
                  <w:noWrap/>
                  <w:vAlign w:val="center"/>
                </w:tcPr>
                <w:p>
                  <w:pPr>
                    <w:widowControl/>
                    <w:jc w:val="center"/>
                    <w:rPr>
                      <w:rFonts w:ascii="宋体" w:hAnsi="宋体" w:cs="宋体"/>
                      <w:sz w:val="18"/>
                      <w:szCs w:val="18"/>
                    </w:rPr>
                  </w:pPr>
                  <w:r>
                    <w:rPr>
                      <w:rFonts w:hint="eastAsia" w:ascii="宋体" w:hAnsi="宋体" w:cs="宋体"/>
                      <w:sz w:val="18"/>
                      <w:szCs w:val="18"/>
                    </w:rPr>
                    <w:t>有组织</w:t>
                  </w:r>
                </w:p>
              </w:tc>
              <w:tc>
                <w:tcPr>
                  <w:tcW w:w="1446" w:type="dxa"/>
                  <w:noWrap/>
                  <w:vAlign w:val="center"/>
                </w:tcPr>
                <w:p>
                  <w:pPr>
                    <w:widowControl/>
                    <w:jc w:val="center"/>
                    <w:rPr>
                      <w:rFonts w:ascii="宋体" w:hAnsi="宋体" w:cs="宋体"/>
                      <w:sz w:val="18"/>
                      <w:szCs w:val="18"/>
                    </w:rPr>
                  </w:pPr>
                  <w:r>
                    <w:rPr>
                      <w:rFonts w:hint="eastAsia" w:ascii="宋体" w:hAnsi="宋体" w:cs="宋体"/>
                      <w:sz w:val="18"/>
                      <w:szCs w:val="18"/>
                    </w:rPr>
                    <w:t>布袋除尘器+15m高排气筒</w:t>
                  </w:r>
                </w:p>
              </w:tc>
              <w:tc>
                <w:tcPr>
                  <w:tcW w:w="1858" w:type="dxa"/>
                  <w:noWrap/>
                  <w:vAlign w:val="center"/>
                </w:tcPr>
                <w:p>
                  <w:pPr>
                    <w:widowControl/>
                    <w:jc w:val="center"/>
                    <w:rPr>
                      <w:rFonts w:ascii="宋体" w:hAnsi="宋体" w:cs="宋体"/>
                      <w:sz w:val="18"/>
                      <w:szCs w:val="18"/>
                    </w:rPr>
                  </w:pPr>
                  <w:r>
                    <w:rPr>
                      <w:rFonts w:hint="eastAsia" w:ascii="宋体" w:hAnsi="宋体" w:cs="宋体"/>
                      <w:sz w:val="18"/>
                      <w:szCs w:val="18"/>
                    </w:rPr>
                    <w:t>布袋除尘器+15m高排气筒</w:t>
                  </w:r>
                </w:p>
              </w:tc>
              <w:tc>
                <w:tcPr>
                  <w:tcW w:w="940" w:type="dxa"/>
                  <w:noWrap/>
                  <w:vAlign w:val="center"/>
                </w:tcPr>
                <w:p>
                  <w:pPr>
                    <w:widowControl/>
                    <w:jc w:val="center"/>
                    <w:rPr>
                      <w:rFonts w:ascii="宋体" w:hAnsi="宋体" w:cs="宋体"/>
                      <w:sz w:val="18"/>
                      <w:szCs w:val="18"/>
                    </w:rPr>
                  </w:pPr>
                  <w:r>
                    <w:rPr>
                      <w:rFonts w:hint="eastAsia" w:ascii="宋体" w:hAnsi="宋体" w:cs="宋体"/>
                      <w:sz w:val="18"/>
                      <w:szCs w:val="18"/>
                    </w:rPr>
                    <w:t>是</w:t>
                  </w:r>
                </w:p>
              </w:tc>
            </w:tr>
          </w:tbl>
          <w:p>
            <w:pPr>
              <w:spacing w:line="440" w:lineRule="exact"/>
              <w:ind w:firstLine="359" w:firstLineChars="171"/>
              <w:rPr>
                <w:rFonts w:ascii="宋体" w:hAnsi="宋体" w:cs="宋体"/>
                <w:szCs w:val="21"/>
              </w:rPr>
            </w:pPr>
            <w:r>
              <w:rPr>
                <w:rFonts w:hint="eastAsia" w:ascii="宋体" w:hAnsi="宋体" w:cs="宋体"/>
                <w:szCs w:val="21"/>
              </w:rPr>
              <w:t>（7）大气污染物达标排放情况</w:t>
            </w:r>
          </w:p>
          <w:p>
            <w:pPr>
              <w:spacing w:line="440" w:lineRule="exact"/>
              <w:ind w:firstLine="359" w:firstLineChars="171"/>
              <w:rPr>
                <w:rFonts w:ascii="宋体" w:hAnsi="宋体" w:cs="宋体"/>
                <w:szCs w:val="21"/>
              </w:rPr>
            </w:pPr>
            <w:r>
              <w:rPr>
                <w:rFonts w:hint="eastAsia" w:ascii="宋体" w:hAnsi="宋体" w:cs="宋体"/>
                <w:szCs w:val="21"/>
              </w:rPr>
              <w:t>有组织废气为：项目生物质锅炉烟气中的二氧化硫含硫量低无需增加脱硫设备可达标排放，氮氧化物通过低氮燃烧技术处理，净化效率不低于40%，颗粒物通过布袋除尘器+35</w:t>
            </w:r>
            <w:r>
              <w:rPr>
                <w:rFonts w:hint="eastAsia" w:ascii="宋体" w:hAnsi="宋体" w:cs="宋体"/>
                <w:szCs w:val="21"/>
                <w:highlight w:val="none"/>
              </w:rPr>
              <w:t>米高排气筒处理，净化效率不低于99</w:t>
            </w:r>
            <w:r>
              <w:rPr>
                <w:rFonts w:hint="eastAsia" w:ascii="宋体" w:hAnsi="宋体" w:cs="宋体"/>
                <w:szCs w:val="21"/>
                <w:highlight w:val="none"/>
                <w:lang w:val="en-US" w:eastAsia="zh-CN"/>
              </w:rPr>
              <w:t>.5</w:t>
            </w:r>
            <w:r>
              <w:rPr>
                <w:rFonts w:hint="eastAsia" w:ascii="宋体" w:hAnsi="宋体" w:cs="宋体"/>
                <w:szCs w:val="21"/>
                <w:highlight w:val="none"/>
              </w:rPr>
              <w:t>%，计算出颗粒物、二氧化硫和氮氧化物总量分别为</w:t>
            </w:r>
            <w:r>
              <w:rPr>
                <w:rFonts w:hint="eastAsia" w:ascii="宋体" w:hAnsi="宋体" w:cs="宋体"/>
                <w:szCs w:val="21"/>
                <w:highlight w:val="none"/>
                <w:lang w:val="en-US" w:eastAsia="zh-CN"/>
              </w:rPr>
              <w:t>0.043</w:t>
            </w:r>
            <w:r>
              <w:rPr>
                <w:rFonts w:hint="eastAsia" w:ascii="宋体" w:hAnsi="宋体" w:cs="宋体"/>
                <w:szCs w:val="21"/>
                <w:highlight w:val="none"/>
              </w:rPr>
              <w:t>t/a（</w:t>
            </w:r>
            <w:r>
              <w:rPr>
                <w:rFonts w:hint="eastAsia" w:ascii="宋体" w:hAnsi="宋体" w:cs="宋体"/>
                <w:szCs w:val="21"/>
                <w:highlight w:val="none"/>
                <w:lang w:val="en-US" w:eastAsia="zh-CN"/>
              </w:rPr>
              <w:t>0.11</w:t>
            </w:r>
            <w:r>
              <w:rPr>
                <w:rFonts w:hint="eastAsia" w:ascii="宋体" w:hAnsi="宋体" w:cs="宋体"/>
                <w:szCs w:val="21"/>
                <w:highlight w:val="none"/>
              </w:rPr>
              <w:t>kg/h、</w:t>
            </w:r>
            <w:r>
              <w:rPr>
                <w:rFonts w:hint="eastAsia" w:ascii="宋体" w:hAnsi="宋体" w:cs="宋体"/>
                <w:szCs w:val="21"/>
                <w:highlight w:val="none"/>
                <w:lang w:val="en-US" w:eastAsia="zh-CN"/>
              </w:rPr>
              <w:t>13.10</w:t>
            </w:r>
            <w:r>
              <w:rPr>
                <w:rFonts w:hint="eastAsia" w:ascii="宋体" w:hAnsi="宋体" w:cs="宋体"/>
                <w:szCs w:val="21"/>
                <w:highlight w:val="none"/>
              </w:rPr>
              <w:t>mg/m</w:t>
            </w:r>
            <w:r>
              <w:rPr>
                <w:rFonts w:hint="eastAsia" w:ascii="宋体" w:hAnsi="宋体" w:cs="宋体"/>
                <w:szCs w:val="21"/>
                <w:highlight w:val="none"/>
                <w:vertAlign w:val="superscript"/>
              </w:rPr>
              <w:t>3</w:t>
            </w:r>
            <w:r>
              <w:rPr>
                <w:rFonts w:hint="eastAsia" w:ascii="宋体" w:hAnsi="宋体" w:cs="宋体"/>
                <w:szCs w:val="21"/>
                <w:highlight w:val="none"/>
              </w:rPr>
              <w:t>）、0.062t/a（0.155kg/h、18.88mg/m</w:t>
            </w:r>
            <w:r>
              <w:rPr>
                <w:rFonts w:hint="eastAsia" w:ascii="宋体" w:hAnsi="宋体" w:cs="宋体"/>
                <w:szCs w:val="21"/>
                <w:highlight w:val="none"/>
                <w:vertAlign w:val="superscript"/>
              </w:rPr>
              <w:t>3</w:t>
            </w:r>
            <w:r>
              <w:rPr>
                <w:rFonts w:hint="eastAsia" w:ascii="宋体" w:hAnsi="宋体" w:cs="宋体"/>
                <w:szCs w:val="21"/>
                <w:highlight w:val="none"/>
              </w:rPr>
              <w:t>）、0.</w:t>
            </w:r>
            <w:r>
              <w:rPr>
                <w:rFonts w:hint="eastAsia" w:ascii="宋体" w:hAnsi="宋体" w:cs="宋体"/>
                <w:szCs w:val="21"/>
                <w:highlight w:val="none"/>
                <w:lang w:val="en-US" w:eastAsia="zh-CN"/>
              </w:rPr>
              <w:t>184</w:t>
            </w:r>
            <w:r>
              <w:rPr>
                <w:rFonts w:hint="eastAsia" w:ascii="宋体" w:hAnsi="宋体" w:cs="宋体"/>
                <w:szCs w:val="21"/>
                <w:highlight w:val="none"/>
              </w:rPr>
              <w:t>t/a（0.</w:t>
            </w:r>
            <w:r>
              <w:rPr>
                <w:rFonts w:hint="eastAsia" w:ascii="宋体" w:hAnsi="宋体" w:cs="宋体"/>
                <w:szCs w:val="21"/>
                <w:highlight w:val="none"/>
                <w:lang w:val="en-US" w:eastAsia="zh-CN"/>
              </w:rPr>
              <w:t>4</w:t>
            </w:r>
            <w:r>
              <w:rPr>
                <w:rFonts w:hint="eastAsia" w:ascii="宋体" w:hAnsi="宋体" w:cs="宋体"/>
                <w:szCs w:val="21"/>
                <w:highlight w:val="none"/>
              </w:rPr>
              <w:t>6kg/h、</w:t>
            </w:r>
            <w:r>
              <w:rPr>
                <w:rFonts w:hint="eastAsia" w:ascii="宋体" w:hAnsi="宋体" w:cs="宋体"/>
                <w:szCs w:val="21"/>
                <w:highlight w:val="none"/>
                <w:lang w:val="en-US" w:eastAsia="zh-CN"/>
              </w:rPr>
              <w:t>56.04</w:t>
            </w:r>
            <w:r>
              <w:rPr>
                <w:rFonts w:hint="eastAsia" w:ascii="宋体" w:hAnsi="宋体" w:cs="宋体"/>
                <w:szCs w:val="21"/>
                <w:highlight w:val="none"/>
              </w:rPr>
              <w:t>mg/m</w:t>
            </w:r>
            <w:r>
              <w:rPr>
                <w:rFonts w:hint="eastAsia" w:ascii="宋体" w:hAnsi="宋体" w:cs="宋体"/>
                <w:szCs w:val="21"/>
                <w:highlight w:val="none"/>
                <w:vertAlign w:val="superscript"/>
              </w:rPr>
              <w:t>3</w:t>
            </w:r>
            <w:r>
              <w:rPr>
                <w:rFonts w:hint="eastAsia" w:ascii="宋体" w:hAnsi="宋体" w:cs="宋体"/>
                <w:szCs w:val="21"/>
                <w:highlight w:val="none"/>
              </w:rPr>
              <w:t>）满足锅炉大气污染物排放标准》（DB13/5161-2020）表1生物质锅炉的排放限值，达标排放。烟尘净化后经35米高排气筒排放，对区域环境质量影响较轻。粉碎工序粉尘通过</w:t>
            </w:r>
            <w:r>
              <w:rPr>
                <w:rFonts w:hint="eastAsia" w:ascii="宋体" w:hAnsi="宋体" w:cs="宋体"/>
                <w:szCs w:val="21"/>
              </w:rPr>
              <w:t>布袋除尘器+15m高排气筒排放，排放量为0.045t/a，排放速率为0.0188kg/h，排放浓度为37.6mg/m</w:t>
            </w:r>
            <w:r>
              <w:rPr>
                <w:rFonts w:hint="eastAsia" w:ascii="宋体" w:hAnsi="宋体" w:cs="宋体"/>
                <w:szCs w:val="21"/>
                <w:vertAlign w:val="superscript"/>
              </w:rPr>
              <w:t>3</w:t>
            </w:r>
            <w:r>
              <w:rPr>
                <w:rFonts w:hint="eastAsia" w:ascii="宋体" w:hAnsi="宋体" w:cs="宋体"/>
                <w:szCs w:val="21"/>
              </w:rPr>
              <w:t>，经车间封闭，出入料口设置喷淋装置对区域环境质量影响较轻，满足《大气污染物综合排放标准》（GB16297-1996）中表2排放限值。搅拌工序前先进行预湿，预湿过程需要大量加水调解，故搅拌工序基本无废气产生。</w:t>
            </w:r>
          </w:p>
          <w:p>
            <w:pPr>
              <w:spacing w:line="440" w:lineRule="exact"/>
              <w:ind w:firstLine="359" w:firstLineChars="171"/>
              <w:rPr>
                <w:rFonts w:hint="eastAsia"/>
                <w:highlight w:val="none"/>
              </w:rPr>
            </w:pPr>
            <w:r>
              <w:rPr>
                <w:rFonts w:hint="eastAsia" w:ascii="宋体" w:hAnsi="宋体" w:cs="宋体"/>
                <w:szCs w:val="21"/>
                <w:highlight w:val="none"/>
              </w:rPr>
              <w:t>无组织废气为：原料堆存产生的无组织粉尘位于封闭车间内，及时洒水抑尘，在严格落实本评价提出的措施后，项目粉尘对车间及周边环境影响不大。粉碎工序未被收集的无组织粉尘采取封闭车间，及时洒水抑尘，设置喷淋装置，在严格落实本评价提出的措施后，项目粉碎粉尘对车间及周边环境影响不大。粉碎后的主料在预湿后配以营养料、糖等，再置于搅拌机中搅拌至混料均匀，由于预湿过程需要大量加水调解至合适的含水量，故搅拌工序基本无废气产生。</w:t>
            </w:r>
          </w:p>
          <w:p>
            <w:pPr>
              <w:spacing w:line="440" w:lineRule="exact"/>
              <w:ind w:firstLine="359" w:firstLineChars="171"/>
              <w:rPr>
                <w:rFonts w:hint="eastAsia" w:ascii="宋体" w:hAnsi="宋体" w:cs="宋体"/>
                <w:szCs w:val="21"/>
                <w:highlight w:val="none"/>
                <w:lang w:val="en-US" w:eastAsia="zh-CN"/>
              </w:rPr>
            </w:pPr>
            <w:r>
              <w:rPr>
                <w:rFonts w:hint="eastAsia" w:ascii="宋体" w:hAnsi="宋体" w:cs="宋体"/>
                <w:szCs w:val="21"/>
                <w:highlight w:val="none"/>
                <w:lang w:val="en-US" w:eastAsia="zh-CN"/>
              </w:rPr>
              <w:t>项目无组织排放源厂界达标情况一览表：</w:t>
            </w:r>
          </w:p>
          <w:p>
            <w:pPr>
              <w:spacing w:line="440" w:lineRule="exact"/>
              <w:ind w:firstLine="361" w:firstLineChars="171"/>
              <w:jc w:val="center"/>
              <w:rPr>
                <w:rFonts w:hint="eastAsia" w:ascii="宋体" w:hAnsi="宋体" w:cs="宋体"/>
                <w:b/>
                <w:bCs/>
                <w:szCs w:val="21"/>
                <w:highlight w:val="none"/>
                <w:lang w:val="en-US" w:eastAsia="zh-CN"/>
              </w:rPr>
            </w:pPr>
            <w:r>
              <w:rPr>
                <w:rFonts w:hint="eastAsia" w:ascii="宋体" w:hAnsi="宋体" w:cs="宋体"/>
                <w:b/>
                <w:bCs/>
                <w:szCs w:val="21"/>
                <w:highlight w:val="none"/>
              </w:rPr>
              <w:t>表4-</w:t>
            </w:r>
            <w:r>
              <w:rPr>
                <w:rFonts w:hint="eastAsia" w:ascii="宋体" w:hAnsi="宋体" w:cs="宋体"/>
                <w:b/>
                <w:bCs/>
                <w:szCs w:val="21"/>
                <w:highlight w:val="none"/>
                <w:lang w:val="en-US" w:eastAsia="zh-CN"/>
              </w:rPr>
              <w:t>4</w:t>
            </w:r>
            <w:r>
              <w:rPr>
                <w:rFonts w:hint="eastAsia" w:ascii="宋体" w:hAnsi="宋体" w:cs="宋体"/>
                <w:b/>
                <w:bCs/>
                <w:szCs w:val="21"/>
                <w:highlight w:val="none"/>
              </w:rPr>
              <w:t xml:space="preserve"> 各无组织面源距厂界的最近距离一览表</w:t>
            </w:r>
          </w:p>
          <w:tbl>
            <w:tblPr>
              <w:tblStyle w:val="24"/>
              <w:tblW w:w="494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14"/>
              <w:gridCol w:w="1329"/>
              <w:gridCol w:w="1348"/>
              <w:gridCol w:w="1721"/>
              <w:gridCol w:w="17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92" w:type="pct"/>
                  <w:vMerge w:val="restart"/>
                  <w:tcBorders>
                    <w:top w:val="single" w:color="auto" w:sz="6" w:space="0"/>
                    <w:left w:val="single" w:color="auto" w:sz="4" w:space="0"/>
                    <w:bottom w:val="single" w:color="auto" w:sz="6" w:space="0"/>
                    <w:right w:val="single" w:color="auto" w:sz="6" w:space="0"/>
                  </w:tcBorders>
                  <w:vAlign w:val="center"/>
                </w:tcPr>
                <w:p>
                  <w:pPr>
                    <w:jc w:val="center"/>
                    <w:rPr>
                      <w:rFonts w:hint="eastAsia"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污染源</w:t>
                  </w:r>
                </w:p>
              </w:tc>
              <w:tc>
                <w:tcPr>
                  <w:tcW w:w="3907" w:type="pct"/>
                  <w:gridSpan w:val="4"/>
                  <w:tcBorders>
                    <w:top w:val="single" w:color="auto" w:sz="6" w:space="0"/>
                    <w:left w:val="nil"/>
                    <w:bottom w:val="single" w:color="auto" w:sz="6" w:space="0"/>
                    <w:right w:val="single" w:color="auto" w:sz="6" w:space="0"/>
                  </w:tcBorders>
                  <w:vAlign w:val="center"/>
                </w:tcPr>
                <w:p>
                  <w:pPr>
                    <w:jc w:val="center"/>
                    <w:rPr>
                      <w:rFonts w:hint="eastAsia"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距厂界最近距离（m）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92" w:type="pct"/>
                  <w:vMerge w:val="continue"/>
                  <w:tcBorders>
                    <w:top w:val="single" w:color="auto" w:sz="6" w:space="0"/>
                    <w:left w:val="single" w:color="auto" w:sz="4" w:space="0"/>
                    <w:bottom w:val="single" w:color="auto" w:sz="6" w:space="0"/>
                    <w:right w:val="single" w:color="auto" w:sz="6" w:space="0"/>
                  </w:tcBorders>
                  <w:vAlign w:val="center"/>
                </w:tcPr>
                <w:p>
                  <w:pPr>
                    <w:jc w:val="center"/>
                    <w:rPr>
                      <w:rFonts w:hint="eastAsia" w:ascii="Times New Roman" w:hAnsi="Times New Roman" w:eastAsia="宋体" w:cs="Times New Roman"/>
                      <w:b w:val="0"/>
                      <w:bCs/>
                      <w:color w:val="000000"/>
                      <w:sz w:val="18"/>
                      <w:szCs w:val="18"/>
                      <w:highlight w:val="none"/>
                      <w:lang w:val="en-US" w:eastAsia="zh-CN"/>
                    </w:rPr>
                  </w:pPr>
                </w:p>
              </w:tc>
              <w:tc>
                <w:tcPr>
                  <w:tcW w:w="846" w:type="pct"/>
                  <w:tcBorders>
                    <w:top w:val="single" w:color="auto" w:sz="6" w:space="0"/>
                    <w:left w:val="nil"/>
                    <w:bottom w:val="single" w:color="auto" w:sz="6" w:space="0"/>
                    <w:right w:val="single" w:color="auto" w:sz="6" w:space="0"/>
                  </w:tcBorders>
                  <w:vAlign w:val="center"/>
                </w:tcPr>
                <w:p>
                  <w:pPr>
                    <w:jc w:val="center"/>
                    <w:rPr>
                      <w:rFonts w:hint="eastAsia"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北厂界</w:t>
                  </w:r>
                </w:p>
              </w:tc>
              <w:tc>
                <w:tcPr>
                  <w:tcW w:w="859" w:type="pct"/>
                  <w:tcBorders>
                    <w:top w:val="single" w:color="auto" w:sz="6" w:space="0"/>
                    <w:left w:val="nil"/>
                    <w:bottom w:val="single" w:color="auto" w:sz="6" w:space="0"/>
                    <w:right w:val="single" w:color="auto" w:sz="6" w:space="0"/>
                  </w:tcBorders>
                  <w:vAlign w:val="center"/>
                </w:tcPr>
                <w:p>
                  <w:pPr>
                    <w:jc w:val="center"/>
                    <w:rPr>
                      <w:rFonts w:hint="eastAsia"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东厂界</w:t>
                  </w:r>
                </w:p>
              </w:tc>
              <w:tc>
                <w:tcPr>
                  <w:tcW w:w="1096" w:type="pct"/>
                  <w:tcBorders>
                    <w:top w:val="single" w:color="auto" w:sz="6" w:space="0"/>
                    <w:left w:val="nil"/>
                    <w:bottom w:val="single" w:color="auto" w:sz="6" w:space="0"/>
                    <w:right w:val="single" w:color="auto" w:sz="6" w:space="0"/>
                  </w:tcBorders>
                  <w:vAlign w:val="center"/>
                </w:tcPr>
                <w:p>
                  <w:pPr>
                    <w:jc w:val="center"/>
                    <w:rPr>
                      <w:rFonts w:hint="eastAsia"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南厂界</w:t>
                  </w:r>
                </w:p>
              </w:tc>
              <w:tc>
                <w:tcPr>
                  <w:tcW w:w="1105" w:type="pct"/>
                  <w:tcBorders>
                    <w:top w:val="single" w:color="auto" w:sz="6" w:space="0"/>
                    <w:left w:val="nil"/>
                    <w:bottom w:val="single" w:color="auto" w:sz="6" w:space="0"/>
                    <w:right w:val="single" w:color="auto" w:sz="6" w:space="0"/>
                  </w:tcBorders>
                  <w:vAlign w:val="center"/>
                </w:tcPr>
                <w:p>
                  <w:pPr>
                    <w:jc w:val="center"/>
                    <w:rPr>
                      <w:rFonts w:hint="eastAsia"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西厂界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92" w:type="pct"/>
                  <w:tcBorders>
                    <w:top w:val="single" w:color="auto" w:sz="6" w:space="0"/>
                    <w:left w:val="single" w:color="auto" w:sz="4" w:space="0"/>
                    <w:bottom w:val="single" w:color="auto" w:sz="6" w:space="0"/>
                    <w:right w:val="single" w:color="auto" w:sz="6" w:space="0"/>
                  </w:tcBorders>
                  <w:vAlign w:val="center"/>
                </w:tcPr>
                <w:p>
                  <w:pPr>
                    <w:jc w:val="center"/>
                    <w:rPr>
                      <w:rFonts w:hint="eastAsia"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生产车间</w:t>
                  </w:r>
                </w:p>
              </w:tc>
              <w:tc>
                <w:tcPr>
                  <w:tcW w:w="846" w:type="pct"/>
                  <w:tcBorders>
                    <w:top w:val="single" w:color="auto" w:sz="6" w:space="0"/>
                    <w:left w:val="nil"/>
                    <w:bottom w:val="single" w:color="auto" w:sz="6" w:space="0"/>
                    <w:right w:val="single" w:color="auto" w:sz="6" w:space="0"/>
                  </w:tcBorders>
                  <w:vAlign w:val="center"/>
                </w:tcPr>
                <w:p>
                  <w:pPr>
                    <w:jc w:val="center"/>
                    <w:rPr>
                      <w:rFonts w:hint="eastAsia"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7</w:t>
                  </w:r>
                </w:p>
              </w:tc>
              <w:tc>
                <w:tcPr>
                  <w:tcW w:w="859" w:type="pct"/>
                  <w:tcBorders>
                    <w:top w:val="single" w:color="auto" w:sz="6" w:space="0"/>
                    <w:left w:val="nil"/>
                    <w:bottom w:val="single" w:color="auto" w:sz="6" w:space="0"/>
                    <w:right w:val="single" w:color="auto" w:sz="6" w:space="0"/>
                  </w:tcBorders>
                  <w:vAlign w:val="center"/>
                </w:tcPr>
                <w:p>
                  <w:pPr>
                    <w:jc w:val="center"/>
                    <w:rPr>
                      <w:rFonts w:hint="eastAsia"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15</w:t>
                  </w:r>
                </w:p>
              </w:tc>
              <w:tc>
                <w:tcPr>
                  <w:tcW w:w="1096" w:type="pct"/>
                  <w:tcBorders>
                    <w:top w:val="single" w:color="auto" w:sz="6" w:space="0"/>
                    <w:left w:val="nil"/>
                    <w:bottom w:val="single" w:color="auto" w:sz="6" w:space="0"/>
                    <w:right w:val="single" w:color="auto" w:sz="6" w:space="0"/>
                  </w:tcBorders>
                  <w:vAlign w:val="center"/>
                </w:tcPr>
                <w:p>
                  <w:pPr>
                    <w:jc w:val="center"/>
                    <w:rPr>
                      <w:rFonts w:hint="eastAsia"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36</w:t>
                  </w:r>
                </w:p>
              </w:tc>
              <w:tc>
                <w:tcPr>
                  <w:tcW w:w="1105" w:type="pct"/>
                  <w:tcBorders>
                    <w:top w:val="single" w:color="auto" w:sz="6" w:space="0"/>
                    <w:left w:val="nil"/>
                    <w:bottom w:val="single" w:color="auto" w:sz="6" w:space="0"/>
                    <w:right w:val="single" w:color="auto" w:sz="6" w:space="0"/>
                  </w:tcBorders>
                  <w:vAlign w:val="center"/>
                </w:tcPr>
                <w:p>
                  <w:pPr>
                    <w:jc w:val="center"/>
                    <w:rPr>
                      <w:rFonts w:hint="eastAsia"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12</w:t>
                  </w:r>
                </w:p>
              </w:tc>
            </w:tr>
          </w:tbl>
          <w:p>
            <w:pPr>
              <w:pStyle w:val="2"/>
              <w:ind w:left="0" w:leftChars="0" w:firstLine="0" w:firstLineChars="0"/>
              <w:jc w:val="both"/>
              <w:rPr>
                <w:rFonts w:hint="eastAsia"/>
                <w:highlight w:val="none"/>
                <w:lang w:val="en-US" w:eastAsia="zh-CN"/>
              </w:rPr>
            </w:pPr>
          </w:p>
          <w:p>
            <w:pPr>
              <w:pStyle w:val="8"/>
              <w:ind w:firstLine="413" w:firstLineChars="196"/>
              <w:jc w:val="center"/>
              <w:rPr>
                <w:rFonts w:hint="eastAsia" w:ascii="Times New Roman" w:hAnsi="Times New Roman" w:eastAsia="宋体"/>
                <w:b/>
                <w:color w:val="000000"/>
                <w:sz w:val="21"/>
                <w:szCs w:val="21"/>
                <w:highlight w:val="none"/>
                <w:lang w:eastAsia="zh-CN"/>
              </w:rPr>
            </w:pPr>
            <w:r>
              <w:rPr>
                <w:rFonts w:ascii="Times New Roman"/>
                <w:b/>
                <w:color w:val="000000"/>
                <w:sz w:val="21"/>
                <w:szCs w:val="21"/>
                <w:highlight w:val="none"/>
              </w:rPr>
              <w:t>表</w:t>
            </w:r>
            <w:r>
              <w:rPr>
                <w:rFonts w:hint="eastAsia" w:ascii="Times New Roman" w:hAnsi="Times New Roman"/>
                <w:b/>
                <w:color w:val="000000"/>
                <w:sz w:val="21"/>
                <w:szCs w:val="21"/>
                <w:highlight w:val="none"/>
                <w:lang w:val="en-US" w:eastAsia="zh-CN"/>
              </w:rPr>
              <w:t>4-</w:t>
            </w:r>
            <w:r>
              <w:rPr>
                <w:rFonts w:hint="eastAsia"/>
                <w:b/>
                <w:color w:val="000000"/>
                <w:sz w:val="21"/>
                <w:szCs w:val="21"/>
                <w:highlight w:val="none"/>
                <w:lang w:val="en-US" w:eastAsia="zh-CN"/>
              </w:rPr>
              <w:t>5</w:t>
            </w:r>
            <w:r>
              <w:rPr>
                <w:rFonts w:hint="eastAsia" w:ascii="Times New Roman" w:hAnsi="Times New Roman"/>
                <w:b/>
                <w:color w:val="000000"/>
                <w:sz w:val="21"/>
                <w:szCs w:val="21"/>
                <w:highlight w:val="none"/>
                <w:lang w:val="en-US" w:eastAsia="zh-CN"/>
              </w:rPr>
              <w:t xml:space="preserve"> </w:t>
            </w:r>
            <w:r>
              <w:rPr>
                <w:rFonts w:ascii="Times New Roman" w:hAnsi="Times New Roman"/>
                <w:b/>
                <w:color w:val="000000"/>
                <w:sz w:val="21"/>
                <w:szCs w:val="21"/>
                <w:highlight w:val="none"/>
              </w:rPr>
              <w:t xml:space="preserve">  项目厂界达标情况一览表</w:t>
            </w:r>
          </w:p>
          <w:tbl>
            <w:tblPr>
              <w:tblStyle w:val="24"/>
              <w:tblW w:w="785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04"/>
              <w:gridCol w:w="840"/>
              <w:gridCol w:w="1575"/>
              <w:gridCol w:w="934"/>
              <w:gridCol w:w="983"/>
              <w:gridCol w:w="1184"/>
              <w:gridCol w:w="9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1404" w:type="dxa"/>
                  <w:vMerge w:val="restart"/>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污染源</w:t>
                  </w:r>
                </w:p>
              </w:tc>
              <w:tc>
                <w:tcPr>
                  <w:tcW w:w="840" w:type="dxa"/>
                  <w:vMerge w:val="restart"/>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污染因子</w:t>
                  </w:r>
                </w:p>
              </w:tc>
              <w:tc>
                <w:tcPr>
                  <w:tcW w:w="1575" w:type="dxa"/>
                  <w:vMerge w:val="restart"/>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类型</w:t>
                  </w:r>
                </w:p>
              </w:tc>
              <w:tc>
                <w:tcPr>
                  <w:tcW w:w="4038" w:type="dxa"/>
                  <w:gridSpan w:val="4"/>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距厂界最近距离（m）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404" w:type="dxa"/>
                  <w:vMerge w:val="continue"/>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p>
              </w:tc>
              <w:tc>
                <w:tcPr>
                  <w:tcW w:w="840" w:type="dxa"/>
                  <w:vMerge w:val="continue"/>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p>
              </w:tc>
              <w:tc>
                <w:tcPr>
                  <w:tcW w:w="1575" w:type="dxa"/>
                  <w:vMerge w:val="continue"/>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p>
              </w:tc>
              <w:tc>
                <w:tcPr>
                  <w:tcW w:w="934"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东厂界</w:t>
                  </w:r>
                </w:p>
              </w:tc>
              <w:tc>
                <w:tcPr>
                  <w:tcW w:w="983"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南</w:t>
                  </w:r>
                  <w:r>
                    <w:rPr>
                      <w:rFonts w:hint="default" w:ascii="Times New Roman" w:hAnsi="Times New Roman" w:eastAsia="宋体" w:cs="Times New Roman"/>
                      <w:b w:val="0"/>
                      <w:bCs/>
                      <w:color w:val="000000"/>
                      <w:sz w:val="18"/>
                      <w:szCs w:val="18"/>
                      <w:highlight w:val="none"/>
                      <w:lang w:val="en-US" w:eastAsia="zh-CN"/>
                    </w:rPr>
                    <w:t>厂界</w:t>
                  </w:r>
                </w:p>
              </w:tc>
              <w:tc>
                <w:tcPr>
                  <w:tcW w:w="1184"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西</w:t>
                  </w:r>
                  <w:r>
                    <w:rPr>
                      <w:rFonts w:hint="default" w:ascii="Times New Roman" w:hAnsi="Times New Roman" w:eastAsia="宋体" w:cs="Times New Roman"/>
                      <w:b w:val="0"/>
                      <w:bCs/>
                      <w:color w:val="000000"/>
                      <w:sz w:val="18"/>
                      <w:szCs w:val="18"/>
                      <w:highlight w:val="none"/>
                      <w:lang w:val="en-US" w:eastAsia="zh-CN"/>
                    </w:rPr>
                    <w:t>厂界</w:t>
                  </w:r>
                </w:p>
              </w:tc>
              <w:tc>
                <w:tcPr>
                  <w:tcW w:w="937"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北</w:t>
                  </w:r>
                  <w:r>
                    <w:rPr>
                      <w:rFonts w:hint="default" w:ascii="Times New Roman" w:hAnsi="Times New Roman" w:eastAsia="宋体" w:cs="Times New Roman"/>
                      <w:b w:val="0"/>
                      <w:bCs/>
                      <w:color w:val="000000"/>
                      <w:sz w:val="18"/>
                      <w:szCs w:val="18"/>
                      <w:highlight w:val="none"/>
                      <w:lang w:val="en-US" w:eastAsia="zh-CN"/>
                    </w:rPr>
                    <w:t>厂界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04"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eastAsia"/>
                      <w:b w:val="0"/>
                      <w:bCs/>
                      <w:color w:val="000000"/>
                      <w:kern w:val="2"/>
                      <w:sz w:val="18"/>
                      <w:szCs w:val="18"/>
                      <w:highlight w:val="none"/>
                      <w:lang w:val="en-US" w:eastAsia="zh-CN" w:bidi="ar-SA"/>
                    </w:rPr>
                    <w:t>生产</w:t>
                  </w:r>
                  <w:r>
                    <w:rPr>
                      <w:rFonts w:hint="eastAsia" w:ascii="Times New Roman" w:hAnsi="Times New Roman"/>
                      <w:b w:val="0"/>
                      <w:bCs/>
                      <w:color w:val="000000"/>
                      <w:kern w:val="2"/>
                      <w:sz w:val="18"/>
                      <w:szCs w:val="18"/>
                      <w:highlight w:val="none"/>
                      <w:lang w:val="en-US" w:eastAsia="zh-CN" w:bidi="ar-SA"/>
                    </w:rPr>
                    <w:t>车间</w:t>
                  </w:r>
                </w:p>
              </w:tc>
              <w:tc>
                <w:tcPr>
                  <w:tcW w:w="840"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TSP</w:t>
                  </w:r>
                </w:p>
              </w:tc>
              <w:tc>
                <w:tcPr>
                  <w:tcW w:w="1575"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厂界落地浓度（mg/m</w:t>
                  </w:r>
                  <w:r>
                    <w:rPr>
                      <w:rFonts w:hint="default" w:ascii="Times New Roman" w:hAnsi="Times New Roman" w:eastAsia="宋体" w:cs="Times New Roman"/>
                      <w:b w:val="0"/>
                      <w:bCs/>
                      <w:color w:val="000000"/>
                      <w:sz w:val="18"/>
                      <w:szCs w:val="18"/>
                      <w:highlight w:val="none"/>
                      <w:vertAlign w:val="superscript"/>
                      <w:lang w:val="en-US" w:eastAsia="zh-CN"/>
                    </w:rPr>
                    <w:t>3</w:t>
                  </w:r>
                  <w:r>
                    <w:rPr>
                      <w:rFonts w:hint="default" w:ascii="Times New Roman" w:hAnsi="Times New Roman" w:eastAsia="宋体" w:cs="Times New Roman"/>
                      <w:b w:val="0"/>
                      <w:bCs/>
                      <w:color w:val="000000"/>
                      <w:sz w:val="18"/>
                      <w:szCs w:val="18"/>
                      <w:highlight w:val="none"/>
                      <w:lang w:val="en-US" w:eastAsia="zh-CN"/>
                    </w:rPr>
                    <w:t>）</w:t>
                  </w:r>
                </w:p>
              </w:tc>
              <w:tc>
                <w:tcPr>
                  <w:tcW w:w="934"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0.001</w:t>
                  </w:r>
                  <w:r>
                    <w:rPr>
                      <w:rFonts w:hint="eastAsia" w:ascii="Times New Roman" w:hAnsi="Times New Roman" w:eastAsia="宋体" w:cs="Times New Roman"/>
                      <w:b w:val="0"/>
                      <w:bCs/>
                      <w:color w:val="000000"/>
                      <w:sz w:val="18"/>
                      <w:szCs w:val="18"/>
                      <w:highlight w:val="none"/>
                      <w:lang w:val="en-US" w:eastAsia="zh-CN"/>
                    </w:rPr>
                    <w:t>6</w:t>
                  </w:r>
                </w:p>
              </w:tc>
              <w:tc>
                <w:tcPr>
                  <w:tcW w:w="983"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0.0009</w:t>
                  </w:r>
                </w:p>
              </w:tc>
              <w:tc>
                <w:tcPr>
                  <w:tcW w:w="1184"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0.0000</w:t>
                  </w:r>
                  <w:r>
                    <w:rPr>
                      <w:rFonts w:hint="eastAsia" w:ascii="Times New Roman" w:hAnsi="Times New Roman" w:eastAsia="宋体" w:cs="Times New Roman"/>
                      <w:b w:val="0"/>
                      <w:bCs/>
                      <w:color w:val="000000"/>
                      <w:sz w:val="18"/>
                      <w:szCs w:val="18"/>
                      <w:highlight w:val="none"/>
                      <w:lang w:val="en-US" w:eastAsia="zh-CN"/>
                    </w:rPr>
                    <w:t>55</w:t>
                  </w:r>
                </w:p>
              </w:tc>
              <w:tc>
                <w:tcPr>
                  <w:tcW w:w="937"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0.001</w:t>
                  </w:r>
                  <w:r>
                    <w:rPr>
                      <w:rFonts w:hint="eastAsia" w:ascii="Times New Roman" w:hAnsi="Times New Roman" w:eastAsia="宋体" w:cs="Times New Roman"/>
                      <w:b w:val="0"/>
                      <w:bCs/>
                      <w:color w:val="000000"/>
                      <w:sz w:val="18"/>
                      <w:szCs w:val="18"/>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3819" w:type="dxa"/>
                  <w:gridSpan w:val="3"/>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排放标准（mg/m</w:t>
                  </w:r>
                  <w:r>
                    <w:rPr>
                      <w:rFonts w:hint="default" w:ascii="Times New Roman" w:hAnsi="Times New Roman" w:eastAsia="宋体" w:cs="Times New Roman"/>
                      <w:b w:val="0"/>
                      <w:bCs/>
                      <w:color w:val="000000"/>
                      <w:sz w:val="18"/>
                      <w:szCs w:val="18"/>
                      <w:highlight w:val="none"/>
                      <w:vertAlign w:val="superscript"/>
                      <w:lang w:val="en-US" w:eastAsia="zh-CN"/>
                    </w:rPr>
                    <w:t>3</w:t>
                  </w:r>
                  <w:r>
                    <w:rPr>
                      <w:rFonts w:hint="default" w:ascii="Times New Roman" w:hAnsi="Times New Roman" w:eastAsia="宋体" w:cs="Times New Roman"/>
                      <w:b w:val="0"/>
                      <w:bCs/>
                      <w:color w:val="000000"/>
                      <w:sz w:val="18"/>
                      <w:szCs w:val="18"/>
                      <w:highlight w:val="none"/>
                      <w:lang w:val="en-US" w:eastAsia="zh-CN"/>
                    </w:rPr>
                    <w:t>）</w:t>
                  </w:r>
                </w:p>
              </w:tc>
              <w:tc>
                <w:tcPr>
                  <w:tcW w:w="934"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1.0</w:t>
                  </w:r>
                </w:p>
              </w:tc>
              <w:tc>
                <w:tcPr>
                  <w:tcW w:w="983"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1.0</w:t>
                  </w:r>
                </w:p>
              </w:tc>
              <w:tc>
                <w:tcPr>
                  <w:tcW w:w="1184"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1.0</w:t>
                  </w:r>
                </w:p>
              </w:tc>
              <w:tc>
                <w:tcPr>
                  <w:tcW w:w="937"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3819" w:type="dxa"/>
                  <w:gridSpan w:val="3"/>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达标情况</w:t>
                  </w:r>
                </w:p>
              </w:tc>
              <w:tc>
                <w:tcPr>
                  <w:tcW w:w="934"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达标</w:t>
                  </w:r>
                </w:p>
              </w:tc>
              <w:tc>
                <w:tcPr>
                  <w:tcW w:w="983"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达标</w:t>
                  </w:r>
                </w:p>
              </w:tc>
              <w:tc>
                <w:tcPr>
                  <w:tcW w:w="1184"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达标</w:t>
                  </w:r>
                </w:p>
              </w:tc>
              <w:tc>
                <w:tcPr>
                  <w:tcW w:w="937" w:type="dxa"/>
                  <w:noWrap w:val="0"/>
                  <w:vAlign w:val="center"/>
                </w:tcPr>
                <w:p>
                  <w:pPr>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达标</w:t>
                  </w:r>
                </w:p>
              </w:tc>
            </w:tr>
          </w:tbl>
          <w:p>
            <w:pPr>
              <w:spacing w:line="440" w:lineRule="exact"/>
              <w:ind w:firstLine="359" w:firstLineChars="171"/>
              <w:rPr>
                <w:rFonts w:hint="eastAsia" w:ascii="宋体" w:hAnsi="宋体" w:cs="宋体"/>
                <w:szCs w:val="21"/>
              </w:rPr>
            </w:pPr>
            <w:r>
              <w:rPr>
                <w:rFonts w:hint="eastAsia" w:ascii="宋体" w:hAnsi="宋体" w:cs="宋体"/>
                <w:szCs w:val="21"/>
                <w:highlight w:val="none"/>
              </w:rPr>
              <w:t>根据上述预测结果，项目无组织排放的颗粒物排放量较小，排放浓度较低，各无组织面源产生的颗粒物在各厂界处浓度最高点均≤1.0mg/m</w:t>
            </w:r>
            <w:r>
              <w:rPr>
                <w:rFonts w:hint="eastAsia" w:ascii="宋体" w:hAnsi="宋体" w:cs="宋体"/>
                <w:szCs w:val="21"/>
                <w:highlight w:val="none"/>
                <w:vertAlign w:val="superscript"/>
              </w:rPr>
              <w:t>3</w:t>
            </w:r>
            <w:r>
              <w:rPr>
                <w:rFonts w:hint="eastAsia" w:ascii="宋体" w:hAnsi="宋体" w:cs="宋体"/>
                <w:szCs w:val="21"/>
                <w:highlight w:val="none"/>
              </w:rPr>
              <w:t>，满足《大气污染物综合排放标准》（</w:t>
            </w:r>
            <w:r>
              <w:rPr>
                <w:rFonts w:hint="eastAsia" w:ascii="宋体" w:hAnsi="宋体" w:cs="宋体"/>
                <w:szCs w:val="21"/>
                <w:highlight w:val="none"/>
                <w:lang w:eastAsia="zh-CN"/>
              </w:rPr>
              <w:t>GB16297</w:t>
            </w:r>
            <w:r>
              <w:rPr>
                <w:rFonts w:hint="eastAsia" w:ascii="宋体" w:hAnsi="宋体" w:cs="宋体"/>
                <w:szCs w:val="21"/>
                <w:highlight w:val="none"/>
              </w:rPr>
              <w:t>-1996）中表</w:t>
            </w:r>
            <w:r>
              <w:rPr>
                <w:rFonts w:hint="eastAsia" w:ascii="宋体" w:hAnsi="宋体" w:cs="宋体"/>
                <w:szCs w:val="21"/>
                <w:highlight w:val="none"/>
                <w:lang w:val="en-US" w:eastAsia="zh-CN"/>
              </w:rPr>
              <w:t>2</w:t>
            </w:r>
            <w:r>
              <w:rPr>
                <w:rFonts w:hint="eastAsia" w:ascii="宋体" w:hAnsi="宋体" w:cs="宋体"/>
                <w:szCs w:val="21"/>
                <w:highlight w:val="none"/>
              </w:rPr>
              <w:t>大气污染物无组织排放浓度限值</w:t>
            </w:r>
            <w:r>
              <w:rPr>
                <w:rFonts w:hint="eastAsia" w:ascii="宋体" w:hAnsi="宋体" w:cs="宋体"/>
                <w:szCs w:val="21"/>
              </w:rPr>
              <w:t>的要求。项目无组织排放的污染物，为达标排放。</w:t>
            </w:r>
          </w:p>
          <w:p>
            <w:pPr>
              <w:spacing w:line="440" w:lineRule="exact"/>
              <w:ind w:firstLine="359" w:firstLineChars="171"/>
              <w:rPr>
                <w:rFonts w:ascii="宋体" w:hAnsi="宋体" w:cs="宋体"/>
                <w:szCs w:val="21"/>
              </w:rPr>
            </w:pPr>
            <w:r>
              <w:rPr>
                <w:rFonts w:hint="eastAsia" w:ascii="宋体" w:hAnsi="宋体" w:cs="宋体"/>
                <w:szCs w:val="21"/>
              </w:rPr>
              <w:t>（8）废气监测计划</w:t>
            </w:r>
          </w:p>
          <w:p>
            <w:pPr>
              <w:spacing w:line="440" w:lineRule="exact"/>
              <w:ind w:firstLine="359" w:firstLineChars="171"/>
              <w:rPr>
                <w:rFonts w:ascii="宋体" w:hAnsi="宋体" w:cs="宋体"/>
                <w:szCs w:val="21"/>
              </w:rPr>
            </w:pPr>
            <w:r>
              <w:rPr>
                <w:rFonts w:hint="eastAsia" w:ascii="宋体" w:hAnsi="宋体" w:cs="宋体"/>
                <w:szCs w:val="21"/>
              </w:rPr>
              <w:t xml:space="preserve">通过对企业废气防治设施进行监督检查，掌握废气污染源排放是否符合国家或地方排放标准的要求。根据该项目生产特点和主要污染物排放情况，提出如下监测要求： </w:t>
            </w:r>
          </w:p>
          <w:p>
            <w:pPr>
              <w:spacing w:line="440" w:lineRule="exact"/>
              <w:ind w:firstLine="359" w:firstLineChars="171"/>
              <w:rPr>
                <w:rFonts w:ascii="宋体" w:hAnsi="宋体" w:cs="宋体"/>
                <w:szCs w:val="21"/>
              </w:rPr>
            </w:pPr>
            <w:r>
              <w:rPr>
                <w:rFonts w:hint="eastAsia" w:ascii="宋体" w:hAnsi="宋体" w:cs="宋体"/>
                <w:szCs w:val="21"/>
              </w:rPr>
              <w:t>1）企业应定期对废气进行监测；</w:t>
            </w:r>
          </w:p>
          <w:p>
            <w:pPr>
              <w:spacing w:line="440" w:lineRule="exact"/>
              <w:ind w:firstLine="359" w:firstLineChars="171"/>
              <w:rPr>
                <w:rFonts w:ascii="宋体" w:hAnsi="宋体" w:cs="宋体"/>
                <w:szCs w:val="21"/>
              </w:rPr>
            </w:pPr>
            <w:r>
              <w:rPr>
                <w:rFonts w:hint="eastAsia" w:ascii="宋体" w:hAnsi="宋体" w:cs="宋体"/>
                <w:szCs w:val="21"/>
              </w:rPr>
              <w:t xml:space="preserve">2）建设单位可进行监测的项目定期向管理部门上报监测结果，建设单位不能自行进行监测的项目需委托有监测资质单位进行监测； </w:t>
            </w:r>
          </w:p>
          <w:p>
            <w:pPr>
              <w:spacing w:line="440" w:lineRule="exact"/>
              <w:ind w:firstLine="359" w:firstLineChars="171"/>
              <w:rPr>
                <w:rFonts w:ascii="宋体" w:hAnsi="宋体" w:cs="宋体"/>
                <w:szCs w:val="21"/>
              </w:rPr>
            </w:pPr>
            <w:r>
              <w:rPr>
                <w:rFonts w:hint="eastAsia" w:ascii="宋体" w:hAnsi="宋体" w:cs="宋体"/>
                <w:szCs w:val="21"/>
              </w:rPr>
              <w:t xml:space="preserve">3）监测中发现超标排放或其他异常情况，及时报告企业环保管理部门查找原因、解决处理，遇有特殊情况时应随时监测； </w:t>
            </w:r>
          </w:p>
          <w:p>
            <w:pPr>
              <w:spacing w:line="440" w:lineRule="exact"/>
              <w:ind w:firstLine="359" w:firstLineChars="171"/>
              <w:rPr>
                <w:rFonts w:ascii="宋体" w:hAnsi="宋体" w:cs="宋体"/>
                <w:b/>
                <w:bCs/>
                <w:szCs w:val="21"/>
              </w:rPr>
            </w:pPr>
            <w:r>
              <w:rPr>
                <w:rFonts w:hint="eastAsia" w:ascii="宋体" w:hAnsi="宋体" w:cs="宋体"/>
                <w:szCs w:val="21"/>
              </w:rPr>
              <w:t>4）根据《排污单位自行监测技术指南 总则》（HJ 819-2017），项目大气污染源监测要求详见下表，监测方案见表 4-</w:t>
            </w:r>
            <w:r>
              <w:rPr>
                <w:rFonts w:hint="eastAsia" w:ascii="宋体" w:hAnsi="宋体" w:cs="宋体"/>
                <w:szCs w:val="21"/>
                <w:lang w:val="en-US" w:eastAsia="zh-CN"/>
              </w:rPr>
              <w:t>6</w:t>
            </w:r>
            <w:r>
              <w:rPr>
                <w:rFonts w:hint="eastAsia" w:ascii="宋体" w:hAnsi="宋体" w:cs="宋体"/>
                <w:szCs w:val="21"/>
              </w:rPr>
              <w:t>。</w:t>
            </w:r>
          </w:p>
          <w:p>
            <w:pPr>
              <w:pStyle w:val="20"/>
              <w:spacing w:before="0" w:beforeAutospacing="0" w:after="0" w:afterAutospacing="0" w:line="360" w:lineRule="auto"/>
              <w:ind w:firstLine="422" w:firstLineChars="200"/>
              <w:jc w:val="center"/>
              <w:rPr>
                <w:rFonts w:cs="宋体"/>
                <w:b/>
                <w:bCs/>
                <w:sz w:val="21"/>
                <w:szCs w:val="21"/>
              </w:rPr>
            </w:pPr>
            <w:r>
              <w:rPr>
                <w:rFonts w:hint="eastAsia" w:cs="宋体"/>
                <w:b/>
                <w:bCs/>
                <w:sz w:val="21"/>
                <w:szCs w:val="21"/>
              </w:rPr>
              <w:t>表4-</w:t>
            </w:r>
            <w:r>
              <w:rPr>
                <w:rFonts w:hint="eastAsia" w:cs="宋体"/>
                <w:b/>
                <w:bCs/>
                <w:sz w:val="21"/>
                <w:szCs w:val="21"/>
                <w:lang w:val="en-US" w:eastAsia="zh-CN"/>
              </w:rPr>
              <w:t>6</w:t>
            </w:r>
            <w:r>
              <w:rPr>
                <w:rFonts w:hint="eastAsia" w:cs="宋体"/>
                <w:b/>
                <w:bCs/>
                <w:sz w:val="21"/>
                <w:szCs w:val="21"/>
              </w:rPr>
              <w:t xml:space="preserve">  自行监测要求</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2103"/>
              <w:gridCol w:w="2865"/>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1"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污染源类型</w:t>
                  </w:r>
                </w:p>
              </w:tc>
              <w:tc>
                <w:tcPr>
                  <w:tcW w:w="1324"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监测点位</w:t>
                  </w:r>
                </w:p>
              </w:tc>
              <w:tc>
                <w:tcPr>
                  <w:tcW w:w="1804"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监测因子</w:t>
                  </w:r>
                </w:p>
              </w:tc>
              <w:tc>
                <w:tcPr>
                  <w:tcW w:w="999"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1" w:type="pct"/>
                  <w:vMerge w:val="restar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废气</w:t>
                  </w:r>
                </w:p>
              </w:tc>
              <w:tc>
                <w:tcPr>
                  <w:tcW w:w="1324"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生物质锅炉排气筒</w:t>
                  </w:r>
                </w:p>
              </w:tc>
              <w:tc>
                <w:tcPr>
                  <w:tcW w:w="1804"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颗粒物，二氧化硫，氮氧化物</w:t>
                  </w:r>
                </w:p>
              </w:tc>
              <w:tc>
                <w:tcPr>
                  <w:tcW w:w="999"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每年1次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1" w:type="pct"/>
                  <w:vMerge w:val="continue"/>
                  <w:noWrap/>
                  <w:vAlign w:val="center"/>
                </w:tcPr>
                <w:p>
                  <w:pPr>
                    <w:pStyle w:val="41"/>
                    <w:spacing w:line="360" w:lineRule="auto"/>
                    <w:jc w:val="center"/>
                    <w:rPr>
                      <w:rFonts w:ascii="宋体" w:hAnsi="宋体" w:cs="宋体"/>
                      <w:color w:val="auto"/>
                      <w:sz w:val="18"/>
                      <w:szCs w:val="18"/>
                    </w:rPr>
                  </w:pPr>
                </w:p>
              </w:tc>
              <w:tc>
                <w:tcPr>
                  <w:tcW w:w="1324"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粉碎工序排气筒</w:t>
                  </w:r>
                </w:p>
              </w:tc>
              <w:tc>
                <w:tcPr>
                  <w:tcW w:w="1804"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颗粒物</w:t>
                  </w:r>
                </w:p>
              </w:tc>
              <w:tc>
                <w:tcPr>
                  <w:tcW w:w="999"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每年1次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1" w:type="pct"/>
                  <w:vMerge w:val="continue"/>
                  <w:noWrap/>
                  <w:vAlign w:val="center"/>
                </w:tcPr>
                <w:p>
                  <w:pPr>
                    <w:pStyle w:val="41"/>
                    <w:spacing w:line="360" w:lineRule="auto"/>
                    <w:jc w:val="center"/>
                    <w:rPr>
                      <w:rFonts w:ascii="宋体" w:hAnsi="宋体" w:cs="宋体"/>
                      <w:color w:val="auto"/>
                      <w:sz w:val="18"/>
                      <w:szCs w:val="18"/>
                    </w:rPr>
                  </w:pPr>
                </w:p>
              </w:tc>
              <w:tc>
                <w:tcPr>
                  <w:tcW w:w="1324"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厂界</w:t>
                  </w:r>
                </w:p>
              </w:tc>
              <w:tc>
                <w:tcPr>
                  <w:tcW w:w="1804"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颗粒物</w:t>
                  </w:r>
                </w:p>
              </w:tc>
              <w:tc>
                <w:tcPr>
                  <w:tcW w:w="999" w:type="pct"/>
                  <w:noWrap/>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每年1次</w:t>
                  </w:r>
                </w:p>
              </w:tc>
            </w:tr>
          </w:tbl>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综上所述，本项目采取了较为完善的污染防治措施，可确保运营期各工序污染源达标排放，项目的建设不会对区域大气环境产生明显的污染影响。</w:t>
            </w:r>
          </w:p>
          <w:p>
            <w:pPr>
              <w:pStyle w:val="41"/>
              <w:spacing w:line="360" w:lineRule="auto"/>
              <w:ind w:left="420"/>
              <w:jc w:val="both"/>
              <w:rPr>
                <w:rFonts w:ascii="宋体" w:hAnsi="宋体" w:cs="宋体"/>
                <w:b/>
                <w:bCs/>
                <w:color w:val="auto"/>
                <w:sz w:val="21"/>
                <w:szCs w:val="21"/>
              </w:rPr>
            </w:pPr>
            <w:r>
              <w:rPr>
                <w:rFonts w:hint="eastAsia" w:ascii="宋体" w:hAnsi="宋体" w:cs="宋体"/>
                <w:b/>
                <w:bCs/>
                <w:color w:val="auto"/>
                <w:sz w:val="21"/>
                <w:szCs w:val="21"/>
              </w:rPr>
              <w:t>2、废水</w:t>
            </w:r>
          </w:p>
          <w:p>
            <w:pPr>
              <w:spacing w:line="360" w:lineRule="auto"/>
              <w:ind w:firstLine="420" w:firstLineChars="200"/>
              <w:rPr>
                <w:rFonts w:ascii="宋体" w:hAnsi="宋体" w:cs="宋体"/>
                <w:snapToGrid w:val="0"/>
                <w:szCs w:val="21"/>
              </w:rPr>
            </w:pPr>
            <w:r>
              <w:rPr>
                <w:rFonts w:hint="eastAsia" w:ascii="宋体" w:hAnsi="宋体" w:cs="宋体"/>
                <w:snapToGrid w:val="0"/>
                <w:kern w:val="0"/>
                <w:szCs w:val="21"/>
              </w:rPr>
              <w:t>项目新鲜水来自自备水井，水质能够满足项目实施后正常生产需要。</w:t>
            </w:r>
            <w:r>
              <w:rPr>
                <w:rFonts w:hint="eastAsia" w:ascii="宋体" w:hAnsi="宋体" w:cs="宋体"/>
                <w:szCs w:val="21"/>
              </w:rPr>
              <w:t>项目</w:t>
            </w:r>
            <w:r>
              <w:rPr>
                <w:rFonts w:hint="eastAsia" w:ascii="宋体" w:hAnsi="宋体" w:cs="宋体"/>
                <w:snapToGrid w:val="0"/>
                <w:szCs w:val="21"/>
              </w:rPr>
              <w:t>无生产废水产生；因锅炉产生的蒸汽作用仅为：对菌包进行高温消毒，锅炉用水无需软化，冷凝水经回收装置返回锅炉收集循环利用；每年生产运营期结束后蒸汽锅炉需定期排空水，废水暂存于厂区储水罐内，用于粉碎工序喷淋用水。</w:t>
            </w:r>
          </w:p>
          <w:p>
            <w:pPr>
              <w:spacing w:line="360" w:lineRule="auto"/>
              <w:ind w:firstLine="420" w:firstLineChars="200"/>
              <w:rPr>
                <w:rFonts w:ascii="宋体" w:hAnsi="宋体" w:cs="宋体"/>
                <w:szCs w:val="21"/>
              </w:rPr>
            </w:pPr>
            <w:r>
              <w:rPr>
                <w:rFonts w:hint="eastAsia" w:ascii="宋体" w:hAnsi="宋体" w:cs="宋体"/>
                <w:szCs w:val="21"/>
              </w:rPr>
              <w:t>生活污水按用水量0.8倍计算，</w:t>
            </w:r>
            <w:r>
              <w:rPr>
                <w:rFonts w:hint="eastAsia" w:ascii="宋体" w:hAnsi="宋体" w:cs="宋体"/>
                <w:snapToGrid w:val="0"/>
                <w:szCs w:val="21"/>
              </w:rPr>
              <w:t>则本项目运营后</w:t>
            </w:r>
            <w:r>
              <w:rPr>
                <w:rFonts w:hint="eastAsia" w:ascii="宋体" w:hAnsi="宋体" w:cs="宋体"/>
                <w:szCs w:val="21"/>
              </w:rPr>
              <w:t>生活污水年排放量为80.68</w:t>
            </w:r>
            <w:r>
              <w:rPr>
                <w:rFonts w:hint="eastAsia" w:ascii="宋体" w:hAnsi="宋体" w:cs="宋体"/>
                <w:snapToGrid w:val="0"/>
                <w:szCs w:val="21"/>
              </w:rPr>
              <w:t>m</w:t>
            </w:r>
            <w:r>
              <w:rPr>
                <w:rFonts w:hint="eastAsia" w:ascii="宋体" w:hAnsi="宋体" w:cs="宋体"/>
                <w:snapToGrid w:val="0"/>
                <w:szCs w:val="21"/>
                <w:vertAlign w:val="superscript"/>
              </w:rPr>
              <w:t>3</w:t>
            </w:r>
            <w:r>
              <w:rPr>
                <w:rFonts w:hint="eastAsia" w:ascii="宋体" w:hAnsi="宋体" w:cs="宋体"/>
                <w:snapToGrid w:val="0"/>
                <w:szCs w:val="21"/>
              </w:rPr>
              <w:t>/a</w:t>
            </w:r>
            <w:r>
              <w:rPr>
                <w:rFonts w:hint="eastAsia" w:ascii="宋体" w:hAnsi="宋体" w:cs="宋体"/>
                <w:szCs w:val="21"/>
              </w:rPr>
              <w:t>，</w:t>
            </w:r>
            <w:r>
              <w:rPr>
                <w:rFonts w:hint="eastAsia" w:ascii="宋体" w:hAnsi="宋体" w:cs="宋体"/>
                <w:snapToGrid w:val="0"/>
                <w:szCs w:val="21"/>
              </w:rPr>
              <w:t>生活污水排入厂区化粪池，定期由清污车运送至围场满族蒙古族自治县永溢环保科技有限责任公司克勒沟污水处理厂处理</w:t>
            </w:r>
            <w:r>
              <w:rPr>
                <w:rFonts w:hint="eastAsia" w:ascii="宋体" w:hAnsi="宋体" w:cs="宋体"/>
                <w:szCs w:val="21"/>
              </w:rPr>
              <w:t>。</w:t>
            </w:r>
          </w:p>
          <w:p>
            <w:pPr>
              <w:spacing w:line="360" w:lineRule="auto"/>
              <w:ind w:firstLine="420" w:firstLineChars="200"/>
              <w:rPr>
                <w:rFonts w:ascii="宋体" w:hAnsi="宋体" w:cs="宋体"/>
                <w:szCs w:val="21"/>
                <w:highlight w:val="none"/>
              </w:rPr>
            </w:pPr>
            <w:r>
              <w:rPr>
                <w:rFonts w:hint="eastAsia" w:ascii="宋体" w:hAnsi="宋体" w:cs="宋体"/>
                <w:snapToGrid w:val="0"/>
                <w:szCs w:val="21"/>
                <w:highlight w:val="none"/>
              </w:rPr>
              <w:t>围场满族蒙古族自治县永溢环保科技有限责任公司克勒沟污水处理厂</w:t>
            </w:r>
            <w:r>
              <w:rPr>
                <w:rFonts w:hint="eastAsia"/>
                <w:kern w:val="0"/>
                <w:szCs w:val="21"/>
                <w:highlight w:val="none"/>
              </w:rPr>
              <w:t>日处理规模为1500m</w:t>
            </w:r>
            <w:r>
              <w:rPr>
                <w:rFonts w:hint="eastAsia"/>
                <w:kern w:val="0"/>
                <w:szCs w:val="21"/>
                <w:highlight w:val="none"/>
                <w:vertAlign w:val="superscript"/>
              </w:rPr>
              <w:t>3</w:t>
            </w:r>
            <w:r>
              <w:rPr>
                <w:rFonts w:hint="eastAsia"/>
                <w:kern w:val="0"/>
                <w:szCs w:val="21"/>
                <w:highlight w:val="none"/>
              </w:rPr>
              <w:t>/d，本项目污水（仅为生活污水）日产生量为80.68m</w:t>
            </w:r>
            <w:r>
              <w:rPr>
                <w:rFonts w:hint="eastAsia"/>
                <w:kern w:val="0"/>
                <w:szCs w:val="21"/>
                <w:highlight w:val="none"/>
                <w:vertAlign w:val="superscript"/>
              </w:rPr>
              <w:t>3</w:t>
            </w:r>
            <w:r>
              <w:rPr>
                <w:rFonts w:hint="eastAsia"/>
                <w:kern w:val="0"/>
                <w:szCs w:val="21"/>
                <w:highlight w:val="none"/>
              </w:rPr>
              <w:t>/d，该污水处理厂具备接收本项目污水的处理能力。</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生活污水在无实测资料参考时，水质取COD 330mg/L、BOD</w:t>
            </w:r>
            <w:r>
              <w:rPr>
                <w:rFonts w:hint="eastAsia" w:ascii="宋体" w:hAnsi="宋体" w:cs="宋体"/>
                <w:color w:val="auto"/>
                <w:sz w:val="21"/>
                <w:szCs w:val="21"/>
                <w:vertAlign w:val="subscript"/>
              </w:rPr>
              <w:t>5</w:t>
            </w:r>
            <w:r>
              <w:rPr>
                <w:rFonts w:hint="eastAsia" w:ascii="宋体" w:hAnsi="宋体" w:cs="宋体"/>
                <w:color w:val="auto"/>
                <w:sz w:val="21"/>
                <w:szCs w:val="21"/>
              </w:rPr>
              <w:t xml:space="preserve"> 150mg/L、SS 210mg/L/、NH</w:t>
            </w:r>
            <w:r>
              <w:rPr>
                <w:rFonts w:hint="eastAsia" w:ascii="宋体" w:hAnsi="宋体" w:cs="宋体"/>
                <w:color w:val="auto"/>
                <w:sz w:val="21"/>
                <w:szCs w:val="21"/>
                <w:vertAlign w:val="subscript"/>
              </w:rPr>
              <w:t>3</w:t>
            </w:r>
            <w:r>
              <w:rPr>
                <w:rFonts w:hint="eastAsia" w:ascii="宋体" w:hAnsi="宋体" w:cs="宋体"/>
                <w:color w:val="auto"/>
                <w:sz w:val="21"/>
                <w:szCs w:val="21"/>
              </w:rPr>
              <w:t>-N 30mg/计。本项目废水总排放量为80.68 t/a（0.81t/d），设计化粪池规模为50m</w:t>
            </w:r>
            <w:r>
              <w:rPr>
                <w:rFonts w:hint="eastAsia" w:ascii="宋体" w:hAnsi="宋体" w:cs="宋体"/>
                <w:color w:val="auto"/>
                <w:sz w:val="21"/>
                <w:szCs w:val="21"/>
                <w:vertAlign w:val="superscript"/>
              </w:rPr>
              <w:t>3</w:t>
            </w:r>
            <w:r>
              <w:rPr>
                <w:rFonts w:hint="eastAsia" w:ascii="宋体" w:hAnsi="宋体" w:cs="宋体"/>
                <w:color w:val="auto"/>
                <w:sz w:val="21"/>
                <w:szCs w:val="21"/>
              </w:rPr>
              <w:t>/d，存储污水能力大于日污水排放量，可满足项目运营后日常生活污水处理排放，生活污水排放浓度详见表4-</w:t>
            </w:r>
            <w:r>
              <w:rPr>
                <w:rFonts w:hint="eastAsia" w:ascii="宋体" w:hAnsi="宋体" w:cs="宋体"/>
                <w:color w:val="auto"/>
                <w:sz w:val="21"/>
                <w:szCs w:val="21"/>
                <w:lang w:val="en-US" w:eastAsia="zh-CN"/>
              </w:rPr>
              <w:t>7</w:t>
            </w:r>
            <w:r>
              <w:rPr>
                <w:rFonts w:hint="eastAsia" w:ascii="宋体" w:hAnsi="宋体" w:cs="宋体"/>
                <w:color w:val="auto"/>
                <w:sz w:val="21"/>
                <w:szCs w:val="21"/>
              </w:rPr>
              <w:t>，项目行业标准排放浓度计算详见表4-</w:t>
            </w:r>
            <w:r>
              <w:rPr>
                <w:rFonts w:hint="eastAsia" w:ascii="宋体" w:hAnsi="宋体" w:cs="宋体"/>
                <w:color w:val="auto"/>
                <w:sz w:val="21"/>
                <w:szCs w:val="21"/>
                <w:lang w:val="en-US" w:eastAsia="zh-CN"/>
              </w:rPr>
              <w:t>8</w:t>
            </w:r>
            <w:r>
              <w:rPr>
                <w:rFonts w:hint="eastAsia" w:ascii="宋体" w:hAnsi="宋体" w:cs="宋体"/>
                <w:color w:val="auto"/>
                <w:sz w:val="21"/>
                <w:szCs w:val="21"/>
              </w:rPr>
              <w:t>，</w:t>
            </w:r>
            <w:r>
              <w:rPr>
                <w:rFonts w:hint="eastAsia" w:ascii="宋体" w:hAnsi="宋体" w:cs="宋体"/>
                <w:snapToGrid w:val="0"/>
                <w:color w:val="auto"/>
                <w:sz w:val="21"/>
                <w:szCs w:val="21"/>
              </w:rPr>
              <w:t>围场满族蒙古族自治县永溢环保科技有限责任公司克勒沟污水处理厂</w:t>
            </w:r>
            <w:r>
              <w:rPr>
                <w:rFonts w:hint="eastAsia" w:ascii="宋体" w:hAnsi="宋体" w:cs="宋体"/>
                <w:color w:val="auto"/>
                <w:sz w:val="21"/>
                <w:szCs w:val="21"/>
              </w:rPr>
              <w:t>收水浓度计算详见表4-</w:t>
            </w:r>
            <w:r>
              <w:rPr>
                <w:rFonts w:hint="eastAsia" w:ascii="宋体" w:hAnsi="宋体" w:cs="宋体"/>
                <w:color w:val="auto"/>
                <w:sz w:val="21"/>
                <w:szCs w:val="21"/>
                <w:lang w:val="en-US" w:eastAsia="zh-CN"/>
              </w:rPr>
              <w:t>9</w:t>
            </w:r>
            <w:r>
              <w:rPr>
                <w:rFonts w:hint="eastAsia" w:ascii="宋体" w:hAnsi="宋体" w:cs="宋体"/>
                <w:color w:val="auto"/>
                <w:sz w:val="21"/>
                <w:szCs w:val="21"/>
              </w:rPr>
              <w:t>。</w:t>
            </w:r>
          </w:p>
          <w:p>
            <w:pPr>
              <w:pStyle w:val="41"/>
              <w:spacing w:line="360" w:lineRule="auto"/>
              <w:jc w:val="center"/>
              <w:rPr>
                <w:rFonts w:ascii="宋体" w:hAnsi="宋体" w:cs="宋体"/>
                <w:color w:val="auto"/>
                <w:sz w:val="21"/>
                <w:szCs w:val="21"/>
              </w:rPr>
            </w:pPr>
            <w:r>
              <w:rPr>
                <w:rFonts w:hint="eastAsia" w:ascii="宋体" w:hAnsi="宋体" w:cs="宋体"/>
                <w:b/>
                <w:bCs/>
                <w:color w:val="auto"/>
                <w:sz w:val="21"/>
                <w:szCs w:val="21"/>
              </w:rPr>
              <w:t>表4-</w:t>
            </w:r>
            <w:r>
              <w:rPr>
                <w:rFonts w:hint="eastAsia" w:ascii="宋体" w:hAnsi="宋体" w:cs="宋体"/>
                <w:b/>
                <w:bCs/>
                <w:color w:val="auto"/>
                <w:sz w:val="21"/>
                <w:szCs w:val="21"/>
                <w:lang w:val="en-US" w:eastAsia="zh-CN"/>
              </w:rPr>
              <w:t>7</w:t>
            </w:r>
            <w:r>
              <w:rPr>
                <w:rFonts w:hint="eastAsia" w:ascii="宋体" w:hAnsi="宋体" w:cs="宋体"/>
                <w:b/>
                <w:bCs/>
                <w:color w:val="auto"/>
                <w:sz w:val="21"/>
                <w:szCs w:val="21"/>
              </w:rPr>
              <w:t xml:space="preserve"> 本项目生活污水排放浓度一览表</w:t>
            </w:r>
          </w:p>
          <w:tbl>
            <w:tblPr>
              <w:tblStyle w:val="2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283"/>
              <w:gridCol w:w="1319"/>
              <w:gridCol w:w="1110"/>
              <w:gridCol w:w="1244"/>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9" w:type="pct"/>
                  <w:vMerge w:val="restar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处理单元</w:t>
                  </w:r>
                </w:p>
              </w:tc>
              <w:tc>
                <w:tcPr>
                  <w:tcW w:w="4170" w:type="pct"/>
                  <w:gridSpan w:val="5"/>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水质指标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9" w:type="pct"/>
                  <w:vMerge w:val="continue"/>
                  <w:vAlign w:val="center"/>
                </w:tcPr>
                <w:p>
                  <w:pPr>
                    <w:pStyle w:val="41"/>
                    <w:spacing w:line="360" w:lineRule="auto"/>
                    <w:jc w:val="center"/>
                    <w:rPr>
                      <w:rFonts w:ascii="宋体" w:hAnsi="宋体" w:cs="宋体"/>
                      <w:color w:val="auto"/>
                      <w:sz w:val="18"/>
                      <w:szCs w:val="18"/>
                    </w:rPr>
                  </w:pPr>
                </w:p>
              </w:tc>
              <w:tc>
                <w:tcPr>
                  <w:tcW w:w="809"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COD (mg/L)</w:t>
                  </w:r>
                </w:p>
              </w:tc>
              <w:tc>
                <w:tcPr>
                  <w:tcW w:w="832"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BOD</w:t>
                  </w:r>
                  <w:r>
                    <w:rPr>
                      <w:rFonts w:hint="eastAsia" w:ascii="宋体" w:hAnsi="宋体" w:cs="宋体"/>
                      <w:color w:val="auto"/>
                      <w:sz w:val="18"/>
                      <w:szCs w:val="18"/>
                      <w:vertAlign w:val="subscript"/>
                    </w:rPr>
                    <w:t>5</w:t>
                  </w:r>
                  <w:r>
                    <w:rPr>
                      <w:rFonts w:hint="eastAsia" w:ascii="宋体" w:hAnsi="宋体" w:cs="宋体"/>
                      <w:color w:val="auto"/>
                      <w:sz w:val="18"/>
                      <w:szCs w:val="18"/>
                    </w:rPr>
                    <w:t xml:space="preserve"> (mg/L)</w:t>
                  </w:r>
                </w:p>
              </w:tc>
              <w:tc>
                <w:tcPr>
                  <w:tcW w:w="700"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SS (mg/L)</w:t>
                  </w:r>
                </w:p>
              </w:tc>
              <w:tc>
                <w:tcPr>
                  <w:tcW w:w="785"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氨氮 (mg/L)</w:t>
                  </w:r>
                </w:p>
              </w:tc>
              <w:tc>
                <w:tcPr>
                  <w:tcW w:w="1043"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粪大肠菌群(个/L）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9"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进水量（m</w:t>
                  </w:r>
                  <w:r>
                    <w:rPr>
                      <w:rFonts w:hint="eastAsia" w:ascii="宋体" w:hAnsi="宋体" w:cs="宋体"/>
                      <w:color w:val="auto"/>
                      <w:sz w:val="18"/>
                      <w:szCs w:val="18"/>
                      <w:vertAlign w:val="superscript"/>
                    </w:rPr>
                    <w:t>3</w:t>
                  </w:r>
                  <w:r>
                    <w:rPr>
                      <w:rFonts w:hint="eastAsia" w:ascii="宋体" w:hAnsi="宋体" w:cs="宋体"/>
                      <w:color w:val="auto"/>
                      <w:sz w:val="18"/>
                      <w:szCs w:val="18"/>
                    </w:rPr>
                    <w:t>/a）</w:t>
                  </w:r>
                </w:p>
              </w:tc>
              <w:tc>
                <w:tcPr>
                  <w:tcW w:w="4170" w:type="pct"/>
                  <w:gridSpan w:val="5"/>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80.68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9"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进水浓度</w:t>
                  </w:r>
                </w:p>
              </w:tc>
              <w:tc>
                <w:tcPr>
                  <w:tcW w:w="809"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330</w:t>
                  </w:r>
                </w:p>
              </w:tc>
              <w:tc>
                <w:tcPr>
                  <w:tcW w:w="832"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150</w:t>
                  </w:r>
                </w:p>
              </w:tc>
              <w:tc>
                <w:tcPr>
                  <w:tcW w:w="700"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210</w:t>
                  </w:r>
                </w:p>
              </w:tc>
              <w:tc>
                <w:tcPr>
                  <w:tcW w:w="785"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30</w:t>
                  </w:r>
                </w:p>
              </w:tc>
              <w:tc>
                <w:tcPr>
                  <w:tcW w:w="1043"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lang w:bidi="ar"/>
                    </w:rPr>
                    <w:t>3.0*10</w:t>
                  </w:r>
                  <w:r>
                    <w:rPr>
                      <w:rFonts w:hint="eastAsia" w:ascii="宋体" w:hAnsi="宋体" w:cs="宋体"/>
                      <w:color w:val="auto"/>
                      <w:sz w:val="18"/>
                      <w:szCs w:val="18"/>
                      <w:vertAlign w:val="superscript"/>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9"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产生量（t/a）</w:t>
                  </w:r>
                </w:p>
              </w:tc>
              <w:tc>
                <w:tcPr>
                  <w:tcW w:w="809"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0.027</w:t>
                  </w:r>
                </w:p>
              </w:tc>
              <w:tc>
                <w:tcPr>
                  <w:tcW w:w="832"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0.012</w:t>
                  </w:r>
                </w:p>
              </w:tc>
              <w:tc>
                <w:tcPr>
                  <w:tcW w:w="700"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0.017</w:t>
                  </w:r>
                </w:p>
              </w:tc>
              <w:tc>
                <w:tcPr>
                  <w:tcW w:w="785"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0.002</w:t>
                  </w:r>
                </w:p>
              </w:tc>
              <w:tc>
                <w:tcPr>
                  <w:tcW w:w="1043"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≤5000个/L</w:t>
                  </w:r>
                </w:p>
              </w:tc>
            </w:tr>
          </w:tbl>
          <w:p>
            <w:pPr>
              <w:pStyle w:val="41"/>
              <w:spacing w:line="360" w:lineRule="auto"/>
              <w:jc w:val="both"/>
              <w:rPr>
                <w:b/>
                <w:bCs/>
                <w:color w:val="auto"/>
                <w:sz w:val="21"/>
                <w:szCs w:val="21"/>
              </w:rPr>
            </w:pPr>
          </w:p>
          <w:p>
            <w:pPr>
              <w:pStyle w:val="41"/>
              <w:spacing w:line="360" w:lineRule="auto"/>
              <w:jc w:val="center"/>
              <w:rPr>
                <w:rFonts w:ascii="宋体" w:hAnsi="宋体" w:cs="宋体"/>
                <w:b/>
                <w:bCs/>
                <w:color w:val="auto"/>
                <w:sz w:val="21"/>
                <w:szCs w:val="21"/>
              </w:rPr>
            </w:pPr>
            <w:r>
              <w:rPr>
                <w:rFonts w:hint="eastAsia" w:ascii="宋体" w:hAnsi="宋体" w:cs="宋体"/>
                <w:b/>
                <w:bCs/>
                <w:color w:val="auto"/>
                <w:sz w:val="21"/>
                <w:szCs w:val="21"/>
              </w:rPr>
              <w:t>表4-</w:t>
            </w:r>
            <w:r>
              <w:rPr>
                <w:rFonts w:hint="eastAsia" w:ascii="宋体" w:hAnsi="宋体" w:cs="宋体"/>
                <w:b/>
                <w:bCs/>
                <w:color w:val="auto"/>
                <w:sz w:val="21"/>
                <w:szCs w:val="21"/>
                <w:lang w:val="en-US" w:eastAsia="zh-CN"/>
              </w:rPr>
              <w:t>8</w:t>
            </w:r>
            <w:r>
              <w:rPr>
                <w:rFonts w:hint="eastAsia" w:ascii="宋体" w:hAnsi="宋体" w:cs="宋体"/>
                <w:b/>
                <w:bCs/>
                <w:color w:val="auto"/>
                <w:sz w:val="21"/>
                <w:szCs w:val="21"/>
              </w:rPr>
              <w:t xml:space="preserve">  本项目生活污水《污水综合排放标准》（GB8978-1996）排放浓度一览表</w:t>
            </w:r>
          </w:p>
          <w:tbl>
            <w:tblPr>
              <w:tblStyle w:val="25"/>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28"/>
              <w:gridCol w:w="1335"/>
              <w:gridCol w:w="1124"/>
              <w:gridCol w:w="1244"/>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vMerge w:val="restar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处理单元</w:t>
                  </w:r>
                </w:p>
              </w:tc>
              <w:tc>
                <w:tcPr>
                  <w:tcW w:w="4198" w:type="pct"/>
                  <w:gridSpan w:val="5"/>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水质指标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vMerge w:val="continue"/>
                  <w:vAlign w:val="center"/>
                </w:tcPr>
                <w:p>
                  <w:pPr>
                    <w:pStyle w:val="41"/>
                    <w:spacing w:line="360" w:lineRule="auto"/>
                    <w:jc w:val="center"/>
                    <w:rPr>
                      <w:rFonts w:ascii="宋体" w:hAnsi="宋体" w:cs="宋体"/>
                      <w:color w:val="auto"/>
                      <w:sz w:val="18"/>
                      <w:szCs w:val="18"/>
                    </w:rPr>
                  </w:pPr>
                </w:p>
              </w:tc>
              <w:tc>
                <w:tcPr>
                  <w:tcW w:w="838"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COD (mg/L)</w:t>
                  </w:r>
                </w:p>
              </w:tc>
              <w:tc>
                <w:tcPr>
                  <w:tcW w:w="842"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BOD</w:t>
                  </w:r>
                  <w:r>
                    <w:rPr>
                      <w:rFonts w:hint="eastAsia" w:ascii="宋体" w:hAnsi="宋体" w:cs="宋体"/>
                      <w:color w:val="auto"/>
                      <w:sz w:val="18"/>
                      <w:szCs w:val="18"/>
                      <w:vertAlign w:val="subscript"/>
                    </w:rPr>
                    <w:t>5</w:t>
                  </w:r>
                  <w:r>
                    <w:rPr>
                      <w:rFonts w:hint="eastAsia" w:ascii="宋体" w:hAnsi="宋体" w:cs="宋体"/>
                      <w:color w:val="auto"/>
                      <w:sz w:val="18"/>
                      <w:szCs w:val="18"/>
                    </w:rPr>
                    <w:t xml:space="preserve"> (mg/L)</w:t>
                  </w:r>
                </w:p>
              </w:tc>
              <w:tc>
                <w:tcPr>
                  <w:tcW w:w="709"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SS (mg/L)</w:t>
                  </w:r>
                </w:p>
              </w:tc>
              <w:tc>
                <w:tcPr>
                  <w:tcW w:w="785"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氨氮 (mg/L)</w:t>
                  </w:r>
                </w:p>
              </w:tc>
              <w:tc>
                <w:tcPr>
                  <w:tcW w:w="1023"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粪大肠菌群(个/L）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废水总量（m</w:t>
                  </w:r>
                  <w:r>
                    <w:rPr>
                      <w:rFonts w:hint="eastAsia" w:ascii="宋体" w:hAnsi="宋体" w:cs="宋体"/>
                      <w:color w:val="auto"/>
                      <w:sz w:val="18"/>
                      <w:szCs w:val="18"/>
                      <w:vertAlign w:val="superscript"/>
                    </w:rPr>
                    <w:t>3</w:t>
                  </w:r>
                  <w:r>
                    <w:rPr>
                      <w:rFonts w:hint="eastAsia" w:ascii="宋体" w:hAnsi="宋体" w:cs="宋体"/>
                      <w:color w:val="auto"/>
                      <w:sz w:val="18"/>
                      <w:szCs w:val="18"/>
                    </w:rPr>
                    <w:t>/a）</w:t>
                  </w:r>
                </w:p>
              </w:tc>
              <w:tc>
                <w:tcPr>
                  <w:tcW w:w="4198" w:type="pct"/>
                  <w:gridSpan w:val="5"/>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80.68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行业排放</w:t>
                  </w:r>
                </w:p>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浓度</w:t>
                  </w:r>
                </w:p>
              </w:tc>
              <w:tc>
                <w:tcPr>
                  <w:tcW w:w="838"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500</w:t>
                  </w:r>
                </w:p>
              </w:tc>
              <w:tc>
                <w:tcPr>
                  <w:tcW w:w="842"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300</w:t>
                  </w:r>
                </w:p>
              </w:tc>
              <w:tc>
                <w:tcPr>
                  <w:tcW w:w="709"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400</w:t>
                  </w:r>
                </w:p>
              </w:tc>
              <w:tc>
                <w:tcPr>
                  <w:tcW w:w="785"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35</w:t>
                  </w:r>
                </w:p>
              </w:tc>
              <w:tc>
                <w:tcPr>
                  <w:tcW w:w="1023"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lang w:bidi="ar"/>
                    </w:rPr>
                    <w:t>3.0*10</w:t>
                  </w:r>
                  <w:r>
                    <w:rPr>
                      <w:rFonts w:hint="eastAsia" w:ascii="宋体" w:hAnsi="宋体" w:cs="宋体"/>
                      <w:color w:val="auto"/>
                      <w:sz w:val="18"/>
                      <w:szCs w:val="18"/>
                      <w:vertAlign w:val="superscript"/>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产生量（t/a）</w:t>
                  </w:r>
                </w:p>
              </w:tc>
              <w:tc>
                <w:tcPr>
                  <w:tcW w:w="838"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0.04</w:t>
                  </w:r>
                </w:p>
              </w:tc>
              <w:tc>
                <w:tcPr>
                  <w:tcW w:w="842"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0.024</w:t>
                  </w:r>
                </w:p>
              </w:tc>
              <w:tc>
                <w:tcPr>
                  <w:tcW w:w="709"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0.032</w:t>
                  </w:r>
                </w:p>
              </w:tc>
              <w:tc>
                <w:tcPr>
                  <w:tcW w:w="785"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0.003</w:t>
                  </w:r>
                </w:p>
              </w:tc>
              <w:tc>
                <w:tcPr>
                  <w:tcW w:w="1023"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≤5000个/L</w:t>
                  </w:r>
                </w:p>
              </w:tc>
            </w:tr>
          </w:tbl>
          <w:p>
            <w:pPr>
              <w:pStyle w:val="41"/>
              <w:spacing w:line="360" w:lineRule="auto"/>
              <w:jc w:val="center"/>
              <w:rPr>
                <w:rFonts w:ascii="宋体" w:hAnsi="宋体" w:cs="宋体"/>
                <w:b/>
                <w:bCs/>
                <w:color w:val="auto"/>
                <w:sz w:val="21"/>
                <w:szCs w:val="21"/>
              </w:rPr>
            </w:pPr>
            <w:r>
              <w:rPr>
                <w:rFonts w:hint="eastAsia" w:ascii="宋体" w:hAnsi="宋体" w:cs="宋体"/>
                <w:b/>
                <w:bCs/>
                <w:color w:val="auto"/>
                <w:sz w:val="21"/>
                <w:szCs w:val="21"/>
              </w:rPr>
              <w:t>表4-</w:t>
            </w:r>
            <w:r>
              <w:rPr>
                <w:rFonts w:hint="eastAsia" w:ascii="宋体" w:hAnsi="宋体" w:cs="宋体"/>
                <w:b/>
                <w:bCs/>
                <w:color w:val="auto"/>
                <w:sz w:val="21"/>
                <w:szCs w:val="21"/>
                <w:lang w:val="en-US" w:eastAsia="zh-CN"/>
              </w:rPr>
              <w:t>9</w:t>
            </w:r>
            <w:r>
              <w:rPr>
                <w:rFonts w:hint="eastAsia" w:ascii="宋体" w:hAnsi="宋体" w:cs="宋体"/>
                <w:b/>
                <w:bCs/>
                <w:color w:val="auto"/>
                <w:sz w:val="21"/>
                <w:szCs w:val="21"/>
              </w:rPr>
              <w:t xml:space="preserve">  项目废水污水处理厂收水浓度一览表</w:t>
            </w:r>
          </w:p>
          <w:tbl>
            <w:tblPr>
              <w:tblStyle w:val="25"/>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43"/>
              <w:gridCol w:w="1319"/>
              <w:gridCol w:w="1094"/>
              <w:gridCol w:w="1258"/>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vMerge w:val="restar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处理单元</w:t>
                  </w:r>
                </w:p>
              </w:tc>
              <w:tc>
                <w:tcPr>
                  <w:tcW w:w="4198" w:type="pct"/>
                  <w:gridSpan w:val="5"/>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水质指标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vMerge w:val="continue"/>
                  <w:vAlign w:val="center"/>
                </w:tcPr>
                <w:p>
                  <w:pPr>
                    <w:pStyle w:val="41"/>
                    <w:spacing w:line="360" w:lineRule="auto"/>
                    <w:jc w:val="center"/>
                    <w:rPr>
                      <w:rFonts w:ascii="宋体" w:hAnsi="宋体" w:cs="宋体"/>
                      <w:color w:val="auto"/>
                      <w:sz w:val="18"/>
                      <w:szCs w:val="18"/>
                    </w:rPr>
                  </w:pPr>
                </w:p>
              </w:tc>
              <w:tc>
                <w:tcPr>
                  <w:tcW w:w="847"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COD (mg/L)</w:t>
                  </w:r>
                </w:p>
              </w:tc>
              <w:tc>
                <w:tcPr>
                  <w:tcW w:w="832"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BOD</w:t>
                  </w:r>
                  <w:r>
                    <w:rPr>
                      <w:rFonts w:hint="eastAsia" w:ascii="宋体" w:hAnsi="宋体" w:cs="宋体"/>
                      <w:color w:val="auto"/>
                      <w:sz w:val="18"/>
                      <w:szCs w:val="18"/>
                      <w:vertAlign w:val="subscript"/>
                    </w:rPr>
                    <w:t>5</w:t>
                  </w:r>
                  <w:r>
                    <w:rPr>
                      <w:rFonts w:hint="eastAsia" w:ascii="宋体" w:hAnsi="宋体" w:cs="宋体"/>
                      <w:color w:val="auto"/>
                      <w:sz w:val="18"/>
                      <w:szCs w:val="18"/>
                    </w:rPr>
                    <w:t xml:space="preserve"> (mg/L)</w:t>
                  </w:r>
                </w:p>
              </w:tc>
              <w:tc>
                <w:tcPr>
                  <w:tcW w:w="690"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SS (mg/L)</w:t>
                  </w:r>
                </w:p>
              </w:tc>
              <w:tc>
                <w:tcPr>
                  <w:tcW w:w="794"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氨氮 (mg/L)</w:t>
                  </w:r>
                </w:p>
              </w:tc>
              <w:tc>
                <w:tcPr>
                  <w:tcW w:w="1032" w:type="pct"/>
                  <w:vAlign w:val="center"/>
                </w:tcPr>
                <w:p>
                  <w:pPr>
                    <w:pStyle w:val="41"/>
                    <w:spacing w:line="360" w:lineRule="auto"/>
                    <w:jc w:val="both"/>
                    <w:rPr>
                      <w:rFonts w:ascii="宋体" w:hAnsi="宋体" w:cs="宋体"/>
                      <w:color w:val="auto"/>
                      <w:sz w:val="18"/>
                      <w:szCs w:val="18"/>
                    </w:rPr>
                  </w:pPr>
                  <w:r>
                    <w:rPr>
                      <w:rFonts w:hint="eastAsia" w:ascii="宋体" w:hAnsi="宋体" w:cs="宋体"/>
                      <w:color w:val="auto"/>
                      <w:sz w:val="18"/>
                      <w:szCs w:val="18"/>
                    </w:rPr>
                    <w:t>粪大肠菌群(个/L）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废水总量（m</w:t>
                  </w:r>
                  <w:r>
                    <w:rPr>
                      <w:rFonts w:hint="eastAsia" w:ascii="宋体" w:hAnsi="宋体" w:cs="宋体"/>
                      <w:color w:val="auto"/>
                      <w:sz w:val="18"/>
                      <w:szCs w:val="18"/>
                      <w:vertAlign w:val="superscript"/>
                    </w:rPr>
                    <w:t>3</w:t>
                  </w:r>
                  <w:r>
                    <w:rPr>
                      <w:rFonts w:hint="eastAsia" w:ascii="宋体" w:hAnsi="宋体" w:cs="宋体"/>
                      <w:color w:val="auto"/>
                      <w:sz w:val="18"/>
                      <w:szCs w:val="18"/>
                    </w:rPr>
                    <w:t>/a）</w:t>
                  </w:r>
                </w:p>
              </w:tc>
              <w:tc>
                <w:tcPr>
                  <w:tcW w:w="4198" w:type="pct"/>
                  <w:gridSpan w:val="5"/>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80.68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vAlign w:val="center"/>
                </w:tcPr>
                <w:p>
                  <w:pPr>
                    <w:pStyle w:val="41"/>
                    <w:spacing w:line="360" w:lineRule="auto"/>
                    <w:jc w:val="center"/>
                    <w:rPr>
                      <w:rFonts w:ascii="宋体" w:hAnsi="宋体" w:cs="宋体"/>
                      <w:color w:val="auto"/>
                      <w:sz w:val="18"/>
                      <w:szCs w:val="18"/>
                    </w:rPr>
                  </w:pPr>
                  <w:r>
                    <w:rPr>
                      <w:rFonts w:hint="eastAsia" w:ascii="宋体" w:hAnsi="宋体" w:cs="宋体"/>
                      <w:snapToGrid w:val="0"/>
                      <w:color w:val="auto"/>
                      <w:sz w:val="18"/>
                      <w:szCs w:val="18"/>
                    </w:rPr>
                    <w:t>围场县克勒沟污水处理厂</w:t>
                  </w:r>
                  <w:r>
                    <w:rPr>
                      <w:rFonts w:hint="eastAsia" w:ascii="宋体" w:hAnsi="宋体" w:cs="宋体"/>
                      <w:color w:val="auto"/>
                      <w:sz w:val="18"/>
                      <w:szCs w:val="18"/>
                    </w:rPr>
                    <w:t>收水浓度</w:t>
                  </w:r>
                </w:p>
              </w:tc>
              <w:tc>
                <w:tcPr>
                  <w:tcW w:w="847"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350</w:t>
                  </w:r>
                </w:p>
              </w:tc>
              <w:tc>
                <w:tcPr>
                  <w:tcW w:w="832"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180</w:t>
                  </w:r>
                </w:p>
              </w:tc>
              <w:tc>
                <w:tcPr>
                  <w:tcW w:w="690"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220</w:t>
                  </w:r>
                </w:p>
              </w:tc>
              <w:tc>
                <w:tcPr>
                  <w:tcW w:w="794"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35</w:t>
                  </w:r>
                </w:p>
              </w:tc>
              <w:tc>
                <w:tcPr>
                  <w:tcW w:w="1032"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≤1000个/L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产生量（t/a）</w:t>
                  </w:r>
                </w:p>
              </w:tc>
              <w:tc>
                <w:tcPr>
                  <w:tcW w:w="847"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0.028</w:t>
                  </w:r>
                </w:p>
              </w:tc>
              <w:tc>
                <w:tcPr>
                  <w:tcW w:w="832"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0.015</w:t>
                  </w:r>
                </w:p>
              </w:tc>
              <w:tc>
                <w:tcPr>
                  <w:tcW w:w="690"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0.018</w:t>
                  </w:r>
                </w:p>
              </w:tc>
              <w:tc>
                <w:tcPr>
                  <w:tcW w:w="794"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0.003</w:t>
                  </w:r>
                </w:p>
              </w:tc>
              <w:tc>
                <w:tcPr>
                  <w:tcW w:w="1032"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≤1000个/L</w:t>
                  </w:r>
                </w:p>
              </w:tc>
            </w:tr>
          </w:tbl>
          <w:p>
            <w:pPr>
              <w:pStyle w:val="42"/>
              <w:spacing w:line="360" w:lineRule="auto"/>
              <w:jc w:val="both"/>
              <w:rPr>
                <w:rFonts w:ascii="Times New Roman" w:hAnsi="Times New Roman"/>
                <w:b w:val="0"/>
                <w:bCs w:val="0"/>
                <w:kern w:val="0"/>
                <w:szCs w:val="21"/>
              </w:rPr>
            </w:pPr>
          </w:p>
          <w:p>
            <w:pPr>
              <w:pStyle w:val="42"/>
              <w:spacing w:line="360" w:lineRule="auto"/>
              <w:ind w:firstLine="420" w:firstLineChars="200"/>
              <w:jc w:val="both"/>
              <w:rPr>
                <w:rFonts w:hAnsi="宋体" w:cs="宋体"/>
                <w:b w:val="0"/>
                <w:bCs w:val="0"/>
                <w:kern w:val="0"/>
                <w:szCs w:val="21"/>
              </w:rPr>
            </w:pPr>
            <w:r>
              <w:rPr>
                <w:rFonts w:hint="eastAsia" w:hAnsi="宋体" w:cs="宋体"/>
                <w:b w:val="0"/>
                <w:bCs w:val="0"/>
                <w:kern w:val="0"/>
                <w:szCs w:val="21"/>
              </w:rPr>
              <w:t>根据《河北省生态环境厅办公室关于进一步做好建设项目新增水主要污染物排污权核定有关事宜的通知 》（文号：冀环办字函【2023】283号）：“间接排放的，按照建设项目排水量及所排入污水集中处理设施执行的水污染物排放标准核算”，围场满族蒙古族自治县永溢环保科技有限责任公司克勒沟污水处理厂执行的排放浓度标准为《城镇污水处理厂污染物排放标准GB18918-2002》一级A 类排放限值要求，COD执行50mg/L，氨氮执行5mg/L。则本项目COD、氨氮最终总量控制指标见表4-</w:t>
            </w:r>
            <w:r>
              <w:rPr>
                <w:rFonts w:hint="eastAsia" w:hAnsi="宋体" w:cs="宋体"/>
                <w:b w:val="0"/>
                <w:bCs w:val="0"/>
                <w:kern w:val="0"/>
                <w:szCs w:val="21"/>
                <w:lang w:val="en-US" w:eastAsia="zh-CN"/>
              </w:rPr>
              <w:t>10</w:t>
            </w:r>
            <w:r>
              <w:rPr>
                <w:rFonts w:hint="eastAsia" w:hAnsi="宋体" w:cs="宋体"/>
                <w:b w:val="0"/>
                <w:bCs w:val="0"/>
                <w:kern w:val="0"/>
                <w:szCs w:val="21"/>
              </w:rPr>
              <w:t>。</w:t>
            </w:r>
          </w:p>
          <w:p>
            <w:pPr>
              <w:pStyle w:val="41"/>
              <w:spacing w:line="360" w:lineRule="auto"/>
              <w:jc w:val="center"/>
              <w:rPr>
                <w:rFonts w:ascii="宋体" w:hAnsi="宋体" w:cs="宋体"/>
                <w:b/>
                <w:bCs/>
                <w:color w:val="auto"/>
                <w:sz w:val="21"/>
                <w:szCs w:val="21"/>
              </w:rPr>
            </w:pPr>
            <w:r>
              <w:rPr>
                <w:rFonts w:hint="eastAsia" w:ascii="宋体" w:hAnsi="宋体" w:cs="宋体"/>
                <w:b/>
                <w:bCs/>
                <w:color w:val="auto"/>
                <w:sz w:val="21"/>
                <w:szCs w:val="21"/>
              </w:rPr>
              <w:t>表4-</w:t>
            </w:r>
            <w:r>
              <w:rPr>
                <w:rFonts w:hint="eastAsia" w:ascii="宋体" w:hAnsi="宋体" w:cs="宋体"/>
                <w:b/>
                <w:bCs/>
                <w:color w:val="auto"/>
                <w:sz w:val="21"/>
                <w:szCs w:val="21"/>
                <w:lang w:val="en-US" w:eastAsia="zh-CN"/>
              </w:rPr>
              <w:t>10</w:t>
            </w:r>
            <w:r>
              <w:rPr>
                <w:rFonts w:hint="eastAsia" w:ascii="宋体" w:hAnsi="宋体" w:cs="宋体"/>
                <w:b/>
                <w:bCs/>
                <w:color w:val="auto"/>
                <w:sz w:val="21"/>
                <w:szCs w:val="21"/>
              </w:rPr>
              <w:t xml:space="preserve">  本项目废水排放浓度一览表</w:t>
            </w:r>
          </w:p>
          <w:tbl>
            <w:tblPr>
              <w:tblStyle w:val="25"/>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246"/>
              <w:gridCol w:w="1246"/>
              <w:gridCol w:w="1246"/>
              <w:gridCol w:w="1246"/>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8" w:type="pct"/>
                  <w:vMerge w:val="restar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处理单元</w:t>
                  </w:r>
                </w:p>
              </w:tc>
              <w:tc>
                <w:tcPr>
                  <w:tcW w:w="3931" w:type="pct"/>
                  <w:gridSpan w:val="5"/>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水质指标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8" w:type="pct"/>
                  <w:vMerge w:val="continue"/>
                  <w:vAlign w:val="center"/>
                </w:tcPr>
                <w:p>
                  <w:pPr>
                    <w:pStyle w:val="41"/>
                    <w:spacing w:line="360" w:lineRule="auto"/>
                    <w:jc w:val="center"/>
                    <w:rPr>
                      <w:rFonts w:ascii="宋体" w:hAnsi="宋体" w:cs="宋体"/>
                      <w:color w:val="auto"/>
                      <w:sz w:val="18"/>
                      <w:szCs w:val="18"/>
                    </w:rPr>
                  </w:pPr>
                </w:p>
              </w:tc>
              <w:tc>
                <w:tcPr>
                  <w:tcW w:w="786"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COD (mg/L)</w:t>
                  </w:r>
                </w:p>
              </w:tc>
              <w:tc>
                <w:tcPr>
                  <w:tcW w:w="786"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BOD</w:t>
                  </w:r>
                  <w:r>
                    <w:rPr>
                      <w:rFonts w:hint="eastAsia" w:ascii="宋体" w:hAnsi="宋体" w:cs="宋体"/>
                      <w:color w:val="auto"/>
                      <w:sz w:val="18"/>
                      <w:szCs w:val="18"/>
                      <w:vertAlign w:val="subscript"/>
                    </w:rPr>
                    <w:t>5</w:t>
                  </w:r>
                  <w:r>
                    <w:rPr>
                      <w:rFonts w:hint="eastAsia" w:ascii="宋体" w:hAnsi="宋体" w:cs="宋体"/>
                      <w:color w:val="auto"/>
                      <w:sz w:val="18"/>
                      <w:szCs w:val="18"/>
                    </w:rPr>
                    <w:t xml:space="preserve"> (mg/L)</w:t>
                  </w:r>
                </w:p>
              </w:tc>
              <w:tc>
                <w:tcPr>
                  <w:tcW w:w="786"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SS (mg/L)</w:t>
                  </w:r>
                </w:p>
              </w:tc>
              <w:tc>
                <w:tcPr>
                  <w:tcW w:w="786"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氨氮 (mg/L)</w:t>
                  </w:r>
                </w:p>
              </w:tc>
              <w:tc>
                <w:tcPr>
                  <w:tcW w:w="787" w:type="pct"/>
                  <w:vAlign w:val="center"/>
                </w:tcPr>
                <w:p>
                  <w:pPr>
                    <w:pStyle w:val="41"/>
                    <w:spacing w:line="360" w:lineRule="auto"/>
                    <w:jc w:val="both"/>
                    <w:rPr>
                      <w:rFonts w:ascii="宋体" w:hAnsi="宋体" w:cs="宋体"/>
                      <w:color w:val="auto"/>
                      <w:sz w:val="18"/>
                      <w:szCs w:val="18"/>
                    </w:rPr>
                  </w:pPr>
                  <w:r>
                    <w:rPr>
                      <w:rFonts w:hint="eastAsia" w:ascii="宋体" w:hAnsi="宋体" w:cs="宋体"/>
                      <w:color w:val="auto"/>
                      <w:sz w:val="18"/>
                      <w:szCs w:val="18"/>
                    </w:rPr>
                    <w:t>粪大肠菌群(个/L）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8"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废水量（m</w:t>
                  </w:r>
                  <w:r>
                    <w:rPr>
                      <w:rFonts w:hint="eastAsia" w:ascii="宋体" w:hAnsi="宋体" w:cs="宋体"/>
                      <w:color w:val="auto"/>
                      <w:sz w:val="18"/>
                      <w:szCs w:val="18"/>
                      <w:vertAlign w:val="superscript"/>
                    </w:rPr>
                    <w:t>3</w:t>
                  </w:r>
                  <w:r>
                    <w:rPr>
                      <w:rFonts w:hint="eastAsia" w:ascii="宋体" w:hAnsi="宋体" w:cs="宋体"/>
                      <w:color w:val="auto"/>
                      <w:sz w:val="18"/>
                      <w:szCs w:val="18"/>
                    </w:rPr>
                    <w:t>/a）</w:t>
                  </w:r>
                </w:p>
              </w:tc>
              <w:tc>
                <w:tcPr>
                  <w:tcW w:w="3931" w:type="pct"/>
                  <w:gridSpan w:val="5"/>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80.68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8"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围场县克勒沟污水处理厂排放浓度</w:t>
                  </w:r>
                </w:p>
              </w:tc>
              <w:tc>
                <w:tcPr>
                  <w:tcW w:w="786"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50</w:t>
                  </w:r>
                </w:p>
              </w:tc>
              <w:tc>
                <w:tcPr>
                  <w:tcW w:w="786"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10</w:t>
                  </w:r>
                </w:p>
              </w:tc>
              <w:tc>
                <w:tcPr>
                  <w:tcW w:w="786"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10</w:t>
                  </w:r>
                </w:p>
              </w:tc>
              <w:tc>
                <w:tcPr>
                  <w:tcW w:w="786"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5</w:t>
                  </w:r>
                </w:p>
              </w:tc>
              <w:tc>
                <w:tcPr>
                  <w:tcW w:w="787"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≤1000个/L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8"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产生量（t/a）</w:t>
                  </w:r>
                </w:p>
              </w:tc>
              <w:tc>
                <w:tcPr>
                  <w:tcW w:w="786"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0.004034</w:t>
                  </w:r>
                </w:p>
              </w:tc>
              <w:tc>
                <w:tcPr>
                  <w:tcW w:w="1246" w:type="dxa"/>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0.0008068</w:t>
                  </w:r>
                </w:p>
              </w:tc>
              <w:tc>
                <w:tcPr>
                  <w:tcW w:w="1246" w:type="dxa"/>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0.0008068</w:t>
                  </w:r>
                </w:p>
              </w:tc>
              <w:tc>
                <w:tcPr>
                  <w:tcW w:w="1246" w:type="dxa"/>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0.0004034</w:t>
                  </w:r>
                </w:p>
              </w:tc>
              <w:tc>
                <w:tcPr>
                  <w:tcW w:w="787" w:type="pct"/>
                  <w:vAlign w:val="center"/>
                </w:tcPr>
                <w:p>
                  <w:pPr>
                    <w:pStyle w:val="41"/>
                    <w:spacing w:line="360" w:lineRule="auto"/>
                    <w:jc w:val="center"/>
                    <w:rPr>
                      <w:rFonts w:ascii="宋体" w:hAnsi="宋体" w:cs="宋体"/>
                      <w:color w:val="auto"/>
                      <w:sz w:val="18"/>
                      <w:szCs w:val="18"/>
                    </w:rPr>
                  </w:pPr>
                  <w:r>
                    <w:rPr>
                      <w:rFonts w:hint="eastAsia" w:ascii="宋体" w:hAnsi="宋体" w:cs="宋体"/>
                      <w:color w:val="auto"/>
                      <w:sz w:val="18"/>
                      <w:szCs w:val="18"/>
                    </w:rPr>
                    <w:t>≤1000个/L</w:t>
                  </w:r>
                </w:p>
              </w:tc>
            </w:tr>
          </w:tbl>
          <w:p>
            <w:pPr>
              <w:pStyle w:val="42"/>
              <w:spacing w:line="360" w:lineRule="auto"/>
              <w:ind w:firstLine="420" w:firstLineChars="200"/>
              <w:jc w:val="both"/>
              <w:rPr>
                <w:rFonts w:hAnsi="宋体" w:cs="宋体"/>
                <w:szCs w:val="21"/>
              </w:rPr>
            </w:pPr>
            <w:r>
              <w:rPr>
                <w:rFonts w:hint="eastAsia" w:hAnsi="宋体" w:cs="宋体"/>
                <w:b w:val="0"/>
                <w:bCs w:val="0"/>
                <w:kern w:val="0"/>
                <w:szCs w:val="21"/>
              </w:rPr>
              <w:t>综上所述，项目年排放废水量80.68t/a，新增主要污染物总量控制指标：COD0.004034t/a（约等于0.004t/a）、氨氮0.0004034t/a（约等于0.001t/a）。</w:t>
            </w:r>
          </w:p>
          <w:p>
            <w:pPr>
              <w:pStyle w:val="41"/>
              <w:spacing w:line="360" w:lineRule="auto"/>
              <w:ind w:firstLine="422" w:firstLineChars="200"/>
              <w:jc w:val="both"/>
              <w:rPr>
                <w:rFonts w:ascii="宋体" w:hAnsi="宋体" w:cs="宋体"/>
                <w:b/>
                <w:bCs/>
                <w:color w:val="auto"/>
                <w:sz w:val="21"/>
                <w:szCs w:val="21"/>
              </w:rPr>
            </w:pPr>
            <w:r>
              <w:rPr>
                <w:rFonts w:hint="eastAsia" w:ascii="宋体" w:hAnsi="宋体" w:cs="宋体"/>
                <w:b/>
                <w:bCs/>
                <w:color w:val="auto"/>
                <w:sz w:val="21"/>
                <w:szCs w:val="21"/>
              </w:rPr>
              <w:t>3、噪声</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本项目运营期主要产生噪声设备为木材粉碎机、滚筒原料筛选机、原料搅拌机、地下回料提升机、翻筐机、装袋窝口插棒一体机、生物质锅炉及风机等，噪声源较少，噪声源强为70~90dB（A）。项目产噪设备位于封闭车间内，封闭车间噪声削减量可达15~20dB （A），且50m范围内无声环境保护目标。</w:t>
            </w:r>
          </w:p>
          <w:p>
            <w:pPr>
              <w:tabs>
                <w:tab w:val="left" w:pos="-1800"/>
              </w:tabs>
              <w:adjustRightInd w:val="0"/>
              <w:snapToGrid w:val="0"/>
              <w:spacing w:before="120" w:beforeLines="50"/>
              <w:ind w:firstLine="422" w:firstLineChars="200"/>
              <w:jc w:val="center"/>
              <w:rPr>
                <w:rFonts w:ascii="宋体" w:hAnsi="宋体" w:cs="宋体"/>
                <w:b/>
                <w:szCs w:val="21"/>
              </w:rPr>
            </w:pPr>
            <w:bookmarkStart w:id="18" w:name="_Toc27861"/>
            <w:r>
              <w:rPr>
                <w:rFonts w:hint="eastAsia" w:ascii="宋体" w:hAnsi="宋体" w:cs="宋体"/>
                <w:b/>
                <w:szCs w:val="21"/>
              </w:rPr>
              <w:t>表4-</w:t>
            </w:r>
            <w:r>
              <w:rPr>
                <w:rFonts w:hint="eastAsia" w:ascii="宋体" w:hAnsi="宋体" w:cs="宋体"/>
                <w:b/>
                <w:szCs w:val="21"/>
                <w:lang w:val="en-US" w:eastAsia="zh-CN"/>
              </w:rPr>
              <w:t>11</w:t>
            </w:r>
            <w:r>
              <w:rPr>
                <w:rFonts w:hint="eastAsia" w:ascii="宋体" w:hAnsi="宋体" w:cs="宋体"/>
                <w:b/>
                <w:szCs w:val="21"/>
              </w:rPr>
              <w:t xml:space="preserve">  噪声源强调查清单(室内声源)</w:t>
            </w:r>
          </w:p>
          <w:tbl>
            <w:tblPr>
              <w:tblStyle w:val="25"/>
              <w:tblW w:w="799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2"/>
              <w:gridCol w:w="769"/>
              <w:gridCol w:w="852"/>
              <w:gridCol w:w="936"/>
              <w:gridCol w:w="1123"/>
              <w:gridCol w:w="845"/>
              <w:gridCol w:w="845"/>
              <w:gridCol w:w="847"/>
              <w:gridCol w:w="8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701" w:type="dxa"/>
                  <w:gridSpan w:val="2"/>
                  <w:vAlign w:val="center"/>
                </w:tcPr>
                <w:p>
                  <w:pPr>
                    <w:jc w:val="center"/>
                    <w:rPr>
                      <w:rFonts w:ascii="宋体" w:hAnsi="宋体" w:cs="宋体"/>
                      <w:sz w:val="18"/>
                      <w:szCs w:val="18"/>
                      <w:highlight w:val="none"/>
                    </w:rPr>
                  </w:pPr>
                  <w:r>
                    <w:rPr>
                      <w:rFonts w:hint="eastAsia" w:ascii="宋体" w:hAnsi="宋体" w:cs="宋体"/>
                      <w:sz w:val="18"/>
                      <w:szCs w:val="18"/>
                      <w:highlight w:val="none"/>
                    </w:rPr>
                    <w:t>项目序号</w:t>
                  </w:r>
                </w:p>
              </w:tc>
              <w:tc>
                <w:tcPr>
                  <w:tcW w:w="852"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c>
                <w:tcPr>
                  <w:tcW w:w="936" w:type="dxa"/>
                  <w:vAlign w:val="center"/>
                </w:tcPr>
                <w:p>
                  <w:pPr>
                    <w:jc w:val="center"/>
                    <w:rPr>
                      <w:rFonts w:ascii="宋体" w:hAnsi="宋体" w:cs="宋体"/>
                      <w:sz w:val="18"/>
                      <w:szCs w:val="18"/>
                      <w:highlight w:val="none"/>
                    </w:rPr>
                  </w:pPr>
                  <w:r>
                    <w:rPr>
                      <w:rFonts w:hint="eastAsia" w:ascii="宋体" w:hAnsi="宋体" w:cs="宋体"/>
                      <w:sz w:val="18"/>
                      <w:szCs w:val="18"/>
                      <w:highlight w:val="none"/>
                    </w:rPr>
                    <w:t>2</w:t>
                  </w:r>
                </w:p>
              </w:tc>
              <w:tc>
                <w:tcPr>
                  <w:tcW w:w="1123" w:type="dxa"/>
                  <w:vAlign w:val="center"/>
                </w:tcPr>
                <w:p>
                  <w:pPr>
                    <w:jc w:val="center"/>
                    <w:rPr>
                      <w:rFonts w:ascii="宋体" w:hAnsi="宋体" w:cs="宋体"/>
                      <w:sz w:val="18"/>
                      <w:szCs w:val="18"/>
                      <w:highlight w:val="none"/>
                    </w:rPr>
                  </w:pPr>
                  <w:r>
                    <w:rPr>
                      <w:rFonts w:hint="eastAsia" w:ascii="宋体" w:hAnsi="宋体" w:cs="宋体"/>
                      <w:sz w:val="18"/>
                      <w:szCs w:val="18"/>
                      <w:highlight w:val="none"/>
                    </w:rPr>
                    <w:t>3</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4</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5</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6</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701" w:type="dxa"/>
                  <w:gridSpan w:val="2"/>
                  <w:vAlign w:val="center"/>
                </w:tcPr>
                <w:p>
                  <w:pPr>
                    <w:jc w:val="center"/>
                    <w:rPr>
                      <w:rFonts w:ascii="宋体" w:hAnsi="宋体" w:cs="宋体"/>
                      <w:sz w:val="18"/>
                      <w:szCs w:val="18"/>
                      <w:highlight w:val="none"/>
                    </w:rPr>
                  </w:pPr>
                  <w:r>
                    <w:rPr>
                      <w:rFonts w:hint="eastAsia" w:ascii="宋体" w:hAnsi="宋体" w:cs="宋体"/>
                      <w:sz w:val="18"/>
                      <w:szCs w:val="18"/>
                      <w:highlight w:val="none"/>
                    </w:rPr>
                    <w:t>建筑物名称</w:t>
                  </w:r>
                </w:p>
              </w:tc>
              <w:tc>
                <w:tcPr>
                  <w:tcW w:w="852" w:type="dxa"/>
                  <w:vAlign w:val="center"/>
                </w:tcPr>
                <w:p>
                  <w:pPr>
                    <w:jc w:val="center"/>
                    <w:rPr>
                      <w:rFonts w:ascii="宋体" w:hAnsi="宋体" w:cs="宋体"/>
                      <w:sz w:val="18"/>
                      <w:szCs w:val="18"/>
                      <w:highlight w:val="none"/>
                    </w:rPr>
                  </w:pPr>
                  <w:r>
                    <w:rPr>
                      <w:rFonts w:hint="eastAsia" w:ascii="宋体" w:hAnsi="宋体" w:cs="宋体"/>
                      <w:sz w:val="18"/>
                      <w:szCs w:val="18"/>
                      <w:highlight w:val="none"/>
                    </w:rPr>
                    <w:t>锅炉房</w:t>
                  </w:r>
                </w:p>
              </w:tc>
              <w:tc>
                <w:tcPr>
                  <w:tcW w:w="936" w:type="dxa"/>
                  <w:vAlign w:val="center"/>
                </w:tcPr>
                <w:p>
                  <w:pPr>
                    <w:jc w:val="center"/>
                    <w:rPr>
                      <w:rFonts w:ascii="宋体" w:hAnsi="宋体" w:cs="宋体"/>
                      <w:sz w:val="18"/>
                      <w:szCs w:val="18"/>
                      <w:highlight w:val="none"/>
                    </w:rPr>
                  </w:pPr>
                  <w:r>
                    <w:rPr>
                      <w:rFonts w:hint="eastAsia" w:ascii="宋体" w:hAnsi="宋体" w:cs="宋体"/>
                      <w:sz w:val="18"/>
                      <w:szCs w:val="18"/>
                      <w:highlight w:val="none"/>
                    </w:rPr>
                    <w:t>粉碎车间</w:t>
                  </w:r>
                </w:p>
              </w:tc>
              <w:tc>
                <w:tcPr>
                  <w:tcW w:w="4507" w:type="dxa"/>
                  <w:gridSpan w:val="5"/>
                  <w:vAlign w:val="center"/>
                </w:tcPr>
                <w:p>
                  <w:pPr>
                    <w:jc w:val="center"/>
                    <w:rPr>
                      <w:rFonts w:ascii="宋体" w:hAnsi="宋体" w:cs="宋体"/>
                      <w:sz w:val="18"/>
                      <w:szCs w:val="18"/>
                      <w:highlight w:val="none"/>
                    </w:rPr>
                  </w:pPr>
                  <w:r>
                    <w:rPr>
                      <w:rFonts w:hint="eastAsia" w:ascii="宋体" w:hAnsi="宋体" w:cs="宋体"/>
                      <w:sz w:val="18"/>
                      <w:szCs w:val="18"/>
                      <w:highlight w:val="none"/>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701" w:type="dxa"/>
                  <w:gridSpan w:val="2"/>
                  <w:vAlign w:val="center"/>
                </w:tcPr>
                <w:p>
                  <w:pPr>
                    <w:jc w:val="center"/>
                    <w:rPr>
                      <w:rFonts w:ascii="宋体" w:hAnsi="宋体" w:cs="宋体"/>
                      <w:sz w:val="18"/>
                      <w:szCs w:val="18"/>
                      <w:highlight w:val="none"/>
                    </w:rPr>
                  </w:pPr>
                  <w:r>
                    <w:rPr>
                      <w:rFonts w:hint="eastAsia" w:ascii="宋体" w:hAnsi="宋体" w:cs="宋体"/>
                      <w:sz w:val="18"/>
                      <w:szCs w:val="18"/>
                      <w:highlight w:val="none"/>
                    </w:rPr>
                    <w:t>声源名称</w:t>
                  </w:r>
                </w:p>
              </w:tc>
              <w:tc>
                <w:tcPr>
                  <w:tcW w:w="852" w:type="dxa"/>
                  <w:vAlign w:val="center"/>
                </w:tcPr>
                <w:p>
                  <w:pPr>
                    <w:jc w:val="center"/>
                    <w:rPr>
                      <w:rFonts w:ascii="宋体" w:hAnsi="宋体" w:cs="宋体"/>
                      <w:sz w:val="18"/>
                      <w:szCs w:val="18"/>
                      <w:highlight w:val="none"/>
                    </w:rPr>
                  </w:pPr>
                  <w:r>
                    <w:rPr>
                      <w:rFonts w:hint="eastAsia" w:ascii="宋体" w:hAnsi="宋体" w:cs="宋体"/>
                      <w:sz w:val="18"/>
                      <w:szCs w:val="18"/>
                      <w:highlight w:val="none"/>
                    </w:rPr>
                    <w:t>生物质锅炉</w:t>
                  </w:r>
                </w:p>
              </w:tc>
              <w:tc>
                <w:tcPr>
                  <w:tcW w:w="936" w:type="dxa"/>
                  <w:vAlign w:val="center"/>
                </w:tcPr>
                <w:p>
                  <w:pPr>
                    <w:jc w:val="center"/>
                    <w:rPr>
                      <w:rFonts w:ascii="宋体" w:hAnsi="宋体" w:cs="宋体"/>
                      <w:sz w:val="18"/>
                      <w:szCs w:val="18"/>
                      <w:highlight w:val="none"/>
                    </w:rPr>
                  </w:pPr>
                  <w:r>
                    <w:rPr>
                      <w:rFonts w:hint="eastAsia" w:ascii="宋体" w:hAnsi="宋体" w:cs="宋体"/>
                      <w:sz w:val="18"/>
                      <w:szCs w:val="18"/>
                      <w:highlight w:val="none"/>
                    </w:rPr>
                    <w:t>粉碎机</w:t>
                  </w:r>
                </w:p>
              </w:tc>
              <w:tc>
                <w:tcPr>
                  <w:tcW w:w="1123" w:type="dxa"/>
                  <w:vAlign w:val="center"/>
                </w:tcPr>
                <w:p>
                  <w:pPr>
                    <w:jc w:val="center"/>
                    <w:rPr>
                      <w:rFonts w:ascii="宋体" w:hAnsi="宋体" w:cs="宋体"/>
                      <w:sz w:val="18"/>
                      <w:szCs w:val="18"/>
                      <w:highlight w:val="none"/>
                    </w:rPr>
                  </w:pPr>
                  <w:r>
                    <w:rPr>
                      <w:rFonts w:hint="eastAsia" w:ascii="宋体" w:hAnsi="宋体" w:cs="宋体"/>
                      <w:sz w:val="18"/>
                      <w:szCs w:val="18"/>
                      <w:highlight w:val="none"/>
                    </w:rPr>
                    <w:t>滚筒原料筛选机</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原料搅拌机</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地下回料提升机</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翻筐机</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装袋窝口插棒一体机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701" w:type="dxa"/>
                  <w:gridSpan w:val="2"/>
                  <w:vAlign w:val="center"/>
                </w:tcPr>
                <w:p>
                  <w:pPr>
                    <w:jc w:val="center"/>
                    <w:rPr>
                      <w:rFonts w:ascii="宋体" w:hAnsi="宋体" w:cs="宋体"/>
                      <w:sz w:val="18"/>
                      <w:szCs w:val="18"/>
                      <w:highlight w:val="none"/>
                    </w:rPr>
                  </w:pPr>
                  <w:r>
                    <w:rPr>
                      <w:rFonts w:hint="eastAsia" w:ascii="宋体" w:hAnsi="宋体" w:cs="宋体"/>
                      <w:sz w:val="18"/>
                      <w:szCs w:val="18"/>
                      <w:highlight w:val="none"/>
                    </w:rPr>
                    <w:t>(声压级/距声源距离)(dB(A)/m)</w:t>
                  </w:r>
                </w:p>
              </w:tc>
              <w:tc>
                <w:tcPr>
                  <w:tcW w:w="852" w:type="dxa"/>
                  <w:vAlign w:val="center"/>
                </w:tcPr>
                <w:p>
                  <w:pPr>
                    <w:jc w:val="center"/>
                    <w:rPr>
                      <w:rFonts w:ascii="宋体" w:hAnsi="宋体" w:cs="宋体"/>
                      <w:sz w:val="18"/>
                      <w:szCs w:val="18"/>
                      <w:highlight w:val="none"/>
                    </w:rPr>
                  </w:pPr>
                  <w:r>
                    <w:rPr>
                      <w:rFonts w:hint="eastAsia" w:ascii="宋体" w:hAnsi="宋体" w:cs="宋体"/>
                      <w:sz w:val="18"/>
                      <w:szCs w:val="18"/>
                      <w:highlight w:val="none"/>
                    </w:rPr>
                    <w:t>80/1</w:t>
                  </w:r>
                </w:p>
              </w:tc>
              <w:tc>
                <w:tcPr>
                  <w:tcW w:w="936" w:type="dxa"/>
                  <w:vAlign w:val="center"/>
                </w:tcPr>
                <w:p>
                  <w:pPr>
                    <w:jc w:val="center"/>
                    <w:rPr>
                      <w:rFonts w:ascii="宋体" w:hAnsi="宋体" w:cs="宋体"/>
                      <w:sz w:val="18"/>
                      <w:szCs w:val="18"/>
                      <w:highlight w:val="none"/>
                    </w:rPr>
                  </w:pPr>
                  <w:r>
                    <w:rPr>
                      <w:rFonts w:hint="eastAsia" w:ascii="宋体" w:hAnsi="宋体" w:cs="宋体"/>
                      <w:sz w:val="18"/>
                      <w:szCs w:val="18"/>
                      <w:highlight w:val="none"/>
                    </w:rPr>
                    <w:t>90/1</w:t>
                  </w:r>
                </w:p>
              </w:tc>
              <w:tc>
                <w:tcPr>
                  <w:tcW w:w="1123" w:type="dxa"/>
                  <w:vAlign w:val="center"/>
                </w:tcPr>
                <w:p>
                  <w:pPr>
                    <w:jc w:val="center"/>
                    <w:rPr>
                      <w:rFonts w:ascii="宋体" w:hAnsi="宋体" w:cs="宋体"/>
                      <w:sz w:val="18"/>
                      <w:szCs w:val="18"/>
                      <w:highlight w:val="none"/>
                    </w:rPr>
                  </w:pPr>
                  <w:r>
                    <w:rPr>
                      <w:rFonts w:hint="eastAsia" w:ascii="宋体" w:hAnsi="宋体" w:cs="宋体"/>
                      <w:sz w:val="18"/>
                      <w:szCs w:val="18"/>
                      <w:highlight w:val="none"/>
                    </w:rPr>
                    <w:t>75</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75</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70</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80</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701" w:type="dxa"/>
                  <w:gridSpan w:val="2"/>
                  <w:vAlign w:val="center"/>
                </w:tcPr>
                <w:p>
                  <w:pPr>
                    <w:jc w:val="center"/>
                    <w:rPr>
                      <w:rFonts w:ascii="宋体" w:hAnsi="宋体" w:cs="宋体"/>
                      <w:sz w:val="18"/>
                      <w:szCs w:val="18"/>
                      <w:highlight w:val="none"/>
                    </w:rPr>
                  </w:pPr>
                  <w:r>
                    <w:rPr>
                      <w:rFonts w:hint="eastAsia" w:ascii="宋体" w:hAnsi="宋体" w:cs="宋体"/>
                      <w:sz w:val="18"/>
                      <w:szCs w:val="18"/>
                      <w:highlight w:val="none"/>
                    </w:rPr>
                    <w:t>声源控制措施</w:t>
                  </w:r>
                </w:p>
              </w:tc>
              <w:tc>
                <w:tcPr>
                  <w:tcW w:w="6295" w:type="dxa"/>
                  <w:gridSpan w:val="7"/>
                  <w:vAlign w:val="center"/>
                </w:tcPr>
                <w:p>
                  <w:pPr>
                    <w:jc w:val="center"/>
                    <w:rPr>
                      <w:rFonts w:ascii="宋体" w:hAnsi="宋体" w:cs="宋体"/>
                      <w:sz w:val="18"/>
                      <w:szCs w:val="18"/>
                      <w:highlight w:val="none"/>
                    </w:rPr>
                  </w:pPr>
                  <w:r>
                    <w:rPr>
                      <w:rFonts w:hint="eastAsia" w:ascii="宋体" w:hAnsi="宋体" w:cs="宋体"/>
                      <w:sz w:val="18"/>
                      <w:szCs w:val="18"/>
                      <w:highlight w:val="none"/>
                    </w:rPr>
                    <w:t>基础减震+室内隔声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32" w:type="dxa"/>
                  <w:vMerge w:val="restart"/>
                  <w:vAlign w:val="center"/>
                </w:tcPr>
                <w:p>
                  <w:pPr>
                    <w:jc w:val="center"/>
                    <w:rPr>
                      <w:rFonts w:ascii="宋体" w:hAnsi="宋体" w:cs="宋体"/>
                      <w:sz w:val="18"/>
                      <w:szCs w:val="18"/>
                      <w:highlight w:val="none"/>
                    </w:rPr>
                  </w:pPr>
                  <w:r>
                    <w:rPr>
                      <w:rFonts w:hint="eastAsia" w:ascii="宋体" w:hAnsi="宋体" w:cs="宋体"/>
                      <w:sz w:val="18"/>
                      <w:szCs w:val="18"/>
                      <w:highlight w:val="none"/>
                    </w:rPr>
                    <w:t>空间相对位置/m</w:t>
                  </w:r>
                </w:p>
              </w:tc>
              <w:tc>
                <w:tcPr>
                  <w:tcW w:w="769" w:type="dxa"/>
                  <w:vAlign w:val="center"/>
                </w:tcPr>
                <w:p>
                  <w:pPr>
                    <w:jc w:val="center"/>
                    <w:rPr>
                      <w:rFonts w:ascii="宋体" w:hAnsi="宋体" w:cs="宋体"/>
                      <w:sz w:val="18"/>
                      <w:szCs w:val="18"/>
                      <w:highlight w:val="none"/>
                    </w:rPr>
                  </w:pPr>
                  <w:r>
                    <w:rPr>
                      <w:rFonts w:hint="eastAsia" w:ascii="宋体" w:hAnsi="宋体" w:cs="宋体"/>
                      <w:sz w:val="18"/>
                      <w:szCs w:val="18"/>
                      <w:highlight w:val="none"/>
                    </w:rPr>
                    <w:t>X</w:t>
                  </w:r>
                </w:p>
              </w:tc>
              <w:tc>
                <w:tcPr>
                  <w:tcW w:w="852" w:type="dxa"/>
                  <w:vAlign w:val="center"/>
                </w:tcPr>
                <w:p>
                  <w:pPr>
                    <w:jc w:val="center"/>
                    <w:rPr>
                      <w:rFonts w:ascii="宋体" w:hAnsi="宋体" w:cs="宋体"/>
                      <w:sz w:val="18"/>
                      <w:szCs w:val="18"/>
                      <w:highlight w:val="none"/>
                    </w:rPr>
                  </w:pPr>
                  <w:r>
                    <w:rPr>
                      <w:rFonts w:hint="eastAsia" w:ascii="宋体" w:hAnsi="宋体" w:cs="宋体"/>
                      <w:sz w:val="18"/>
                      <w:szCs w:val="18"/>
                      <w:highlight w:val="none"/>
                    </w:rPr>
                    <w:t>57.48</w:t>
                  </w:r>
                </w:p>
              </w:tc>
              <w:tc>
                <w:tcPr>
                  <w:tcW w:w="936" w:type="dxa"/>
                  <w:vAlign w:val="center"/>
                </w:tcPr>
                <w:p>
                  <w:pPr>
                    <w:jc w:val="center"/>
                    <w:rPr>
                      <w:rFonts w:ascii="宋体" w:hAnsi="宋体" w:cs="宋体"/>
                      <w:sz w:val="18"/>
                      <w:szCs w:val="18"/>
                      <w:highlight w:val="none"/>
                    </w:rPr>
                  </w:pPr>
                  <w:r>
                    <w:rPr>
                      <w:rFonts w:hint="eastAsia" w:ascii="宋体" w:hAnsi="宋体" w:cs="宋体"/>
                      <w:sz w:val="18"/>
                      <w:szCs w:val="18"/>
                      <w:highlight w:val="none"/>
                    </w:rPr>
                    <w:t>90.3</w:t>
                  </w:r>
                </w:p>
              </w:tc>
              <w:tc>
                <w:tcPr>
                  <w:tcW w:w="1123" w:type="dxa"/>
                  <w:vAlign w:val="center"/>
                </w:tcPr>
                <w:p>
                  <w:pPr>
                    <w:jc w:val="center"/>
                    <w:rPr>
                      <w:rFonts w:ascii="宋体" w:hAnsi="宋体" w:cs="宋体"/>
                      <w:sz w:val="18"/>
                      <w:szCs w:val="18"/>
                      <w:highlight w:val="none"/>
                    </w:rPr>
                  </w:pPr>
                  <w:r>
                    <w:rPr>
                      <w:rFonts w:hint="eastAsia" w:ascii="宋体" w:hAnsi="宋体" w:cs="宋体"/>
                      <w:sz w:val="18"/>
                      <w:szCs w:val="18"/>
                      <w:highlight w:val="none"/>
                    </w:rPr>
                    <w:t>145.56</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136.87</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157.63</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150.39</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169.69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32" w:type="dxa"/>
                  <w:vMerge w:val="continue"/>
                  <w:vAlign w:val="center"/>
                </w:tcPr>
                <w:p>
                  <w:pPr>
                    <w:jc w:val="center"/>
                    <w:rPr>
                      <w:rFonts w:ascii="宋体" w:hAnsi="宋体" w:cs="宋体"/>
                      <w:sz w:val="18"/>
                      <w:szCs w:val="18"/>
                      <w:highlight w:val="none"/>
                    </w:rPr>
                  </w:pPr>
                </w:p>
              </w:tc>
              <w:tc>
                <w:tcPr>
                  <w:tcW w:w="769" w:type="dxa"/>
                  <w:vAlign w:val="center"/>
                </w:tcPr>
                <w:p>
                  <w:pPr>
                    <w:jc w:val="center"/>
                    <w:rPr>
                      <w:rFonts w:ascii="宋体" w:hAnsi="宋体" w:cs="宋体"/>
                      <w:sz w:val="18"/>
                      <w:szCs w:val="18"/>
                      <w:highlight w:val="none"/>
                    </w:rPr>
                  </w:pPr>
                  <w:r>
                    <w:rPr>
                      <w:rFonts w:hint="eastAsia" w:ascii="宋体" w:hAnsi="宋体" w:cs="宋体"/>
                      <w:sz w:val="18"/>
                      <w:szCs w:val="18"/>
                      <w:highlight w:val="none"/>
                    </w:rPr>
                    <w:t>Y</w:t>
                  </w:r>
                </w:p>
              </w:tc>
              <w:tc>
                <w:tcPr>
                  <w:tcW w:w="852" w:type="dxa"/>
                  <w:vAlign w:val="center"/>
                </w:tcPr>
                <w:p>
                  <w:pPr>
                    <w:jc w:val="center"/>
                    <w:rPr>
                      <w:rFonts w:ascii="宋体" w:hAnsi="宋体" w:cs="宋体"/>
                      <w:sz w:val="18"/>
                      <w:szCs w:val="18"/>
                      <w:highlight w:val="none"/>
                    </w:rPr>
                  </w:pPr>
                  <w:r>
                    <w:rPr>
                      <w:rFonts w:hint="eastAsia" w:ascii="宋体" w:hAnsi="宋体" w:cs="宋体"/>
                      <w:sz w:val="18"/>
                      <w:szCs w:val="18"/>
                      <w:highlight w:val="none"/>
                    </w:rPr>
                    <w:t>137.41</w:t>
                  </w:r>
                </w:p>
              </w:tc>
              <w:tc>
                <w:tcPr>
                  <w:tcW w:w="936" w:type="dxa"/>
                  <w:vAlign w:val="center"/>
                </w:tcPr>
                <w:p>
                  <w:pPr>
                    <w:jc w:val="center"/>
                    <w:rPr>
                      <w:rFonts w:ascii="宋体" w:hAnsi="宋体" w:cs="宋体"/>
                      <w:sz w:val="18"/>
                      <w:szCs w:val="18"/>
                      <w:highlight w:val="none"/>
                    </w:rPr>
                  </w:pPr>
                  <w:r>
                    <w:rPr>
                      <w:rFonts w:hint="eastAsia" w:ascii="宋体" w:hAnsi="宋体" w:cs="宋体"/>
                      <w:sz w:val="18"/>
                      <w:szCs w:val="18"/>
                      <w:highlight w:val="none"/>
                    </w:rPr>
                    <w:t>101.22</w:t>
                  </w:r>
                </w:p>
              </w:tc>
              <w:tc>
                <w:tcPr>
                  <w:tcW w:w="1123" w:type="dxa"/>
                  <w:vAlign w:val="center"/>
                </w:tcPr>
                <w:p>
                  <w:pPr>
                    <w:jc w:val="center"/>
                    <w:rPr>
                      <w:rFonts w:ascii="宋体" w:hAnsi="宋体" w:cs="宋体"/>
                      <w:sz w:val="18"/>
                      <w:szCs w:val="18"/>
                      <w:highlight w:val="none"/>
                    </w:rPr>
                  </w:pPr>
                  <w:r>
                    <w:rPr>
                      <w:rFonts w:hint="eastAsia" w:ascii="宋体" w:hAnsi="宋体" w:cs="宋体"/>
                      <w:sz w:val="18"/>
                      <w:szCs w:val="18"/>
                      <w:highlight w:val="none"/>
                    </w:rPr>
                    <w:t>109.37</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105.03</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112.27</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89.10</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93.45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32" w:type="dxa"/>
                  <w:vMerge w:val="continue"/>
                  <w:vAlign w:val="center"/>
                </w:tcPr>
                <w:p>
                  <w:pPr>
                    <w:jc w:val="center"/>
                    <w:rPr>
                      <w:rFonts w:ascii="宋体" w:hAnsi="宋体" w:cs="宋体"/>
                      <w:sz w:val="18"/>
                      <w:szCs w:val="18"/>
                      <w:highlight w:val="none"/>
                    </w:rPr>
                  </w:pPr>
                </w:p>
              </w:tc>
              <w:tc>
                <w:tcPr>
                  <w:tcW w:w="769" w:type="dxa"/>
                  <w:vAlign w:val="center"/>
                </w:tcPr>
                <w:p>
                  <w:pPr>
                    <w:jc w:val="center"/>
                    <w:rPr>
                      <w:rFonts w:ascii="宋体" w:hAnsi="宋体" w:cs="宋体"/>
                      <w:sz w:val="18"/>
                      <w:szCs w:val="18"/>
                      <w:highlight w:val="none"/>
                    </w:rPr>
                  </w:pPr>
                  <w:r>
                    <w:rPr>
                      <w:rFonts w:hint="eastAsia" w:ascii="宋体" w:hAnsi="宋体" w:cs="宋体"/>
                      <w:sz w:val="18"/>
                      <w:szCs w:val="18"/>
                      <w:highlight w:val="none"/>
                    </w:rPr>
                    <w:t>Z</w:t>
                  </w:r>
                </w:p>
              </w:tc>
              <w:tc>
                <w:tcPr>
                  <w:tcW w:w="852"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c>
                <w:tcPr>
                  <w:tcW w:w="936"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c>
                <w:tcPr>
                  <w:tcW w:w="1123"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701" w:type="dxa"/>
                  <w:gridSpan w:val="2"/>
                  <w:vAlign w:val="center"/>
                </w:tcPr>
                <w:p>
                  <w:pPr>
                    <w:jc w:val="center"/>
                    <w:rPr>
                      <w:rFonts w:ascii="宋体" w:hAnsi="宋体" w:cs="宋体"/>
                      <w:sz w:val="18"/>
                      <w:szCs w:val="18"/>
                      <w:highlight w:val="none"/>
                    </w:rPr>
                  </w:pPr>
                  <w:r>
                    <w:rPr>
                      <w:rFonts w:hint="eastAsia" w:ascii="宋体" w:hAnsi="宋体" w:cs="宋体"/>
                      <w:sz w:val="18"/>
                      <w:szCs w:val="18"/>
                      <w:highlight w:val="none"/>
                    </w:rPr>
                    <w:t>距室内边界距离/m</w:t>
                  </w:r>
                </w:p>
              </w:tc>
              <w:tc>
                <w:tcPr>
                  <w:tcW w:w="852" w:type="dxa"/>
                  <w:vAlign w:val="center"/>
                </w:tcPr>
                <w:p>
                  <w:pPr>
                    <w:jc w:val="center"/>
                    <w:rPr>
                      <w:rFonts w:ascii="宋体" w:hAnsi="宋体" w:cs="宋体"/>
                      <w:sz w:val="18"/>
                      <w:szCs w:val="18"/>
                      <w:highlight w:val="none"/>
                    </w:rPr>
                  </w:pPr>
                  <w:r>
                    <w:rPr>
                      <w:rFonts w:hint="eastAsia" w:ascii="宋体" w:hAnsi="宋体" w:cs="宋体"/>
                      <w:sz w:val="18"/>
                      <w:szCs w:val="18"/>
                      <w:highlight w:val="none"/>
                    </w:rPr>
                    <w:t>2</w:t>
                  </w:r>
                </w:p>
              </w:tc>
              <w:tc>
                <w:tcPr>
                  <w:tcW w:w="936" w:type="dxa"/>
                  <w:vAlign w:val="center"/>
                </w:tcPr>
                <w:p>
                  <w:pPr>
                    <w:jc w:val="center"/>
                    <w:rPr>
                      <w:rFonts w:ascii="宋体" w:hAnsi="宋体" w:cs="宋体"/>
                      <w:sz w:val="18"/>
                      <w:szCs w:val="18"/>
                      <w:highlight w:val="none"/>
                    </w:rPr>
                  </w:pPr>
                  <w:r>
                    <w:rPr>
                      <w:rFonts w:hint="eastAsia" w:ascii="宋体" w:hAnsi="宋体" w:cs="宋体"/>
                      <w:sz w:val="18"/>
                      <w:szCs w:val="18"/>
                      <w:highlight w:val="none"/>
                    </w:rPr>
                    <w:t>3</w:t>
                  </w:r>
                </w:p>
              </w:tc>
              <w:tc>
                <w:tcPr>
                  <w:tcW w:w="1123"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2</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6</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701" w:type="dxa"/>
                  <w:gridSpan w:val="2"/>
                  <w:vAlign w:val="center"/>
                </w:tcPr>
                <w:p>
                  <w:pPr>
                    <w:jc w:val="center"/>
                    <w:rPr>
                      <w:rFonts w:ascii="宋体" w:hAnsi="宋体" w:cs="宋体"/>
                      <w:sz w:val="18"/>
                      <w:szCs w:val="18"/>
                      <w:highlight w:val="none"/>
                    </w:rPr>
                  </w:pPr>
                  <w:r>
                    <w:rPr>
                      <w:rFonts w:hint="eastAsia" w:ascii="宋体" w:hAnsi="宋体" w:cs="宋体"/>
                      <w:sz w:val="18"/>
                      <w:szCs w:val="18"/>
                      <w:highlight w:val="none"/>
                    </w:rPr>
                    <w:t>室内边界声级/dB(A)</w:t>
                  </w:r>
                </w:p>
              </w:tc>
              <w:tc>
                <w:tcPr>
                  <w:tcW w:w="852" w:type="dxa"/>
                  <w:vAlign w:val="center"/>
                </w:tcPr>
                <w:p>
                  <w:pPr>
                    <w:jc w:val="center"/>
                    <w:rPr>
                      <w:rFonts w:ascii="宋体" w:hAnsi="宋体" w:cs="宋体"/>
                      <w:sz w:val="18"/>
                      <w:szCs w:val="18"/>
                      <w:highlight w:val="none"/>
                    </w:rPr>
                  </w:pPr>
                  <w:r>
                    <w:rPr>
                      <w:rFonts w:hint="eastAsia" w:ascii="宋体" w:hAnsi="宋体" w:cs="宋体"/>
                      <w:sz w:val="18"/>
                      <w:szCs w:val="18"/>
                      <w:highlight w:val="none"/>
                    </w:rPr>
                    <w:t>80</w:t>
                  </w:r>
                </w:p>
              </w:tc>
              <w:tc>
                <w:tcPr>
                  <w:tcW w:w="936" w:type="dxa"/>
                  <w:vAlign w:val="center"/>
                </w:tcPr>
                <w:p>
                  <w:pPr>
                    <w:jc w:val="center"/>
                    <w:rPr>
                      <w:rFonts w:ascii="宋体" w:hAnsi="宋体" w:cs="宋体"/>
                      <w:sz w:val="18"/>
                      <w:szCs w:val="18"/>
                      <w:highlight w:val="none"/>
                    </w:rPr>
                  </w:pPr>
                  <w:r>
                    <w:rPr>
                      <w:rFonts w:hint="eastAsia" w:ascii="宋体" w:hAnsi="宋体" w:cs="宋体"/>
                      <w:sz w:val="18"/>
                      <w:szCs w:val="18"/>
                      <w:highlight w:val="none"/>
                    </w:rPr>
                    <w:t>90</w:t>
                  </w:r>
                </w:p>
              </w:tc>
              <w:tc>
                <w:tcPr>
                  <w:tcW w:w="1123" w:type="dxa"/>
                  <w:vAlign w:val="center"/>
                </w:tcPr>
                <w:p>
                  <w:pPr>
                    <w:jc w:val="center"/>
                    <w:rPr>
                      <w:rFonts w:ascii="宋体" w:hAnsi="宋体" w:cs="宋体"/>
                      <w:sz w:val="18"/>
                      <w:szCs w:val="18"/>
                      <w:highlight w:val="none"/>
                    </w:rPr>
                  </w:pPr>
                  <w:r>
                    <w:rPr>
                      <w:rFonts w:hint="eastAsia" w:ascii="宋体" w:hAnsi="宋体" w:cs="宋体"/>
                      <w:sz w:val="18"/>
                      <w:szCs w:val="18"/>
                      <w:highlight w:val="none"/>
                    </w:rPr>
                    <w:t>75</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75</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70</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80</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701" w:type="dxa"/>
                  <w:gridSpan w:val="2"/>
                  <w:vAlign w:val="center"/>
                </w:tcPr>
                <w:p>
                  <w:pPr>
                    <w:jc w:val="center"/>
                    <w:rPr>
                      <w:rFonts w:ascii="宋体" w:hAnsi="宋体" w:cs="宋体"/>
                      <w:sz w:val="18"/>
                      <w:szCs w:val="18"/>
                      <w:highlight w:val="none"/>
                    </w:rPr>
                  </w:pPr>
                  <w:r>
                    <w:rPr>
                      <w:rFonts w:hint="eastAsia" w:ascii="宋体" w:hAnsi="宋体" w:cs="宋体"/>
                      <w:sz w:val="18"/>
                      <w:szCs w:val="18"/>
                      <w:highlight w:val="none"/>
                    </w:rPr>
                    <w:t>运行时段</w:t>
                  </w:r>
                </w:p>
              </w:tc>
              <w:tc>
                <w:tcPr>
                  <w:tcW w:w="6295" w:type="dxa"/>
                  <w:gridSpan w:val="7"/>
                  <w:vAlign w:val="center"/>
                </w:tcPr>
                <w:p>
                  <w:pPr>
                    <w:jc w:val="center"/>
                    <w:rPr>
                      <w:rFonts w:ascii="宋体" w:hAnsi="宋体" w:cs="宋体"/>
                      <w:sz w:val="18"/>
                      <w:szCs w:val="18"/>
                      <w:highlight w:val="none"/>
                    </w:rPr>
                  </w:pPr>
                  <w:r>
                    <w:rPr>
                      <w:rFonts w:hint="eastAsia" w:ascii="宋体" w:hAnsi="宋体" w:cs="宋体"/>
                      <w:sz w:val="18"/>
                      <w:szCs w:val="18"/>
                      <w:highlight w:val="none"/>
                    </w:rPr>
                    <w:t>昼、夜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701" w:type="dxa"/>
                  <w:gridSpan w:val="2"/>
                  <w:vAlign w:val="center"/>
                </w:tcPr>
                <w:p>
                  <w:pPr>
                    <w:jc w:val="center"/>
                    <w:rPr>
                      <w:rFonts w:ascii="宋体" w:hAnsi="宋体" w:cs="宋体"/>
                      <w:sz w:val="18"/>
                      <w:szCs w:val="18"/>
                      <w:highlight w:val="none"/>
                    </w:rPr>
                  </w:pPr>
                  <w:r>
                    <w:rPr>
                      <w:rFonts w:hint="eastAsia" w:ascii="宋体" w:hAnsi="宋体" w:cs="宋体"/>
                      <w:sz w:val="18"/>
                      <w:szCs w:val="18"/>
                      <w:highlight w:val="none"/>
                    </w:rPr>
                    <w:t>建筑物插入损失/dB(A)</w:t>
                  </w:r>
                </w:p>
              </w:tc>
              <w:tc>
                <w:tcPr>
                  <w:tcW w:w="6295" w:type="dxa"/>
                  <w:gridSpan w:val="7"/>
                  <w:vAlign w:val="center"/>
                </w:tcPr>
                <w:p>
                  <w:pPr>
                    <w:jc w:val="center"/>
                    <w:rPr>
                      <w:rFonts w:ascii="宋体" w:hAnsi="宋体" w:cs="宋体"/>
                      <w:sz w:val="18"/>
                      <w:szCs w:val="18"/>
                      <w:highlight w:val="none"/>
                    </w:rPr>
                  </w:pPr>
                  <w:r>
                    <w:rPr>
                      <w:rFonts w:hint="eastAsia" w:ascii="宋体" w:hAnsi="宋体" w:cs="宋体"/>
                      <w:sz w:val="18"/>
                      <w:szCs w:val="18"/>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932" w:type="dxa"/>
                  <w:vMerge w:val="restart"/>
                  <w:vAlign w:val="center"/>
                </w:tcPr>
                <w:p>
                  <w:pPr>
                    <w:jc w:val="center"/>
                    <w:rPr>
                      <w:rFonts w:ascii="宋体" w:hAnsi="宋体" w:cs="宋体"/>
                      <w:sz w:val="18"/>
                      <w:szCs w:val="18"/>
                      <w:highlight w:val="none"/>
                    </w:rPr>
                  </w:pPr>
                  <w:r>
                    <w:rPr>
                      <w:rFonts w:hint="eastAsia" w:ascii="宋体" w:hAnsi="宋体" w:cs="宋体"/>
                      <w:sz w:val="18"/>
                      <w:szCs w:val="18"/>
                      <w:highlight w:val="none"/>
                    </w:rPr>
                    <w:t>建筑物外噪声</w:t>
                  </w:r>
                </w:p>
              </w:tc>
              <w:tc>
                <w:tcPr>
                  <w:tcW w:w="769" w:type="dxa"/>
                  <w:vAlign w:val="center"/>
                </w:tcPr>
                <w:p>
                  <w:pPr>
                    <w:jc w:val="center"/>
                    <w:rPr>
                      <w:rFonts w:ascii="宋体" w:hAnsi="宋体" w:cs="宋体"/>
                      <w:sz w:val="18"/>
                      <w:szCs w:val="18"/>
                      <w:highlight w:val="none"/>
                    </w:rPr>
                  </w:pPr>
                  <w:r>
                    <w:rPr>
                      <w:rFonts w:hint="eastAsia" w:ascii="宋体" w:hAnsi="宋体" w:cs="宋体"/>
                      <w:sz w:val="18"/>
                      <w:szCs w:val="18"/>
                      <w:highlight w:val="none"/>
                    </w:rPr>
                    <w:t>声压级/dB(A)</w:t>
                  </w:r>
                </w:p>
              </w:tc>
              <w:tc>
                <w:tcPr>
                  <w:tcW w:w="852" w:type="dxa"/>
                  <w:vAlign w:val="center"/>
                </w:tcPr>
                <w:p>
                  <w:pPr>
                    <w:jc w:val="center"/>
                    <w:rPr>
                      <w:rFonts w:ascii="宋体" w:hAnsi="宋体" w:cs="宋体"/>
                      <w:sz w:val="18"/>
                      <w:szCs w:val="18"/>
                      <w:highlight w:val="none"/>
                    </w:rPr>
                  </w:pPr>
                  <w:r>
                    <w:rPr>
                      <w:rFonts w:hint="eastAsia" w:ascii="宋体" w:hAnsi="宋体" w:cs="宋体"/>
                      <w:sz w:val="18"/>
                      <w:szCs w:val="18"/>
                      <w:highlight w:val="none"/>
                    </w:rPr>
                    <w:t>60</w:t>
                  </w:r>
                </w:p>
              </w:tc>
              <w:tc>
                <w:tcPr>
                  <w:tcW w:w="936" w:type="dxa"/>
                  <w:vAlign w:val="center"/>
                </w:tcPr>
                <w:p>
                  <w:pPr>
                    <w:jc w:val="center"/>
                    <w:rPr>
                      <w:rFonts w:ascii="宋体" w:hAnsi="宋体" w:cs="宋体"/>
                      <w:sz w:val="18"/>
                      <w:szCs w:val="18"/>
                      <w:highlight w:val="none"/>
                    </w:rPr>
                  </w:pPr>
                  <w:r>
                    <w:rPr>
                      <w:rFonts w:hint="eastAsia" w:ascii="宋体" w:hAnsi="宋体" w:cs="宋体"/>
                      <w:sz w:val="18"/>
                      <w:szCs w:val="18"/>
                      <w:highlight w:val="none"/>
                    </w:rPr>
                    <w:t>70</w:t>
                  </w:r>
                </w:p>
              </w:tc>
              <w:tc>
                <w:tcPr>
                  <w:tcW w:w="1123" w:type="dxa"/>
                  <w:vAlign w:val="center"/>
                </w:tcPr>
                <w:p>
                  <w:pPr>
                    <w:jc w:val="center"/>
                    <w:rPr>
                      <w:rFonts w:ascii="宋体" w:hAnsi="宋体" w:cs="宋体"/>
                      <w:sz w:val="18"/>
                      <w:szCs w:val="18"/>
                      <w:highlight w:val="none"/>
                    </w:rPr>
                  </w:pPr>
                  <w:r>
                    <w:rPr>
                      <w:rFonts w:hint="eastAsia" w:ascii="宋体" w:hAnsi="宋体" w:cs="宋体"/>
                      <w:sz w:val="18"/>
                      <w:szCs w:val="18"/>
                      <w:highlight w:val="none"/>
                    </w:rPr>
                    <w:t>55</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55</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50</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60</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932" w:type="dxa"/>
                  <w:vMerge w:val="continue"/>
                  <w:vAlign w:val="center"/>
                </w:tcPr>
                <w:p>
                  <w:pPr>
                    <w:jc w:val="center"/>
                    <w:rPr>
                      <w:rFonts w:ascii="宋体" w:hAnsi="宋体" w:cs="宋体"/>
                      <w:sz w:val="18"/>
                      <w:szCs w:val="18"/>
                      <w:highlight w:val="none"/>
                    </w:rPr>
                  </w:pPr>
                </w:p>
              </w:tc>
              <w:tc>
                <w:tcPr>
                  <w:tcW w:w="769" w:type="dxa"/>
                  <w:vAlign w:val="center"/>
                </w:tcPr>
                <w:p>
                  <w:pPr>
                    <w:jc w:val="center"/>
                    <w:rPr>
                      <w:rFonts w:ascii="宋体" w:hAnsi="宋体" w:cs="宋体"/>
                      <w:sz w:val="18"/>
                      <w:szCs w:val="18"/>
                      <w:highlight w:val="none"/>
                    </w:rPr>
                  </w:pPr>
                  <w:r>
                    <w:rPr>
                      <w:rFonts w:hint="eastAsia" w:ascii="宋体" w:hAnsi="宋体" w:cs="宋体"/>
                      <w:sz w:val="18"/>
                      <w:szCs w:val="18"/>
                      <w:highlight w:val="none"/>
                    </w:rPr>
                    <w:t>建筑物外距离</w:t>
                  </w:r>
                </w:p>
              </w:tc>
              <w:tc>
                <w:tcPr>
                  <w:tcW w:w="852"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c>
                <w:tcPr>
                  <w:tcW w:w="936"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c>
                <w:tcPr>
                  <w:tcW w:w="1123"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c>
                <w:tcPr>
                  <w:tcW w:w="845"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c>
                <w:tcPr>
                  <w:tcW w:w="847" w:type="dxa"/>
                  <w:vAlign w:val="center"/>
                </w:tcPr>
                <w:p>
                  <w:pPr>
                    <w:jc w:val="center"/>
                    <w:rPr>
                      <w:rFonts w:ascii="宋体" w:hAnsi="宋体" w:cs="宋体"/>
                      <w:sz w:val="18"/>
                      <w:szCs w:val="18"/>
                      <w:highlight w:val="none"/>
                    </w:rPr>
                  </w:pPr>
                  <w:r>
                    <w:rPr>
                      <w:rFonts w:hint="eastAsia" w:ascii="宋体" w:hAnsi="宋体" w:cs="宋体"/>
                      <w:sz w:val="18"/>
                      <w:szCs w:val="18"/>
                      <w:highlight w:val="none"/>
                    </w:rPr>
                    <w:t>1</w:t>
                  </w:r>
                </w:p>
              </w:tc>
            </w:tr>
          </w:tbl>
          <w:p>
            <w:pPr>
              <w:adjustRightInd w:val="0"/>
              <w:snapToGrid w:val="0"/>
              <w:spacing w:line="480" w:lineRule="exact"/>
              <w:ind w:firstLine="420" w:firstLineChars="200"/>
              <w:jc w:val="left"/>
              <w:rPr>
                <w:rFonts w:ascii="宋体" w:hAnsi="宋体" w:cs="宋体"/>
                <w:kern w:val="0"/>
                <w:szCs w:val="21"/>
              </w:rPr>
            </w:pPr>
            <w:r>
              <w:rPr>
                <w:rFonts w:hint="eastAsia" w:ascii="宋体" w:hAnsi="宋体" w:cs="宋体"/>
                <w:kern w:val="0"/>
                <w:szCs w:val="21"/>
              </w:rPr>
              <w:t>（1）预测范围、点位及预测因子</w:t>
            </w:r>
            <w:bookmarkEnd w:id="18"/>
          </w:p>
          <w:p>
            <w:pPr>
              <w:adjustRightInd w:val="0"/>
              <w:snapToGrid w:val="0"/>
              <w:spacing w:line="480" w:lineRule="exact"/>
              <w:ind w:firstLine="420" w:firstLineChars="200"/>
              <w:jc w:val="left"/>
              <w:rPr>
                <w:rFonts w:ascii="宋体" w:hAnsi="宋体" w:cs="宋体"/>
                <w:kern w:val="0"/>
                <w:szCs w:val="21"/>
              </w:rPr>
            </w:pPr>
            <w:r>
              <w:rPr>
                <w:rFonts w:hint="eastAsia" w:ascii="宋体" w:hAnsi="宋体" w:cs="宋体"/>
                <w:kern w:val="0"/>
                <w:szCs w:val="21"/>
              </w:rPr>
              <w:t>1）噪声预测范围：厂界。</w:t>
            </w:r>
          </w:p>
          <w:p>
            <w:pPr>
              <w:adjustRightInd w:val="0"/>
              <w:snapToGrid w:val="0"/>
              <w:spacing w:line="480" w:lineRule="exact"/>
              <w:ind w:firstLine="420" w:firstLineChars="200"/>
              <w:jc w:val="left"/>
              <w:rPr>
                <w:rFonts w:ascii="宋体" w:hAnsi="宋体" w:cs="宋体"/>
                <w:kern w:val="0"/>
                <w:szCs w:val="21"/>
              </w:rPr>
            </w:pPr>
            <w:r>
              <w:rPr>
                <w:rFonts w:hint="eastAsia" w:ascii="宋体" w:hAnsi="宋体" w:cs="宋体"/>
                <w:kern w:val="0"/>
                <w:szCs w:val="21"/>
              </w:rPr>
              <w:t>2）厂界噪声点位：厂界噪声预测。</w:t>
            </w:r>
          </w:p>
          <w:p>
            <w:pPr>
              <w:adjustRightInd w:val="0"/>
              <w:snapToGrid w:val="0"/>
              <w:spacing w:line="480" w:lineRule="exact"/>
              <w:ind w:firstLine="420" w:firstLineChars="200"/>
              <w:jc w:val="left"/>
              <w:rPr>
                <w:rFonts w:ascii="宋体" w:hAnsi="宋体" w:cs="宋体"/>
                <w:kern w:val="0"/>
                <w:szCs w:val="21"/>
              </w:rPr>
            </w:pPr>
            <w:r>
              <w:rPr>
                <w:rFonts w:hint="eastAsia" w:ascii="宋体" w:hAnsi="宋体" w:cs="宋体"/>
                <w:kern w:val="0"/>
                <w:szCs w:val="21"/>
              </w:rPr>
              <w:t>厂界噪声预测因子：等效连续A声级。</w:t>
            </w:r>
          </w:p>
          <w:p>
            <w:pPr>
              <w:adjustRightInd w:val="0"/>
              <w:snapToGrid w:val="0"/>
              <w:spacing w:line="480" w:lineRule="exact"/>
              <w:ind w:firstLine="420" w:firstLineChars="200"/>
              <w:jc w:val="left"/>
              <w:rPr>
                <w:rFonts w:ascii="宋体" w:hAnsi="宋体" w:cs="宋体"/>
                <w:kern w:val="0"/>
                <w:szCs w:val="21"/>
              </w:rPr>
            </w:pPr>
            <w:r>
              <w:rPr>
                <w:rFonts w:hint="eastAsia" w:ascii="宋体" w:hAnsi="宋体" w:cs="宋体"/>
                <w:kern w:val="0"/>
                <w:szCs w:val="21"/>
              </w:rPr>
              <w:t>（2）预测模式</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1）室内点声源对厂界噪声预测点贡献值预测模式</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室内声源首先换算为等效室外声源，再按各类声源模式计算。</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1 \* GB3 </w:instrText>
            </w:r>
            <w:r>
              <w:rPr>
                <w:rFonts w:hint="eastAsia" w:ascii="宋体" w:hAnsi="宋体" w:cs="宋体"/>
                <w:szCs w:val="21"/>
              </w:rPr>
              <w:fldChar w:fldCharType="separate"/>
            </w:r>
            <w:r>
              <w:rPr>
                <w:rFonts w:hint="eastAsia" w:ascii="宋体" w:hAnsi="宋体" w:cs="宋体"/>
                <w:szCs w:val="21"/>
              </w:rPr>
              <w:t>①</w:t>
            </w:r>
            <w:r>
              <w:rPr>
                <w:rFonts w:hint="eastAsia" w:ascii="宋体" w:hAnsi="宋体" w:cs="宋体"/>
                <w:szCs w:val="21"/>
              </w:rPr>
              <w:fldChar w:fldCharType="end"/>
            </w:r>
            <w:r>
              <w:rPr>
                <w:rFonts w:hint="eastAsia" w:ascii="宋体" w:hAnsi="宋体" w:cs="宋体"/>
                <w:szCs w:val="21"/>
              </w:rPr>
              <w:t>首先计算出某个室内声源靠近围护结构处的倍频带声压级：</w:t>
            </w:r>
          </w:p>
          <w:p>
            <w:pPr>
              <w:widowControl/>
              <w:adjustRightInd w:val="0"/>
              <w:snapToGrid w:val="0"/>
              <w:spacing w:line="480" w:lineRule="exact"/>
              <w:ind w:firstLine="420" w:firstLineChars="200"/>
              <w:jc w:val="center"/>
              <w:rPr>
                <w:rFonts w:ascii="宋体" w:hAnsi="宋体" w:cs="宋体"/>
                <w:spacing w:val="5"/>
                <w:szCs w:val="21"/>
              </w:rPr>
            </w:pPr>
            <w:r>
              <w:rPr>
                <w:rFonts w:hint="eastAsia" w:ascii="宋体" w:hAnsi="宋体" w:cs="宋体"/>
                <w:position w:val="-24"/>
                <w:szCs w:val="21"/>
              </w:rPr>
              <w:object>
                <v:shape id="_x0000_i1025" o:spt="75" type="#_x0000_t75" style="height:31.2pt;width:131.4pt;" o:ole="t" filled="f" o:preferrelative="t" stroked="f" coordsize="21600,21600">
                  <v:path/>
                  <v:fill on="f" focussize="0,0"/>
                  <v:stroke on="f" joinstyle="miter"/>
                  <v:imagedata r:id="rId25" o:title=""/>
                  <o:lock v:ext="edit" aspectratio="t"/>
                  <w10:wrap type="none"/>
                  <w10:anchorlock/>
                </v:shape>
                <o:OLEObject Type="Embed" ProgID="Equation.3" ShapeID="_x0000_i1025" DrawAspect="Content" ObjectID="_1468075725" r:id="rId24">
                  <o:LockedField>false</o:LockedField>
                </o:OLEObject>
              </w:objec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式中</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L</w:t>
            </w:r>
            <w:r>
              <w:rPr>
                <w:rFonts w:hint="eastAsia" w:ascii="宋体" w:hAnsi="宋体" w:cs="宋体"/>
                <w:szCs w:val="21"/>
                <w:vertAlign w:val="subscript"/>
              </w:rPr>
              <w:t>p1</w:t>
            </w:r>
            <w:r>
              <w:rPr>
                <w:rFonts w:hint="eastAsia" w:ascii="宋体" w:hAnsi="宋体" w:cs="宋体"/>
                <w:szCs w:val="21"/>
              </w:rPr>
              <w:t>—靠近开口处（或窗户）室内某倍频带的声压级或A声级，dB；</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L</w:t>
            </w:r>
            <w:r>
              <w:rPr>
                <w:rFonts w:hint="eastAsia" w:ascii="宋体" w:hAnsi="宋体" w:cs="宋体"/>
                <w:szCs w:val="21"/>
                <w:vertAlign w:val="subscript"/>
              </w:rPr>
              <w:t>w</w:t>
            </w:r>
            <w:r>
              <w:rPr>
                <w:rFonts w:hint="eastAsia" w:ascii="宋体" w:hAnsi="宋体" w:cs="宋体"/>
                <w:szCs w:val="21"/>
              </w:rPr>
              <w:t>—点声源声功率级（A计权或倍频带），dB；</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i/>
                <w:position w:val="-4"/>
                <w:szCs w:val="21"/>
              </w:rPr>
              <w:object>
                <v:shape id="_x0000_i1026" o:spt="75" type="#_x0000_t75" style="height:13.2pt;width:13.2pt;" o:ole="t" filled="f" o:preferrelative="t" stroked="f" coordsize="21600,21600">
                  <v:path/>
                  <v:fill on="f" focussize="0,0"/>
                  <v:stroke on="f" joinstyle="miter"/>
                  <v:imagedata r:id="rId27" o:title=""/>
                  <o:lock v:ext="edit" aspectratio="t"/>
                  <w10:wrap type="none"/>
                  <w10:anchorlock/>
                </v:shape>
                <o:OLEObject Type="Embed" ProgID="Equation.3" ShapeID="_x0000_i1026" DrawAspect="Content" ObjectID="_1468075726" r:id="rId26">
                  <o:LockedField>false</o:LockedField>
                </o:OLEObject>
              </w:object>
            </w:r>
            <w:r>
              <w:rPr>
                <w:rFonts w:hint="eastAsia" w:ascii="宋体" w:hAnsi="宋体" w:cs="宋体"/>
                <w:szCs w:val="21"/>
              </w:rPr>
              <w:t>：—立体角内的声传播指数（传统称作指向性因数，写法是Q；通常对无指向性声源，当声源放在房间中心时，Q=1,当放在一面墙的中心时，Q=2,当放在两面墙夹角处时，Q=4，当放在三面墙夹角处时，Q=8）；</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R—房间常数；</w:t>
            </w:r>
            <w:r>
              <w:rPr>
                <w:rFonts w:hint="eastAsia" w:ascii="宋体" w:hAnsi="宋体" w:cs="宋体"/>
                <w:i/>
                <w:position w:val="-10"/>
                <w:szCs w:val="21"/>
              </w:rPr>
              <w:object>
                <v:shape id="_x0000_i1027" o:spt="75" type="#_x0000_t75" style="height:15pt;width:69.6pt;" o:ole="t" filled="f" o:preferrelative="t" stroked="f" coordsize="21600,21600">
                  <v:path/>
                  <v:fill on="f" focussize="0,0"/>
                  <v:stroke on="f" joinstyle="miter"/>
                  <v:imagedata r:id="rId29" o:title=""/>
                  <o:lock v:ext="edit" aspectratio="t"/>
                  <w10:wrap type="none"/>
                  <w10:anchorlock/>
                </v:shape>
                <o:OLEObject Type="Embed" ProgID="Equation.3" ShapeID="_x0000_i1027" DrawAspect="Content" ObjectID="_1468075727" r:id="rId28">
                  <o:LockedField>false</o:LockedField>
                </o:OLEObject>
              </w:object>
            </w:r>
            <w:r>
              <w:rPr>
                <w:rFonts w:hint="eastAsia" w:ascii="宋体" w:hAnsi="宋体" w:cs="宋体"/>
                <w:i/>
                <w:szCs w:val="21"/>
              </w:rPr>
              <w:t>，</w:t>
            </w:r>
            <w:r>
              <w:rPr>
                <w:rFonts w:hint="eastAsia" w:ascii="宋体" w:hAnsi="宋体" w:cs="宋体"/>
                <w:szCs w:val="21"/>
              </w:rPr>
              <w:t>S为房间内表面面积，单位m</w:t>
            </w:r>
            <w:r>
              <w:rPr>
                <w:rFonts w:hint="eastAsia" w:ascii="宋体" w:hAnsi="宋体" w:cs="宋体"/>
                <w:szCs w:val="21"/>
                <w:vertAlign w:val="superscript"/>
              </w:rPr>
              <w:t>2</w:t>
            </w:r>
            <w:r>
              <w:rPr>
                <w:rFonts w:hint="eastAsia" w:ascii="宋体" w:hAnsi="宋体" w:cs="宋体"/>
                <w:szCs w:val="21"/>
              </w:rPr>
              <w:t>；α为平均吸声系数。</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r—声源到靠近围护结构某点处的距离，单位m。</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2 \* GB3 </w:instrText>
            </w:r>
            <w:r>
              <w:rPr>
                <w:rFonts w:hint="eastAsia" w:ascii="宋体" w:hAnsi="宋体" w:cs="宋体"/>
                <w:szCs w:val="21"/>
              </w:rPr>
              <w:fldChar w:fldCharType="separate"/>
            </w:r>
            <w:r>
              <w:rPr>
                <w:rFonts w:hint="eastAsia" w:ascii="宋体" w:hAnsi="宋体" w:cs="宋体"/>
                <w:szCs w:val="21"/>
              </w:rPr>
              <w:t>②</w:t>
            </w:r>
            <w:r>
              <w:rPr>
                <w:rFonts w:hint="eastAsia" w:ascii="宋体" w:hAnsi="宋体" w:cs="宋体"/>
                <w:szCs w:val="21"/>
              </w:rPr>
              <w:fldChar w:fldCharType="end"/>
            </w:r>
            <w:r>
              <w:rPr>
                <w:rFonts w:hint="eastAsia" w:ascii="宋体" w:hAnsi="宋体" w:cs="宋体"/>
                <w:szCs w:val="21"/>
              </w:rPr>
              <w:t>计算出所有室内声源在围护结构处产生的倍频带叠加声压级：：</w:t>
            </w:r>
          </w:p>
          <w:p>
            <w:pPr>
              <w:widowControl/>
              <w:adjustRightInd w:val="0"/>
              <w:snapToGrid w:val="0"/>
              <w:spacing w:line="480" w:lineRule="exact"/>
              <w:ind w:firstLine="420" w:firstLineChars="200"/>
              <w:jc w:val="center"/>
              <w:rPr>
                <w:rFonts w:ascii="宋体" w:hAnsi="宋体" w:cs="宋体"/>
                <w:szCs w:val="21"/>
              </w:rPr>
            </w:pPr>
            <w:r>
              <w:rPr>
                <w:rFonts w:hint="eastAsia" w:ascii="宋体" w:hAnsi="宋体" w:cs="宋体"/>
                <w:position w:val="-30"/>
                <w:szCs w:val="21"/>
              </w:rPr>
              <w:object>
                <v:shape id="_x0000_i1028" o:spt="75" type="#_x0000_t75" style="height:40.2pt;width:150.6pt;" o:ole="t" filled="f" o:preferrelative="t" stroked="f" coordsize="21600,21600">
                  <v:path/>
                  <v:fill on="f" focussize="0,0"/>
                  <v:stroke on="f" joinstyle="miter"/>
                  <v:imagedata r:id="rId31" o:title=""/>
                  <o:lock v:ext="edit" aspectratio="t"/>
                  <w10:wrap type="none"/>
                  <w10:anchorlock/>
                </v:shape>
                <o:OLEObject Type="Embed" ProgID="Equation.3" ShapeID="_x0000_i1028" DrawAspect="Content" ObjectID="_1468075728" r:id="rId30">
                  <o:LockedField>false</o:LockedField>
                </o:OLEObject>
              </w:objec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式中：</w:t>
            </w:r>
          </w:p>
          <w:p>
            <w:pPr>
              <w:adjustRightInd w:val="0"/>
              <w:snapToGrid w:val="0"/>
              <w:spacing w:line="480" w:lineRule="exact"/>
              <w:ind w:firstLine="420" w:firstLineChars="200"/>
              <w:jc w:val="left"/>
              <w:rPr>
                <w:rFonts w:ascii="宋体" w:hAnsi="宋体" w:cs="宋体"/>
                <w:bCs/>
                <w:szCs w:val="21"/>
              </w:rPr>
            </w:pPr>
            <w:r>
              <w:rPr>
                <w:rFonts w:hint="eastAsia" w:ascii="宋体" w:hAnsi="宋体" w:cs="宋体"/>
                <w:bCs/>
                <w:position w:val="-12"/>
                <w:szCs w:val="21"/>
              </w:rPr>
              <w:object>
                <v:shape id="_x0000_i1029" o:spt="75" type="#_x0000_t75" style="height:17.4pt;width:36.6pt;" o:ole="t" filled="f" o:preferrelative="t" stroked="f" coordsize="21600,21600">
                  <v:path/>
                  <v:fill on="f" focussize="0,0"/>
                  <v:stroke on="f" joinstyle="miter"/>
                  <v:imagedata r:id="rId33" o:title=""/>
                  <o:lock v:ext="edit" aspectratio="t"/>
                  <w10:wrap type="none"/>
                  <w10:anchorlock/>
                </v:shape>
                <o:OLEObject Type="Embed" ProgID="Equation.DSMT4" ShapeID="_x0000_i1029" DrawAspect="Content" ObjectID="_1468075729" r:id="rId32">
                  <o:LockedField>false</o:LockedField>
                </o:OLEObject>
              </w:object>
            </w:r>
            <w:r>
              <w:rPr>
                <w:rFonts w:hint="eastAsia" w:ascii="宋体" w:hAnsi="宋体" w:cs="宋体"/>
                <w:bCs/>
                <w:szCs w:val="21"/>
              </w:rPr>
              <w:t>—靠近围护结构处室内N个声源</w:t>
            </w:r>
            <w:r>
              <w:rPr>
                <w:rFonts w:hint="eastAsia" w:ascii="宋体" w:hAnsi="宋体" w:cs="宋体"/>
                <w:bCs/>
                <w:szCs w:val="21"/>
              </w:rPr>
              <w:object>
                <v:shape id="_x0000_i1030" o:spt="75" type="#_x0000_t75" style="height:13.2pt;width:5.4pt;" o:ole="t" filled="f" o:preferrelative="t" stroked="f" coordsize="21600,21600">
                  <v:path/>
                  <v:fill on="f" focussize="0,0"/>
                  <v:stroke on="f" joinstyle="miter"/>
                  <v:imagedata r:id="rId35" o:title=""/>
                  <o:lock v:ext="edit" aspectratio="t"/>
                  <w10:wrap type="none"/>
                  <w10:anchorlock/>
                </v:shape>
                <o:OLEObject Type="Embed" ProgID="Equation.DSMT4" ShapeID="_x0000_i1030" DrawAspect="Content" ObjectID="_1468075730" r:id="rId34">
                  <o:LockedField>false</o:LockedField>
                </o:OLEObject>
              </w:object>
            </w:r>
            <w:r>
              <w:rPr>
                <w:rFonts w:hint="eastAsia" w:ascii="宋体" w:hAnsi="宋体" w:cs="宋体"/>
                <w:bCs/>
                <w:szCs w:val="21"/>
              </w:rPr>
              <w:t>倍频带的叠加声压级；</w:t>
            </w:r>
          </w:p>
          <w:p>
            <w:pPr>
              <w:adjustRightInd w:val="0"/>
              <w:snapToGrid w:val="0"/>
              <w:spacing w:line="480" w:lineRule="exact"/>
              <w:ind w:firstLine="420" w:firstLineChars="200"/>
              <w:jc w:val="left"/>
              <w:rPr>
                <w:rFonts w:ascii="宋体" w:hAnsi="宋体" w:cs="宋体"/>
                <w:bCs/>
                <w:szCs w:val="21"/>
              </w:rPr>
            </w:pPr>
            <w:r>
              <w:rPr>
                <w:rFonts w:hint="eastAsia" w:ascii="宋体" w:hAnsi="宋体" w:cs="宋体"/>
                <w:bCs/>
                <w:position w:val="-14"/>
                <w:szCs w:val="21"/>
              </w:rPr>
              <w:object>
                <v:shape id="_x0000_i1031" o:spt="75" type="#_x0000_t75" style="height:26.4pt;width:30.6pt;" o:ole="t" filled="f" o:preferrelative="t" stroked="f" coordsize="21600,21600">
                  <v:path/>
                  <v:fill on="f" focussize="0,0"/>
                  <v:stroke on="f" joinstyle="miter"/>
                  <v:imagedata r:id="rId37" o:title=""/>
                  <o:lock v:ext="edit" aspectratio="t"/>
                  <w10:wrap type="none"/>
                  <w10:anchorlock/>
                </v:shape>
                <o:OLEObject Type="Embed" ProgID="Equation.DSMT4" ShapeID="_x0000_i1031" DrawAspect="Content" ObjectID="_1468075731" r:id="rId36">
                  <o:LockedField>false</o:LockedField>
                </o:OLEObject>
              </w:object>
            </w:r>
            <w:r>
              <w:rPr>
                <w:rFonts w:hint="eastAsia" w:ascii="宋体" w:hAnsi="宋体" w:cs="宋体"/>
                <w:bCs/>
                <w:szCs w:val="21"/>
              </w:rPr>
              <w:t>—室内</w:t>
            </w:r>
            <w:r>
              <w:rPr>
                <w:rFonts w:hint="eastAsia" w:ascii="宋体" w:hAnsi="宋体" w:cs="宋体"/>
                <w:bCs/>
                <w:szCs w:val="21"/>
              </w:rPr>
              <w:object>
                <v:shape id="_x0000_i1032" o:spt="75" type="#_x0000_t75" style="height:15pt;width:10.8pt;" o:ole="t" filled="f" o:preferrelative="t" stroked="f" coordsize="21600,21600">
                  <v:path/>
                  <v:fill on="f" focussize="0,0"/>
                  <v:stroke on="f" joinstyle="miter"/>
                  <v:imagedata r:id="rId39" o:title=""/>
                  <o:lock v:ext="edit" aspectratio="t"/>
                  <w10:wrap type="none"/>
                  <w10:anchorlock/>
                </v:shape>
                <o:OLEObject Type="Embed" ProgID="Equation.DSMT4" ShapeID="_x0000_i1032" DrawAspect="Content" ObjectID="_1468075732" r:id="rId38">
                  <o:LockedField>false</o:LockedField>
                </o:OLEObject>
              </w:object>
            </w:r>
            <w:r>
              <w:rPr>
                <w:rFonts w:hint="eastAsia" w:ascii="宋体" w:hAnsi="宋体" w:cs="宋体"/>
                <w:bCs/>
                <w:szCs w:val="21"/>
              </w:rPr>
              <w:t>声源</w:t>
            </w:r>
            <w:r>
              <w:rPr>
                <w:rFonts w:hint="eastAsia" w:ascii="宋体" w:hAnsi="宋体" w:cs="宋体"/>
                <w:bCs/>
                <w:szCs w:val="21"/>
              </w:rPr>
              <w:object>
                <v:shape id="_x0000_i1033" o:spt="75" type="#_x0000_t75" style="height:13.2pt;width:6.6pt;" o:ole="t" filled="f" o:preferrelative="t" stroked="f" coordsize="21600,21600">
                  <v:path/>
                  <v:fill on="f" focussize="0,0"/>
                  <v:stroke on="f" joinstyle="miter"/>
                  <v:imagedata r:id="rId41" o:title=""/>
                  <o:lock v:ext="edit" aspectratio="t"/>
                  <w10:wrap type="none"/>
                  <w10:anchorlock/>
                </v:shape>
                <o:OLEObject Type="Embed" ProgID="Equation.DSMT4" ShapeID="_x0000_i1033" DrawAspect="Content" ObjectID="_1468075733" r:id="rId40">
                  <o:LockedField>false</o:LockedField>
                </o:OLEObject>
              </w:object>
            </w:r>
            <w:r>
              <w:rPr>
                <w:rFonts w:hint="eastAsia" w:ascii="宋体" w:hAnsi="宋体" w:cs="宋体"/>
                <w:bCs/>
                <w:szCs w:val="21"/>
              </w:rPr>
              <w:t>倍频带的声压级；</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N—室内声源总数。</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3 \* GB3 </w:instrText>
            </w:r>
            <w:r>
              <w:rPr>
                <w:rFonts w:hint="eastAsia" w:ascii="宋体" w:hAnsi="宋体" w:cs="宋体"/>
                <w:szCs w:val="21"/>
              </w:rPr>
              <w:fldChar w:fldCharType="separate"/>
            </w:r>
            <w:r>
              <w:rPr>
                <w:rFonts w:hint="eastAsia" w:ascii="宋体" w:hAnsi="宋体" w:cs="宋体"/>
                <w:szCs w:val="21"/>
              </w:rPr>
              <w:t>③</w:t>
            </w:r>
            <w:r>
              <w:rPr>
                <w:rFonts w:hint="eastAsia" w:ascii="宋体" w:hAnsi="宋体" w:cs="宋体"/>
                <w:szCs w:val="21"/>
              </w:rPr>
              <w:fldChar w:fldCharType="end"/>
            </w:r>
            <w:r>
              <w:rPr>
                <w:rFonts w:hint="eastAsia" w:ascii="宋体" w:hAnsi="宋体" w:cs="宋体"/>
                <w:szCs w:val="21"/>
              </w:rPr>
              <w:t>计算出靠近室外围护结构处的声压级：</w:t>
            </w:r>
          </w:p>
          <w:p>
            <w:pPr>
              <w:widowControl/>
              <w:adjustRightInd w:val="0"/>
              <w:snapToGrid w:val="0"/>
              <w:spacing w:line="480" w:lineRule="exact"/>
              <w:ind w:firstLine="420" w:firstLineChars="200"/>
              <w:jc w:val="center"/>
              <w:rPr>
                <w:rFonts w:ascii="宋体" w:hAnsi="宋体" w:cs="宋体"/>
                <w:szCs w:val="21"/>
              </w:rPr>
            </w:pPr>
            <w:r>
              <w:rPr>
                <w:rFonts w:hint="eastAsia" w:ascii="宋体" w:hAnsi="宋体" w:cs="宋体"/>
                <w:position w:val="-12"/>
                <w:szCs w:val="21"/>
              </w:rPr>
              <w:object>
                <v:shape id="_x0000_i1034" o:spt="75" type="#_x0000_t75" style="height:17.4pt;width:135.6pt;" o:ole="t" filled="f" o:preferrelative="t" stroked="f" coordsize="21600,21600">
                  <v:path/>
                  <v:fill on="f" focussize="0,0"/>
                  <v:stroke on="f" joinstyle="miter"/>
                  <v:imagedata r:id="rId43" o:title=""/>
                  <o:lock v:ext="edit" aspectratio="t"/>
                  <w10:wrap type="none"/>
                  <w10:anchorlock/>
                </v:shape>
                <o:OLEObject Type="Embed" ProgID="Equation.3" ShapeID="_x0000_i1034" DrawAspect="Content" ObjectID="_1468075734" r:id="rId42">
                  <o:LockedField>false</o:LockedField>
                </o:OLEObject>
              </w:objec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式中：</w:t>
            </w:r>
          </w:p>
          <w:p>
            <w:pPr>
              <w:adjustRightInd w:val="0"/>
              <w:snapToGrid w:val="0"/>
              <w:spacing w:line="480" w:lineRule="exact"/>
              <w:ind w:firstLine="420" w:firstLineChars="200"/>
              <w:jc w:val="left"/>
              <w:rPr>
                <w:rFonts w:ascii="宋体" w:hAnsi="宋体" w:cs="宋体"/>
                <w:bCs/>
                <w:szCs w:val="21"/>
              </w:rPr>
            </w:pPr>
            <w:r>
              <w:rPr>
                <w:rFonts w:hint="eastAsia" w:ascii="宋体" w:hAnsi="宋体" w:cs="宋体"/>
                <w:position w:val="-12"/>
                <w:szCs w:val="21"/>
              </w:rPr>
              <w:object>
                <v:shape id="_x0000_i1035" o:spt="75" type="#_x0000_t75" style="height:17.4pt;width:39.6pt;" o:ole="t" filled="f" o:preferrelative="t" stroked="f" coordsize="21600,21600">
                  <v:path/>
                  <v:fill on="f" focussize="0,0"/>
                  <v:stroke on="f" joinstyle="miter"/>
                  <v:imagedata r:id="rId45" o:title=""/>
                  <o:lock v:ext="edit" aspectratio="t"/>
                  <w10:wrap type="none"/>
                  <w10:anchorlock/>
                </v:shape>
                <o:OLEObject Type="Embed" ProgID="Equation.DSMT4" ShapeID="_x0000_i1035" DrawAspect="Content" ObjectID="_1468075735" r:id="rId44">
                  <o:LockedField>false</o:LockedField>
                </o:OLEObject>
              </w:object>
            </w:r>
            <w:r>
              <w:rPr>
                <w:rFonts w:hint="eastAsia" w:ascii="宋体" w:hAnsi="宋体" w:cs="宋体"/>
                <w:szCs w:val="21"/>
              </w:rPr>
              <w:t>—靠近围护结构处室外N个声源</w:t>
            </w:r>
            <w:r>
              <w:rPr>
                <w:rFonts w:hint="eastAsia" w:ascii="宋体" w:hAnsi="宋体" w:cs="宋体"/>
                <w:bCs/>
                <w:szCs w:val="21"/>
              </w:rPr>
              <w:object>
                <v:shape id="_x0000_i1036" o:spt="75" type="#_x0000_t75" style="height:13.2pt;width:6.6pt;" o:ole="t" filled="f" o:preferrelative="t" stroked="f" coordsize="21600,21600">
                  <v:path/>
                  <v:fill on="f" focussize="0,0"/>
                  <v:stroke on="f" joinstyle="miter"/>
                  <v:imagedata r:id="rId47" o:title=""/>
                  <o:lock v:ext="edit" aspectratio="t"/>
                  <w10:wrap type="none"/>
                  <w10:anchorlock/>
                </v:shape>
                <o:OLEObject Type="Embed" ProgID="Equation.DSMT4" ShapeID="_x0000_i1036" DrawAspect="Content" ObjectID="_1468075736" r:id="rId46">
                  <o:LockedField>false</o:LockedField>
                </o:OLEObject>
              </w:object>
            </w:r>
            <w:r>
              <w:rPr>
                <w:rFonts w:hint="eastAsia" w:ascii="宋体" w:hAnsi="宋体" w:cs="宋体"/>
                <w:szCs w:val="21"/>
              </w:rPr>
              <w:t>倍频带的叠加声压级，单位dB；</w:t>
            </w:r>
          </w:p>
          <w:p>
            <w:pPr>
              <w:adjustRightInd w:val="0"/>
              <w:snapToGrid w:val="0"/>
              <w:spacing w:line="480" w:lineRule="exact"/>
              <w:ind w:firstLine="420" w:firstLineChars="200"/>
              <w:jc w:val="left"/>
              <w:rPr>
                <w:rFonts w:ascii="宋体" w:hAnsi="宋体" w:cs="宋体"/>
                <w:bCs/>
                <w:szCs w:val="21"/>
              </w:rPr>
            </w:pPr>
            <w:r>
              <w:rPr>
                <w:rFonts w:hint="eastAsia" w:ascii="宋体" w:hAnsi="宋体" w:cs="宋体"/>
                <w:bCs/>
                <w:szCs w:val="21"/>
              </w:rPr>
              <w:object>
                <v:shape id="_x0000_i1037" o:spt="75" type="#_x0000_t75" style="height:17.4pt;width:17.4pt;" o:ole="t" filled="f" o:preferrelative="t" stroked="f" coordsize="21600,21600">
                  <v:path/>
                  <v:fill on="f" focussize="0,0"/>
                  <v:stroke on="f" joinstyle="miter"/>
                  <v:imagedata r:id="rId49" o:title=""/>
                  <o:lock v:ext="edit" aspectratio="t"/>
                  <w10:wrap type="none"/>
                  <w10:anchorlock/>
                </v:shape>
                <o:OLEObject Type="Embed" ProgID="Equation.DSMT4" ShapeID="_x0000_i1037" DrawAspect="Content" ObjectID="_1468075737" r:id="rId48">
                  <o:LockedField>false</o:LockedField>
                </o:OLEObject>
              </w:object>
            </w:r>
            <w:r>
              <w:rPr>
                <w:rFonts w:hint="eastAsia" w:ascii="宋体" w:hAnsi="宋体" w:cs="宋体"/>
                <w:bCs/>
                <w:szCs w:val="21"/>
              </w:rPr>
              <w:t>—围护结构</w:t>
            </w:r>
            <w:r>
              <w:rPr>
                <w:rFonts w:hint="eastAsia" w:ascii="宋体" w:hAnsi="宋体" w:cs="宋体"/>
                <w:bCs/>
                <w:position w:val="-6"/>
                <w:szCs w:val="21"/>
              </w:rPr>
              <w:object>
                <v:shape id="_x0000_i1038" o:spt="75" type="#_x0000_t75" style="height:13.2pt;width:6.6pt;" o:ole="t" filled="f" o:preferrelative="t" stroked="f" coordsize="21600,21600">
                  <v:path/>
                  <v:fill on="f" focussize="0,0"/>
                  <v:stroke on="f" joinstyle="miter"/>
                  <v:imagedata r:id="rId51" o:title=""/>
                  <o:lock v:ext="edit" aspectratio="t"/>
                  <w10:wrap type="none"/>
                  <w10:anchorlock/>
                </v:shape>
                <o:OLEObject Type="Embed" ProgID="Equation.DSMT4" ShapeID="_x0000_i1038" DrawAspect="Content" ObjectID="_1468075738" r:id="rId50">
                  <o:LockedField>false</o:LockedField>
                </o:OLEObject>
              </w:object>
            </w:r>
            <w:r>
              <w:rPr>
                <w:rFonts w:hint="eastAsia" w:ascii="宋体" w:hAnsi="宋体" w:cs="宋体"/>
                <w:bCs/>
                <w:szCs w:val="21"/>
              </w:rPr>
              <w:t>倍频带的隔声量，单位dB。</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④将室外声级和透声面积换算成等效的室外声源，计算出等效声源第N个倍频带的声功率级；</w:t>
            </w:r>
          </w:p>
          <w:p>
            <w:pPr>
              <w:widowControl/>
              <w:adjustRightInd w:val="0"/>
              <w:snapToGrid w:val="0"/>
              <w:spacing w:line="480" w:lineRule="exact"/>
              <w:ind w:firstLine="420" w:firstLineChars="200"/>
              <w:jc w:val="center"/>
              <w:rPr>
                <w:rFonts w:ascii="宋体" w:hAnsi="宋体" w:cs="宋体"/>
                <w:spacing w:val="5"/>
                <w:szCs w:val="21"/>
              </w:rPr>
            </w:pPr>
            <w:r>
              <w:rPr>
                <w:rFonts w:hint="eastAsia" w:ascii="宋体" w:hAnsi="宋体" w:cs="宋体"/>
                <w:position w:val="-12"/>
                <w:szCs w:val="21"/>
              </w:rPr>
              <w:object>
                <v:shape id="_x0000_i1039" o:spt="75" type="#_x0000_t75" style="height:17.4pt;width:101.4pt;" o:ole="t" filled="f" o:preferrelative="t" stroked="f" coordsize="21600,21600">
                  <v:path/>
                  <v:fill on="f" focussize="0,0"/>
                  <v:stroke on="f" joinstyle="miter"/>
                  <v:imagedata r:id="rId53" o:title=""/>
                  <o:lock v:ext="edit" aspectratio="t"/>
                  <w10:wrap type="none"/>
                  <w10:anchorlock/>
                </v:shape>
                <o:OLEObject Type="Embed" ProgID="Equation.3" ShapeID="_x0000_i1039" DrawAspect="Content" ObjectID="_1468075739" r:id="rId52">
                  <o:LockedField>false</o:LockedField>
                </o:OLEObject>
              </w:objec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式中：S为透声面积，m</w:t>
            </w:r>
            <w:r>
              <w:rPr>
                <w:rFonts w:hint="eastAsia" w:ascii="宋体" w:hAnsi="宋体" w:cs="宋体"/>
                <w:szCs w:val="21"/>
                <w:vertAlign w:val="superscript"/>
              </w:rPr>
              <w:t>2</w:t>
            </w:r>
            <w:r>
              <w:rPr>
                <w:rFonts w:hint="eastAsia" w:ascii="宋体" w:hAnsi="宋体" w:cs="宋体"/>
                <w:szCs w:val="21"/>
              </w:rPr>
              <w:t>。</w:t>
            </w:r>
          </w:p>
          <w:p>
            <w:pPr>
              <w:adjustRightInd w:val="0"/>
              <w:snapToGrid w:val="0"/>
              <w:spacing w:line="480" w:lineRule="exact"/>
              <w:ind w:firstLine="420" w:firstLineChars="200"/>
              <w:jc w:val="left"/>
              <w:rPr>
                <w:rFonts w:ascii="宋体" w:hAnsi="宋体" w:cs="宋体"/>
                <w:b/>
                <w:bCs/>
                <w:kern w:val="0"/>
                <w:szCs w:val="21"/>
              </w:rPr>
            </w:pPr>
            <w:r>
              <w:rPr>
                <w:rFonts w:hint="eastAsia" w:ascii="宋体" w:hAnsi="宋体" w:cs="宋体"/>
                <w:kern w:val="0"/>
                <w:szCs w:val="21"/>
              </w:rPr>
              <w:t>然后按室外声源预测方法计算预测点处的A声级。</w:t>
            </w:r>
          </w:p>
          <w:p>
            <w:pPr>
              <w:adjustRightInd w:val="0"/>
              <w:snapToGrid w:val="0"/>
              <w:spacing w:line="480" w:lineRule="exact"/>
              <w:ind w:firstLine="422" w:firstLineChars="200"/>
              <w:jc w:val="left"/>
              <w:rPr>
                <w:rFonts w:ascii="宋体" w:hAnsi="宋体" w:cs="宋体"/>
                <w:b/>
                <w:bCs/>
                <w:kern w:val="0"/>
                <w:szCs w:val="21"/>
              </w:rPr>
            </w:pPr>
            <w:r>
              <w:rPr>
                <w:rFonts w:hint="eastAsia" w:ascii="宋体" w:hAnsi="宋体" w:cs="宋体"/>
                <w:b/>
                <w:bCs/>
                <w:kern w:val="0"/>
                <w:szCs w:val="21"/>
              </w:rPr>
              <w:t>2）噪声贡献值计算</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设第i个室外声源在预测点产生的A声级为L</w:t>
            </w:r>
            <w:r>
              <w:rPr>
                <w:rFonts w:hint="eastAsia" w:ascii="宋体" w:hAnsi="宋体" w:cs="宋体"/>
                <w:szCs w:val="21"/>
                <w:vertAlign w:val="subscript"/>
              </w:rPr>
              <w:t>Ai</w:t>
            </w:r>
            <w:r>
              <w:rPr>
                <w:rFonts w:hint="eastAsia" w:ascii="宋体" w:hAnsi="宋体" w:cs="宋体"/>
                <w:szCs w:val="21"/>
              </w:rPr>
              <w:t>，在</w:t>
            </w:r>
            <w:r>
              <w:rPr>
                <w:rFonts w:hint="eastAsia" w:ascii="宋体" w:hAnsi="宋体" w:cs="宋体"/>
                <w:iCs/>
                <w:szCs w:val="21"/>
              </w:rPr>
              <w:t>T</w:t>
            </w:r>
            <w:r>
              <w:rPr>
                <w:rFonts w:hint="eastAsia" w:ascii="宋体" w:hAnsi="宋体" w:cs="宋体"/>
                <w:szCs w:val="21"/>
              </w:rPr>
              <w:t>时间内该声源工作时间为t</w:t>
            </w:r>
            <w:r>
              <w:rPr>
                <w:rFonts w:hint="eastAsia" w:ascii="宋体" w:hAnsi="宋体" w:cs="宋体"/>
                <w:szCs w:val="21"/>
                <w:vertAlign w:val="subscript"/>
              </w:rPr>
              <w:t>i</w:t>
            </w:r>
            <w:r>
              <w:rPr>
                <w:rFonts w:hint="eastAsia" w:ascii="宋体" w:hAnsi="宋体" w:cs="宋体"/>
                <w:szCs w:val="21"/>
              </w:rPr>
              <w:t>；第</w:t>
            </w:r>
            <w:r>
              <w:rPr>
                <w:rFonts w:hint="eastAsia" w:ascii="宋体" w:hAnsi="宋体" w:cs="宋体"/>
                <w:iCs/>
                <w:szCs w:val="21"/>
              </w:rPr>
              <w:t>j</w:t>
            </w:r>
            <w:r>
              <w:rPr>
                <w:rFonts w:hint="eastAsia" w:ascii="宋体" w:hAnsi="宋体" w:cs="宋体"/>
                <w:szCs w:val="21"/>
              </w:rPr>
              <w:t>个等效室外声源在预测点产生的A声级为</w:t>
            </w:r>
            <w:r>
              <w:rPr>
                <w:rFonts w:hint="eastAsia" w:ascii="宋体" w:hAnsi="宋体" w:cs="宋体"/>
                <w:iCs/>
                <w:szCs w:val="21"/>
              </w:rPr>
              <w:t>L</w:t>
            </w:r>
            <w:r>
              <w:rPr>
                <w:rFonts w:hint="eastAsia" w:ascii="宋体" w:hAnsi="宋体" w:cs="宋体"/>
                <w:iCs/>
                <w:szCs w:val="21"/>
                <w:vertAlign w:val="subscript"/>
              </w:rPr>
              <w:t>Aj</w:t>
            </w:r>
            <w:r>
              <w:rPr>
                <w:rFonts w:hint="eastAsia" w:ascii="宋体" w:hAnsi="宋体" w:cs="宋体"/>
                <w:szCs w:val="21"/>
              </w:rPr>
              <w:t>，在</w:t>
            </w:r>
            <w:r>
              <w:rPr>
                <w:rFonts w:hint="eastAsia" w:ascii="宋体" w:hAnsi="宋体" w:cs="宋体"/>
                <w:iCs/>
                <w:szCs w:val="21"/>
              </w:rPr>
              <w:t>T</w:t>
            </w:r>
            <w:r>
              <w:rPr>
                <w:rFonts w:hint="eastAsia" w:ascii="宋体" w:hAnsi="宋体" w:cs="宋体"/>
                <w:szCs w:val="21"/>
              </w:rPr>
              <w:t>时间内该声源工作时间为</w:t>
            </w:r>
            <w:r>
              <w:rPr>
                <w:rFonts w:hint="eastAsia" w:ascii="宋体" w:hAnsi="宋体" w:cs="宋体"/>
                <w:iCs/>
                <w:szCs w:val="21"/>
              </w:rPr>
              <w:t>t</w:t>
            </w:r>
            <w:r>
              <w:rPr>
                <w:rFonts w:hint="eastAsia" w:ascii="宋体" w:hAnsi="宋体" w:cs="宋体"/>
                <w:iCs/>
                <w:szCs w:val="21"/>
                <w:vertAlign w:val="subscript"/>
              </w:rPr>
              <w:t>j</w:t>
            </w:r>
            <w:r>
              <w:rPr>
                <w:rFonts w:hint="eastAsia" w:ascii="宋体" w:hAnsi="宋体" w:cs="宋体"/>
                <w:szCs w:val="21"/>
              </w:rPr>
              <w:t>，则拟建工程声源对预测点产生的贡献值（</w:t>
            </w:r>
            <w:r>
              <w:rPr>
                <w:rFonts w:hint="eastAsia" w:ascii="宋体" w:hAnsi="宋体" w:cs="宋体"/>
                <w:iCs/>
                <w:szCs w:val="21"/>
              </w:rPr>
              <w:t>L</w:t>
            </w:r>
            <w:r>
              <w:rPr>
                <w:rFonts w:hint="eastAsia" w:ascii="宋体" w:hAnsi="宋体" w:cs="宋体"/>
                <w:iCs/>
                <w:szCs w:val="21"/>
                <w:vertAlign w:val="subscript"/>
              </w:rPr>
              <w:t>eqg</w:t>
            </w:r>
            <w:r>
              <w:rPr>
                <w:rFonts w:hint="eastAsia" w:ascii="宋体" w:hAnsi="宋体" w:cs="宋体"/>
                <w:szCs w:val="21"/>
              </w:rPr>
              <w:t>）为：</w:t>
            </w:r>
          </w:p>
          <w:p>
            <w:pPr>
              <w:spacing w:line="480" w:lineRule="exact"/>
              <w:ind w:right="-79" w:firstLine="420" w:firstLineChars="200"/>
              <w:jc w:val="center"/>
              <w:rPr>
                <w:rFonts w:ascii="宋体" w:hAnsi="宋体" w:cs="宋体"/>
                <w:szCs w:val="21"/>
              </w:rPr>
            </w:pPr>
            <w:r>
              <w:rPr>
                <w:rFonts w:hint="eastAsia" w:ascii="宋体" w:hAnsi="宋体" w:cs="宋体"/>
                <w:position w:val="-30"/>
                <w:szCs w:val="21"/>
              </w:rPr>
              <w:drawing>
                <wp:inline distT="0" distB="0" distL="114300" distR="114300">
                  <wp:extent cx="2581910" cy="447675"/>
                  <wp:effectExtent l="0" t="0" r="8890" b="8890"/>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pic:cNvPicPr>
                            <a:picLocks noChangeAspect="1"/>
                          </pic:cNvPicPr>
                        </pic:nvPicPr>
                        <pic:blipFill>
                          <a:blip r:embed="rId54" cstate="print"/>
                          <a:stretch>
                            <a:fillRect/>
                          </a:stretch>
                        </pic:blipFill>
                        <pic:spPr>
                          <a:xfrm>
                            <a:off x="0" y="0"/>
                            <a:ext cx="2581910" cy="447675"/>
                          </a:xfrm>
                          <a:prstGeom prst="rect">
                            <a:avLst/>
                          </a:prstGeom>
                          <a:noFill/>
                          <a:ln>
                            <a:noFill/>
                          </a:ln>
                        </pic:spPr>
                      </pic:pic>
                    </a:graphicData>
                  </a:graphic>
                </wp:inline>
              </w:drawing>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式中：</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L</w:t>
            </w:r>
            <w:r>
              <w:rPr>
                <w:rFonts w:hint="eastAsia" w:ascii="宋体" w:hAnsi="宋体" w:cs="宋体"/>
                <w:szCs w:val="21"/>
                <w:vertAlign w:val="subscript"/>
              </w:rPr>
              <w:t>eqg</w:t>
            </w:r>
            <w:r>
              <w:rPr>
                <w:rFonts w:hint="eastAsia" w:ascii="宋体" w:hAnsi="宋体" w:cs="宋体"/>
                <w:szCs w:val="21"/>
              </w:rPr>
              <w:t>—建设项目声源在预测点产生的噪声贡献值，dB；</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T—用于计算等效声级的时间，s；</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N—室外声源个数；</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t</w:t>
            </w:r>
            <w:r>
              <w:rPr>
                <w:rFonts w:hint="eastAsia" w:ascii="宋体" w:hAnsi="宋体" w:cs="宋体"/>
                <w:szCs w:val="21"/>
                <w:vertAlign w:val="subscript"/>
              </w:rPr>
              <w:t>i</w:t>
            </w:r>
            <w:r>
              <w:rPr>
                <w:rFonts w:hint="eastAsia" w:ascii="宋体" w:hAnsi="宋体" w:cs="宋体"/>
                <w:szCs w:val="21"/>
              </w:rPr>
              <w:t>—在T时间内i声源工作时间，s；</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M—等效室外声源个数。</w:t>
            </w:r>
          </w:p>
          <w:p>
            <w:pPr>
              <w:adjustRightInd w:val="0"/>
              <w:snapToGrid w:val="0"/>
              <w:spacing w:line="480" w:lineRule="exact"/>
              <w:ind w:firstLine="420" w:firstLineChars="200"/>
              <w:jc w:val="left"/>
              <w:rPr>
                <w:rFonts w:ascii="宋体" w:hAnsi="宋体" w:cs="宋体"/>
                <w:szCs w:val="21"/>
              </w:rPr>
            </w:pPr>
            <w:r>
              <w:rPr>
                <w:rFonts w:hint="eastAsia" w:ascii="宋体" w:hAnsi="宋体" w:cs="宋体"/>
                <w:szCs w:val="21"/>
              </w:rPr>
              <w:t>t</w:t>
            </w:r>
            <w:r>
              <w:rPr>
                <w:rFonts w:hint="eastAsia" w:ascii="宋体" w:hAnsi="宋体" w:cs="宋体"/>
                <w:szCs w:val="21"/>
                <w:vertAlign w:val="subscript"/>
              </w:rPr>
              <w:t>j</w:t>
            </w:r>
            <w:r>
              <w:rPr>
                <w:rFonts w:hint="eastAsia" w:ascii="宋体" w:hAnsi="宋体" w:cs="宋体"/>
                <w:szCs w:val="21"/>
              </w:rPr>
              <w:t>—在T时间内j声源工作时间，s。</w:t>
            </w:r>
          </w:p>
          <w:p>
            <w:pPr>
              <w:adjustRightInd w:val="0"/>
              <w:snapToGrid w:val="0"/>
              <w:spacing w:line="480" w:lineRule="exact"/>
              <w:ind w:firstLine="422" w:firstLineChars="200"/>
              <w:jc w:val="left"/>
              <w:rPr>
                <w:rFonts w:ascii="宋体" w:hAnsi="宋体" w:cs="宋体"/>
                <w:b/>
                <w:bCs/>
                <w:kern w:val="0"/>
                <w:szCs w:val="21"/>
              </w:rPr>
            </w:pPr>
            <w:r>
              <w:rPr>
                <w:rFonts w:hint="eastAsia" w:ascii="宋体" w:hAnsi="宋体" w:cs="宋体"/>
                <w:b/>
                <w:bCs/>
                <w:kern w:val="0"/>
                <w:szCs w:val="21"/>
              </w:rPr>
              <w:t>3）噪声预测值计算</w:t>
            </w:r>
          </w:p>
          <w:p>
            <w:pPr>
              <w:adjustRightInd w:val="0"/>
              <w:snapToGrid w:val="0"/>
              <w:spacing w:line="480" w:lineRule="exact"/>
              <w:ind w:firstLine="420" w:firstLineChars="200"/>
              <w:jc w:val="center"/>
              <w:rPr>
                <w:rFonts w:ascii="宋体" w:hAnsi="宋体" w:cs="宋体"/>
                <w:szCs w:val="21"/>
              </w:rPr>
            </w:pPr>
            <w:r>
              <w:rPr>
                <w:rFonts w:hint="eastAsia" w:ascii="宋体" w:hAnsi="宋体" w:cs="宋体"/>
                <w:szCs w:val="21"/>
              </w:rPr>
              <w:object>
                <v:shape id="_x0000_i1040" o:spt="75" type="#_x0000_t75" style="height:20.4pt;width:141.6pt;" o:ole="t" filled="f" o:preferrelative="t" stroked="f" coordsize="21600,21600">
                  <v:path/>
                  <v:fill on="f" focussize="0,0"/>
                  <v:stroke on="f" joinstyle="miter"/>
                  <v:imagedata r:id="rId56" o:title=""/>
                  <o:lock v:ext="edit" aspectratio="t"/>
                  <w10:wrap type="none"/>
                  <w10:anchorlock/>
                </v:shape>
                <o:OLEObject Type="Embed" ProgID="Equation.3" ShapeID="_x0000_i1040" DrawAspect="Content" ObjectID="_1468075740" r:id="rId55">
                  <o:LockedField>false</o:LockedField>
                </o:OLEObject>
              </w:object>
            </w:r>
          </w:p>
          <w:p>
            <w:pPr>
              <w:adjustRightInd w:val="0"/>
              <w:snapToGrid w:val="0"/>
              <w:spacing w:line="480" w:lineRule="exact"/>
              <w:ind w:firstLine="420" w:firstLineChars="200"/>
              <w:jc w:val="left"/>
              <w:rPr>
                <w:rFonts w:ascii="宋体" w:hAnsi="宋体" w:cs="宋体"/>
                <w:kern w:val="0"/>
                <w:szCs w:val="21"/>
                <w:lang w:val="pt-BR"/>
              </w:rPr>
            </w:pPr>
            <w:r>
              <w:rPr>
                <w:rFonts w:hint="eastAsia" w:ascii="宋体" w:hAnsi="宋体" w:cs="宋体"/>
                <w:szCs w:val="21"/>
              </w:rPr>
              <w:t>式中：</w:t>
            </w:r>
            <w:r>
              <w:rPr>
                <w:rFonts w:hint="eastAsia" w:ascii="宋体" w:hAnsi="宋体" w:cs="宋体"/>
                <w:szCs w:val="21"/>
              </w:rPr>
              <w:object>
                <v:shape id="_x0000_i1041" o:spt="75" type="#_x0000_t75" style="height:18.6pt;width:20.4pt;" o:ole="t" filled="f" o:preferrelative="t" stroked="f" coordsize="21600,21600">
                  <v:path/>
                  <v:fill on="f" focussize="0,0"/>
                  <v:stroke on="f" joinstyle="miter"/>
                  <v:imagedata r:id="rId58" o:title=""/>
                  <o:lock v:ext="edit" aspectratio="t"/>
                  <w10:wrap type="none"/>
                  <w10:anchorlock/>
                </v:shape>
                <o:OLEObject Type="Embed" ProgID="Equation.3" ShapeID="_x0000_i1041" DrawAspect="Content" ObjectID="_1468075741" r:id="rId57">
                  <o:LockedField>false</o:LockedField>
                </o:OLEObject>
              </w:object>
            </w:r>
            <w:r>
              <w:rPr>
                <w:rFonts w:hint="eastAsia" w:ascii="宋体" w:hAnsi="宋体" w:cs="宋体"/>
                <w:szCs w:val="21"/>
                <w:lang w:val="pt-BR"/>
              </w:rPr>
              <w:t>——建设项目声源在预测点的等效声级贡献值，dB(A)；</w:t>
            </w:r>
          </w:p>
          <w:p>
            <w:pPr>
              <w:adjustRightInd w:val="0"/>
              <w:snapToGrid w:val="0"/>
              <w:spacing w:line="480" w:lineRule="exact"/>
              <w:ind w:firstLine="420" w:firstLineChars="200"/>
              <w:jc w:val="left"/>
              <w:rPr>
                <w:rFonts w:ascii="宋体" w:hAnsi="宋体" w:cs="宋体"/>
                <w:kern w:val="0"/>
                <w:szCs w:val="21"/>
              </w:rPr>
            </w:pPr>
            <w:r>
              <w:rPr>
                <w:rFonts w:hint="eastAsia" w:ascii="宋体" w:hAnsi="宋体" w:cs="宋体"/>
                <w:szCs w:val="21"/>
              </w:rPr>
              <w:object>
                <v:shape id="_x0000_i1042" o:spt="75" type="#_x0000_t75" style="height:18.6pt;width:20.4pt;" o:ole="t" filled="f" o:preferrelative="t" stroked="f" coordsize="21600,21600">
                  <v:path/>
                  <v:fill on="f" focussize="0,0"/>
                  <v:stroke on="f" joinstyle="miter"/>
                  <v:imagedata r:id="rId60" o:title=""/>
                  <o:lock v:ext="edit" aspectratio="t"/>
                  <w10:wrap type="none"/>
                  <w10:anchorlock/>
                </v:shape>
                <o:OLEObject Type="Embed" ProgID="Equation.3" ShapeID="_x0000_i1042" DrawAspect="Content" ObjectID="_1468075742" r:id="rId59">
                  <o:LockedField>false</o:LockedField>
                </o:OLEObject>
              </w:object>
            </w:r>
            <w:r>
              <w:rPr>
                <w:rFonts w:hint="eastAsia" w:ascii="宋体" w:hAnsi="宋体" w:cs="宋体"/>
                <w:szCs w:val="21"/>
                <w:lang w:val="pt-BR"/>
              </w:rPr>
              <w:t>——预测点的背景值，dB(A)。</w:t>
            </w:r>
          </w:p>
          <w:p>
            <w:pPr>
              <w:adjustRightInd w:val="0"/>
              <w:snapToGrid w:val="0"/>
              <w:spacing w:line="480" w:lineRule="exact"/>
              <w:ind w:firstLine="420" w:firstLineChars="200"/>
              <w:jc w:val="left"/>
              <w:rPr>
                <w:rFonts w:ascii="宋体" w:hAnsi="宋体" w:cs="宋体"/>
                <w:szCs w:val="21"/>
              </w:rPr>
            </w:pPr>
            <w:bookmarkStart w:id="19" w:name="_Toc23205"/>
            <w:r>
              <w:rPr>
                <w:rFonts w:hint="eastAsia" w:ascii="宋体" w:hAnsi="宋体" w:cs="宋体"/>
                <w:szCs w:val="21"/>
              </w:rPr>
              <w:t>（3）预测结果与评价</w:t>
            </w:r>
            <w:bookmarkEnd w:id="19"/>
          </w:p>
          <w:p>
            <w:pPr>
              <w:adjustRightInd w:val="0"/>
              <w:snapToGrid w:val="0"/>
              <w:spacing w:line="480" w:lineRule="exact"/>
              <w:ind w:firstLine="420" w:firstLineChars="200"/>
              <w:jc w:val="left"/>
              <w:rPr>
                <w:rFonts w:ascii="宋体" w:hAnsi="宋体" w:cs="宋体"/>
                <w:b/>
                <w:szCs w:val="21"/>
              </w:rPr>
            </w:pPr>
            <w:r>
              <w:rPr>
                <w:rFonts w:hint="eastAsia" w:ascii="宋体" w:hAnsi="宋体" w:cs="宋体"/>
                <w:szCs w:val="21"/>
                <w:lang w:val="pt-BR"/>
              </w:rPr>
              <w:t>按照以上预测模式及源强参数，结合噪声源到各预测点距离，通过</w:t>
            </w:r>
            <w:r>
              <w:rPr>
                <w:rFonts w:hint="eastAsia" w:ascii="宋体" w:hAnsi="宋体" w:cs="宋体"/>
                <w:szCs w:val="21"/>
              </w:rPr>
              <w:t>环安科技噪声预测平台</w:t>
            </w:r>
            <w:r>
              <w:rPr>
                <w:rFonts w:hint="eastAsia" w:ascii="宋体" w:hAnsi="宋体" w:cs="宋体"/>
                <w:szCs w:val="21"/>
                <w:lang w:val="pt-BR"/>
              </w:rPr>
              <w:t>计算，得出项目实施后对厂界的贡献值。</w:t>
            </w:r>
          </w:p>
          <w:p>
            <w:pPr>
              <w:adjustRightInd w:val="0"/>
              <w:snapToGrid w:val="0"/>
              <w:spacing w:line="480" w:lineRule="exact"/>
              <w:ind w:firstLine="422" w:firstLineChars="200"/>
              <w:jc w:val="center"/>
              <w:rPr>
                <w:rFonts w:ascii="宋体" w:hAnsi="宋体" w:cs="宋体"/>
                <w:b/>
                <w:szCs w:val="21"/>
              </w:rPr>
            </w:pPr>
            <w:r>
              <w:rPr>
                <w:rFonts w:hint="eastAsia" w:ascii="宋体" w:hAnsi="宋体" w:cs="宋体"/>
                <w:b/>
                <w:szCs w:val="21"/>
              </w:rPr>
              <w:t>表4-1</w:t>
            </w:r>
            <w:r>
              <w:rPr>
                <w:rFonts w:hint="eastAsia" w:ascii="宋体" w:hAnsi="宋体" w:cs="宋体"/>
                <w:b/>
                <w:szCs w:val="21"/>
                <w:lang w:val="en-US" w:eastAsia="zh-CN"/>
              </w:rPr>
              <w:t>2</w:t>
            </w:r>
            <w:r>
              <w:rPr>
                <w:rFonts w:hint="eastAsia" w:ascii="宋体" w:hAnsi="宋体" w:cs="宋体"/>
                <w:b/>
                <w:szCs w:val="21"/>
              </w:rPr>
              <w:t xml:space="preserve"> 声环境影响预测结果一览表</w:t>
            </w:r>
          </w:p>
          <w:tbl>
            <w:tblPr>
              <w:tblStyle w:val="24"/>
              <w:tblW w:w="79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65"/>
              <w:gridCol w:w="915"/>
              <w:gridCol w:w="1053"/>
              <w:gridCol w:w="1080"/>
              <w:gridCol w:w="1021"/>
              <w:gridCol w:w="1242"/>
              <w:gridCol w:w="1045"/>
              <w:gridCol w:w="12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2148" w:type="pct"/>
                  <w:gridSpan w:val="4"/>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离散点信息</w:t>
                  </w:r>
                </w:p>
              </w:tc>
              <w:tc>
                <w:tcPr>
                  <w:tcW w:w="1425" w:type="pct"/>
                  <w:gridSpan w:val="2"/>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昼间dB（A）</w:t>
                  </w:r>
                </w:p>
              </w:tc>
              <w:tc>
                <w:tcPr>
                  <w:tcW w:w="1425" w:type="pct"/>
                  <w:gridSpan w:val="2"/>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夜间dB（A）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229"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序号</w:t>
                  </w:r>
                </w:p>
              </w:tc>
              <w:tc>
                <w:tcPr>
                  <w:tcW w:w="576"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离散点名称</w:t>
                  </w:r>
                </w:p>
              </w:tc>
              <w:tc>
                <w:tcPr>
                  <w:tcW w:w="663"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X坐标（m）</w:t>
                  </w:r>
                </w:p>
              </w:tc>
              <w:tc>
                <w:tcPr>
                  <w:tcW w:w="678"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Y坐标（m）</w:t>
                  </w:r>
                </w:p>
              </w:tc>
              <w:tc>
                <w:tcPr>
                  <w:tcW w:w="643"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贡献值</w:t>
                  </w:r>
                </w:p>
              </w:tc>
              <w:tc>
                <w:tcPr>
                  <w:tcW w:w="782"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超标和达标情况</w:t>
                  </w:r>
                </w:p>
              </w:tc>
              <w:tc>
                <w:tcPr>
                  <w:tcW w:w="658"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贡献值</w:t>
                  </w:r>
                </w:p>
              </w:tc>
              <w:tc>
                <w:tcPr>
                  <w:tcW w:w="767"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超标和达标情况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229"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1</w:t>
                  </w:r>
                </w:p>
              </w:tc>
              <w:tc>
                <w:tcPr>
                  <w:tcW w:w="576"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西厂界</w:t>
                  </w:r>
                </w:p>
              </w:tc>
              <w:tc>
                <w:tcPr>
                  <w:tcW w:w="663"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-22.84</w:t>
                  </w:r>
                </w:p>
              </w:tc>
              <w:tc>
                <w:tcPr>
                  <w:tcW w:w="678"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57.15</w:t>
                  </w:r>
                </w:p>
              </w:tc>
              <w:tc>
                <w:tcPr>
                  <w:tcW w:w="643"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37.99</w:t>
                  </w:r>
                </w:p>
              </w:tc>
              <w:tc>
                <w:tcPr>
                  <w:tcW w:w="782"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达标</w:t>
                  </w:r>
                </w:p>
              </w:tc>
              <w:tc>
                <w:tcPr>
                  <w:tcW w:w="658"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37.99</w:t>
                  </w:r>
                </w:p>
              </w:tc>
              <w:tc>
                <w:tcPr>
                  <w:tcW w:w="767"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229"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2</w:t>
                  </w:r>
                </w:p>
              </w:tc>
              <w:tc>
                <w:tcPr>
                  <w:tcW w:w="576"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南厂界</w:t>
                  </w:r>
                </w:p>
              </w:tc>
              <w:tc>
                <w:tcPr>
                  <w:tcW w:w="663"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51.39</w:t>
                  </w:r>
                </w:p>
              </w:tc>
              <w:tc>
                <w:tcPr>
                  <w:tcW w:w="678"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3.89</w:t>
                  </w:r>
                </w:p>
              </w:tc>
              <w:tc>
                <w:tcPr>
                  <w:tcW w:w="643"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38.74</w:t>
                  </w:r>
                </w:p>
              </w:tc>
              <w:tc>
                <w:tcPr>
                  <w:tcW w:w="782"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达标</w:t>
                  </w:r>
                </w:p>
              </w:tc>
              <w:tc>
                <w:tcPr>
                  <w:tcW w:w="658"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38.74</w:t>
                  </w:r>
                </w:p>
              </w:tc>
              <w:tc>
                <w:tcPr>
                  <w:tcW w:w="767"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229"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3</w:t>
                  </w:r>
                </w:p>
              </w:tc>
              <w:tc>
                <w:tcPr>
                  <w:tcW w:w="576"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东厂界</w:t>
                  </w:r>
                </w:p>
              </w:tc>
              <w:tc>
                <w:tcPr>
                  <w:tcW w:w="663"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178.02</w:t>
                  </w:r>
                </w:p>
              </w:tc>
              <w:tc>
                <w:tcPr>
                  <w:tcW w:w="678"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129.30</w:t>
                  </w:r>
                </w:p>
              </w:tc>
              <w:tc>
                <w:tcPr>
                  <w:tcW w:w="643"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42.05</w:t>
                  </w:r>
                </w:p>
              </w:tc>
              <w:tc>
                <w:tcPr>
                  <w:tcW w:w="782"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达标</w:t>
                  </w:r>
                </w:p>
              </w:tc>
              <w:tc>
                <w:tcPr>
                  <w:tcW w:w="658"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42.05</w:t>
                  </w:r>
                </w:p>
              </w:tc>
              <w:tc>
                <w:tcPr>
                  <w:tcW w:w="767"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229"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4</w:t>
                  </w:r>
                </w:p>
              </w:tc>
              <w:tc>
                <w:tcPr>
                  <w:tcW w:w="576"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北厂界</w:t>
                  </w:r>
                </w:p>
              </w:tc>
              <w:tc>
                <w:tcPr>
                  <w:tcW w:w="663"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111.40</w:t>
                  </w:r>
                </w:p>
              </w:tc>
              <w:tc>
                <w:tcPr>
                  <w:tcW w:w="678"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161.92</w:t>
                  </w:r>
                </w:p>
              </w:tc>
              <w:tc>
                <w:tcPr>
                  <w:tcW w:w="643"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43.99</w:t>
                  </w:r>
                </w:p>
              </w:tc>
              <w:tc>
                <w:tcPr>
                  <w:tcW w:w="782"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达标</w:t>
                  </w:r>
                </w:p>
              </w:tc>
              <w:tc>
                <w:tcPr>
                  <w:tcW w:w="658"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43.99</w:t>
                  </w:r>
                </w:p>
              </w:tc>
              <w:tc>
                <w:tcPr>
                  <w:tcW w:w="767" w:type="pct"/>
                  <w:vAlign w:val="center"/>
                </w:tcPr>
                <w:p>
                  <w:pPr>
                    <w:pStyle w:val="54"/>
                    <w:snapToGrid w:val="0"/>
                    <w:spacing w:line="240" w:lineRule="exact"/>
                    <w:jc w:val="center"/>
                    <w:rPr>
                      <w:rFonts w:ascii="宋体" w:hAnsi="宋体" w:cs="宋体"/>
                      <w:sz w:val="18"/>
                      <w:szCs w:val="18"/>
                      <w:highlight w:val="none"/>
                    </w:rPr>
                  </w:pPr>
                  <w:r>
                    <w:rPr>
                      <w:rFonts w:hint="eastAsia" w:ascii="宋体" w:hAnsi="宋体" w:cs="宋体"/>
                      <w:sz w:val="18"/>
                      <w:szCs w:val="18"/>
                      <w:highlight w:val="none"/>
                    </w:rPr>
                    <w:t>达标</w:t>
                  </w:r>
                </w:p>
              </w:tc>
            </w:tr>
          </w:tbl>
          <w:p>
            <w:pPr>
              <w:pStyle w:val="42"/>
            </w:pPr>
          </w:p>
          <w:p>
            <w:pPr>
              <w:pStyle w:val="41"/>
              <w:spacing w:line="360" w:lineRule="auto"/>
              <w:jc w:val="both"/>
              <w:rPr>
                <w:color w:val="auto"/>
                <w:sz w:val="21"/>
                <w:szCs w:val="21"/>
              </w:rPr>
            </w:pPr>
            <w:r>
              <w:rPr>
                <w:rFonts w:hint="eastAsia"/>
                <w:color w:val="auto"/>
                <w:sz w:val="21"/>
                <w:szCs w:val="21"/>
              </w:rPr>
              <w:drawing>
                <wp:inline distT="0" distB="0" distL="114300" distR="114300">
                  <wp:extent cx="5041900" cy="3703955"/>
                  <wp:effectExtent l="0" t="0" r="6350" b="10795"/>
                  <wp:docPr id="45" name="图片 45" descr="C:/Users/Administrator/Desktop/腾兴噪声.png腾兴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腾兴噪声.png腾兴噪声"/>
                          <pic:cNvPicPr>
                            <a:picLocks noChangeAspect="1"/>
                          </pic:cNvPicPr>
                        </pic:nvPicPr>
                        <pic:blipFill>
                          <a:blip r:embed="rId61"/>
                          <a:srcRect t="2280" b="2280"/>
                          <a:stretch>
                            <a:fillRect/>
                          </a:stretch>
                        </pic:blipFill>
                        <pic:spPr>
                          <a:xfrm>
                            <a:off x="0" y="0"/>
                            <a:ext cx="5041900" cy="3703955"/>
                          </a:xfrm>
                          <a:prstGeom prst="rect">
                            <a:avLst/>
                          </a:prstGeom>
                        </pic:spPr>
                      </pic:pic>
                    </a:graphicData>
                  </a:graphic>
                </wp:inline>
              </w:drawing>
            </w:r>
          </w:p>
          <w:p>
            <w:pPr>
              <w:pStyle w:val="10"/>
              <w:spacing w:before="120"/>
              <w:rPr>
                <w:rFonts w:ascii="宋体" w:hAnsi="宋体" w:cs="宋体"/>
                <w:b/>
                <w:szCs w:val="21"/>
              </w:rPr>
            </w:pPr>
            <w:r>
              <w:rPr>
                <w:rFonts w:hint="eastAsia" w:ascii="宋体" w:hAnsi="宋体" w:cs="宋体"/>
                <w:b/>
                <w:szCs w:val="21"/>
              </w:rPr>
              <w:t>图7   噪声贡献值分布图</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kern w:val="2"/>
                <w:sz w:val="21"/>
                <w:szCs w:val="21"/>
                <w:lang w:val="pt-BR"/>
              </w:rPr>
              <w:t>由预测结果可知，拟建项目噪声源对声环境影响情况为：厂界昼</w:t>
            </w:r>
            <w:r>
              <w:rPr>
                <w:rFonts w:hint="eastAsia" w:ascii="宋体" w:hAnsi="宋体" w:cs="宋体"/>
                <w:color w:val="auto"/>
                <w:kern w:val="2"/>
                <w:sz w:val="21"/>
                <w:szCs w:val="21"/>
              </w:rPr>
              <w:t>间</w:t>
            </w:r>
            <w:r>
              <w:rPr>
                <w:rFonts w:hint="eastAsia" w:ascii="宋体" w:hAnsi="宋体" w:cs="宋体"/>
                <w:color w:val="auto"/>
                <w:kern w:val="2"/>
                <w:sz w:val="21"/>
                <w:szCs w:val="21"/>
                <w:lang w:val="pt-BR"/>
              </w:rPr>
              <w:t>噪声贡献</w:t>
            </w:r>
            <w:r>
              <w:rPr>
                <w:rFonts w:hint="eastAsia" w:ascii="宋体" w:hAnsi="宋体" w:cs="宋体"/>
                <w:color w:val="auto"/>
                <w:kern w:val="2"/>
                <w:sz w:val="21"/>
                <w:szCs w:val="21"/>
              </w:rPr>
              <w:t>值</w:t>
            </w:r>
            <w:r>
              <w:rPr>
                <w:rFonts w:hint="eastAsia" w:ascii="宋体" w:hAnsi="宋体" w:cs="宋体"/>
                <w:color w:val="auto"/>
                <w:kern w:val="2"/>
                <w:sz w:val="21"/>
                <w:szCs w:val="21"/>
                <w:lang w:val="pt-BR"/>
              </w:rPr>
              <w:t>为</w:t>
            </w:r>
            <w:r>
              <w:rPr>
                <w:rFonts w:hint="eastAsia" w:ascii="宋体" w:hAnsi="宋体" w:cs="宋体"/>
                <w:color w:val="auto"/>
                <w:kern w:val="2"/>
                <w:sz w:val="21"/>
                <w:szCs w:val="21"/>
              </w:rPr>
              <w:t>37.99-43.99</w:t>
            </w:r>
            <w:r>
              <w:rPr>
                <w:rFonts w:hint="eastAsia" w:ascii="宋体" w:hAnsi="宋体" w:cs="宋体"/>
                <w:color w:val="auto"/>
                <w:kern w:val="2"/>
                <w:sz w:val="21"/>
                <w:szCs w:val="21"/>
                <w:lang w:val="pt-BR"/>
              </w:rPr>
              <w:t>dB(A)、夜间噪声贡献</w:t>
            </w:r>
            <w:r>
              <w:rPr>
                <w:rFonts w:hint="eastAsia" w:ascii="宋体" w:hAnsi="宋体" w:cs="宋体"/>
                <w:color w:val="auto"/>
                <w:kern w:val="2"/>
                <w:sz w:val="21"/>
                <w:szCs w:val="21"/>
              </w:rPr>
              <w:t>值</w:t>
            </w:r>
            <w:r>
              <w:rPr>
                <w:rFonts w:hint="eastAsia" w:ascii="宋体" w:hAnsi="宋体" w:cs="宋体"/>
                <w:color w:val="auto"/>
                <w:kern w:val="2"/>
                <w:sz w:val="21"/>
                <w:szCs w:val="21"/>
                <w:lang w:val="pt-BR"/>
              </w:rPr>
              <w:t>为</w:t>
            </w:r>
            <w:r>
              <w:rPr>
                <w:rFonts w:hint="eastAsia" w:ascii="宋体" w:hAnsi="宋体" w:cs="宋体"/>
                <w:color w:val="auto"/>
                <w:kern w:val="2"/>
                <w:sz w:val="21"/>
                <w:szCs w:val="21"/>
              </w:rPr>
              <w:t>37.99-43.99</w:t>
            </w:r>
            <w:r>
              <w:rPr>
                <w:rFonts w:hint="eastAsia" w:ascii="宋体" w:hAnsi="宋体" w:cs="宋体"/>
                <w:color w:val="auto"/>
                <w:kern w:val="2"/>
                <w:sz w:val="21"/>
                <w:szCs w:val="21"/>
                <w:lang w:val="pt-BR"/>
              </w:rPr>
              <w:t>dB(A)，东、西、北三厂界：昼、夜间厂界噪声值均符合《工业企业厂界环境噪声排放标准》（GB12348-2008）</w:t>
            </w:r>
            <w:r>
              <w:rPr>
                <w:rFonts w:hint="eastAsia" w:ascii="宋体" w:hAnsi="宋体" w:cs="宋体"/>
                <w:color w:val="auto"/>
                <w:kern w:val="2"/>
                <w:sz w:val="21"/>
                <w:szCs w:val="21"/>
              </w:rPr>
              <w:t>2</w:t>
            </w:r>
            <w:r>
              <w:rPr>
                <w:rFonts w:hint="eastAsia" w:ascii="宋体" w:hAnsi="宋体" w:cs="宋体"/>
                <w:color w:val="auto"/>
                <w:kern w:val="2"/>
                <w:sz w:val="21"/>
                <w:szCs w:val="21"/>
                <w:lang w:val="pt-BR"/>
              </w:rPr>
              <w:t>类标准要求，南厂界：昼、夜间厂界噪声值均符合《工业企业厂界环境噪声排放标准》（GB12348-2008）</w:t>
            </w:r>
            <w:r>
              <w:rPr>
                <w:rFonts w:hint="eastAsia" w:ascii="宋体" w:hAnsi="宋体" w:cs="宋体"/>
                <w:color w:val="auto"/>
                <w:kern w:val="2"/>
                <w:sz w:val="21"/>
                <w:szCs w:val="21"/>
              </w:rPr>
              <w:t>4</w:t>
            </w:r>
            <w:r>
              <w:rPr>
                <w:rFonts w:hint="eastAsia" w:ascii="宋体" w:hAnsi="宋体" w:cs="宋体"/>
                <w:color w:val="auto"/>
                <w:kern w:val="2"/>
                <w:sz w:val="21"/>
                <w:szCs w:val="21"/>
                <w:lang w:val="pt-BR"/>
              </w:rPr>
              <w:t>类标准要求，噪声能够达标排放。</w:t>
            </w:r>
            <w:r>
              <w:rPr>
                <w:rFonts w:hint="eastAsia" w:ascii="宋体" w:hAnsi="宋体" w:cs="宋体"/>
                <w:color w:val="auto"/>
                <w:kern w:val="2"/>
                <w:sz w:val="21"/>
                <w:szCs w:val="21"/>
              </w:rPr>
              <w:t>项目运行后</w:t>
            </w:r>
            <w:r>
              <w:rPr>
                <w:rFonts w:hint="eastAsia" w:ascii="宋体" w:hAnsi="宋体" w:cs="宋体"/>
                <w:color w:val="auto"/>
                <w:sz w:val="21"/>
                <w:szCs w:val="21"/>
              </w:rPr>
              <w:t>不会对区域声环境产生明显影响，区域声环境可维持现状水平。</w:t>
            </w:r>
          </w:p>
          <w:p>
            <w:pPr>
              <w:pStyle w:val="41"/>
              <w:spacing w:line="360" w:lineRule="auto"/>
              <w:ind w:firstLine="420" w:firstLineChars="200"/>
              <w:jc w:val="both"/>
              <w:rPr>
                <w:rFonts w:ascii="宋体" w:hAnsi="宋体" w:cs="宋体"/>
                <w:b/>
                <w:bCs/>
                <w:color w:val="auto"/>
                <w:sz w:val="21"/>
                <w:szCs w:val="21"/>
              </w:rPr>
            </w:pPr>
            <w:r>
              <w:rPr>
                <w:rFonts w:hint="eastAsia" w:ascii="宋体" w:hAnsi="宋体" w:cs="宋体"/>
                <w:color w:val="auto"/>
                <w:sz w:val="21"/>
                <w:szCs w:val="21"/>
              </w:rPr>
              <w:t>噪声监测方案见表4-1</w:t>
            </w:r>
            <w:r>
              <w:rPr>
                <w:rFonts w:hint="eastAsia" w:ascii="宋体" w:hAnsi="宋体" w:cs="宋体"/>
                <w:color w:val="auto"/>
                <w:sz w:val="21"/>
                <w:szCs w:val="21"/>
                <w:lang w:val="en-US" w:eastAsia="zh-CN"/>
              </w:rPr>
              <w:t>3</w:t>
            </w:r>
            <w:r>
              <w:rPr>
                <w:rFonts w:hint="eastAsia" w:ascii="宋体" w:hAnsi="宋体" w:cs="宋体"/>
                <w:color w:val="auto"/>
                <w:sz w:val="21"/>
                <w:szCs w:val="21"/>
              </w:rPr>
              <w:t>。</w:t>
            </w:r>
          </w:p>
          <w:p>
            <w:pPr>
              <w:pStyle w:val="41"/>
              <w:spacing w:line="360" w:lineRule="auto"/>
              <w:ind w:firstLine="422" w:firstLineChars="200"/>
              <w:jc w:val="center"/>
              <w:rPr>
                <w:rFonts w:ascii="宋体" w:hAnsi="宋体" w:cs="宋体"/>
                <w:b/>
                <w:bCs/>
                <w:color w:val="auto"/>
                <w:sz w:val="21"/>
                <w:szCs w:val="21"/>
              </w:rPr>
            </w:pPr>
            <w:r>
              <w:rPr>
                <w:rFonts w:hint="eastAsia" w:ascii="宋体" w:hAnsi="宋体" w:cs="宋体"/>
                <w:b/>
                <w:bCs/>
                <w:color w:val="auto"/>
                <w:sz w:val="21"/>
                <w:szCs w:val="21"/>
              </w:rPr>
              <w:t>表4-1</w:t>
            </w:r>
            <w:r>
              <w:rPr>
                <w:rFonts w:hint="eastAsia" w:ascii="宋体" w:hAnsi="宋体" w:cs="宋体"/>
                <w:b/>
                <w:bCs/>
                <w:color w:val="auto"/>
                <w:sz w:val="21"/>
                <w:szCs w:val="21"/>
                <w:lang w:val="en-US" w:eastAsia="zh-CN"/>
              </w:rPr>
              <w:t>3</w:t>
            </w:r>
            <w:r>
              <w:rPr>
                <w:rFonts w:hint="eastAsia" w:ascii="宋体" w:hAnsi="宋体" w:cs="宋体"/>
                <w:b/>
                <w:bCs/>
                <w:color w:val="auto"/>
                <w:sz w:val="21"/>
                <w:szCs w:val="21"/>
              </w:rPr>
              <w:t xml:space="preserve">  噪声监测方案</w:t>
            </w:r>
          </w:p>
          <w:tbl>
            <w:tblPr>
              <w:tblStyle w:val="24"/>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45"/>
              <w:gridCol w:w="1172"/>
              <w:gridCol w:w="1132"/>
              <w:gridCol w:w="904"/>
              <w:gridCol w:w="377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945" w:type="dxa"/>
                  <w:noWrap/>
                  <w:vAlign w:val="center"/>
                </w:tcPr>
                <w:p>
                  <w:pPr>
                    <w:jc w:val="center"/>
                    <w:rPr>
                      <w:rFonts w:ascii="宋体" w:hAnsi="宋体" w:cs="宋体"/>
                      <w:sz w:val="18"/>
                      <w:szCs w:val="18"/>
                    </w:rPr>
                  </w:pPr>
                  <w:r>
                    <w:rPr>
                      <w:rFonts w:hint="eastAsia" w:ascii="宋体" w:hAnsi="宋体" w:cs="宋体"/>
                      <w:sz w:val="18"/>
                      <w:szCs w:val="18"/>
                    </w:rPr>
                    <w:t>类别</w:t>
                  </w:r>
                </w:p>
              </w:tc>
              <w:tc>
                <w:tcPr>
                  <w:tcW w:w="1172" w:type="dxa"/>
                  <w:noWrap/>
                  <w:vAlign w:val="center"/>
                </w:tcPr>
                <w:p>
                  <w:pPr>
                    <w:jc w:val="center"/>
                    <w:rPr>
                      <w:rFonts w:ascii="宋体" w:hAnsi="宋体" w:cs="宋体"/>
                      <w:sz w:val="18"/>
                      <w:szCs w:val="18"/>
                    </w:rPr>
                  </w:pPr>
                  <w:r>
                    <w:rPr>
                      <w:rFonts w:hint="eastAsia" w:ascii="宋体" w:hAnsi="宋体" w:cs="宋体"/>
                      <w:sz w:val="18"/>
                      <w:szCs w:val="18"/>
                    </w:rPr>
                    <w:t>监测点位</w:t>
                  </w:r>
                </w:p>
              </w:tc>
              <w:tc>
                <w:tcPr>
                  <w:tcW w:w="1132" w:type="dxa"/>
                  <w:noWrap/>
                  <w:vAlign w:val="center"/>
                </w:tcPr>
                <w:p>
                  <w:pPr>
                    <w:jc w:val="center"/>
                    <w:rPr>
                      <w:rFonts w:ascii="宋体" w:hAnsi="宋体" w:cs="宋体"/>
                      <w:sz w:val="18"/>
                      <w:szCs w:val="18"/>
                    </w:rPr>
                  </w:pPr>
                  <w:r>
                    <w:rPr>
                      <w:rFonts w:hint="eastAsia" w:ascii="宋体" w:hAnsi="宋体" w:cs="宋体"/>
                      <w:sz w:val="18"/>
                      <w:szCs w:val="18"/>
                    </w:rPr>
                    <w:t>监测项目</w:t>
                  </w:r>
                </w:p>
              </w:tc>
              <w:tc>
                <w:tcPr>
                  <w:tcW w:w="904" w:type="dxa"/>
                  <w:noWrap/>
                  <w:vAlign w:val="center"/>
                </w:tcPr>
                <w:p>
                  <w:pPr>
                    <w:jc w:val="center"/>
                    <w:rPr>
                      <w:rFonts w:ascii="宋体" w:hAnsi="宋体" w:cs="宋体"/>
                      <w:sz w:val="18"/>
                      <w:szCs w:val="18"/>
                    </w:rPr>
                  </w:pPr>
                  <w:r>
                    <w:rPr>
                      <w:rFonts w:hint="eastAsia" w:ascii="宋体" w:hAnsi="宋体" w:cs="宋体"/>
                      <w:sz w:val="18"/>
                      <w:szCs w:val="18"/>
                    </w:rPr>
                    <w:t>监测</w:t>
                  </w:r>
                </w:p>
                <w:p>
                  <w:pPr>
                    <w:jc w:val="center"/>
                    <w:rPr>
                      <w:rFonts w:ascii="宋体" w:hAnsi="宋体" w:cs="宋体"/>
                      <w:sz w:val="18"/>
                      <w:szCs w:val="18"/>
                    </w:rPr>
                  </w:pPr>
                  <w:r>
                    <w:rPr>
                      <w:rFonts w:hint="eastAsia" w:ascii="宋体" w:hAnsi="宋体" w:cs="宋体"/>
                      <w:sz w:val="18"/>
                      <w:szCs w:val="18"/>
                    </w:rPr>
                    <w:t>频次</w:t>
                  </w:r>
                </w:p>
              </w:tc>
              <w:tc>
                <w:tcPr>
                  <w:tcW w:w="3773" w:type="dxa"/>
                  <w:noWrap/>
                  <w:vAlign w:val="center"/>
                </w:tcPr>
                <w:p>
                  <w:pPr>
                    <w:jc w:val="center"/>
                    <w:rPr>
                      <w:rFonts w:ascii="宋体" w:hAnsi="宋体" w:cs="宋体"/>
                      <w:sz w:val="18"/>
                      <w:szCs w:val="18"/>
                    </w:rPr>
                  </w:pPr>
                  <w:r>
                    <w:rPr>
                      <w:rFonts w:hint="eastAsia" w:ascii="宋体" w:hAnsi="宋体" w:cs="宋体"/>
                      <w:sz w:val="18"/>
                      <w:szCs w:val="18"/>
                    </w:rPr>
                    <w:t>执行排放标准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945" w:type="dxa"/>
                  <w:vMerge w:val="restart"/>
                  <w:noWrap/>
                  <w:vAlign w:val="center"/>
                </w:tcPr>
                <w:p>
                  <w:pPr>
                    <w:jc w:val="center"/>
                    <w:rPr>
                      <w:rFonts w:ascii="宋体" w:hAnsi="宋体" w:cs="宋体"/>
                      <w:sz w:val="18"/>
                      <w:szCs w:val="18"/>
                    </w:rPr>
                  </w:pPr>
                  <w:r>
                    <w:rPr>
                      <w:rFonts w:hint="eastAsia" w:ascii="宋体" w:hAnsi="宋体" w:cs="宋体"/>
                      <w:sz w:val="18"/>
                      <w:szCs w:val="18"/>
                    </w:rPr>
                    <w:t>噪声</w:t>
                  </w:r>
                </w:p>
              </w:tc>
              <w:tc>
                <w:tcPr>
                  <w:tcW w:w="1172" w:type="dxa"/>
                  <w:noWrap/>
                  <w:vAlign w:val="center"/>
                </w:tcPr>
                <w:p>
                  <w:pPr>
                    <w:jc w:val="center"/>
                    <w:rPr>
                      <w:rFonts w:ascii="宋体" w:hAnsi="宋体" w:cs="宋体"/>
                      <w:sz w:val="18"/>
                      <w:szCs w:val="18"/>
                    </w:rPr>
                  </w:pPr>
                  <w:r>
                    <w:rPr>
                      <w:rFonts w:hint="eastAsia" w:ascii="宋体" w:hAnsi="宋体" w:cs="宋体"/>
                      <w:sz w:val="18"/>
                      <w:szCs w:val="18"/>
                    </w:rPr>
                    <w:t>东、西、北厂界</w:t>
                  </w:r>
                </w:p>
              </w:tc>
              <w:tc>
                <w:tcPr>
                  <w:tcW w:w="1132" w:type="dxa"/>
                  <w:vMerge w:val="restart"/>
                  <w:noWrap/>
                  <w:vAlign w:val="center"/>
                </w:tcPr>
                <w:p>
                  <w:pPr>
                    <w:jc w:val="center"/>
                    <w:rPr>
                      <w:rFonts w:ascii="宋体" w:hAnsi="宋体" w:cs="宋体"/>
                      <w:sz w:val="18"/>
                      <w:szCs w:val="18"/>
                    </w:rPr>
                  </w:pPr>
                  <w:r>
                    <w:rPr>
                      <w:rFonts w:hint="eastAsia" w:ascii="宋体" w:hAnsi="宋体" w:cs="宋体"/>
                      <w:sz w:val="18"/>
                      <w:szCs w:val="18"/>
                    </w:rPr>
                    <w:t>等效</w:t>
                  </w:r>
                </w:p>
                <w:p>
                  <w:pPr>
                    <w:jc w:val="center"/>
                    <w:rPr>
                      <w:rFonts w:ascii="宋体" w:hAnsi="宋体" w:cs="宋体"/>
                      <w:sz w:val="18"/>
                      <w:szCs w:val="18"/>
                    </w:rPr>
                  </w:pPr>
                  <w:r>
                    <w:rPr>
                      <w:rFonts w:hint="eastAsia" w:ascii="宋体" w:hAnsi="宋体" w:cs="宋体"/>
                      <w:sz w:val="18"/>
                      <w:szCs w:val="18"/>
                    </w:rPr>
                    <w:t>A声级</w:t>
                  </w:r>
                </w:p>
              </w:tc>
              <w:tc>
                <w:tcPr>
                  <w:tcW w:w="904" w:type="dxa"/>
                  <w:vMerge w:val="restart"/>
                  <w:noWrap/>
                  <w:vAlign w:val="center"/>
                </w:tcPr>
                <w:p>
                  <w:pPr>
                    <w:jc w:val="center"/>
                    <w:rPr>
                      <w:rFonts w:ascii="宋体" w:hAnsi="宋体" w:cs="宋体"/>
                      <w:sz w:val="18"/>
                      <w:szCs w:val="18"/>
                    </w:rPr>
                  </w:pPr>
                  <w:r>
                    <w:rPr>
                      <w:rFonts w:hint="eastAsia" w:ascii="宋体" w:hAnsi="宋体" w:cs="宋体"/>
                      <w:sz w:val="18"/>
                      <w:szCs w:val="18"/>
                    </w:rPr>
                    <w:t>1次/季度</w:t>
                  </w:r>
                </w:p>
              </w:tc>
              <w:tc>
                <w:tcPr>
                  <w:tcW w:w="3773" w:type="dxa"/>
                  <w:noWrap/>
                  <w:vAlign w:val="center"/>
                </w:tcPr>
                <w:p>
                  <w:pPr>
                    <w:jc w:val="center"/>
                    <w:rPr>
                      <w:rFonts w:ascii="宋体" w:hAnsi="宋体" w:cs="宋体"/>
                      <w:sz w:val="18"/>
                      <w:szCs w:val="18"/>
                    </w:rPr>
                  </w:pPr>
                  <w:r>
                    <w:rPr>
                      <w:rFonts w:hint="eastAsia" w:ascii="宋体" w:hAnsi="宋体" w:cs="宋体"/>
                      <w:sz w:val="18"/>
                      <w:szCs w:val="18"/>
                    </w:rPr>
                    <w:t>《工业企业厂界环境噪声排放标准》（GB12348－2008）中的2类标准要求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945" w:type="dxa"/>
                  <w:vMerge w:val="continue"/>
                  <w:noWrap/>
                  <w:vAlign w:val="center"/>
                </w:tcPr>
                <w:p>
                  <w:pPr>
                    <w:jc w:val="center"/>
                    <w:rPr>
                      <w:rFonts w:ascii="宋体" w:hAnsi="宋体" w:cs="宋体"/>
                      <w:sz w:val="18"/>
                      <w:szCs w:val="18"/>
                    </w:rPr>
                  </w:pPr>
                </w:p>
              </w:tc>
              <w:tc>
                <w:tcPr>
                  <w:tcW w:w="1172" w:type="dxa"/>
                  <w:noWrap/>
                  <w:vAlign w:val="center"/>
                </w:tcPr>
                <w:p>
                  <w:pPr>
                    <w:jc w:val="center"/>
                    <w:rPr>
                      <w:rFonts w:ascii="宋体" w:hAnsi="宋体" w:cs="宋体"/>
                      <w:sz w:val="18"/>
                      <w:szCs w:val="18"/>
                    </w:rPr>
                  </w:pPr>
                  <w:r>
                    <w:rPr>
                      <w:rFonts w:hint="eastAsia" w:ascii="宋体" w:hAnsi="宋体" w:cs="宋体"/>
                      <w:sz w:val="18"/>
                      <w:szCs w:val="18"/>
                    </w:rPr>
                    <w:t>南厂界</w:t>
                  </w:r>
                </w:p>
              </w:tc>
              <w:tc>
                <w:tcPr>
                  <w:tcW w:w="1132" w:type="dxa"/>
                  <w:vMerge w:val="continue"/>
                  <w:noWrap/>
                  <w:vAlign w:val="center"/>
                </w:tcPr>
                <w:p>
                  <w:pPr>
                    <w:jc w:val="center"/>
                    <w:rPr>
                      <w:rFonts w:ascii="宋体" w:hAnsi="宋体" w:cs="宋体"/>
                      <w:sz w:val="18"/>
                      <w:szCs w:val="18"/>
                    </w:rPr>
                  </w:pPr>
                </w:p>
              </w:tc>
              <w:tc>
                <w:tcPr>
                  <w:tcW w:w="904" w:type="dxa"/>
                  <w:vMerge w:val="continue"/>
                  <w:noWrap/>
                  <w:vAlign w:val="center"/>
                </w:tcPr>
                <w:p>
                  <w:pPr>
                    <w:jc w:val="center"/>
                    <w:rPr>
                      <w:rFonts w:ascii="宋体" w:hAnsi="宋体" w:cs="宋体"/>
                      <w:sz w:val="18"/>
                      <w:szCs w:val="18"/>
                    </w:rPr>
                  </w:pPr>
                </w:p>
              </w:tc>
              <w:tc>
                <w:tcPr>
                  <w:tcW w:w="3773" w:type="dxa"/>
                  <w:noWrap/>
                  <w:vAlign w:val="center"/>
                </w:tcPr>
                <w:p>
                  <w:pPr>
                    <w:jc w:val="center"/>
                    <w:rPr>
                      <w:rFonts w:ascii="宋体" w:hAnsi="宋体" w:cs="宋体"/>
                      <w:sz w:val="18"/>
                      <w:szCs w:val="18"/>
                    </w:rPr>
                  </w:pPr>
                  <w:r>
                    <w:rPr>
                      <w:rFonts w:hint="eastAsia" w:ascii="宋体" w:hAnsi="宋体" w:cs="宋体"/>
                      <w:sz w:val="18"/>
                      <w:szCs w:val="18"/>
                    </w:rPr>
                    <w:t>《工业企业厂界环境噪声排放标准》（GB12348－2008）中的4类标准要求</w:t>
                  </w:r>
                </w:p>
              </w:tc>
            </w:tr>
          </w:tbl>
          <w:p>
            <w:pPr>
              <w:pStyle w:val="41"/>
              <w:spacing w:line="360" w:lineRule="auto"/>
              <w:ind w:firstLine="422" w:firstLineChars="200"/>
              <w:jc w:val="both"/>
              <w:rPr>
                <w:rFonts w:ascii="宋体" w:hAnsi="宋体" w:cs="宋体"/>
                <w:b/>
                <w:bCs/>
                <w:color w:val="auto"/>
                <w:sz w:val="21"/>
                <w:szCs w:val="21"/>
              </w:rPr>
            </w:pPr>
          </w:p>
          <w:p>
            <w:pPr>
              <w:pStyle w:val="41"/>
              <w:spacing w:line="360" w:lineRule="auto"/>
              <w:ind w:firstLine="422" w:firstLineChars="200"/>
              <w:jc w:val="both"/>
              <w:rPr>
                <w:rFonts w:ascii="宋体" w:hAnsi="宋体" w:cs="宋体"/>
                <w:b/>
                <w:bCs/>
                <w:color w:val="auto"/>
                <w:sz w:val="21"/>
                <w:szCs w:val="21"/>
              </w:rPr>
            </w:pPr>
            <w:r>
              <w:rPr>
                <w:rFonts w:hint="eastAsia" w:ascii="宋体" w:hAnsi="宋体" w:cs="宋体"/>
                <w:b/>
                <w:bCs/>
                <w:color w:val="auto"/>
                <w:sz w:val="21"/>
                <w:szCs w:val="21"/>
              </w:rPr>
              <w:t xml:space="preserve">4、固体废物 </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项目运营期产生的一般固体废物主要为生物质锅炉炉渣、锅炉水垢、废菌棒、除尘灰、生活垃圾和废培养皿。其中生物质锅炉炉渣集中收集后外售；废菌棒一部分可回收回用于生产，不可回收部分暂存于锅炉房用于锅炉燃料燃烧；除尘灰、水垢、生活垃圾、经蒸汽高温消毒后的废培养皿（不涉及化学试剂）经收集后统一由环卫部门清运处理，粉碎工序除尘灰回用于生产；危险废物为废润滑油、废油桶，暂存于危废间内，定期由秦皇岛市徐山口危险废物处理有限公司拉运处理。</w:t>
            </w:r>
          </w:p>
          <w:p>
            <w:pPr>
              <w:pStyle w:val="41"/>
              <w:numPr>
                <w:ilvl w:val="0"/>
                <w:numId w:val="8"/>
              </w:num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生活垃圾</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本项目运营后新增员工10人，生活垃圾产生量按0.5kg/d•人计算，年工作100天，则员工生活垃圾产生量为0.5t/a。</w:t>
            </w:r>
          </w:p>
          <w:p>
            <w:pPr>
              <w:pStyle w:val="14"/>
              <w:pBdr>
                <w:top w:val="none" w:color="auto" w:sz="0" w:space="1"/>
                <w:left w:val="none" w:color="auto" w:sz="0" w:space="4"/>
                <w:bottom w:val="none" w:color="auto" w:sz="0" w:space="1"/>
                <w:right w:val="none" w:color="auto" w:sz="0" w:space="4"/>
              </w:pBdr>
              <w:spacing w:line="360" w:lineRule="auto"/>
              <w:ind w:firstLine="420" w:firstLineChars="200"/>
              <w:jc w:val="both"/>
              <w:rPr>
                <w:rFonts w:ascii="宋体" w:hAnsi="宋体" w:cs="宋体"/>
                <w:sz w:val="21"/>
                <w:szCs w:val="21"/>
              </w:rPr>
            </w:pPr>
            <w:r>
              <w:rPr>
                <w:rFonts w:hint="eastAsia" w:ascii="宋体" w:hAnsi="宋体" w:cs="宋体"/>
                <w:sz w:val="21"/>
                <w:szCs w:val="21"/>
              </w:rPr>
              <w:t>（2）生物质锅炉除尘灰、粉碎工序除尘灰</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项目生物质锅炉除尘灰收集产尘量为</w:t>
            </w:r>
            <w:r>
              <w:rPr>
                <w:rFonts w:hint="eastAsia" w:ascii="宋体" w:hAnsi="宋体" w:cs="宋体"/>
                <w:color w:val="auto"/>
                <w:sz w:val="21"/>
                <w:szCs w:val="21"/>
                <w:lang w:eastAsia="zh-CN"/>
              </w:rPr>
              <w:t>8.62</w:t>
            </w:r>
            <w:r>
              <w:rPr>
                <w:rFonts w:hint="eastAsia" w:ascii="宋体" w:hAnsi="宋体" w:cs="宋体"/>
                <w:color w:val="auto"/>
                <w:sz w:val="21"/>
                <w:szCs w:val="21"/>
              </w:rPr>
              <w:t>t/a，集中收集后由环卫部门拉运处理；粉碎工序除尘灰产尘量为0.86t/a，集中收集后回用于生产。</w:t>
            </w:r>
          </w:p>
          <w:p>
            <w:pPr>
              <w:pStyle w:val="41"/>
              <w:spacing w:line="360" w:lineRule="auto"/>
              <w:ind w:left="420" w:leftChars="200"/>
              <w:jc w:val="both"/>
              <w:rPr>
                <w:rFonts w:ascii="宋体" w:hAnsi="宋体" w:cs="宋体"/>
                <w:color w:val="auto"/>
                <w:sz w:val="21"/>
                <w:szCs w:val="21"/>
              </w:rPr>
            </w:pPr>
            <w:r>
              <w:rPr>
                <w:rFonts w:hint="eastAsia" w:ascii="宋体" w:hAnsi="宋体" w:cs="宋体"/>
                <w:color w:val="auto"/>
                <w:sz w:val="21"/>
                <w:szCs w:val="21"/>
              </w:rPr>
              <w:t>（3）炉渣</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锅炉炉渣产生源为生物质颗粒燃烧，炉渣产生量为燃料使用量的1.5%，本项目燃料使用量为432t/a，则项目炉渣为6.48t/a，该固废属于草木灰系列，其主要成分中钾含量较高，可集中收集后外售用于有机肥原料。</w:t>
            </w:r>
          </w:p>
          <w:p>
            <w:pPr>
              <w:pStyle w:val="41"/>
              <w:spacing w:line="360" w:lineRule="auto"/>
              <w:ind w:left="420" w:leftChars="200"/>
              <w:jc w:val="both"/>
              <w:rPr>
                <w:rFonts w:ascii="宋体" w:hAnsi="宋体" w:cs="宋体"/>
                <w:color w:val="auto"/>
                <w:sz w:val="21"/>
                <w:szCs w:val="21"/>
              </w:rPr>
            </w:pPr>
            <w:r>
              <w:rPr>
                <w:rFonts w:hint="eastAsia" w:ascii="宋体" w:hAnsi="宋体" w:cs="宋体"/>
                <w:color w:val="auto"/>
                <w:sz w:val="21"/>
                <w:szCs w:val="21"/>
              </w:rPr>
              <w:t>（4）锅炉水垢</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锅炉水垢每一年清理一次，每次约15kg，集中收集后暂存于垃圾箱统一由环卫部门清运处理；</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（5）废培养皿</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本项目实验室所用废培养皿为0.05t/a。</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由于实验只进行简单培养菌种，不涉及任何化学药剂且无污染，因此废培养皿经高温消毒后集中收集交由环卫部门拉运处理。</w:t>
            </w:r>
          </w:p>
          <w:p>
            <w:pPr>
              <w:pStyle w:val="41"/>
              <w:spacing w:line="360" w:lineRule="auto"/>
              <w:ind w:left="420" w:leftChars="200"/>
              <w:jc w:val="both"/>
              <w:rPr>
                <w:rFonts w:ascii="宋体" w:hAnsi="宋体" w:cs="宋体"/>
                <w:color w:val="auto"/>
                <w:sz w:val="21"/>
                <w:szCs w:val="21"/>
              </w:rPr>
            </w:pPr>
            <w:r>
              <w:rPr>
                <w:rFonts w:hint="eastAsia" w:ascii="宋体" w:hAnsi="宋体" w:cs="宋体"/>
                <w:color w:val="auto"/>
                <w:sz w:val="21"/>
                <w:szCs w:val="21"/>
              </w:rPr>
              <w:t>（6）废菌棒</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项目生产过程中不合格菌棒经人工挑选后，符合要求的经高温灭菌后再次投入生产使用，不可回用的菌棒作为废料处理用于生物质锅炉燃料。</w:t>
            </w:r>
          </w:p>
          <w:p>
            <w:pPr>
              <w:pStyle w:val="41"/>
              <w:spacing w:line="360" w:lineRule="auto"/>
              <w:ind w:firstLine="420" w:firstLineChars="200"/>
              <w:jc w:val="both"/>
              <w:rPr>
                <w:rFonts w:ascii="宋体" w:hAnsi="宋体" w:cs="宋体"/>
                <w:color w:val="auto"/>
                <w:sz w:val="21"/>
                <w:szCs w:val="21"/>
                <w:highlight w:val="yellow"/>
              </w:rPr>
            </w:pPr>
            <w:r>
              <w:rPr>
                <w:rFonts w:hint="eastAsia" w:ascii="宋体" w:hAnsi="宋体" w:cs="宋体"/>
                <w:color w:val="auto"/>
                <w:sz w:val="21"/>
                <w:szCs w:val="21"/>
              </w:rPr>
              <w:t>本项目原辅料用量为5081t/a，根据建设单位提供资料，不合格废菌棒占原料总量的10.4%，其中可回用于生产的废菌棒占原料总量的10%，即508.1t/a废菌棒经粉碎工序后再投入生产；不可回用的废菌棒占原料总量的0.4%，即20.324t/a废菌棒作为废料处理，用于生物质锅炉燃料。</w:t>
            </w:r>
          </w:p>
          <w:p>
            <w:pPr>
              <w:pStyle w:val="41"/>
              <w:spacing w:line="360" w:lineRule="auto"/>
              <w:ind w:left="420" w:leftChars="200"/>
              <w:jc w:val="both"/>
              <w:rPr>
                <w:rFonts w:ascii="宋体" w:hAnsi="宋体" w:cs="宋体"/>
                <w:color w:val="auto"/>
                <w:sz w:val="21"/>
                <w:szCs w:val="21"/>
              </w:rPr>
            </w:pPr>
            <w:r>
              <w:rPr>
                <w:rFonts w:hint="eastAsia" w:ascii="宋体" w:hAnsi="宋体" w:cs="宋体"/>
                <w:color w:val="auto"/>
                <w:sz w:val="21"/>
                <w:szCs w:val="21"/>
              </w:rPr>
              <w:t>（7）废润滑油、废油桶</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废润滑油：项目机械设备在运行过程中会产生废润滑油、废油桶，根据建设单位提供资料，废润滑油、废油桶产生量约分别为0.08t/a，0.03t/a，按照《国家危险废物名录》(2021年版)，废润滑油属于危险废物（废物类别：HW08、废物代码：900-217-08)，废油桶属于危险废物（废物类别：HW49、废物代码：900-249-08)。废润滑油、废油桶危废间暂存，委托秦皇岛市徐山口危险废物处理有限公司处置。危险废物详细信息见表 4-1</w:t>
            </w:r>
            <w:r>
              <w:rPr>
                <w:rFonts w:hint="eastAsia" w:ascii="宋体" w:hAnsi="宋体" w:cs="宋体"/>
                <w:color w:val="auto"/>
                <w:sz w:val="21"/>
                <w:szCs w:val="21"/>
                <w:lang w:val="en-US" w:eastAsia="zh-CN"/>
              </w:rPr>
              <w:t>4</w:t>
            </w:r>
            <w:r>
              <w:rPr>
                <w:rFonts w:hint="eastAsia" w:ascii="宋体" w:hAnsi="宋体" w:cs="宋体"/>
                <w:color w:val="auto"/>
                <w:sz w:val="21"/>
                <w:szCs w:val="21"/>
              </w:rPr>
              <w:t>。</w:t>
            </w:r>
          </w:p>
          <w:p>
            <w:pPr>
              <w:pStyle w:val="41"/>
              <w:spacing w:line="360" w:lineRule="auto"/>
              <w:ind w:left="420" w:leftChars="200"/>
              <w:jc w:val="center"/>
              <w:rPr>
                <w:rFonts w:ascii="宋体" w:hAnsi="宋体" w:cs="宋体"/>
                <w:b/>
                <w:bCs/>
                <w:color w:val="auto"/>
                <w:kern w:val="2"/>
                <w:sz w:val="21"/>
                <w:szCs w:val="21"/>
              </w:rPr>
            </w:pPr>
            <w:r>
              <w:rPr>
                <w:rFonts w:hint="eastAsia" w:ascii="宋体" w:hAnsi="宋体" w:cs="宋体"/>
                <w:b/>
                <w:bCs/>
                <w:color w:val="auto"/>
                <w:sz w:val="21"/>
                <w:szCs w:val="21"/>
              </w:rPr>
              <w:t>表4-1</w:t>
            </w:r>
            <w:r>
              <w:rPr>
                <w:rFonts w:hint="eastAsia" w:ascii="宋体" w:hAnsi="宋体" w:cs="宋体"/>
                <w:b/>
                <w:bCs/>
                <w:color w:val="auto"/>
                <w:sz w:val="21"/>
                <w:szCs w:val="21"/>
                <w:lang w:val="en-US" w:eastAsia="zh-CN"/>
              </w:rPr>
              <w:t>4</w:t>
            </w:r>
            <w:r>
              <w:rPr>
                <w:rFonts w:hint="eastAsia" w:ascii="宋体" w:hAnsi="宋体" w:cs="宋体"/>
                <w:b/>
                <w:bCs/>
                <w:color w:val="auto"/>
                <w:sz w:val="21"/>
                <w:szCs w:val="21"/>
              </w:rPr>
              <w:t xml:space="preserve">  </w:t>
            </w:r>
            <w:r>
              <w:rPr>
                <w:rFonts w:hint="eastAsia" w:ascii="宋体" w:hAnsi="宋体" w:cs="宋体"/>
                <w:b/>
                <w:bCs/>
                <w:color w:val="auto"/>
                <w:kern w:val="2"/>
                <w:sz w:val="21"/>
                <w:szCs w:val="21"/>
              </w:rPr>
              <w:t>危险废物详细信息表</w:t>
            </w:r>
          </w:p>
          <w:tbl>
            <w:tblPr>
              <w:tblStyle w:val="24"/>
              <w:tblW w:w="8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377"/>
              <w:gridCol w:w="710"/>
              <w:gridCol w:w="1171"/>
              <w:gridCol w:w="785"/>
              <w:gridCol w:w="441"/>
              <w:gridCol w:w="432"/>
              <w:gridCol w:w="752"/>
              <w:gridCol w:w="588"/>
              <w:gridCol w:w="717"/>
              <w:gridCol w:w="586"/>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8"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序号</w:t>
                  </w:r>
                </w:p>
              </w:tc>
              <w:tc>
                <w:tcPr>
                  <w:tcW w:w="234"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危险废物名称</w:t>
                  </w:r>
                </w:p>
              </w:tc>
              <w:tc>
                <w:tcPr>
                  <w:tcW w:w="440"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危险废物类别</w:t>
                  </w:r>
                </w:p>
              </w:tc>
              <w:tc>
                <w:tcPr>
                  <w:tcW w:w="726"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废物代码</w:t>
                  </w:r>
                </w:p>
              </w:tc>
              <w:tc>
                <w:tcPr>
                  <w:tcW w:w="486"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产生量</w:t>
                  </w:r>
                </w:p>
              </w:tc>
              <w:tc>
                <w:tcPr>
                  <w:tcW w:w="274"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产生工序及装置</w:t>
                  </w:r>
                </w:p>
              </w:tc>
              <w:tc>
                <w:tcPr>
                  <w:tcW w:w="268"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形态</w:t>
                  </w:r>
                </w:p>
              </w:tc>
              <w:tc>
                <w:tcPr>
                  <w:tcW w:w="466"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主要</w:t>
                  </w:r>
                </w:p>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成分</w:t>
                  </w:r>
                </w:p>
              </w:tc>
              <w:tc>
                <w:tcPr>
                  <w:tcW w:w="365" w:type="pct"/>
                  <w:noWrap/>
                  <w:vAlign w:val="center"/>
                </w:tcPr>
                <w:p>
                  <w:pPr>
                    <w:pStyle w:val="55"/>
                    <w:spacing w:line="240" w:lineRule="auto"/>
                    <w:ind w:firstLine="0" w:firstLineChars="0"/>
                    <w:jc w:val="left"/>
                    <w:rPr>
                      <w:rFonts w:ascii="宋体" w:hAnsi="宋体" w:cs="宋体"/>
                      <w:kern w:val="2"/>
                      <w:sz w:val="18"/>
                      <w:szCs w:val="18"/>
                    </w:rPr>
                  </w:pPr>
                  <w:r>
                    <w:rPr>
                      <w:rFonts w:hint="eastAsia" w:ascii="宋体" w:hAnsi="宋体" w:cs="宋体"/>
                      <w:kern w:val="2"/>
                      <w:sz w:val="18"/>
                      <w:szCs w:val="18"/>
                    </w:rPr>
                    <w:t>有害成分</w:t>
                  </w:r>
                </w:p>
              </w:tc>
              <w:tc>
                <w:tcPr>
                  <w:tcW w:w="444"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产废</w:t>
                  </w:r>
                </w:p>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周期</w:t>
                  </w:r>
                </w:p>
              </w:tc>
              <w:tc>
                <w:tcPr>
                  <w:tcW w:w="364"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危险</w:t>
                  </w:r>
                </w:p>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特性</w:t>
                  </w:r>
                </w:p>
              </w:tc>
              <w:tc>
                <w:tcPr>
                  <w:tcW w:w="649"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污染物防治措施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8"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1</w:t>
                  </w:r>
                </w:p>
              </w:tc>
              <w:tc>
                <w:tcPr>
                  <w:tcW w:w="234"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废润滑油</w:t>
                  </w:r>
                </w:p>
              </w:tc>
              <w:tc>
                <w:tcPr>
                  <w:tcW w:w="440"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HW08</w:t>
                  </w:r>
                </w:p>
              </w:tc>
              <w:tc>
                <w:tcPr>
                  <w:tcW w:w="726"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900-217-08</w:t>
                  </w:r>
                </w:p>
              </w:tc>
              <w:tc>
                <w:tcPr>
                  <w:tcW w:w="486"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0.08t/a</w:t>
                  </w:r>
                </w:p>
              </w:tc>
              <w:tc>
                <w:tcPr>
                  <w:tcW w:w="274"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设备</w:t>
                  </w:r>
                </w:p>
              </w:tc>
              <w:tc>
                <w:tcPr>
                  <w:tcW w:w="268"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液态</w:t>
                  </w:r>
                </w:p>
              </w:tc>
              <w:tc>
                <w:tcPr>
                  <w:tcW w:w="466" w:type="pct"/>
                  <w:noWrap/>
                  <w:vAlign w:val="center"/>
                </w:tcPr>
                <w:p>
                  <w:pPr>
                    <w:pStyle w:val="55"/>
                    <w:spacing w:line="240" w:lineRule="auto"/>
                    <w:ind w:firstLine="0" w:firstLineChars="0"/>
                    <w:rPr>
                      <w:rFonts w:ascii="宋体" w:hAnsi="宋体" w:cs="宋体"/>
                      <w:kern w:val="2"/>
                      <w:sz w:val="18"/>
                      <w:szCs w:val="18"/>
                    </w:rPr>
                  </w:pPr>
                  <w:r>
                    <w:rPr>
                      <w:rFonts w:hint="eastAsia" w:ascii="宋体" w:hAnsi="宋体" w:cs="宋体"/>
                      <w:sz w:val="18"/>
                      <w:szCs w:val="18"/>
                    </w:rPr>
                    <w:t>多环芳烃、烷烃</w:t>
                  </w:r>
                </w:p>
              </w:tc>
              <w:tc>
                <w:tcPr>
                  <w:tcW w:w="365" w:type="pct"/>
                  <w:noWrap/>
                  <w:vAlign w:val="center"/>
                </w:tcPr>
                <w:p>
                  <w:pPr>
                    <w:pStyle w:val="55"/>
                    <w:spacing w:line="240" w:lineRule="auto"/>
                    <w:ind w:firstLine="0" w:firstLineChars="0"/>
                    <w:rPr>
                      <w:rFonts w:ascii="宋体" w:hAnsi="宋体" w:cs="宋体"/>
                      <w:kern w:val="2"/>
                      <w:sz w:val="18"/>
                      <w:szCs w:val="18"/>
                    </w:rPr>
                  </w:pPr>
                  <w:r>
                    <w:rPr>
                      <w:rFonts w:hint="eastAsia" w:ascii="宋体" w:hAnsi="宋体" w:cs="宋体"/>
                      <w:sz w:val="18"/>
                      <w:szCs w:val="18"/>
                    </w:rPr>
                    <w:t>多环芳烃 烷烃</w:t>
                  </w:r>
                </w:p>
              </w:tc>
              <w:tc>
                <w:tcPr>
                  <w:tcW w:w="444"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1次/6个月</w:t>
                  </w:r>
                </w:p>
              </w:tc>
              <w:tc>
                <w:tcPr>
                  <w:tcW w:w="364"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T,I</w:t>
                  </w:r>
                </w:p>
              </w:tc>
              <w:tc>
                <w:tcPr>
                  <w:tcW w:w="649" w:type="pct"/>
                  <w:vMerge w:val="restar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集中收集后危废间贮存，定期交由秦皇岛市徐山口危险废物处理有限公司拉运处理</w:t>
                  </w: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8"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2</w:t>
                  </w:r>
                </w:p>
              </w:tc>
              <w:tc>
                <w:tcPr>
                  <w:tcW w:w="234"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废润滑油桶</w:t>
                  </w:r>
                </w:p>
              </w:tc>
              <w:tc>
                <w:tcPr>
                  <w:tcW w:w="440"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HW49</w:t>
                  </w:r>
                </w:p>
              </w:tc>
              <w:tc>
                <w:tcPr>
                  <w:tcW w:w="726"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900-249-08</w:t>
                  </w:r>
                </w:p>
              </w:tc>
              <w:tc>
                <w:tcPr>
                  <w:tcW w:w="486"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0.03t/a</w:t>
                  </w:r>
                </w:p>
              </w:tc>
              <w:tc>
                <w:tcPr>
                  <w:tcW w:w="274"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设备</w:t>
                  </w:r>
                </w:p>
              </w:tc>
              <w:tc>
                <w:tcPr>
                  <w:tcW w:w="268"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固态</w:t>
                  </w:r>
                </w:p>
              </w:tc>
              <w:tc>
                <w:tcPr>
                  <w:tcW w:w="466"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sz w:val="18"/>
                      <w:szCs w:val="18"/>
                    </w:rPr>
                    <w:t>多环芳烃、烷烃</w:t>
                  </w:r>
                </w:p>
              </w:tc>
              <w:tc>
                <w:tcPr>
                  <w:tcW w:w="365" w:type="pct"/>
                  <w:noWrap/>
                  <w:vAlign w:val="center"/>
                </w:tcPr>
                <w:p>
                  <w:pPr>
                    <w:pStyle w:val="55"/>
                    <w:spacing w:line="240" w:lineRule="auto"/>
                    <w:ind w:firstLine="0" w:firstLineChars="0"/>
                    <w:rPr>
                      <w:rFonts w:ascii="宋体" w:hAnsi="宋体" w:cs="宋体"/>
                      <w:kern w:val="2"/>
                      <w:sz w:val="18"/>
                      <w:szCs w:val="18"/>
                    </w:rPr>
                  </w:pPr>
                  <w:r>
                    <w:rPr>
                      <w:rFonts w:hint="eastAsia" w:ascii="宋体" w:hAnsi="宋体" w:cs="宋体"/>
                      <w:sz w:val="18"/>
                      <w:szCs w:val="18"/>
                    </w:rPr>
                    <w:t>多环芳烃烷烃</w:t>
                  </w:r>
                </w:p>
              </w:tc>
              <w:tc>
                <w:tcPr>
                  <w:tcW w:w="444"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1次/6个月</w:t>
                  </w:r>
                </w:p>
              </w:tc>
              <w:tc>
                <w:tcPr>
                  <w:tcW w:w="364"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T,I</w:t>
                  </w:r>
                </w:p>
              </w:tc>
              <w:tc>
                <w:tcPr>
                  <w:tcW w:w="649" w:type="pct"/>
                  <w:vMerge w:val="continue"/>
                  <w:noWrap/>
                  <w:vAlign w:val="center"/>
                </w:tcPr>
                <w:p>
                  <w:pPr>
                    <w:pStyle w:val="55"/>
                    <w:spacing w:line="240" w:lineRule="auto"/>
                    <w:ind w:firstLine="0" w:firstLineChars="0"/>
                    <w:jc w:val="center"/>
                    <w:rPr>
                      <w:rFonts w:ascii="宋体" w:hAnsi="宋体" w:cs="宋体"/>
                      <w:b/>
                      <w:kern w:val="2"/>
                      <w:sz w:val="18"/>
                      <w:szCs w:val="18"/>
                    </w:rPr>
                  </w:pPr>
                </w:p>
              </w:tc>
            </w:tr>
          </w:tbl>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依据《危险废物贮存污染控制标准》（GB18597-2023）中关于危险废物贮存设施的规定，本项目厂内新建“危废暂存间”，该暂存间应符合以下要求：a、应当使用符合标准的容器盛放危险物；b、选址应在易燃易爆等危险品仓库、高压输电线路防护区域以外；c、选址应位于居民区常年主导风向下风向；d、不相容的危险废物必须分开存放，并设置隔离间隔离；e、防渗层至少1m厚黏土层（渗透系数不大于10</w:t>
            </w:r>
            <w:r>
              <w:rPr>
                <w:rFonts w:hint="eastAsia" w:ascii="宋体" w:hAnsi="宋体" w:cs="宋体"/>
                <w:color w:val="auto"/>
                <w:sz w:val="21"/>
                <w:szCs w:val="21"/>
                <w:vertAlign w:val="superscript"/>
              </w:rPr>
              <w:t>-7</w:t>
            </w:r>
            <w:r>
              <w:rPr>
                <w:rFonts w:hint="eastAsia" w:ascii="宋体" w:hAnsi="宋体" w:cs="宋体"/>
                <w:color w:val="auto"/>
                <w:sz w:val="21"/>
                <w:szCs w:val="21"/>
              </w:rPr>
              <w:t>cm/s），或至少2mm厚高密度聚乙烯膜等人工防渗材料（渗透系数不大于10</w:t>
            </w:r>
            <w:r>
              <w:rPr>
                <w:rFonts w:hint="eastAsia" w:ascii="宋体" w:hAnsi="宋体" w:cs="宋体"/>
                <w:color w:val="auto"/>
                <w:sz w:val="21"/>
                <w:szCs w:val="21"/>
                <w:vertAlign w:val="superscript"/>
              </w:rPr>
              <w:t>-10</w:t>
            </w:r>
            <w:r>
              <w:rPr>
                <w:rFonts w:hint="eastAsia" w:ascii="宋体" w:hAnsi="宋体" w:cs="宋体"/>
                <w:color w:val="auto"/>
                <w:sz w:val="21"/>
                <w:szCs w:val="21"/>
              </w:rPr>
              <w:t>cm/s），或其他防渗性能等效的材料。</w:t>
            </w:r>
          </w:p>
          <w:p>
            <w:pPr>
              <w:pStyle w:val="41"/>
              <w:spacing w:line="360" w:lineRule="auto"/>
              <w:ind w:firstLine="420" w:firstLineChars="200"/>
              <w:jc w:val="both"/>
              <w:rPr>
                <w:rFonts w:ascii="宋体" w:hAnsi="宋体" w:cs="宋体"/>
                <w:color w:val="auto"/>
                <w:kern w:val="2"/>
                <w:sz w:val="21"/>
                <w:szCs w:val="21"/>
              </w:rPr>
            </w:pPr>
            <w:r>
              <w:rPr>
                <w:rFonts w:hint="eastAsia" w:ascii="宋体" w:hAnsi="宋体" w:cs="宋体"/>
                <w:color w:val="auto"/>
                <w:kern w:val="2"/>
                <w:sz w:val="21"/>
                <w:szCs w:val="21"/>
              </w:rPr>
              <w:t>1）危废间建设方案</w:t>
            </w:r>
          </w:p>
          <w:p>
            <w:pPr>
              <w:spacing w:line="360" w:lineRule="auto"/>
              <w:ind w:firstLine="420" w:firstLineChars="200"/>
              <w:rPr>
                <w:rFonts w:ascii="宋体" w:hAnsi="宋体" w:cs="宋体"/>
                <w:szCs w:val="21"/>
              </w:rPr>
            </w:pPr>
            <w:r>
              <w:rPr>
                <w:rFonts w:hint="eastAsia" w:ascii="宋体" w:hAnsi="宋体" w:cs="宋体"/>
                <w:szCs w:val="21"/>
              </w:rPr>
              <w:t>项目新建危废暂存间（1座8m</w:t>
            </w:r>
            <w:r>
              <w:rPr>
                <w:rFonts w:hint="eastAsia" w:ascii="宋体" w:hAnsi="宋体" w:cs="宋体"/>
                <w:szCs w:val="21"/>
                <w:vertAlign w:val="superscript"/>
              </w:rPr>
              <w:t>2</w:t>
            </w:r>
            <w:r>
              <w:rPr>
                <w:rFonts w:hint="eastAsia" w:ascii="宋体" w:hAnsi="宋体" w:cs="宋体"/>
                <w:szCs w:val="21"/>
              </w:rPr>
              <w:t>），位于厂区北侧。危废间地面设计按《危险废物贮存污染控制标准》（GB18597-2023）中的要求进行防腐防渗，并设置堵截渗漏的裙脚。</w:t>
            </w:r>
            <w:r>
              <w:rPr>
                <w:rFonts w:hint="eastAsia" w:ascii="宋体" w:hAnsi="宋体" w:cs="宋体"/>
                <w:spacing w:val="5"/>
                <w:szCs w:val="21"/>
              </w:rPr>
              <w:t>门口设置不低于10cm防溢流围堰，</w:t>
            </w:r>
            <w:r>
              <w:rPr>
                <w:rFonts w:hint="eastAsia" w:ascii="宋体" w:hAnsi="宋体" w:cs="宋体"/>
                <w:szCs w:val="21"/>
              </w:rPr>
              <w:t>防渗层为至少1m厚黏土层(渗透系数不大于10</w:t>
            </w:r>
            <w:r>
              <w:rPr>
                <w:rFonts w:hint="eastAsia" w:ascii="宋体" w:hAnsi="宋体" w:cs="宋体"/>
                <w:szCs w:val="21"/>
                <w:vertAlign w:val="superscript"/>
              </w:rPr>
              <w:t>-7</w:t>
            </w:r>
            <w:r>
              <w:rPr>
                <w:rFonts w:hint="eastAsia" w:ascii="宋体" w:hAnsi="宋体" w:cs="宋体"/>
                <w:szCs w:val="21"/>
              </w:rPr>
              <w:t>cm/s)，或至少2mm厚高密度聚乙烯膜等人工防渗材料(渗透系数不大于10</w:t>
            </w:r>
            <w:r>
              <w:rPr>
                <w:rFonts w:hint="eastAsia" w:ascii="宋体" w:hAnsi="宋体" w:cs="宋体"/>
                <w:szCs w:val="21"/>
                <w:vertAlign w:val="superscript"/>
              </w:rPr>
              <w:t>-10</w:t>
            </w:r>
            <w:r>
              <w:rPr>
                <w:rFonts w:hint="eastAsia" w:ascii="宋体" w:hAnsi="宋体" w:cs="宋体"/>
                <w:szCs w:val="21"/>
              </w:rPr>
              <w:t>cm/s)。地面与裙脚用坚固、防渗的材料建造，建筑材料必须与危险废物相容。同时危废间需采用双人双锁管理，建立健全标志标识。防护措施可有效防腐防渗，防止泄漏物料对地下水的污染。结合项目具体情况，确定本项目危废暂存间建设方案如下：</w:t>
            </w:r>
          </w:p>
          <w:p>
            <w:pPr>
              <w:pStyle w:val="55"/>
              <w:ind w:firstLine="420"/>
              <w:rPr>
                <w:rFonts w:ascii="宋体" w:hAnsi="宋体" w:cs="宋体"/>
                <w:kern w:val="2"/>
                <w:sz w:val="21"/>
                <w:szCs w:val="21"/>
              </w:rPr>
            </w:pPr>
            <w:r>
              <w:rPr>
                <w:rFonts w:hint="eastAsia" w:ascii="宋体" w:hAnsi="宋体" w:cs="宋体"/>
                <w:kern w:val="2"/>
                <w:sz w:val="21"/>
                <w:szCs w:val="21"/>
              </w:rPr>
              <w:t>A、危废暂存间应以混凝土、砖或经防腐处理的钢材等材料建成相对封闭场所，设施内要有安全照明设施；</w:t>
            </w:r>
          </w:p>
          <w:p>
            <w:pPr>
              <w:pStyle w:val="55"/>
              <w:ind w:firstLine="420"/>
              <w:rPr>
                <w:rFonts w:ascii="宋体" w:hAnsi="宋体" w:cs="宋体"/>
                <w:kern w:val="2"/>
                <w:sz w:val="21"/>
                <w:szCs w:val="21"/>
              </w:rPr>
            </w:pPr>
            <w:r>
              <w:rPr>
                <w:rFonts w:hint="eastAsia" w:ascii="宋体" w:hAnsi="宋体" w:cs="宋体"/>
                <w:kern w:val="2"/>
                <w:sz w:val="21"/>
                <w:szCs w:val="21"/>
              </w:rPr>
              <w:t>B、地面与裙脚要用坚固、防渗的材料建造，建筑材料必须与危险废物相容；</w:t>
            </w:r>
          </w:p>
          <w:p>
            <w:pPr>
              <w:pStyle w:val="55"/>
              <w:ind w:firstLine="420"/>
              <w:rPr>
                <w:rFonts w:ascii="宋体" w:hAnsi="宋体" w:cs="宋体"/>
                <w:kern w:val="2"/>
                <w:sz w:val="21"/>
                <w:szCs w:val="21"/>
              </w:rPr>
            </w:pPr>
            <w:r>
              <w:rPr>
                <w:rFonts w:hint="eastAsia" w:ascii="宋体" w:hAnsi="宋体" w:cs="宋体"/>
                <w:kern w:val="2"/>
                <w:sz w:val="21"/>
                <w:szCs w:val="21"/>
              </w:rPr>
              <w:t>C、危废暂存间贮存设施应根据贮存危险废物的危险特性设置相应的安全装置以及配备足够的消防器材、应急设施；</w:t>
            </w:r>
          </w:p>
          <w:p>
            <w:pPr>
              <w:pStyle w:val="55"/>
              <w:ind w:firstLine="420"/>
              <w:rPr>
                <w:rFonts w:ascii="宋体" w:hAnsi="宋体" w:cs="宋体"/>
                <w:kern w:val="2"/>
                <w:sz w:val="21"/>
                <w:szCs w:val="21"/>
              </w:rPr>
            </w:pPr>
            <w:r>
              <w:rPr>
                <w:rFonts w:hint="eastAsia" w:ascii="宋体" w:hAnsi="宋体" w:cs="宋体"/>
                <w:kern w:val="2"/>
                <w:sz w:val="21"/>
                <w:szCs w:val="21"/>
              </w:rPr>
              <w:t>D、危废暂存间内应留有足够可供工作人员和搬运工具的通行过道，以便应急处理；</w:t>
            </w:r>
          </w:p>
          <w:p>
            <w:pPr>
              <w:pStyle w:val="55"/>
              <w:ind w:firstLine="420"/>
              <w:rPr>
                <w:rFonts w:ascii="宋体" w:hAnsi="宋体" w:cs="宋体"/>
                <w:kern w:val="2"/>
                <w:sz w:val="21"/>
                <w:szCs w:val="21"/>
              </w:rPr>
            </w:pPr>
            <w:r>
              <w:rPr>
                <w:rFonts w:hint="eastAsia" w:ascii="宋体" w:hAnsi="宋体" w:cs="宋体"/>
                <w:kern w:val="2"/>
                <w:sz w:val="21"/>
                <w:szCs w:val="21"/>
              </w:rPr>
              <w:t>E、危废暂存间内外均需设置危险废物标识。</w:t>
            </w:r>
          </w:p>
          <w:p>
            <w:pPr>
              <w:pStyle w:val="55"/>
              <w:ind w:firstLine="0" w:firstLineChars="0"/>
              <w:jc w:val="center"/>
              <w:rPr>
                <w:rFonts w:ascii="宋体" w:hAnsi="宋体" w:cs="宋体"/>
                <w:b/>
                <w:bCs/>
                <w:sz w:val="21"/>
                <w:szCs w:val="21"/>
              </w:rPr>
            </w:pPr>
            <w:r>
              <w:rPr>
                <w:rFonts w:hint="eastAsia" w:ascii="宋体" w:hAnsi="宋体" w:cs="宋体"/>
                <w:b/>
                <w:bCs/>
                <w:sz w:val="21"/>
                <w:szCs w:val="21"/>
              </w:rPr>
              <w:t>表4-1</w:t>
            </w:r>
            <w:r>
              <w:rPr>
                <w:rFonts w:hint="eastAsia" w:ascii="宋体" w:hAnsi="宋体" w:cs="宋体"/>
                <w:b/>
                <w:bCs/>
                <w:sz w:val="21"/>
                <w:szCs w:val="21"/>
                <w:lang w:val="en-US" w:eastAsia="zh-CN"/>
              </w:rPr>
              <w:t>5</w:t>
            </w:r>
            <w:r>
              <w:rPr>
                <w:rFonts w:hint="eastAsia" w:ascii="宋体" w:hAnsi="宋体" w:cs="宋体"/>
                <w:b/>
                <w:bCs/>
                <w:sz w:val="21"/>
                <w:szCs w:val="21"/>
              </w:rPr>
              <w:t xml:space="preserve">  危险废物标识要求</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191"/>
              <w:gridCol w:w="3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985" w:type="dxa"/>
                  <w:vAlign w:val="center"/>
                </w:tcPr>
                <w:p>
                  <w:pPr>
                    <w:pStyle w:val="55"/>
                    <w:spacing w:line="360" w:lineRule="exact"/>
                    <w:ind w:firstLine="0" w:firstLineChars="0"/>
                    <w:jc w:val="center"/>
                    <w:rPr>
                      <w:rFonts w:ascii="宋体" w:hAnsi="宋体" w:cs="宋体"/>
                      <w:sz w:val="18"/>
                      <w:szCs w:val="18"/>
                    </w:rPr>
                  </w:pPr>
                  <w:r>
                    <w:rPr>
                      <w:rFonts w:hint="eastAsia" w:ascii="宋体" w:hAnsi="宋体" w:cs="宋体"/>
                      <w:sz w:val="18"/>
                      <w:szCs w:val="18"/>
                    </w:rPr>
                    <w:t>场合</w:t>
                  </w:r>
                </w:p>
              </w:tc>
              <w:tc>
                <w:tcPr>
                  <w:tcW w:w="3191" w:type="dxa"/>
                  <w:vAlign w:val="center"/>
                </w:tcPr>
                <w:p>
                  <w:pPr>
                    <w:pStyle w:val="55"/>
                    <w:spacing w:line="360" w:lineRule="exact"/>
                    <w:ind w:firstLine="0" w:firstLineChars="0"/>
                    <w:jc w:val="center"/>
                    <w:rPr>
                      <w:rFonts w:ascii="宋体" w:hAnsi="宋体" w:cs="宋体"/>
                      <w:sz w:val="18"/>
                      <w:szCs w:val="18"/>
                    </w:rPr>
                  </w:pPr>
                  <w:r>
                    <w:rPr>
                      <w:rFonts w:hint="eastAsia" w:ascii="宋体" w:hAnsi="宋体" w:cs="宋体"/>
                      <w:sz w:val="18"/>
                      <w:szCs w:val="18"/>
                    </w:rPr>
                    <w:t>样式</w:t>
                  </w:r>
                </w:p>
              </w:tc>
              <w:tc>
                <w:tcPr>
                  <w:tcW w:w="3722" w:type="dxa"/>
                  <w:vAlign w:val="center"/>
                </w:tcPr>
                <w:p>
                  <w:pPr>
                    <w:pStyle w:val="55"/>
                    <w:spacing w:line="360" w:lineRule="exact"/>
                    <w:ind w:firstLine="0" w:firstLineChars="0"/>
                    <w:jc w:val="center"/>
                    <w:rPr>
                      <w:rFonts w:ascii="宋体" w:hAnsi="宋体" w:cs="宋体"/>
                      <w:sz w:val="18"/>
                      <w:szCs w:val="18"/>
                    </w:rPr>
                  </w:pPr>
                  <w:r>
                    <w:rPr>
                      <w:rFonts w:hint="eastAsia" w:ascii="宋体" w:hAnsi="宋体" w:cs="宋体"/>
                      <w:sz w:val="18"/>
                      <w:szCs w:val="18"/>
                    </w:rPr>
                    <w:t>印刷要求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6" w:hRule="atLeast"/>
              </w:trPr>
              <w:tc>
                <w:tcPr>
                  <w:tcW w:w="985" w:type="dxa"/>
                  <w:vMerge w:val="restart"/>
                  <w:vAlign w:val="center"/>
                </w:tcPr>
                <w:p>
                  <w:pPr>
                    <w:pStyle w:val="55"/>
                    <w:spacing w:line="360" w:lineRule="exact"/>
                    <w:ind w:firstLine="0" w:firstLineChars="0"/>
                    <w:jc w:val="center"/>
                    <w:rPr>
                      <w:rFonts w:ascii="宋体" w:hAnsi="宋体" w:cs="宋体"/>
                      <w:sz w:val="18"/>
                      <w:szCs w:val="18"/>
                    </w:rPr>
                  </w:pPr>
                  <w:r>
                    <w:rPr>
                      <w:rFonts w:hint="eastAsia" w:ascii="宋体" w:hAnsi="宋体" w:cs="宋体"/>
                      <w:sz w:val="18"/>
                      <w:szCs w:val="18"/>
                    </w:rPr>
                    <w:t>室外（粘贴于门上或悬挂）</w:t>
                  </w:r>
                </w:p>
              </w:tc>
              <w:tc>
                <w:tcPr>
                  <w:tcW w:w="3191" w:type="dxa"/>
                  <w:vAlign w:val="center"/>
                </w:tcPr>
                <w:p>
                  <w:pPr>
                    <w:pStyle w:val="55"/>
                    <w:spacing w:line="240" w:lineRule="auto"/>
                    <w:ind w:firstLine="0" w:firstLineChars="0"/>
                    <w:jc w:val="center"/>
                    <w:rPr>
                      <w:rFonts w:ascii="宋体" w:hAnsi="宋体" w:cs="宋体"/>
                      <w:sz w:val="18"/>
                      <w:szCs w:val="18"/>
                    </w:rPr>
                  </w:pPr>
                  <w:r>
                    <w:rPr>
                      <w:rFonts w:hint="eastAsia" w:ascii="宋体" w:hAnsi="宋体" w:cs="宋体"/>
                      <w:sz w:val="18"/>
                      <w:szCs w:val="18"/>
                    </w:rPr>
                    <w:drawing>
                      <wp:inline distT="0" distB="0" distL="114300" distR="114300">
                        <wp:extent cx="1886585" cy="2969260"/>
                        <wp:effectExtent l="0" t="0" r="18415" b="2540"/>
                        <wp:docPr id="46" name="图片 1" descr="危废贮存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危废贮存设施"/>
                                <pic:cNvPicPr>
                                  <a:picLocks noChangeAspect="1"/>
                                </pic:cNvPicPr>
                              </pic:nvPicPr>
                              <pic:blipFill>
                                <a:blip r:embed="rId62"/>
                                <a:stretch>
                                  <a:fillRect/>
                                </a:stretch>
                              </pic:blipFill>
                              <pic:spPr>
                                <a:xfrm>
                                  <a:off x="0" y="0"/>
                                  <a:ext cx="1886585" cy="2969260"/>
                                </a:xfrm>
                                <a:prstGeom prst="rect">
                                  <a:avLst/>
                                </a:prstGeom>
                                <a:noFill/>
                                <a:ln>
                                  <a:noFill/>
                                </a:ln>
                              </pic:spPr>
                            </pic:pic>
                          </a:graphicData>
                        </a:graphic>
                      </wp:inline>
                    </w:drawing>
                  </w:r>
                </w:p>
              </w:tc>
              <w:tc>
                <w:tcPr>
                  <w:tcW w:w="3722" w:type="dxa"/>
                  <w:vAlign w:val="center"/>
                </w:tcPr>
                <w:p>
                  <w:pPr>
                    <w:pStyle w:val="55"/>
                    <w:spacing w:line="360" w:lineRule="exact"/>
                    <w:ind w:firstLine="0" w:firstLineChars="0"/>
                    <w:jc w:val="center"/>
                    <w:rPr>
                      <w:rFonts w:ascii="宋体" w:hAnsi="宋体" w:cs="宋体"/>
                      <w:sz w:val="18"/>
                      <w:szCs w:val="18"/>
                    </w:rPr>
                  </w:pPr>
                  <w:r>
                    <w:rPr>
                      <w:rFonts w:hint="eastAsia" w:ascii="宋体" w:hAnsi="宋体" w:cs="宋体"/>
                      <w:sz w:val="18"/>
                      <w:szCs w:val="18"/>
                    </w:rPr>
                    <w:t>1、危险废物标签尺寸颜色：</w:t>
                  </w:r>
                </w:p>
                <w:p>
                  <w:pPr>
                    <w:pStyle w:val="55"/>
                    <w:spacing w:line="360" w:lineRule="exact"/>
                    <w:ind w:firstLine="0" w:firstLineChars="0"/>
                    <w:jc w:val="center"/>
                    <w:rPr>
                      <w:rFonts w:ascii="宋体" w:hAnsi="宋体" w:cs="宋体"/>
                      <w:sz w:val="18"/>
                      <w:szCs w:val="18"/>
                    </w:rPr>
                  </w:pPr>
                  <w:r>
                    <w:rPr>
                      <w:rFonts w:hint="eastAsia" w:ascii="宋体" w:hAnsi="宋体" w:cs="宋体"/>
                      <w:sz w:val="18"/>
                      <w:szCs w:val="18"/>
                    </w:rPr>
                    <w:t>形状：等边三角形，边长40cm</w:t>
                  </w:r>
                </w:p>
                <w:p>
                  <w:pPr>
                    <w:pStyle w:val="55"/>
                    <w:spacing w:line="360" w:lineRule="exact"/>
                    <w:ind w:firstLine="0" w:firstLineChars="0"/>
                    <w:jc w:val="center"/>
                    <w:rPr>
                      <w:rFonts w:ascii="宋体" w:hAnsi="宋体" w:cs="宋体"/>
                      <w:sz w:val="18"/>
                      <w:szCs w:val="18"/>
                    </w:rPr>
                  </w:pPr>
                  <w:r>
                    <w:rPr>
                      <w:rFonts w:hint="eastAsia" w:ascii="宋体" w:hAnsi="宋体" w:cs="宋体"/>
                      <w:sz w:val="18"/>
                      <w:szCs w:val="18"/>
                    </w:rPr>
                    <w:t>颜色：背景为黄色，图形为黑色</w:t>
                  </w:r>
                </w:p>
                <w:p>
                  <w:pPr>
                    <w:pStyle w:val="55"/>
                    <w:spacing w:line="360" w:lineRule="exact"/>
                    <w:ind w:firstLine="0" w:firstLineChars="0"/>
                    <w:jc w:val="center"/>
                    <w:rPr>
                      <w:rFonts w:ascii="宋体" w:hAnsi="宋体" w:cs="宋体"/>
                      <w:sz w:val="18"/>
                      <w:szCs w:val="18"/>
                    </w:rPr>
                  </w:pPr>
                  <w:r>
                    <w:rPr>
                      <w:rFonts w:hint="eastAsia" w:ascii="宋体" w:hAnsi="宋体" w:cs="宋体"/>
                      <w:sz w:val="18"/>
                      <w:szCs w:val="18"/>
                    </w:rPr>
                    <w:t>字体：黑体字，字体颜色：黑色</w:t>
                  </w:r>
                </w:p>
                <w:p>
                  <w:pPr>
                    <w:pStyle w:val="55"/>
                    <w:spacing w:line="360" w:lineRule="exact"/>
                    <w:ind w:firstLine="0" w:firstLineChars="0"/>
                    <w:jc w:val="center"/>
                    <w:rPr>
                      <w:rFonts w:ascii="宋体" w:hAnsi="宋体" w:cs="宋体"/>
                      <w:sz w:val="18"/>
                      <w:szCs w:val="18"/>
                    </w:rPr>
                  </w:pPr>
                  <w:r>
                    <w:rPr>
                      <w:rFonts w:hint="eastAsia" w:ascii="宋体" w:hAnsi="宋体" w:cs="宋体"/>
                      <w:sz w:val="18"/>
                      <w:szCs w:val="18"/>
                    </w:rPr>
                    <w:t>2、危险类别：按危险废物种类选择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trPr>
              <w:tc>
                <w:tcPr>
                  <w:tcW w:w="985" w:type="dxa"/>
                  <w:vMerge w:val="continue"/>
                  <w:vAlign w:val="center"/>
                </w:tcPr>
                <w:p>
                  <w:pPr>
                    <w:pStyle w:val="55"/>
                    <w:spacing w:line="360" w:lineRule="exact"/>
                    <w:ind w:firstLine="0" w:firstLineChars="0"/>
                    <w:jc w:val="center"/>
                    <w:rPr>
                      <w:rFonts w:ascii="宋体" w:hAnsi="宋体" w:cs="宋体"/>
                      <w:sz w:val="18"/>
                      <w:szCs w:val="18"/>
                    </w:rPr>
                  </w:pPr>
                </w:p>
              </w:tc>
              <w:tc>
                <w:tcPr>
                  <w:tcW w:w="6913" w:type="dxa"/>
                  <w:gridSpan w:val="2"/>
                  <w:vAlign w:val="center"/>
                </w:tcPr>
                <w:p>
                  <w:pPr>
                    <w:pStyle w:val="55"/>
                    <w:spacing w:line="240" w:lineRule="auto"/>
                    <w:ind w:firstLine="0" w:firstLineChars="0"/>
                    <w:jc w:val="left"/>
                    <w:rPr>
                      <w:rFonts w:ascii="宋体" w:hAnsi="宋体" w:cs="宋体"/>
                      <w:sz w:val="18"/>
                      <w:szCs w:val="18"/>
                    </w:rPr>
                  </w:pPr>
                  <w:r>
                    <w:rPr>
                      <w:rFonts w:hint="eastAsia" w:ascii="宋体" w:hAnsi="宋体" w:cs="宋体"/>
                      <w:sz w:val="18"/>
                      <w:szCs w:val="18"/>
                    </w:rPr>
                    <w:t>格式要求：</w:t>
                  </w:r>
                </w:p>
                <w:p>
                  <w:pPr>
                    <w:pStyle w:val="55"/>
                    <w:spacing w:line="240" w:lineRule="auto"/>
                    <w:ind w:firstLine="0" w:firstLineChars="0"/>
                    <w:jc w:val="center"/>
                    <w:rPr>
                      <w:rFonts w:ascii="宋体" w:hAnsi="宋体" w:cs="宋体"/>
                      <w:sz w:val="18"/>
                      <w:szCs w:val="18"/>
                    </w:rPr>
                  </w:pPr>
                  <w:r>
                    <w:rPr>
                      <w:rFonts w:hint="eastAsia" w:ascii="宋体" w:hAnsi="宋体" w:cs="宋体"/>
                      <w:sz w:val="18"/>
                      <w:szCs w:val="18"/>
                    </w:rPr>
                    <w:drawing>
                      <wp:inline distT="0" distB="0" distL="114300" distR="114300">
                        <wp:extent cx="4251325" cy="1031875"/>
                        <wp:effectExtent l="0" t="0" r="15875" b="15875"/>
                        <wp:docPr id="47" name="图片 2" descr="危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危废3"/>
                                <pic:cNvPicPr>
                                  <a:picLocks noChangeAspect="1"/>
                                </pic:cNvPicPr>
                              </pic:nvPicPr>
                              <pic:blipFill>
                                <a:blip r:embed="rId63"/>
                                <a:stretch>
                                  <a:fillRect/>
                                </a:stretch>
                              </pic:blipFill>
                              <pic:spPr>
                                <a:xfrm>
                                  <a:off x="0" y="0"/>
                                  <a:ext cx="4251325" cy="10318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0" w:hRule="atLeast"/>
              </w:trPr>
              <w:tc>
                <w:tcPr>
                  <w:tcW w:w="985" w:type="dxa"/>
                  <w:vAlign w:val="center"/>
                </w:tcPr>
                <w:p>
                  <w:pPr>
                    <w:spacing w:line="360" w:lineRule="exact"/>
                    <w:jc w:val="center"/>
                    <w:rPr>
                      <w:rFonts w:ascii="宋体" w:hAnsi="宋体" w:cs="宋体"/>
                      <w:sz w:val="18"/>
                      <w:szCs w:val="18"/>
                    </w:rPr>
                  </w:pPr>
                  <w:r>
                    <w:rPr>
                      <w:rFonts w:hint="eastAsia" w:ascii="宋体" w:hAnsi="宋体" w:cs="宋体"/>
                      <w:sz w:val="18"/>
                      <w:szCs w:val="18"/>
                    </w:rPr>
                    <w:t>室外</w:t>
                  </w:r>
                </w:p>
                <w:p>
                  <w:pPr>
                    <w:pStyle w:val="55"/>
                    <w:spacing w:line="360" w:lineRule="exact"/>
                    <w:ind w:firstLine="0" w:firstLineChars="0"/>
                    <w:jc w:val="center"/>
                    <w:rPr>
                      <w:rFonts w:ascii="宋体" w:hAnsi="宋体" w:cs="宋体"/>
                      <w:sz w:val="18"/>
                      <w:szCs w:val="18"/>
                    </w:rPr>
                  </w:pPr>
                  <w:r>
                    <w:rPr>
                      <w:rFonts w:hint="eastAsia" w:ascii="宋体" w:hAnsi="宋体" w:cs="宋体"/>
                      <w:sz w:val="18"/>
                      <w:szCs w:val="18"/>
                    </w:rPr>
                    <w:t>（粘贴于门上或悬挂）</w:t>
                  </w:r>
                </w:p>
              </w:tc>
              <w:tc>
                <w:tcPr>
                  <w:tcW w:w="3191" w:type="dxa"/>
                  <w:vAlign w:val="center"/>
                </w:tcPr>
                <w:p>
                  <w:pPr>
                    <w:pStyle w:val="55"/>
                    <w:spacing w:line="360" w:lineRule="exact"/>
                    <w:ind w:firstLine="0" w:firstLineChars="0"/>
                    <w:rPr>
                      <w:rFonts w:ascii="宋体" w:hAnsi="宋体" w:cs="宋体"/>
                      <w:sz w:val="18"/>
                      <w:szCs w:val="18"/>
                    </w:rPr>
                  </w:pPr>
                  <w:r>
                    <w:rPr>
                      <w:rFonts w:hint="eastAsia" w:ascii="宋体" w:hAnsi="宋体" w:cs="宋体"/>
                      <w:sz w:val="18"/>
                      <w:szCs w:val="18"/>
                    </w:rPr>
                    <w:drawing>
                      <wp:anchor distT="0" distB="0" distL="114300" distR="114300" simplePos="0" relativeHeight="251676672" behindDoc="0" locked="0" layoutInCell="1" allowOverlap="1">
                        <wp:simplePos x="0" y="0"/>
                        <wp:positionH relativeFrom="column">
                          <wp:posOffset>100330</wp:posOffset>
                        </wp:positionH>
                        <wp:positionV relativeFrom="paragraph">
                          <wp:posOffset>187325</wp:posOffset>
                        </wp:positionV>
                        <wp:extent cx="1657350" cy="1616075"/>
                        <wp:effectExtent l="0" t="0" r="0" b="3175"/>
                        <wp:wrapNone/>
                        <wp:docPr id="49" name="图片 1025" descr="C:\Users\Administrator\Desktop\危废分区标识.jpg危废分区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25" descr="C:\Users\Administrator\Desktop\危废分区标识.jpg危废分区标识"/>
                                <pic:cNvPicPr>
                                  <a:picLocks noChangeAspect="1"/>
                                </pic:cNvPicPr>
                              </pic:nvPicPr>
                              <pic:blipFill>
                                <a:blip r:embed="rId64"/>
                                <a:stretch>
                                  <a:fillRect/>
                                </a:stretch>
                              </pic:blipFill>
                              <pic:spPr>
                                <a:xfrm>
                                  <a:off x="0" y="0"/>
                                  <a:ext cx="1657350" cy="1616075"/>
                                </a:xfrm>
                                <a:prstGeom prst="rect">
                                  <a:avLst/>
                                </a:prstGeom>
                                <a:noFill/>
                                <a:ln>
                                  <a:noFill/>
                                </a:ln>
                              </pic:spPr>
                            </pic:pic>
                          </a:graphicData>
                        </a:graphic>
                      </wp:anchor>
                    </w:drawing>
                  </w:r>
                </w:p>
              </w:tc>
              <w:tc>
                <w:tcPr>
                  <w:tcW w:w="3722" w:type="dxa"/>
                  <w:vAlign w:val="center"/>
                </w:tcPr>
                <w:p>
                  <w:pPr>
                    <w:pStyle w:val="55"/>
                    <w:spacing w:line="240" w:lineRule="auto"/>
                    <w:ind w:firstLine="0" w:firstLineChars="0"/>
                    <w:jc w:val="center"/>
                    <w:rPr>
                      <w:rFonts w:ascii="宋体" w:hAnsi="宋体" w:cs="宋体"/>
                      <w:sz w:val="18"/>
                      <w:szCs w:val="18"/>
                    </w:rPr>
                  </w:pPr>
                  <w:r>
                    <w:rPr>
                      <w:rFonts w:hint="eastAsia" w:ascii="宋体" w:hAnsi="宋体" w:cs="宋体"/>
                      <w:sz w:val="18"/>
                      <w:szCs w:val="18"/>
                    </w:rPr>
                    <w:t>危险废物贮存分区标志的图形和文字应清晰、完整，保证在足够的观察距离条件下不影响阅读。“危 险废物贮存分区标志”字样与其他信息宜加黑色分界线区分，分界线的宽度不小于 2 mm。</w:t>
                  </w:r>
                </w:p>
                <w:p>
                  <w:pPr>
                    <w:pStyle w:val="55"/>
                    <w:spacing w:line="240" w:lineRule="auto"/>
                    <w:ind w:firstLine="0" w:firstLineChars="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6" w:hRule="atLeast"/>
              </w:trPr>
              <w:tc>
                <w:tcPr>
                  <w:tcW w:w="985" w:type="dxa"/>
                  <w:vAlign w:val="center"/>
                </w:tcPr>
                <w:p>
                  <w:pPr>
                    <w:pStyle w:val="55"/>
                    <w:spacing w:line="360" w:lineRule="exact"/>
                    <w:ind w:firstLine="0" w:firstLineChars="0"/>
                    <w:jc w:val="center"/>
                    <w:rPr>
                      <w:rFonts w:ascii="宋体" w:hAnsi="宋体" w:cs="宋体"/>
                      <w:sz w:val="18"/>
                      <w:szCs w:val="18"/>
                    </w:rPr>
                  </w:pPr>
                </w:p>
              </w:tc>
              <w:tc>
                <w:tcPr>
                  <w:tcW w:w="6913" w:type="dxa"/>
                  <w:gridSpan w:val="2"/>
                  <w:vAlign w:val="center"/>
                </w:tcPr>
                <w:p>
                  <w:pPr>
                    <w:pStyle w:val="55"/>
                    <w:spacing w:line="240" w:lineRule="auto"/>
                    <w:ind w:firstLine="0" w:firstLineChars="0"/>
                    <w:jc w:val="left"/>
                    <w:rPr>
                      <w:rFonts w:ascii="宋体" w:hAnsi="宋体" w:cs="宋体"/>
                      <w:sz w:val="18"/>
                      <w:szCs w:val="18"/>
                    </w:rPr>
                  </w:pPr>
                  <w:r>
                    <w:rPr>
                      <w:rFonts w:hint="eastAsia" w:ascii="宋体" w:hAnsi="宋体" w:cs="宋体"/>
                      <w:sz w:val="18"/>
                      <w:szCs w:val="18"/>
                    </w:rPr>
                    <w:t>格式要求：</w:t>
                  </w:r>
                </w:p>
                <w:p>
                  <w:pPr>
                    <w:pStyle w:val="55"/>
                    <w:spacing w:line="240" w:lineRule="auto"/>
                    <w:ind w:firstLine="0" w:firstLineChars="0"/>
                    <w:jc w:val="center"/>
                    <w:rPr>
                      <w:rFonts w:ascii="宋体" w:hAnsi="宋体" w:cs="宋体"/>
                      <w:sz w:val="18"/>
                      <w:szCs w:val="18"/>
                    </w:rPr>
                  </w:pPr>
                  <w:r>
                    <w:rPr>
                      <w:rFonts w:hint="eastAsia" w:ascii="宋体" w:hAnsi="宋体" w:cs="宋体"/>
                      <w:sz w:val="18"/>
                      <w:szCs w:val="18"/>
                    </w:rPr>
                    <w:drawing>
                      <wp:inline distT="0" distB="0" distL="114300" distR="114300">
                        <wp:extent cx="4251325" cy="779145"/>
                        <wp:effectExtent l="0" t="0" r="15875" b="1905"/>
                        <wp:docPr id="56" name="图片 3" descr="危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descr="危废2"/>
                                <pic:cNvPicPr>
                                  <a:picLocks noChangeAspect="1"/>
                                </pic:cNvPicPr>
                              </pic:nvPicPr>
                              <pic:blipFill>
                                <a:blip r:embed="rId65"/>
                                <a:stretch>
                                  <a:fillRect/>
                                </a:stretch>
                              </pic:blipFill>
                              <pic:spPr>
                                <a:xfrm>
                                  <a:off x="0" y="0"/>
                                  <a:ext cx="4251325" cy="7791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3" w:hRule="atLeast"/>
              </w:trPr>
              <w:tc>
                <w:tcPr>
                  <w:tcW w:w="985" w:type="dxa"/>
                  <w:vMerge w:val="restart"/>
                  <w:vAlign w:val="center"/>
                </w:tcPr>
                <w:p>
                  <w:pPr>
                    <w:pStyle w:val="55"/>
                    <w:spacing w:line="360" w:lineRule="exact"/>
                    <w:ind w:firstLine="0" w:firstLineChars="0"/>
                    <w:jc w:val="center"/>
                    <w:rPr>
                      <w:rFonts w:ascii="宋体" w:hAnsi="宋体" w:cs="宋体"/>
                      <w:sz w:val="18"/>
                      <w:szCs w:val="18"/>
                    </w:rPr>
                  </w:pPr>
                  <w:r>
                    <w:rPr>
                      <w:rFonts w:hint="eastAsia" w:ascii="宋体" w:hAnsi="宋体" w:cs="宋体"/>
                      <w:sz w:val="18"/>
                      <w:szCs w:val="18"/>
                    </w:rPr>
                    <w:t>粘贴于危险废物储存容器</w:t>
                  </w:r>
                </w:p>
              </w:tc>
              <w:tc>
                <w:tcPr>
                  <w:tcW w:w="3191" w:type="dxa"/>
                  <w:vAlign w:val="center"/>
                </w:tcPr>
                <w:p>
                  <w:pPr>
                    <w:pStyle w:val="55"/>
                    <w:spacing w:line="360" w:lineRule="exact"/>
                    <w:ind w:firstLine="0" w:firstLineChars="0"/>
                    <w:rPr>
                      <w:rFonts w:ascii="宋体" w:hAnsi="宋体" w:cs="宋体"/>
                      <w:sz w:val="18"/>
                      <w:szCs w:val="18"/>
                    </w:rPr>
                  </w:pPr>
                  <w:r>
                    <w:rPr>
                      <w:rFonts w:hint="eastAsia" w:ascii="宋体" w:hAnsi="宋体" w:cs="宋体"/>
                      <w:sz w:val="18"/>
                      <w:szCs w:val="18"/>
                    </w:rPr>
                    <w:drawing>
                      <wp:anchor distT="0" distB="0" distL="114300" distR="114300" simplePos="0" relativeHeight="251675648" behindDoc="0" locked="0" layoutInCell="1" allowOverlap="1">
                        <wp:simplePos x="0" y="0"/>
                        <wp:positionH relativeFrom="column">
                          <wp:posOffset>179705</wp:posOffset>
                        </wp:positionH>
                        <wp:positionV relativeFrom="paragraph">
                          <wp:posOffset>26670</wp:posOffset>
                        </wp:positionV>
                        <wp:extent cx="1657985" cy="1657985"/>
                        <wp:effectExtent l="0" t="0" r="18415" b="18415"/>
                        <wp:wrapNone/>
                        <wp:docPr id="50" name="图片 169" descr="C:\Users\Administrator\Desktop\危废标签1.jpg危废标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9" descr="C:\Users\Administrator\Desktop\危废标签1.jpg危废标签1"/>
                                <pic:cNvPicPr>
                                  <a:picLocks noChangeAspect="1"/>
                                </pic:cNvPicPr>
                              </pic:nvPicPr>
                              <pic:blipFill>
                                <a:blip r:embed="rId66"/>
                                <a:stretch>
                                  <a:fillRect/>
                                </a:stretch>
                              </pic:blipFill>
                              <pic:spPr>
                                <a:xfrm>
                                  <a:off x="0" y="0"/>
                                  <a:ext cx="1657985" cy="1657985"/>
                                </a:xfrm>
                                <a:prstGeom prst="rect">
                                  <a:avLst/>
                                </a:prstGeom>
                                <a:noFill/>
                                <a:ln>
                                  <a:noFill/>
                                </a:ln>
                              </pic:spPr>
                            </pic:pic>
                          </a:graphicData>
                        </a:graphic>
                      </wp:anchor>
                    </w:drawing>
                  </w:r>
                </w:p>
              </w:tc>
              <w:tc>
                <w:tcPr>
                  <w:tcW w:w="3722" w:type="dxa"/>
                  <w:vAlign w:val="center"/>
                </w:tcPr>
                <w:p>
                  <w:pPr>
                    <w:pStyle w:val="55"/>
                    <w:spacing w:line="360" w:lineRule="exact"/>
                    <w:ind w:firstLine="0" w:firstLineChars="0"/>
                    <w:jc w:val="center"/>
                    <w:rPr>
                      <w:rFonts w:ascii="宋体" w:hAnsi="宋体" w:cs="宋体"/>
                      <w:sz w:val="18"/>
                      <w:szCs w:val="18"/>
                    </w:rPr>
                  </w:pPr>
                  <w:r>
                    <w:rPr>
                      <w:rFonts w:hint="eastAsia" w:ascii="宋体" w:hAnsi="宋体" w:cs="宋体"/>
                      <w:sz w:val="18"/>
                      <w:szCs w:val="18"/>
                    </w:rPr>
                    <w:t xml:space="preserve">危险废物标签印刷的油墨应均匀，图案和文字应清晰、完整。危险废物标签的文字边缘宜加黑色边 框，边框宽度不小于 1 mm，边框外宜留不小于 3 mm 的空白。 </w:t>
                  </w:r>
                </w:p>
                <w:p>
                  <w:pPr>
                    <w:pStyle w:val="55"/>
                    <w:spacing w:line="360" w:lineRule="exact"/>
                    <w:ind w:firstLine="0" w:firstLineChars="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trPr>
              <w:tc>
                <w:tcPr>
                  <w:tcW w:w="985" w:type="dxa"/>
                  <w:vMerge w:val="continue"/>
                  <w:vAlign w:val="center"/>
                </w:tcPr>
                <w:p>
                  <w:pPr>
                    <w:pStyle w:val="55"/>
                    <w:spacing w:line="360" w:lineRule="exact"/>
                    <w:ind w:firstLine="0" w:firstLineChars="0"/>
                    <w:jc w:val="center"/>
                    <w:rPr>
                      <w:rFonts w:ascii="宋体" w:hAnsi="宋体" w:cs="宋体"/>
                      <w:sz w:val="18"/>
                      <w:szCs w:val="18"/>
                    </w:rPr>
                  </w:pPr>
                </w:p>
              </w:tc>
              <w:tc>
                <w:tcPr>
                  <w:tcW w:w="6913" w:type="dxa"/>
                  <w:gridSpan w:val="2"/>
                  <w:vAlign w:val="center"/>
                </w:tcPr>
                <w:p>
                  <w:pPr>
                    <w:pStyle w:val="55"/>
                    <w:spacing w:line="360" w:lineRule="exact"/>
                    <w:ind w:firstLine="0" w:firstLineChars="0"/>
                    <w:jc w:val="left"/>
                    <w:rPr>
                      <w:rFonts w:ascii="宋体" w:hAnsi="宋体" w:cs="宋体"/>
                      <w:sz w:val="18"/>
                      <w:szCs w:val="18"/>
                    </w:rPr>
                  </w:pPr>
                  <w:r>
                    <w:rPr>
                      <w:rFonts w:hint="eastAsia" w:ascii="宋体" w:hAnsi="宋体" w:cs="宋体"/>
                      <w:sz w:val="18"/>
                      <w:szCs w:val="18"/>
                    </w:rPr>
                    <w:t>格式要求：</w:t>
                  </w:r>
                </w:p>
                <w:p>
                  <w:pPr>
                    <w:pStyle w:val="55"/>
                    <w:spacing w:line="240" w:lineRule="auto"/>
                    <w:ind w:firstLine="0" w:firstLineChars="0"/>
                    <w:jc w:val="center"/>
                    <w:rPr>
                      <w:rFonts w:ascii="宋体" w:hAnsi="宋体" w:cs="宋体"/>
                      <w:sz w:val="18"/>
                      <w:szCs w:val="18"/>
                    </w:rPr>
                  </w:pPr>
                  <w:r>
                    <w:rPr>
                      <w:rFonts w:hint="eastAsia" w:ascii="宋体" w:hAnsi="宋体" w:cs="宋体"/>
                      <w:sz w:val="18"/>
                      <w:szCs w:val="18"/>
                    </w:rPr>
                    <w:drawing>
                      <wp:inline distT="0" distB="0" distL="114300" distR="114300">
                        <wp:extent cx="4248785" cy="846455"/>
                        <wp:effectExtent l="0" t="0" r="18415" b="10795"/>
                        <wp:docPr id="48" name="图片 4" descr="危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descr="危废1"/>
                                <pic:cNvPicPr>
                                  <a:picLocks noChangeAspect="1"/>
                                </pic:cNvPicPr>
                              </pic:nvPicPr>
                              <pic:blipFill>
                                <a:blip r:embed="rId67"/>
                                <a:stretch>
                                  <a:fillRect/>
                                </a:stretch>
                              </pic:blipFill>
                              <pic:spPr>
                                <a:xfrm>
                                  <a:off x="0" y="0"/>
                                  <a:ext cx="4248785" cy="846455"/>
                                </a:xfrm>
                                <a:prstGeom prst="rect">
                                  <a:avLst/>
                                </a:prstGeom>
                                <a:noFill/>
                                <a:ln>
                                  <a:noFill/>
                                </a:ln>
                              </pic:spPr>
                            </pic:pic>
                          </a:graphicData>
                        </a:graphic>
                      </wp:inline>
                    </w:drawing>
                  </w:r>
                </w:p>
              </w:tc>
            </w:tr>
          </w:tbl>
          <w:p>
            <w:pPr>
              <w:pStyle w:val="55"/>
              <w:ind w:firstLine="420"/>
              <w:rPr>
                <w:rFonts w:ascii="宋体" w:hAnsi="宋体" w:cs="宋体"/>
                <w:kern w:val="2"/>
                <w:sz w:val="21"/>
                <w:szCs w:val="21"/>
              </w:rPr>
            </w:pPr>
            <w:r>
              <w:rPr>
                <w:rFonts w:hint="eastAsia" w:ascii="宋体" w:hAnsi="宋体" w:cs="宋体"/>
                <w:kern w:val="2"/>
                <w:sz w:val="21"/>
                <w:szCs w:val="21"/>
              </w:rPr>
              <w:t>2）危险废物包装、贮存管理要求</w:t>
            </w:r>
          </w:p>
          <w:p>
            <w:pPr>
              <w:pStyle w:val="55"/>
              <w:ind w:firstLine="420"/>
              <w:rPr>
                <w:rFonts w:ascii="宋体" w:hAnsi="宋体" w:cs="宋体"/>
                <w:bCs/>
                <w:kern w:val="2"/>
                <w:sz w:val="21"/>
                <w:szCs w:val="21"/>
              </w:rPr>
            </w:pPr>
            <w:r>
              <w:rPr>
                <w:rFonts w:hint="eastAsia" w:ascii="宋体" w:hAnsi="宋体" w:cs="宋体"/>
                <w:kern w:val="2"/>
                <w:sz w:val="21"/>
                <w:szCs w:val="21"/>
              </w:rPr>
              <w:t>废润滑油在危废暂存间高密度聚乙烯桶内储存，加盖密封，废油桶放置于托盘上，在危废间进行分区存放。建设单位制定完善的保障制度，</w:t>
            </w:r>
            <w:r>
              <w:rPr>
                <w:rFonts w:hint="eastAsia" w:ascii="宋体" w:hAnsi="宋体" w:cs="宋体"/>
                <w:bCs/>
                <w:kern w:val="2"/>
                <w:sz w:val="21"/>
                <w:szCs w:val="21"/>
              </w:rPr>
              <w:t>危险废物由专人进行管理，设立危险废物标志、危险废物情况的记录等，以满足《危险废物贮存污染控制标准》(GB18597-2023)。</w:t>
            </w:r>
          </w:p>
          <w:p>
            <w:pPr>
              <w:pStyle w:val="55"/>
              <w:ind w:firstLine="420"/>
              <w:rPr>
                <w:rFonts w:ascii="宋体" w:hAnsi="宋体" w:cs="宋体"/>
                <w:bCs/>
                <w:kern w:val="2"/>
                <w:sz w:val="21"/>
                <w:szCs w:val="21"/>
              </w:rPr>
            </w:pPr>
            <w:r>
              <w:rPr>
                <w:rFonts w:hint="eastAsia" w:ascii="宋体" w:hAnsi="宋体" w:cs="宋体"/>
                <w:bCs/>
                <w:kern w:val="2"/>
                <w:sz w:val="21"/>
                <w:szCs w:val="21"/>
              </w:rPr>
              <w:t>3）“四防”措施</w:t>
            </w:r>
          </w:p>
          <w:p>
            <w:pPr>
              <w:pStyle w:val="55"/>
              <w:ind w:firstLine="420"/>
              <w:rPr>
                <w:rFonts w:ascii="宋体" w:hAnsi="宋体" w:cs="宋体"/>
                <w:kern w:val="2"/>
                <w:sz w:val="21"/>
                <w:szCs w:val="21"/>
              </w:rPr>
            </w:pPr>
            <w:r>
              <w:rPr>
                <w:rFonts w:hint="eastAsia" w:ascii="宋体" w:hAnsi="宋体" w:cs="宋体"/>
                <w:sz w:val="21"/>
                <w:szCs w:val="21"/>
              </w:rPr>
              <w:t>防渗层至少1m厚黏土层（渗透系数不大于10</w:t>
            </w:r>
            <w:r>
              <w:rPr>
                <w:rFonts w:hint="eastAsia" w:ascii="宋体" w:hAnsi="宋体" w:cs="宋体"/>
                <w:sz w:val="21"/>
                <w:szCs w:val="21"/>
                <w:vertAlign w:val="superscript"/>
              </w:rPr>
              <w:t>-7</w:t>
            </w:r>
            <w:r>
              <w:rPr>
                <w:rFonts w:hint="eastAsia" w:ascii="宋体" w:hAnsi="宋体" w:cs="宋体"/>
                <w:sz w:val="21"/>
                <w:szCs w:val="21"/>
              </w:rPr>
              <w:t>cm/s），或至少2mm厚高密度聚乙烯膜等人工防渗材料（渗透系数不大于10</w:t>
            </w:r>
            <w:r>
              <w:rPr>
                <w:rFonts w:hint="eastAsia" w:ascii="宋体" w:hAnsi="宋体" w:cs="宋体"/>
                <w:sz w:val="21"/>
                <w:szCs w:val="21"/>
                <w:vertAlign w:val="superscript"/>
              </w:rPr>
              <w:t>-10</w:t>
            </w:r>
            <w:r>
              <w:rPr>
                <w:rFonts w:hint="eastAsia" w:ascii="宋体" w:hAnsi="宋体" w:cs="宋体"/>
                <w:sz w:val="21"/>
                <w:szCs w:val="21"/>
              </w:rPr>
              <w:t>cm/s），或其他防渗性能等效的材料。</w:t>
            </w:r>
            <w:r>
              <w:rPr>
                <w:rFonts w:hint="eastAsia" w:ascii="宋体" w:hAnsi="宋体" w:cs="宋体"/>
                <w:bCs/>
                <w:kern w:val="2"/>
                <w:sz w:val="21"/>
                <w:szCs w:val="21"/>
              </w:rPr>
              <w:t>同时贮存装置设防雨、防风、防晒设施，避免污染物泄漏，污染环境</w:t>
            </w:r>
            <w:r>
              <w:rPr>
                <w:rFonts w:hint="eastAsia" w:ascii="宋体" w:hAnsi="宋体" w:cs="宋体"/>
                <w:kern w:val="2"/>
                <w:sz w:val="21"/>
                <w:szCs w:val="21"/>
              </w:rPr>
              <w:t>。</w:t>
            </w:r>
          </w:p>
          <w:p>
            <w:pPr>
              <w:pStyle w:val="55"/>
              <w:ind w:firstLine="420"/>
              <w:rPr>
                <w:rFonts w:ascii="宋体" w:hAnsi="宋体" w:cs="宋体"/>
                <w:kern w:val="2"/>
                <w:sz w:val="21"/>
                <w:szCs w:val="21"/>
              </w:rPr>
            </w:pPr>
            <w:r>
              <w:rPr>
                <w:rFonts w:hint="eastAsia" w:ascii="宋体" w:hAnsi="宋体" w:cs="宋体"/>
                <w:kern w:val="2"/>
                <w:sz w:val="21"/>
                <w:szCs w:val="21"/>
              </w:rPr>
              <w:t>4）危险废物外运管理要求</w:t>
            </w:r>
          </w:p>
          <w:p>
            <w:pPr>
              <w:pStyle w:val="55"/>
              <w:ind w:firstLine="420"/>
              <w:rPr>
                <w:rFonts w:ascii="宋体" w:hAnsi="宋体" w:cs="宋体"/>
                <w:kern w:val="2"/>
                <w:sz w:val="21"/>
                <w:szCs w:val="21"/>
              </w:rPr>
            </w:pPr>
            <w:r>
              <w:rPr>
                <w:rFonts w:hint="eastAsia" w:ascii="宋体" w:hAnsi="宋体" w:cs="宋体"/>
                <w:sz w:val="21"/>
                <w:szCs w:val="21"/>
              </w:rPr>
              <w:t>按照《危险废物转移联单管理办法》（国家环境保护总局令1999年第5号）和《河北省</w:t>
            </w:r>
            <w:r>
              <w:rPr>
                <w:rFonts w:hint="eastAsia" w:ascii="宋体" w:hAnsi="宋体" w:cs="宋体"/>
                <w:kern w:val="2"/>
                <w:sz w:val="21"/>
                <w:szCs w:val="21"/>
              </w:rPr>
              <w:t>固体废物动态信息管理系统》的规定执行。</w:t>
            </w:r>
          </w:p>
          <w:p>
            <w:pPr>
              <w:pStyle w:val="55"/>
              <w:ind w:firstLine="422"/>
              <w:jc w:val="center"/>
              <w:rPr>
                <w:rFonts w:ascii="宋体" w:hAnsi="宋体" w:cs="宋体"/>
                <w:b/>
                <w:bCs/>
                <w:kern w:val="2"/>
                <w:sz w:val="21"/>
                <w:szCs w:val="21"/>
              </w:rPr>
            </w:pPr>
            <w:r>
              <w:rPr>
                <w:rFonts w:hint="eastAsia" w:ascii="宋体" w:hAnsi="宋体" w:cs="宋体"/>
                <w:b/>
                <w:bCs/>
                <w:kern w:val="2"/>
                <w:sz w:val="21"/>
                <w:szCs w:val="21"/>
              </w:rPr>
              <w:t>表4-1</w:t>
            </w:r>
            <w:r>
              <w:rPr>
                <w:rFonts w:hint="eastAsia" w:ascii="宋体" w:hAnsi="宋体" w:cs="宋体"/>
                <w:b/>
                <w:bCs/>
                <w:kern w:val="2"/>
                <w:sz w:val="21"/>
                <w:szCs w:val="21"/>
                <w:lang w:val="en-US" w:eastAsia="zh-CN"/>
              </w:rPr>
              <w:t>6</w:t>
            </w:r>
            <w:r>
              <w:rPr>
                <w:rFonts w:hint="eastAsia" w:ascii="宋体" w:hAnsi="宋体" w:cs="宋体"/>
                <w:b/>
                <w:bCs/>
                <w:kern w:val="2"/>
                <w:sz w:val="21"/>
                <w:szCs w:val="21"/>
              </w:rPr>
              <w:t xml:space="preserve">   建设项目危险废物贮存场所基本情况</w:t>
            </w:r>
          </w:p>
          <w:tbl>
            <w:tblPr>
              <w:tblStyle w:val="2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370"/>
              <w:gridCol w:w="929"/>
              <w:gridCol w:w="1186"/>
              <w:gridCol w:w="959"/>
              <w:gridCol w:w="929"/>
              <w:gridCol w:w="973"/>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序号</w:t>
                  </w:r>
                </w:p>
              </w:tc>
              <w:tc>
                <w:tcPr>
                  <w:tcW w:w="863"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危险废物名称</w:t>
                  </w:r>
                </w:p>
              </w:tc>
              <w:tc>
                <w:tcPr>
                  <w:tcW w:w="586"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危险废物类别</w:t>
                  </w:r>
                </w:p>
              </w:tc>
              <w:tc>
                <w:tcPr>
                  <w:tcW w:w="747"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废物代码</w:t>
                  </w:r>
                </w:p>
              </w:tc>
              <w:tc>
                <w:tcPr>
                  <w:tcW w:w="605"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产生量</w:t>
                  </w:r>
                </w:p>
              </w:tc>
              <w:tc>
                <w:tcPr>
                  <w:tcW w:w="586"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位置</w:t>
                  </w:r>
                </w:p>
              </w:tc>
              <w:tc>
                <w:tcPr>
                  <w:tcW w:w="614"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占地面积</w:t>
                  </w:r>
                </w:p>
              </w:tc>
              <w:tc>
                <w:tcPr>
                  <w:tcW w:w="712"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贮存方式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1</w:t>
                  </w:r>
                </w:p>
              </w:tc>
              <w:tc>
                <w:tcPr>
                  <w:tcW w:w="863"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废润滑油</w:t>
                  </w:r>
                </w:p>
              </w:tc>
              <w:tc>
                <w:tcPr>
                  <w:tcW w:w="586"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HW08</w:t>
                  </w:r>
                </w:p>
              </w:tc>
              <w:tc>
                <w:tcPr>
                  <w:tcW w:w="747"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900-217-08</w:t>
                  </w:r>
                </w:p>
              </w:tc>
              <w:tc>
                <w:tcPr>
                  <w:tcW w:w="605"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0.08t/a</w:t>
                  </w:r>
                </w:p>
              </w:tc>
              <w:tc>
                <w:tcPr>
                  <w:tcW w:w="586"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危废间</w:t>
                  </w:r>
                </w:p>
              </w:tc>
              <w:tc>
                <w:tcPr>
                  <w:tcW w:w="614"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8m</w:t>
                  </w:r>
                  <w:r>
                    <w:rPr>
                      <w:rFonts w:hint="eastAsia" w:ascii="宋体" w:hAnsi="宋体" w:cs="宋体"/>
                      <w:kern w:val="2"/>
                      <w:sz w:val="18"/>
                      <w:szCs w:val="18"/>
                      <w:vertAlign w:val="superscript"/>
                    </w:rPr>
                    <w:t>2</w:t>
                  </w:r>
                </w:p>
              </w:tc>
              <w:tc>
                <w:tcPr>
                  <w:tcW w:w="712"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废油桶中并设置托盘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2</w:t>
                  </w:r>
                </w:p>
              </w:tc>
              <w:tc>
                <w:tcPr>
                  <w:tcW w:w="863"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废润滑油桶</w:t>
                  </w:r>
                </w:p>
              </w:tc>
              <w:tc>
                <w:tcPr>
                  <w:tcW w:w="586"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HW49</w:t>
                  </w:r>
                </w:p>
              </w:tc>
              <w:tc>
                <w:tcPr>
                  <w:tcW w:w="747"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900-249-08</w:t>
                  </w:r>
                </w:p>
              </w:tc>
              <w:tc>
                <w:tcPr>
                  <w:tcW w:w="605"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0.03t/a</w:t>
                  </w:r>
                </w:p>
              </w:tc>
              <w:tc>
                <w:tcPr>
                  <w:tcW w:w="586"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危废间</w:t>
                  </w:r>
                </w:p>
              </w:tc>
              <w:tc>
                <w:tcPr>
                  <w:tcW w:w="614" w:type="pct"/>
                  <w:noWrap/>
                  <w:vAlign w:val="center"/>
                </w:tcPr>
                <w:p>
                  <w:pPr>
                    <w:pStyle w:val="55"/>
                    <w:spacing w:line="240" w:lineRule="auto"/>
                    <w:ind w:firstLine="0" w:firstLineChars="0"/>
                    <w:jc w:val="center"/>
                    <w:rPr>
                      <w:rFonts w:ascii="宋体" w:hAnsi="宋体" w:cs="宋体"/>
                      <w:kern w:val="2"/>
                      <w:sz w:val="18"/>
                      <w:szCs w:val="18"/>
                    </w:rPr>
                  </w:pPr>
                  <w:r>
                    <w:rPr>
                      <w:rFonts w:hint="eastAsia" w:ascii="宋体" w:hAnsi="宋体" w:cs="宋体"/>
                      <w:kern w:val="2"/>
                      <w:sz w:val="18"/>
                      <w:szCs w:val="18"/>
                    </w:rPr>
                    <w:t>8m</w:t>
                  </w:r>
                  <w:r>
                    <w:rPr>
                      <w:rFonts w:hint="eastAsia" w:ascii="宋体" w:hAnsi="宋体" w:cs="宋体"/>
                      <w:kern w:val="2"/>
                      <w:sz w:val="18"/>
                      <w:szCs w:val="18"/>
                      <w:vertAlign w:val="superscript"/>
                    </w:rPr>
                    <w:t>2</w:t>
                  </w:r>
                </w:p>
              </w:tc>
              <w:tc>
                <w:tcPr>
                  <w:tcW w:w="712" w:type="pct"/>
                  <w:noWrap/>
                  <w:vAlign w:val="center"/>
                </w:tcPr>
                <w:p>
                  <w:pPr>
                    <w:pStyle w:val="55"/>
                    <w:spacing w:line="240" w:lineRule="auto"/>
                    <w:ind w:firstLine="0" w:firstLineChars="0"/>
                    <w:jc w:val="center"/>
                    <w:rPr>
                      <w:rFonts w:ascii="宋体" w:hAnsi="宋体" w:cs="宋体"/>
                      <w:b/>
                      <w:kern w:val="2"/>
                      <w:sz w:val="18"/>
                      <w:szCs w:val="18"/>
                    </w:rPr>
                  </w:pPr>
                  <w:r>
                    <w:rPr>
                      <w:rFonts w:hint="eastAsia" w:ascii="宋体" w:hAnsi="宋体" w:cs="宋体"/>
                      <w:bCs/>
                      <w:kern w:val="2"/>
                      <w:sz w:val="18"/>
                      <w:szCs w:val="18"/>
                    </w:rPr>
                    <w:t>设置托盘</w:t>
                  </w:r>
                </w:p>
              </w:tc>
            </w:tr>
          </w:tbl>
          <w:p>
            <w:pPr>
              <w:pStyle w:val="41"/>
              <w:spacing w:line="360" w:lineRule="auto"/>
              <w:jc w:val="both"/>
              <w:rPr>
                <w:color w:val="auto"/>
                <w:sz w:val="21"/>
                <w:szCs w:val="21"/>
              </w:rPr>
            </w:pP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综上所述，项目产生的固体废物能够得到妥善处理与处置，不会产生二次污染，对周边环境影响较小。</w:t>
            </w:r>
          </w:p>
          <w:p>
            <w:pPr>
              <w:pStyle w:val="41"/>
              <w:spacing w:line="360" w:lineRule="auto"/>
              <w:ind w:firstLine="422" w:firstLineChars="200"/>
              <w:jc w:val="both"/>
              <w:rPr>
                <w:rFonts w:ascii="宋体" w:hAnsi="宋体" w:cs="宋体"/>
                <w:b/>
                <w:bCs/>
                <w:color w:val="auto"/>
                <w:sz w:val="21"/>
                <w:szCs w:val="21"/>
              </w:rPr>
            </w:pPr>
            <w:r>
              <w:rPr>
                <w:rFonts w:hint="eastAsia" w:ascii="宋体" w:hAnsi="宋体" w:cs="宋体"/>
                <w:b/>
                <w:bCs/>
                <w:color w:val="auto"/>
                <w:sz w:val="21"/>
                <w:szCs w:val="21"/>
              </w:rPr>
              <w:t xml:space="preserve">5、生态影响分析 </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项目选址位于现有已经开发平整的建设用地地块，不重新开拓地块，不新增生态环境影响。项目原有厂区已进行地面硬化，主要的工程建设内容是在原有场地建设、利用原有建筑等，项目的建设本身产生的生态环境影响较小。</w:t>
            </w:r>
          </w:p>
          <w:p>
            <w:pPr>
              <w:pStyle w:val="41"/>
              <w:spacing w:line="360" w:lineRule="auto"/>
              <w:ind w:firstLine="422" w:firstLineChars="200"/>
              <w:jc w:val="both"/>
              <w:rPr>
                <w:rFonts w:ascii="宋体" w:hAnsi="宋体" w:cs="宋体"/>
                <w:b/>
                <w:bCs/>
                <w:color w:val="auto"/>
                <w:sz w:val="21"/>
                <w:szCs w:val="21"/>
              </w:rPr>
            </w:pPr>
            <w:r>
              <w:rPr>
                <w:rFonts w:hint="eastAsia" w:ascii="宋体" w:hAnsi="宋体" w:cs="宋体"/>
                <w:b/>
                <w:bCs/>
                <w:color w:val="auto"/>
                <w:sz w:val="21"/>
                <w:szCs w:val="21"/>
              </w:rPr>
              <w:t>6、地下水、土壤分析</w:t>
            </w:r>
          </w:p>
          <w:p>
            <w:pPr>
              <w:adjustRightInd w:val="0"/>
              <w:spacing w:line="360" w:lineRule="auto"/>
              <w:ind w:firstLine="420" w:firstLineChars="200"/>
              <w:rPr>
                <w:rFonts w:ascii="宋体" w:hAnsi="宋体" w:cs="宋体"/>
                <w:szCs w:val="21"/>
              </w:rPr>
            </w:pPr>
            <w:r>
              <w:rPr>
                <w:rFonts w:hint="eastAsia" w:ascii="宋体" w:hAnsi="宋体" w:cs="宋体"/>
                <w:szCs w:val="21"/>
              </w:rPr>
              <w:t>在正常状况下，本项目储存的危险废物不会对地下水产生影响。</w:t>
            </w:r>
          </w:p>
          <w:p>
            <w:pPr>
              <w:adjustRightInd w:val="0"/>
              <w:spacing w:line="360" w:lineRule="auto"/>
              <w:ind w:firstLine="420" w:firstLineChars="200"/>
              <w:rPr>
                <w:rFonts w:ascii="宋体" w:hAnsi="宋体" w:cs="宋体"/>
                <w:szCs w:val="21"/>
              </w:rPr>
            </w:pPr>
            <w:r>
              <w:rPr>
                <w:rFonts w:hint="eastAsia" w:ascii="宋体" w:hAnsi="宋体" w:cs="宋体"/>
                <w:szCs w:val="21"/>
              </w:rPr>
              <w:t>为进一步保护区域地下水和土壤，建设单位采取分区防渗措施，危废间按照《危险废物贮存污染控制标准》(GB 18597-2023)要求建设，地面进行基础防渗，防渗层为至少1m厚黏土层(渗透系数不大于10</w:t>
            </w:r>
            <w:r>
              <w:rPr>
                <w:rFonts w:hint="eastAsia" w:ascii="宋体" w:hAnsi="宋体" w:cs="宋体"/>
                <w:szCs w:val="21"/>
                <w:vertAlign w:val="superscript"/>
              </w:rPr>
              <w:t>-7</w:t>
            </w:r>
            <w:r>
              <w:rPr>
                <w:rFonts w:hint="eastAsia" w:ascii="宋体" w:hAnsi="宋体" w:cs="宋体"/>
                <w:szCs w:val="21"/>
              </w:rPr>
              <w:t>cm/s)，或至少2mm厚高密度聚乙烯膜等人工防渗材料(渗透系数不大于10</w:t>
            </w:r>
            <w:r>
              <w:rPr>
                <w:rFonts w:hint="eastAsia" w:ascii="宋体" w:hAnsi="宋体" w:cs="宋体"/>
                <w:szCs w:val="21"/>
                <w:vertAlign w:val="superscript"/>
              </w:rPr>
              <w:t>-10</w:t>
            </w:r>
            <w:r>
              <w:rPr>
                <w:rFonts w:hint="eastAsia" w:ascii="宋体" w:hAnsi="宋体" w:cs="宋体"/>
                <w:szCs w:val="21"/>
              </w:rPr>
              <w:t>cm/s)，化粪池按重点防渗处理，采取</w:t>
            </w:r>
            <w:r>
              <w:rPr>
                <w:rFonts w:hint="eastAsia" w:ascii="宋体" w:hAnsi="宋体" w:cs="宋体"/>
                <w:bCs/>
                <w:szCs w:val="21"/>
              </w:rPr>
              <w:t>等效黏土防渗层Mb≥6m，防渗系数K≤1×10</w:t>
            </w:r>
            <w:r>
              <w:rPr>
                <w:rFonts w:hint="eastAsia" w:ascii="宋体" w:hAnsi="宋体" w:cs="宋体"/>
                <w:bCs/>
                <w:szCs w:val="21"/>
                <w:vertAlign w:val="superscript"/>
              </w:rPr>
              <w:t>-7</w:t>
            </w:r>
            <w:r>
              <w:rPr>
                <w:rFonts w:hint="eastAsia" w:ascii="宋体" w:hAnsi="宋体" w:cs="宋体"/>
                <w:bCs/>
                <w:szCs w:val="21"/>
              </w:rPr>
              <w:t>cm/s，</w:t>
            </w:r>
            <w:r>
              <w:rPr>
                <w:rFonts w:hint="eastAsia" w:ascii="宋体" w:hAnsi="宋体" w:cs="宋体"/>
                <w:szCs w:val="21"/>
              </w:rPr>
              <w:t>粉碎车间、生产车间、仓库为一般防渗区，一般防渗区采取等效黏土层Mb≥1.5m、K≤1.0×10</w:t>
            </w:r>
            <w:r>
              <w:rPr>
                <w:rFonts w:hint="eastAsia" w:ascii="宋体" w:hAnsi="宋体" w:cs="宋体"/>
                <w:szCs w:val="21"/>
                <w:vertAlign w:val="superscript"/>
              </w:rPr>
              <w:t>-7</w:t>
            </w:r>
            <w:r>
              <w:rPr>
                <w:rFonts w:hint="eastAsia" w:ascii="宋体" w:hAnsi="宋体" w:cs="宋体"/>
                <w:szCs w:val="21"/>
              </w:rPr>
              <w:t>cm/s或参照GB16889执行；值班室及厂区道路为简单防渗区，一般地面硬化。</w:t>
            </w:r>
          </w:p>
          <w:p>
            <w:pPr>
              <w:adjustRightInd w:val="0"/>
              <w:spacing w:line="360" w:lineRule="auto"/>
              <w:ind w:firstLine="420" w:firstLineChars="200"/>
              <w:rPr>
                <w:szCs w:val="21"/>
              </w:rPr>
            </w:pPr>
            <w:r>
              <w:rPr>
                <w:szCs w:val="21"/>
              </w:rPr>
              <w:t>在采取完善的防渗措施后，本项目的建设不会对区域地下水、土壤产生明显影响。</w:t>
            </w:r>
          </w:p>
          <w:p>
            <w:pPr>
              <w:pStyle w:val="41"/>
              <w:spacing w:line="360" w:lineRule="auto"/>
              <w:jc w:val="both"/>
              <w:rPr>
                <w:color w:val="auto"/>
                <w:sz w:val="21"/>
                <w:szCs w:val="21"/>
              </w:rPr>
            </w:pPr>
            <w:r>
              <w:rPr>
                <w:color w:val="auto"/>
              </w:rPr>
              <mc:AlternateContent>
                <mc:Choice Requires="wps">
                  <w:drawing>
                    <wp:anchor distT="0" distB="0" distL="114300" distR="114300" simplePos="0" relativeHeight="251674624" behindDoc="0" locked="0" layoutInCell="1" allowOverlap="1">
                      <wp:simplePos x="0" y="0"/>
                      <wp:positionH relativeFrom="column">
                        <wp:posOffset>1036320</wp:posOffset>
                      </wp:positionH>
                      <wp:positionV relativeFrom="paragraph">
                        <wp:posOffset>361315</wp:posOffset>
                      </wp:positionV>
                      <wp:extent cx="498475" cy="232410"/>
                      <wp:effectExtent l="0" t="0" r="15875" b="15240"/>
                      <wp:wrapNone/>
                      <wp:docPr id="55" name="文本框 55"/>
                      <wp:cNvGraphicFramePr/>
                      <a:graphic xmlns:a="http://schemas.openxmlformats.org/drawingml/2006/main">
                        <a:graphicData uri="http://schemas.microsoft.com/office/word/2010/wordprocessingShape">
                          <wps:wsp>
                            <wps:cNvSpPr txBox="1"/>
                            <wps:spPr>
                              <a:xfrm>
                                <a:off x="2456180" y="1951990"/>
                                <a:ext cx="498475" cy="232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sz w:val="15"/>
                                      <w:szCs w:val="15"/>
                                    </w:rPr>
                                  </w:pPr>
                                  <w:r>
                                    <w:rPr>
                                      <w:rFonts w:hint="eastAsia"/>
                                      <w:color w:val="FF0000"/>
                                      <w:sz w:val="15"/>
                                      <w:szCs w:val="15"/>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6pt;margin-top:28.45pt;height:18.3pt;width:39.25pt;z-index:251674624;mso-width-relative:page;mso-height-relative:page;" filled="f" stroked="f" coordsize="21600,21600" o:gfxdata="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lVqZx2wAAAAkBAAAPAAAAAAAA&#10;AAEAIAAAACIAAABkcnMvZG93bnJldi54bWxQSwECFAAUAAAACACHTuJADL6e50gCAABzBAAADgAA&#10;AAAAAAABACAAAAAqAQAAZHJzL2Uyb0RvYy54bWxQSwUGAAAAAAYABgBZAQAA5AUAAAAA&#10;">
                      <v:fill on="f" focussize="0,0"/>
                      <v:stroke on="f" weight="0.5pt"/>
                      <v:imagedata o:title=""/>
                      <o:lock v:ext="edit" aspectratio="f"/>
                      <v:textbox>
                        <w:txbxContent>
                          <w:p>
                            <w:pPr>
                              <w:rPr>
                                <w:color w:val="FF0000"/>
                                <w:sz w:val="15"/>
                                <w:szCs w:val="15"/>
                              </w:rPr>
                            </w:pPr>
                            <w:r>
                              <w:rPr>
                                <w:rFonts w:hint="eastAsia"/>
                                <w:color w:val="FF0000"/>
                                <w:sz w:val="15"/>
                                <w:szCs w:val="15"/>
                              </w:rPr>
                              <w:t>化粪池</w:t>
                            </w:r>
                          </w:p>
                        </w:txbxContent>
                      </v:textbox>
                    </v:shape>
                  </w:pict>
                </mc:Fallback>
              </mc:AlternateContent>
            </w:r>
            <w:r>
              <w:rPr>
                <w:color w:val="auto"/>
              </w:rPr>
              <mc:AlternateContent>
                <mc:Choice Requires="wps">
                  <w:drawing>
                    <wp:anchor distT="0" distB="0" distL="114300" distR="114300" simplePos="0" relativeHeight="251673600" behindDoc="0" locked="0" layoutInCell="1" allowOverlap="1">
                      <wp:simplePos x="0" y="0"/>
                      <wp:positionH relativeFrom="column">
                        <wp:posOffset>877570</wp:posOffset>
                      </wp:positionH>
                      <wp:positionV relativeFrom="paragraph">
                        <wp:posOffset>421640</wp:posOffset>
                      </wp:positionV>
                      <wp:extent cx="232410" cy="135890"/>
                      <wp:effectExtent l="4445" t="4445" r="10795" b="12065"/>
                      <wp:wrapNone/>
                      <wp:docPr id="54" name="文本框 54"/>
                      <wp:cNvGraphicFramePr/>
                      <a:graphic xmlns:a="http://schemas.openxmlformats.org/drawingml/2006/main">
                        <a:graphicData uri="http://schemas.microsoft.com/office/word/2010/wordprocessingShape">
                          <wps:wsp>
                            <wps:cNvSpPr txBox="1"/>
                            <wps:spPr>
                              <a:xfrm>
                                <a:off x="2435225" y="1557655"/>
                                <a:ext cx="232410" cy="135890"/>
                              </a:xfrm>
                              <a:prstGeom prst="rect">
                                <a:avLst/>
                              </a:prstGeom>
                              <a:solidFill>
                                <a:srgbClr val="FF0000"/>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1pt;margin-top:33.2pt;height:10.7pt;width:18.3pt;z-index:251673600;mso-width-relative:page;mso-height-relative:page;" fillcolor="#FF0000" filled="t" stroked="t" coordsize="21600,21600" o:gfxdata="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CRGyC1wAAAAkBAAAPAAAAAAAAAAEAIAAAACIAAABkcnMvZG93bnJldi54bWxQSwECFAAUAAAA&#10;CACHTuJA54WCo2ECAADFBAAADgAAAAAAAAABACAAAAAmAQAAZHJzL2Uyb0RvYy54bWxQSwUGAAAA&#10;AAYABgBZAQAA+QUAAAAA&#10;">
                      <v:fill on="t" focussize="0,0"/>
                      <v:stroke weight="0.5pt" color="#FF0000 [3204]" joinstyle="round"/>
                      <v:imagedata o:title=""/>
                      <o:lock v:ext="edit" aspectratio="f"/>
                      <v:textbox>
                        <w:txbxContent>
                          <w:p/>
                        </w:txbxContent>
                      </v:textbox>
                    </v:shape>
                  </w:pict>
                </mc:Fallback>
              </mc:AlternateContent>
            </w:r>
            <w:r>
              <w:rPr>
                <w:color w:val="auto"/>
              </w:rPr>
              <mc:AlternateContent>
                <mc:Choice Requires="wps">
                  <w:drawing>
                    <wp:anchor distT="0" distB="0" distL="114300" distR="114300" simplePos="0" relativeHeight="251670528" behindDoc="0" locked="0" layoutInCell="1" allowOverlap="1">
                      <wp:simplePos x="0" y="0"/>
                      <wp:positionH relativeFrom="column">
                        <wp:posOffset>2638425</wp:posOffset>
                      </wp:positionH>
                      <wp:positionV relativeFrom="paragraph">
                        <wp:posOffset>1320165</wp:posOffset>
                      </wp:positionV>
                      <wp:extent cx="394335" cy="167005"/>
                      <wp:effectExtent l="4445" t="4445" r="20320" b="19050"/>
                      <wp:wrapNone/>
                      <wp:docPr id="9" name="文本框 9"/>
                      <wp:cNvGraphicFramePr/>
                      <a:graphic xmlns:a="http://schemas.openxmlformats.org/drawingml/2006/main">
                        <a:graphicData uri="http://schemas.microsoft.com/office/word/2010/wordprocessingShape">
                          <wps:wsp>
                            <wps:cNvSpPr txBox="1"/>
                            <wps:spPr>
                              <a:xfrm>
                                <a:off x="3421380" y="6963410"/>
                                <a:ext cx="394335" cy="167005"/>
                              </a:xfrm>
                              <a:prstGeom prst="rect">
                                <a:avLst/>
                              </a:prstGeom>
                              <a:solidFill>
                                <a:srgbClr val="92D050"/>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ind w:left="-105" w:leftChars="-50" w:right="-105" w:rightChars="-50"/>
                                    <w:jc w:val="center"/>
                                    <w:rPr>
                                      <w:color w:val="FF0000"/>
                                    </w:rPr>
                                  </w:pPr>
                                  <w:r>
                                    <w:rPr>
                                      <w:rFonts w:hint="eastAsia"/>
                                      <w:color w:val="FF0000"/>
                                      <w:sz w:val="10"/>
                                      <w:szCs w:val="10"/>
                                    </w:rPr>
                                    <w:t>粉碎车间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75pt;margin-top:103.95pt;height:13.15pt;width:31.05pt;z-index:251670528;mso-width-relative:page;mso-height-relative:page;" fillcolor="#92D050" filled="t" stroked="t" coordsize="21600,21600" o:gfxdata="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hF7dNwAAAALAQAADwAAAAAAAAABACAAAAAiAAAAZHJzL2Rvd25yZXYueG1sUEsB&#10;AhQAFAAAAAgAh07iQNR8311jAgAAwwQAAA4AAAAAAAAAAQAgAAAAKwEAAGRycy9lMm9Eb2MueG1s&#10;UEsFBgAAAAAGAAYAWQEAAAAGAAAAAA==&#10;">
                      <v:fill on="t" focussize="0,0"/>
                      <v:stroke weight="0.5pt" color="#FF0000 [3204]" joinstyle="round"/>
                      <v:imagedata o:title=""/>
                      <o:lock v:ext="edit" aspectratio="f"/>
                      <v:textbox>
                        <w:txbxContent>
                          <w:p>
                            <w:pPr>
                              <w:ind w:left="-105" w:leftChars="-50" w:right="-105" w:rightChars="-50"/>
                              <w:jc w:val="center"/>
                              <w:rPr>
                                <w:color w:val="FF0000"/>
                              </w:rPr>
                            </w:pPr>
                            <w:r>
                              <w:rPr>
                                <w:rFonts w:hint="eastAsia"/>
                                <w:color w:val="FF0000"/>
                                <w:sz w:val="10"/>
                                <w:szCs w:val="10"/>
                              </w:rPr>
                              <w:t>粉碎车间</w:t>
                            </w:r>
                          </w:p>
                        </w:txbxContent>
                      </v:textbox>
                    </v:shape>
                  </w:pict>
                </mc:Fallback>
              </mc:AlternateContent>
            </w: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2468880</wp:posOffset>
                      </wp:positionH>
                      <wp:positionV relativeFrom="paragraph">
                        <wp:posOffset>450215</wp:posOffset>
                      </wp:positionV>
                      <wp:extent cx="260350" cy="163195"/>
                      <wp:effectExtent l="0" t="0" r="6350" b="8255"/>
                      <wp:wrapNone/>
                      <wp:docPr id="40" name="文本框 40"/>
                      <wp:cNvGraphicFramePr/>
                      <a:graphic xmlns:a="http://schemas.openxmlformats.org/drawingml/2006/main">
                        <a:graphicData uri="http://schemas.microsoft.com/office/word/2010/wordprocessingShape">
                          <wps:wsp>
                            <wps:cNvSpPr txBox="1"/>
                            <wps:spPr>
                              <a:xfrm>
                                <a:off x="3453765" y="6911975"/>
                                <a:ext cx="260350" cy="16319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120" w:lineRule="exact"/>
                                    <w:ind w:left="-105" w:leftChars="-50" w:right="-105" w:rightChars="-50"/>
                                    <w:rPr>
                                      <w:color w:val="FF0000"/>
                                      <w:sz w:val="10"/>
                                      <w:szCs w:val="10"/>
                                    </w:rPr>
                                  </w:pPr>
                                  <w:r>
                                    <w:rPr>
                                      <w:rFonts w:hint="eastAsia"/>
                                      <w:color w:val="FF0000"/>
                                      <w:sz w:val="10"/>
                                      <w:szCs w:val="10"/>
                                    </w:rPr>
                                    <w:t>锅炉房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4pt;margin-top:35.45pt;height:12.85pt;width:20.5pt;z-index:251672576;mso-width-relative:page;mso-height-relative:page;" fillcolor="#92D050" filled="t" stroked="f" coordsize="21600,21600" o:gfxdata="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o36XdoAAAAJAQAADwAAAAAAAAABACAAAAAiAAAAZHJzL2Rvd25yZXYueG1sUEsBAhQAFAAAAAgA&#10;h07iQLnLGHdcAgAAnAQAAA4AAAAAAAAAAQAgAAAAKQEAAGRycy9lMm9Eb2MueG1sUEsFBgAAAAAG&#10;AAYAWQEAAPcFAAAAAA==&#10;">
                      <v:fill on="t" focussize="0,0"/>
                      <v:stroke on="f" weight="0.5pt"/>
                      <v:imagedata o:title=""/>
                      <o:lock v:ext="edit" aspectratio="f"/>
                      <v:textbox>
                        <w:txbxContent>
                          <w:p>
                            <w:pPr>
                              <w:spacing w:line="120" w:lineRule="exact"/>
                              <w:ind w:left="-105" w:leftChars="-50" w:right="-105" w:rightChars="-50"/>
                              <w:rPr>
                                <w:color w:val="FF0000"/>
                                <w:sz w:val="10"/>
                                <w:szCs w:val="10"/>
                              </w:rPr>
                            </w:pPr>
                            <w:r>
                              <w:rPr>
                                <w:rFonts w:hint="eastAsia"/>
                                <w:color w:val="FF0000"/>
                                <w:sz w:val="10"/>
                                <w:szCs w:val="10"/>
                              </w:rPr>
                              <w:t>锅炉房</w:t>
                            </w:r>
                          </w:p>
                        </w:txbxContent>
                      </v:textbox>
                    </v:shape>
                  </w:pict>
                </mc:Fallback>
              </mc:AlternateContent>
            </w:r>
            <w:r>
              <w:rPr>
                <w:rFonts w:hint="eastAsia"/>
                <w:color w:val="auto"/>
                <w:sz w:val="21"/>
                <w:szCs w:val="21"/>
              </w:rPr>
              <w:drawing>
                <wp:inline distT="0" distB="0" distL="114300" distR="114300">
                  <wp:extent cx="5041265" cy="3348990"/>
                  <wp:effectExtent l="0" t="0" r="6985" b="3810"/>
                  <wp:docPr id="156" name="图片 156" descr="16711617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1671161796167"/>
                          <pic:cNvPicPr>
                            <a:picLocks noChangeAspect="1"/>
                          </pic:cNvPicPr>
                        </pic:nvPicPr>
                        <pic:blipFill>
                          <a:blip r:embed="rId68"/>
                          <a:stretch>
                            <a:fillRect/>
                          </a:stretch>
                        </pic:blipFill>
                        <pic:spPr>
                          <a:xfrm>
                            <a:off x="0" y="0"/>
                            <a:ext cx="5041265" cy="3348990"/>
                          </a:xfrm>
                          <a:prstGeom prst="rect">
                            <a:avLst/>
                          </a:prstGeom>
                        </pic:spPr>
                      </pic:pic>
                    </a:graphicData>
                  </a:graphic>
                </wp:inline>
              </w:drawing>
            </w:r>
            <w:r>
              <w:rPr>
                <w:color w:val="auto"/>
              </w:rPr>
              <mc:AlternateContent>
                <mc:Choice Requires="wps">
                  <w:drawing>
                    <wp:anchor distT="0" distB="0" distL="114300" distR="114300" simplePos="0" relativeHeight="251671552" behindDoc="0" locked="0" layoutInCell="1" allowOverlap="1">
                      <wp:simplePos x="0" y="0"/>
                      <wp:positionH relativeFrom="column">
                        <wp:posOffset>2326640</wp:posOffset>
                      </wp:positionH>
                      <wp:positionV relativeFrom="paragraph">
                        <wp:posOffset>728980</wp:posOffset>
                      </wp:positionV>
                      <wp:extent cx="744220" cy="217805"/>
                      <wp:effectExtent l="0" t="0" r="17780" b="10795"/>
                      <wp:wrapNone/>
                      <wp:docPr id="10" name="文本框 10"/>
                      <wp:cNvGraphicFramePr/>
                      <a:graphic xmlns:a="http://schemas.openxmlformats.org/drawingml/2006/main">
                        <a:graphicData uri="http://schemas.microsoft.com/office/word/2010/wordprocessingShape">
                          <wps:wsp>
                            <wps:cNvSpPr txBox="1"/>
                            <wps:spPr>
                              <a:xfrm>
                                <a:off x="3246755" y="6873875"/>
                                <a:ext cx="744220" cy="21780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sz w:val="13"/>
                                      <w:szCs w:val="13"/>
                                    </w:rPr>
                                  </w:pPr>
                                  <w:r>
                                    <w:rPr>
                                      <w:rFonts w:hint="eastAsia"/>
                                      <w:b/>
                                      <w:bCs/>
                                      <w:color w:val="FF0000"/>
                                      <w:sz w:val="13"/>
                                      <w:szCs w:val="13"/>
                                    </w:rPr>
                                    <w:t>新建生产车间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2pt;margin-top:57.4pt;height:17.15pt;width:58.6pt;z-index:251671552;mso-width-relative:page;mso-height-relative:page;" fillcolor="#92D050" filled="t" stroked="f" coordsize="21600,21600" o:gfxdata="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4d0mdsAAAALAQAADwAAAAAAAAABACAAAAAiAAAAZHJzL2Rvd25yZXYueG1sUEsBAhQAFAAA&#10;AAgAh07iQEOvlMNeAgAAnAQAAA4AAAAAAAAAAQAgAAAAKgEAAGRycy9lMm9Eb2MueG1sUEsFBgAA&#10;AAAGAAYAWQEAAPoFAAAAAA==&#10;">
                      <v:fill on="t" focussize="0,0"/>
                      <v:stroke on="f" weight="0.5pt"/>
                      <v:imagedata o:title=""/>
                      <o:lock v:ext="edit" aspectratio="f"/>
                      <v:textbox>
                        <w:txbxContent>
                          <w:p>
                            <w:pPr>
                              <w:rPr>
                                <w:b/>
                                <w:bCs/>
                                <w:color w:val="FF0000"/>
                                <w:sz w:val="13"/>
                                <w:szCs w:val="13"/>
                              </w:rPr>
                            </w:pPr>
                            <w:r>
                              <w:rPr>
                                <w:rFonts w:hint="eastAsia"/>
                                <w:b/>
                                <w:bCs/>
                                <w:color w:val="FF0000"/>
                                <w:sz w:val="13"/>
                                <w:szCs w:val="13"/>
                              </w:rPr>
                              <w:t>新建生产车间</w:t>
                            </w:r>
                          </w:p>
                        </w:txbxContent>
                      </v:textbox>
                    </v:shape>
                  </w:pict>
                </mc:Fallback>
              </mc:AlternateContent>
            </w:r>
            <w:r>
              <w:rPr>
                <w:color w:val="auto"/>
              </w:rPr>
              <mc:AlternateContent>
                <mc:Choice Requires="wps">
                  <w:drawing>
                    <wp:anchor distT="0" distB="0" distL="114300" distR="114300" simplePos="0" relativeHeight="251669504" behindDoc="0" locked="0" layoutInCell="1" allowOverlap="1">
                      <wp:simplePos x="0" y="0"/>
                      <wp:positionH relativeFrom="column">
                        <wp:posOffset>3794125</wp:posOffset>
                      </wp:positionH>
                      <wp:positionV relativeFrom="paragraph">
                        <wp:posOffset>1323975</wp:posOffset>
                      </wp:positionV>
                      <wp:extent cx="854075" cy="349250"/>
                      <wp:effectExtent l="264795" t="68580" r="24130" b="24130"/>
                      <wp:wrapNone/>
                      <wp:docPr id="38" name="矩形标注 38"/>
                      <wp:cNvGraphicFramePr/>
                      <a:graphic xmlns:a="http://schemas.openxmlformats.org/drawingml/2006/main">
                        <a:graphicData uri="http://schemas.microsoft.com/office/word/2010/wordprocessingShape">
                          <wps:wsp>
                            <wps:cNvSpPr/>
                            <wps:spPr>
                              <a:xfrm>
                                <a:off x="0" y="0"/>
                                <a:ext cx="854075" cy="349250"/>
                              </a:xfrm>
                              <a:prstGeom prst="wedgeRectCallout">
                                <a:avLst>
                                  <a:gd name="adj1" fmla="val -79516"/>
                                  <a:gd name="adj2" fmla="val -66000"/>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一般防渗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8.75pt;margin-top:104.25pt;height:27.5pt;width:67.25pt;z-index:251669504;v-text-anchor:middle;mso-width-relative:page;mso-height-relative:page;" filled="f" stroked="t" coordsize="21600,21600" o:gfxdata="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8c1xHcAAAACwEAAA8AAAAAAAAAAQAgAAAAIgAAAGRycy9kb3ducmV2LnhtbFBL&#10;AQIUABQAAAAIAIdO4kDfr+NrnQIAACUFAAAOAAAAAAAAAAEAIAAAACsBAABkcnMvZTJvRG9jLnht&#10;bFBLBQYAAAAABgAGAFkBAAA6BgAAAAA=&#10;" adj="-6375,-3456">
                      <v:fill on="f" focussize="0,0"/>
                      <v:stroke weight="2pt" color="#92D050 [3204]"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一般防渗</w:t>
                            </w:r>
                          </w:p>
                        </w:txbxContent>
                      </v:textbox>
                    </v:shape>
                  </w:pict>
                </mc:Fallback>
              </mc:AlternateContent>
            </w:r>
            <w:r>
              <w:rPr>
                <w:color w:val="auto"/>
              </w:rPr>
              <mc:AlternateContent>
                <mc:Choice Requires="wps">
                  <w:drawing>
                    <wp:anchor distT="0" distB="0" distL="114300" distR="114300" simplePos="0" relativeHeight="251668480" behindDoc="0" locked="0" layoutInCell="1" allowOverlap="1">
                      <wp:simplePos x="0" y="0"/>
                      <wp:positionH relativeFrom="column">
                        <wp:posOffset>3425190</wp:posOffset>
                      </wp:positionH>
                      <wp:positionV relativeFrom="paragraph">
                        <wp:posOffset>69850</wp:posOffset>
                      </wp:positionV>
                      <wp:extent cx="854075" cy="349250"/>
                      <wp:effectExtent l="542925" t="12700" r="20320" b="95250"/>
                      <wp:wrapNone/>
                      <wp:docPr id="4" name="矩形标注 4"/>
                      <wp:cNvGraphicFramePr/>
                      <a:graphic xmlns:a="http://schemas.openxmlformats.org/drawingml/2006/main">
                        <a:graphicData uri="http://schemas.microsoft.com/office/word/2010/wordprocessingShape">
                          <wps:wsp>
                            <wps:cNvSpPr/>
                            <wps:spPr>
                              <a:xfrm>
                                <a:off x="4919345" y="5603875"/>
                                <a:ext cx="854075" cy="349250"/>
                              </a:xfrm>
                              <a:prstGeom prst="wedgeRectCallout">
                                <a:avLst>
                                  <a:gd name="adj1" fmla="val -112068"/>
                                  <a:gd name="adj2" fmla="val 6960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重点防渗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9.7pt;margin-top:5.5pt;height:27.5pt;width:67.25pt;z-index:251668480;v-text-anchor:middle;mso-width-relative:page;mso-height-relative:page;" filled="f" stroked="t" coordsize="21600,21600" o:gfxdata="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tZVTh9gAAAAJAQAADwAAAAAAAAABACAAAAAiAAAAZHJzL2Rvd25y&#10;ZXYueG1sUEsBAhQAFAAAAAgAh07iQKdlUUipAgAALwUAAA4AAAAAAAAAAQAgAAAAJwEAAGRycy9l&#10;Mm9Eb2MueG1sUEsFBgAAAAAGAAYAWQEAAEIGAAAAAA==&#10;" adj="-13407,25834">
                      <v:fill on="f" focussize="0,0"/>
                      <v:stroke weight="2pt" color="#FF0000 [3204]"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重点防渗</w:t>
                            </w:r>
                          </w:p>
                        </w:txbxContent>
                      </v:textbox>
                    </v:shape>
                  </w:pict>
                </mc:Fallback>
              </mc:AlternateContent>
            </w:r>
            <w:r>
              <w:rPr>
                <w:color w:val="auto"/>
              </w:rPr>
              <mc:AlternateContent>
                <mc:Choice Requires="wps">
                  <w:drawing>
                    <wp:anchor distT="0" distB="0" distL="114300" distR="114300" simplePos="0" relativeHeight="251667456" behindDoc="0" locked="0" layoutInCell="1" allowOverlap="1">
                      <wp:simplePos x="0" y="0"/>
                      <wp:positionH relativeFrom="column">
                        <wp:posOffset>1038225</wp:posOffset>
                      </wp:positionH>
                      <wp:positionV relativeFrom="paragraph">
                        <wp:posOffset>3307715</wp:posOffset>
                      </wp:positionV>
                      <wp:extent cx="2180590" cy="380365"/>
                      <wp:effectExtent l="0" t="0" r="0" b="0"/>
                      <wp:wrapNone/>
                      <wp:docPr id="157" name="矩形 157"/>
                      <wp:cNvGraphicFramePr/>
                      <a:graphic xmlns:a="http://schemas.openxmlformats.org/drawingml/2006/main">
                        <a:graphicData uri="http://schemas.microsoft.com/office/word/2010/wordprocessingShape">
                          <wps:wsp>
                            <wps:cNvSpPr/>
                            <wps:spPr>
                              <a:xfrm>
                                <a:off x="0" y="0"/>
                                <a:ext cx="2180590" cy="380365"/>
                              </a:xfrm>
                              <a:prstGeom prst="rect">
                                <a:avLst/>
                              </a:prstGeom>
                              <a:noFill/>
                              <a:ln w="9525" cap="flat" cmpd="sng" algn="ctr">
                                <a:noFill/>
                                <a:prstDash val="solid"/>
                              </a:ln>
                              <a:effectLst/>
                            </wps:spPr>
                            <wps:txbx>
                              <w:txbxContent>
                                <w:p>
                                  <w:pPr>
                                    <w:pStyle w:val="41"/>
                                    <w:jc w:val="center"/>
                                    <w:rPr>
                                      <w:b/>
                                      <w:bCs/>
                                      <w:snapToGrid w:val="0"/>
                                      <w:sz w:val="21"/>
                                      <w:szCs w:val="21"/>
                                    </w:rPr>
                                  </w:pPr>
                                  <w:r>
                                    <w:rPr>
                                      <w:rFonts w:hint="eastAsia"/>
                                      <w:b/>
                                      <w:bCs/>
                                      <w:snapToGrid w:val="0"/>
                                      <w:sz w:val="21"/>
                                      <w:szCs w:val="21"/>
                                    </w:rPr>
                                    <w:t xml:space="preserve">          </w:t>
                                  </w:r>
                                  <w:r>
                                    <w:rPr>
                                      <w:rFonts w:hint="eastAsia" w:ascii="宋体" w:hAnsi="宋体" w:cs="宋体"/>
                                      <w:b/>
                                      <w:bCs/>
                                      <w:snapToGrid w:val="0"/>
                                      <w:sz w:val="21"/>
                                      <w:szCs w:val="21"/>
                                    </w:rPr>
                                    <w:t xml:space="preserve"> 图8  分区防渗图</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75pt;margin-top:260.45pt;height:29.95pt;width:171.7pt;z-index:251667456;v-text-anchor:middle;mso-width-relative:page;mso-height-relative:page;" filled="f" stroked="f" coordsize="21600,21600" o:gfxdata="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XHKQn1QAA&#10;AAsBAAAPAAAAAAAAAAEAIAAAACIAAABkcnMvZG93bnJldi54bWxQSwECFAAUAAAACACHTuJAYYRQ&#10;2loCAACnBAAADgAAAAAAAAABACAAAAAkAQAAZHJzL2Uyb0RvYy54bWxQSwUGAAAAAAYABgBZAQAA&#10;8AUAAAAA&#10;">
                      <v:fill on="f" focussize="0,0"/>
                      <v:stroke on="f"/>
                      <v:imagedata o:title=""/>
                      <o:lock v:ext="edit" aspectratio="f"/>
                      <v:textbox>
                        <w:txbxContent>
                          <w:p>
                            <w:pPr>
                              <w:pStyle w:val="41"/>
                              <w:jc w:val="center"/>
                              <w:rPr>
                                <w:b/>
                                <w:bCs/>
                                <w:snapToGrid w:val="0"/>
                                <w:sz w:val="21"/>
                                <w:szCs w:val="21"/>
                              </w:rPr>
                            </w:pPr>
                            <w:r>
                              <w:rPr>
                                <w:rFonts w:hint="eastAsia"/>
                                <w:b/>
                                <w:bCs/>
                                <w:snapToGrid w:val="0"/>
                                <w:sz w:val="21"/>
                                <w:szCs w:val="21"/>
                              </w:rPr>
                              <w:t xml:space="preserve">          </w:t>
                            </w:r>
                            <w:r>
                              <w:rPr>
                                <w:rFonts w:hint="eastAsia" w:ascii="宋体" w:hAnsi="宋体" w:cs="宋体"/>
                                <w:b/>
                                <w:bCs/>
                                <w:snapToGrid w:val="0"/>
                                <w:sz w:val="21"/>
                                <w:szCs w:val="21"/>
                              </w:rPr>
                              <w:t xml:space="preserve"> 图8  分区防渗图</w:t>
                            </w:r>
                          </w:p>
                          <w:p>
                            <w:pPr>
                              <w:jc w:val="center"/>
                            </w:pPr>
                          </w:p>
                        </w:txbxContent>
                      </v:textbox>
                    </v:rect>
                  </w:pict>
                </mc:Fallback>
              </mc:AlternateContent>
            </w:r>
          </w:p>
          <w:p>
            <w:pPr>
              <w:pStyle w:val="41"/>
              <w:spacing w:line="360" w:lineRule="auto"/>
              <w:jc w:val="both"/>
              <w:rPr>
                <w:b/>
                <w:bCs/>
                <w:color w:val="auto"/>
                <w:sz w:val="21"/>
                <w:szCs w:val="21"/>
              </w:rPr>
            </w:pPr>
          </w:p>
          <w:p>
            <w:pPr>
              <w:pStyle w:val="41"/>
              <w:spacing w:line="360" w:lineRule="auto"/>
              <w:ind w:firstLine="422" w:firstLineChars="200"/>
              <w:jc w:val="both"/>
              <w:rPr>
                <w:rFonts w:ascii="宋体" w:hAnsi="宋体" w:cs="宋体"/>
                <w:b/>
                <w:bCs/>
                <w:color w:val="auto"/>
                <w:sz w:val="21"/>
                <w:szCs w:val="21"/>
              </w:rPr>
            </w:pPr>
            <w:r>
              <w:rPr>
                <w:rFonts w:hint="eastAsia" w:ascii="宋体" w:hAnsi="宋体" w:cs="宋体"/>
                <w:b/>
                <w:bCs/>
                <w:color w:val="auto"/>
                <w:sz w:val="21"/>
                <w:szCs w:val="21"/>
              </w:rPr>
              <w:t>7、环境风险分析</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（1）生物质锅炉</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1）风险源</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本项目实验室制菌，本实验室只进行简单的菌种制备，所用原料为水和营养液（豆粕和红糖）按比例进行培育，不涉及化学试剂。因此根据项目原辅材料物化特性和危害特性，工艺流程等分析，按照《建设项目环境风险评价技术导则》（HJ169-2018）所列的危险物质和《危险化学品重大危险源识别》（GB18218-2009）判定，项目不涉及环境风险的物质。本项目使用的生物质成型燃料不属于重大危险源。成型生物质虽然不属于重大污染源，但可燃烧而引起火灾事故，火灾事故会导致项目附近环境事故发生。</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2）风险事故成因分析</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生物质主要的环境事故风险类型是：</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①生物质成型燃料遇明火产生火灾事故，火灾产生大量浓烟对周围大气环境造成影响；</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②扑救火灾过程产生的消防废水通过下水道进入地表水，污染项目附近水体。</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③锅炉废气处理设施出现故障，造成废气未经处理直接排放，对大气环境造成影响。</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为减少环境风险，建议采取以下风险防范措施：</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A、火灾等事故发生后，应立即向有关环境管理部门报告，请求环境管理部门应急监测工作组进行应急监测，综合分析突发环境事故污染变化趋势，预测突发污染事故的发展情况和污染物的变化情况，作为突发环境事件应急决策的依据。</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B、安装火灾自动报警系统，能够在火灾发生的初期及时发现并及时采取有效措施，最大限度地减少因火灾造成的生命、财产损失和环境污染。一旦发生火灾后，消防过程中同样会产生二次环境风险，主要体现在消防废水如直接经过市政雨水或污水管网进入纳污水体或市政污水处理厂，将对地面水体或污水处理厂处理效果造成一定影响。但是本项目运营过程中无有毒有害物质存储及使用，消防废水主要污染物为SS，水质较简单，因此影响是有限的。建设单位设置事故池，当火灾发生时，可作为事故应急，通过雨水阀门的切换，使消防废水进入事故池进行应急处理后排放，防止消防废水通过雨水管道直接排入外环境。</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C、通过采取跟踪监控锅炉烟气浓度等含量的变化，一旦发现上述指标发生异常，应立即查明原因，排除故障后方可继续运行锅炉，确保不会出现废气超标排放或事故排放。</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3）环境风险影响预测</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生物质锅炉的环境风险主要是生产等过程发生的火灾事故、废气事故排放和消防风险事故所引发的环境污染。本项目周围分布有商户，一旦发生事故时，产生的浓烟将可能对附近企业产生一定的影响，事故引发的环境污染对敏感点产生一定的影响。</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爆炸燃烧过程中产生大量有毒有害气体和烟尘、颗粒物对区域大气环境产生不利影响，导致区域环境空气质量下降，会对当地空气质量造成严重的损害，且短时间内不易恢复。事故发生同时也会毁坏区域的地表人工植被，污染土壤，对生态环境造成影响。</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4）风险防范措施</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为防止事故的发生，本项目应严格按照《锅炉房设计规范》（GB50041-2008）进行设计与施工，其中主要包括：</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A、总图布置严格按照《锅炉房设计规范》的要求进行设计，严格控制各建、构筑物的安全防护距离；</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B、按有关规范设计设置有效的消防系统，做到以防为主，安全可靠；</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C、工艺设备、运输设施及工艺系统选用了高质、高效可靠性的产品。防爆区电气设备、器材的选型、设计安装及维护均符合《爆炸火灾危电力装置设计规范》（GB50058.82）和《漏电保护器安装与运行》（GB13955-92）的规定；</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D、为防止火灾发生时火势蔓延，在项目污水管道出口设置水封井；</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E、土建结构采取较大的抗震结构保险系数，以增加项目的抗震能力；</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F、各类事故及非正常生产情况的发生大多数与操作管理不当有直接关系，因此必须建立健全、整套严格的管理制度。管理制度应在以下几个方面予以关注：</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a、加强存储系统的管理与维修，使整个系统处于密闭化，严格防止跑、漏现象发生；</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b、明确每个工作人员在业务上、工作上与消防安全管理上的职责和责任；</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c、对各类贮存容器、机电装置、安全设施、消防器材等，进行各种日常的、定期的、专业的防火安全检查，并将发现的问题落实到人、限期落实整改；</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d、建立夜间值班巡查制度、火险报告制度、安全奖惩制度等。</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5）事故应急救援预案</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由于自然灾害或人为原因，当事故灾害不可避免的时候，有效的应急救援行动是唯一可以抵御事故灾害蔓延和减缓灾害后果的有力措施。所以，如果在事故灾害发生前建立完善的应急救援系统，制定周密的救援计划，而在灾害发生的时候采取及时有效的应急救援行动，以及系统的恢复和善后处理，可以拯救生命、保护财产、保护环境。事故救援计划应包括以下内容：</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A、应急救援系统的建立和组成；</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B、应急救援计划的制定；</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C、应急培训和演习；</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D、应急救援行动；</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E、现场清除与净化；</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F、系统的恢复和善后处理。</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6）事故应急预案应包括以下几个方面：</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A、停电时的应急预案；</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B、易燃易爆物料（大量）泄漏时的应急预案；</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C、发生火灾时的应急预案；</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D、发生爆炸时的应急预案；</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E、发生泄漏时的应急预案；</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F、发生人员中毒时的应急预案；</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G、发生人员化学烧伤时的应急预案；</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H、生产操作出现严重触电、高温烫伤伤害和严重机械伤害时的应急预案；</w:t>
            </w:r>
          </w:p>
          <w:p>
            <w:pPr>
              <w:pStyle w:val="14"/>
              <w:spacing w:line="360" w:lineRule="auto"/>
              <w:ind w:firstLine="420" w:firstLineChars="200"/>
              <w:jc w:val="both"/>
              <w:rPr>
                <w:rFonts w:ascii="宋体" w:hAnsi="宋体" w:cs="宋体"/>
                <w:b/>
                <w:bCs/>
                <w:sz w:val="21"/>
                <w:szCs w:val="21"/>
              </w:rPr>
            </w:pPr>
            <w:r>
              <w:rPr>
                <w:rFonts w:hint="eastAsia" w:ascii="宋体" w:hAnsi="宋体" w:cs="宋体"/>
                <w:sz w:val="21"/>
                <w:szCs w:val="21"/>
              </w:rPr>
              <w:t>I、生产操作控制出现异常情况时的应急预案；</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（2）废润滑油泄漏</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1）分布情况</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集中收集至危废间内。</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2）影响途径</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①泄漏事故</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本项目废润滑油和废油桶贮存于危险废物暂存间内，可能因为容器损坏，防渗层破裂、管理疏忽等原因导致泄漏，可能造成地下水、河流及土壤污染。</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②火灾事故</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泄漏的废润滑油遇明火、高热可能引起火灾燃烧，一旦发生火灾事故，产生的污染物主要为燃烧烟气和消防废水。烟雾是物质在燃烧反应过程中生成含有气态、液态和固态物质与空气的混合物。通常它由极小的黑粒子完全燃烧或不完全燃烧产物、水分以及可燃物的燃烧分解产物所组成。一旦有事故发生，建设单位应及时按照事故应急预案中规定的应急响应程序疏散厂区内职工，负责救援的人员，也应及时佩戴呼吸器，以免浓烟损害健康。同时，应通知周围环境人群，对人员进行疏散，避免人群长时间在一氧化碳浓度较高的条件下活动，出现刺激症状。事故发生将造成区域大气环境污染。</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3）防范措施</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废润滑油和废油桶贮存于危险废物暂存间内，配备规定数量、质量要求的灭火器材，并有专人负责监督：贴有危险废物标识，加强对危险废物暂存间的日常检查和定期检查。</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增强工作人员环境风险意识，制定各项环保制度。对从业人员进行岗位职工教育与培训，使他们均具备危险意识及如何应对危险的知识，并进行相关泄漏事故的教育。设立应急事故专门记录，建立档案和报告制度，由专门部门或人员负责管理。</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执行环保事故报告制度，一经发现环保事故，立即向企业负责人、当地政府或上级有关部门报告，不瞒报、漏报，及时组织进行处置。具体负责人员或部门统一指挥对事故现场的应急救援，并立即查明原因，提出对策，及时组织各方面力量处理泄漏事故，控制事故的蔓延和扩大。</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项目主体单位应成立本厂的突发环境事件应急小组指挥部，责任到人，确保应急小组分工明确，以有效应对突发事件的发生，同时，项目应依据《中华人民共和国突发事件应对法》、《企业事业单位突发环境事件应急预案备案管理办法》(试行)的相关要求，进行《突发环境事件应急预案》的编制及备案工作。</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4）环境风险影响评价结论</w:t>
            </w:r>
          </w:p>
          <w:p>
            <w:pPr>
              <w:pStyle w:val="14"/>
              <w:spacing w:line="360" w:lineRule="auto"/>
              <w:ind w:firstLine="420" w:firstLineChars="200"/>
              <w:jc w:val="both"/>
              <w:rPr>
                <w:rFonts w:ascii="宋体" w:hAnsi="宋体" w:cs="宋体"/>
                <w:sz w:val="21"/>
                <w:szCs w:val="21"/>
              </w:rPr>
            </w:pPr>
            <w:r>
              <w:rPr>
                <w:rFonts w:hint="eastAsia" w:ascii="宋体" w:hAnsi="宋体" w:cs="宋体"/>
                <w:sz w:val="21"/>
                <w:szCs w:val="21"/>
              </w:rPr>
              <w:t>综上所述，本项目无重大风险源。在加强厂区风险管理、制定事故应急预案的基础上，事故发生概率较低。基于完善风险防范措施和应急预案的前提下，本项目环境风险水平是可以接受的。</w:t>
            </w:r>
          </w:p>
          <w:p>
            <w:pPr>
              <w:pStyle w:val="14"/>
              <w:spacing w:line="360" w:lineRule="auto"/>
              <w:ind w:firstLine="420" w:firstLineChars="200"/>
              <w:jc w:val="both"/>
              <w:rPr>
                <w:rFonts w:ascii="宋体" w:hAnsi="宋体" w:cs="宋体"/>
                <w:b/>
                <w:bCs/>
                <w:sz w:val="21"/>
                <w:szCs w:val="21"/>
              </w:rPr>
            </w:pPr>
            <w:r>
              <w:rPr>
                <w:rFonts w:hint="eastAsia" w:ascii="宋体" w:hAnsi="宋体" w:cs="宋体"/>
                <w:sz w:val="21"/>
                <w:szCs w:val="21"/>
              </w:rPr>
              <w:t>本项目要求企业制定本项目风险防范措施和应急预案，如果发生火灾爆炸，应立即启动应急预案，及时采取措施，配合整体救援行动，控制影响污染程度，将环境影响及损失降至最小。因此，在切实采取相应风险防范措施和应急预案的前提下，本项目环境风险为可接受水平。</w:t>
            </w:r>
          </w:p>
          <w:p>
            <w:pPr>
              <w:pStyle w:val="41"/>
              <w:spacing w:line="360" w:lineRule="auto"/>
              <w:ind w:firstLine="422" w:firstLineChars="200"/>
              <w:jc w:val="both"/>
              <w:rPr>
                <w:rFonts w:ascii="宋体" w:hAnsi="宋体" w:cs="宋体"/>
                <w:b/>
                <w:bCs/>
                <w:color w:val="auto"/>
                <w:sz w:val="21"/>
                <w:szCs w:val="21"/>
              </w:rPr>
            </w:pPr>
            <w:r>
              <w:rPr>
                <w:rFonts w:hint="eastAsia" w:ascii="宋体" w:hAnsi="宋体" w:cs="宋体"/>
                <w:b/>
                <w:bCs/>
                <w:color w:val="auto"/>
                <w:sz w:val="21"/>
                <w:szCs w:val="21"/>
              </w:rPr>
              <w:t>8、环保投资估算及“三同时”验收</w:t>
            </w:r>
          </w:p>
          <w:p>
            <w:pPr>
              <w:autoSpaceDE w:val="0"/>
              <w:autoSpaceDN w:val="0"/>
              <w:spacing w:line="360" w:lineRule="auto"/>
              <w:ind w:firstLine="420" w:firstLineChars="200"/>
              <w:rPr>
                <w:rFonts w:ascii="宋体" w:hAnsi="宋体" w:cs="宋体"/>
                <w:szCs w:val="21"/>
              </w:rPr>
            </w:pPr>
            <w:r>
              <w:rPr>
                <w:rFonts w:hint="eastAsia" w:ascii="宋体" w:hAnsi="宋体" w:cs="宋体"/>
                <w:szCs w:val="21"/>
              </w:rPr>
              <w:t>项目总投资800万元，环保投资99.5万元，占项目总投资的12.44%，投资估算明细见表4-1</w:t>
            </w:r>
            <w:r>
              <w:rPr>
                <w:rFonts w:hint="eastAsia" w:ascii="宋体" w:hAnsi="宋体" w:cs="宋体"/>
                <w:szCs w:val="21"/>
                <w:lang w:val="en-US" w:eastAsia="zh-CN"/>
              </w:rPr>
              <w:t>7</w:t>
            </w:r>
            <w:r>
              <w:rPr>
                <w:rFonts w:hint="eastAsia" w:ascii="宋体" w:hAnsi="宋体" w:cs="宋体"/>
                <w:szCs w:val="21"/>
              </w:rPr>
              <w:t>，项目“三同时”验收一览表见表4-1</w:t>
            </w:r>
            <w:r>
              <w:rPr>
                <w:rFonts w:hint="eastAsia" w:ascii="宋体" w:hAnsi="宋体" w:cs="宋体"/>
                <w:szCs w:val="21"/>
                <w:lang w:val="en-US" w:eastAsia="zh-CN"/>
              </w:rPr>
              <w:t>8</w:t>
            </w:r>
            <w:r>
              <w:rPr>
                <w:rFonts w:hint="eastAsia" w:ascii="宋体" w:hAnsi="宋体" w:cs="宋体"/>
                <w:szCs w:val="21"/>
              </w:rPr>
              <w:t>。</w:t>
            </w:r>
          </w:p>
          <w:p>
            <w:pPr>
              <w:ind w:firstLine="422" w:firstLineChars="200"/>
              <w:jc w:val="center"/>
              <w:rPr>
                <w:rFonts w:ascii="宋体" w:hAnsi="宋体" w:cs="宋体"/>
                <w:b/>
                <w:szCs w:val="21"/>
              </w:rPr>
            </w:pPr>
            <w:r>
              <w:rPr>
                <w:rFonts w:hint="eastAsia" w:ascii="宋体" w:hAnsi="宋体" w:cs="宋体"/>
                <w:b/>
                <w:szCs w:val="21"/>
              </w:rPr>
              <w:t>表4-1</w:t>
            </w:r>
            <w:r>
              <w:rPr>
                <w:rFonts w:hint="eastAsia" w:ascii="宋体" w:hAnsi="宋体" w:cs="宋体"/>
                <w:b/>
                <w:szCs w:val="21"/>
                <w:lang w:val="en-US" w:eastAsia="zh-CN"/>
              </w:rPr>
              <w:t>7</w:t>
            </w:r>
            <w:r>
              <w:rPr>
                <w:rFonts w:hint="eastAsia" w:ascii="宋体" w:hAnsi="宋体" w:cs="宋体"/>
                <w:b/>
                <w:szCs w:val="21"/>
              </w:rPr>
              <w:t xml:space="preserve">  环保投资估算一览表</w:t>
            </w:r>
          </w:p>
          <w:tbl>
            <w:tblPr>
              <w:tblStyle w:val="24"/>
              <w:tblW w:w="77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3"/>
              <w:gridCol w:w="560"/>
              <w:gridCol w:w="3341"/>
              <w:gridCol w:w="673"/>
              <w:gridCol w:w="1300"/>
              <w:gridCol w:w="13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tcBorders>
                    <w:tl2br w:val="nil"/>
                    <w:tr2bl w:val="nil"/>
                  </w:tcBorders>
                  <w:vAlign w:val="center"/>
                </w:tcPr>
                <w:p>
                  <w:pPr>
                    <w:ind w:firstLine="3" w:firstLineChars="2"/>
                    <w:jc w:val="center"/>
                    <w:rPr>
                      <w:rFonts w:ascii="宋体" w:hAnsi="宋体" w:cs="宋体"/>
                      <w:sz w:val="18"/>
                      <w:szCs w:val="18"/>
                    </w:rPr>
                  </w:pPr>
                  <w:r>
                    <w:rPr>
                      <w:rFonts w:hint="eastAsia" w:ascii="宋体" w:hAnsi="宋体" w:cs="宋体"/>
                      <w:sz w:val="18"/>
                      <w:szCs w:val="18"/>
                    </w:rPr>
                    <w:t>序号</w:t>
                  </w:r>
                </w:p>
              </w:tc>
              <w:tc>
                <w:tcPr>
                  <w:tcW w:w="3901" w:type="dxa"/>
                  <w:gridSpan w:val="2"/>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投资项目</w:t>
                  </w:r>
                </w:p>
              </w:tc>
              <w:tc>
                <w:tcPr>
                  <w:tcW w:w="673"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数量</w:t>
                  </w:r>
                </w:p>
              </w:tc>
              <w:tc>
                <w:tcPr>
                  <w:tcW w:w="1300"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金额（万元）</w:t>
                  </w:r>
                </w:p>
              </w:tc>
              <w:tc>
                <w:tcPr>
                  <w:tcW w:w="1300"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Merge w:val="restart"/>
                  <w:tcBorders>
                    <w:tl2br w:val="nil"/>
                    <w:tr2bl w:val="nil"/>
                  </w:tcBorders>
                  <w:vAlign w:val="center"/>
                </w:tcPr>
                <w:p>
                  <w:pPr>
                    <w:ind w:firstLine="3" w:firstLineChars="2"/>
                    <w:jc w:val="center"/>
                    <w:rPr>
                      <w:rFonts w:ascii="宋体" w:hAnsi="宋体" w:cs="宋体"/>
                      <w:sz w:val="18"/>
                      <w:szCs w:val="18"/>
                    </w:rPr>
                  </w:pPr>
                  <w:r>
                    <w:rPr>
                      <w:rFonts w:hint="eastAsia" w:ascii="宋体" w:hAnsi="宋体" w:cs="宋体"/>
                      <w:sz w:val="18"/>
                      <w:szCs w:val="18"/>
                    </w:rPr>
                    <w:t>1</w:t>
                  </w:r>
                </w:p>
              </w:tc>
              <w:tc>
                <w:tcPr>
                  <w:tcW w:w="560"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废气</w:t>
                  </w:r>
                </w:p>
              </w:tc>
              <w:tc>
                <w:tcPr>
                  <w:tcW w:w="3341"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布袋除尘器+35m排气筒</w:t>
                  </w:r>
                </w:p>
              </w:tc>
              <w:tc>
                <w:tcPr>
                  <w:tcW w:w="673"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1</w:t>
                  </w:r>
                </w:p>
              </w:tc>
              <w:tc>
                <w:tcPr>
                  <w:tcW w:w="1300"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7.5</w:t>
                  </w:r>
                </w:p>
              </w:tc>
              <w:tc>
                <w:tcPr>
                  <w:tcW w:w="1300"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Merge w:val="continue"/>
                  <w:tcBorders>
                    <w:tl2br w:val="nil"/>
                    <w:tr2bl w:val="nil"/>
                  </w:tcBorders>
                  <w:vAlign w:val="center"/>
                </w:tcPr>
                <w:p>
                  <w:pPr>
                    <w:jc w:val="center"/>
                    <w:rPr>
                      <w:rFonts w:ascii="宋体" w:hAnsi="宋体" w:cs="宋体"/>
                      <w:sz w:val="18"/>
                      <w:szCs w:val="18"/>
                    </w:rPr>
                  </w:pPr>
                </w:p>
              </w:tc>
              <w:tc>
                <w:tcPr>
                  <w:tcW w:w="560" w:type="dxa"/>
                  <w:vMerge w:val="continue"/>
                  <w:tcBorders>
                    <w:tl2br w:val="nil"/>
                    <w:tr2bl w:val="nil"/>
                  </w:tcBorders>
                  <w:vAlign w:val="center"/>
                </w:tcPr>
                <w:p>
                  <w:pPr>
                    <w:jc w:val="center"/>
                    <w:rPr>
                      <w:rFonts w:ascii="宋体" w:hAnsi="宋体" w:cs="宋体"/>
                      <w:sz w:val="18"/>
                      <w:szCs w:val="18"/>
                    </w:rPr>
                  </w:pPr>
                </w:p>
              </w:tc>
              <w:tc>
                <w:tcPr>
                  <w:tcW w:w="3341" w:type="dxa"/>
                  <w:tcBorders>
                    <w:tl2br w:val="nil"/>
                    <w:tr2bl w:val="nil"/>
                  </w:tcBorders>
                  <w:vAlign w:val="center"/>
                </w:tcPr>
                <w:p>
                  <w:pPr>
                    <w:tabs>
                      <w:tab w:val="left" w:pos="751"/>
                      <w:tab w:val="center" w:pos="1622"/>
                    </w:tabs>
                    <w:jc w:val="center"/>
                    <w:rPr>
                      <w:rFonts w:ascii="宋体" w:hAnsi="宋体" w:cs="宋体"/>
                      <w:sz w:val="18"/>
                      <w:szCs w:val="18"/>
                    </w:rPr>
                  </w:pPr>
                  <w:r>
                    <w:rPr>
                      <w:rFonts w:hint="eastAsia" w:ascii="宋体" w:hAnsi="宋体" w:cs="宋体"/>
                      <w:sz w:val="18"/>
                      <w:szCs w:val="18"/>
                    </w:rPr>
                    <w:t>布袋除尘器+15m排气筒</w:t>
                  </w:r>
                </w:p>
              </w:tc>
              <w:tc>
                <w:tcPr>
                  <w:tcW w:w="673"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1</w:t>
                  </w:r>
                </w:p>
              </w:tc>
              <w:tc>
                <w:tcPr>
                  <w:tcW w:w="1300"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5.5</w:t>
                  </w:r>
                </w:p>
              </w:tc>
              <w:tc>
                <w:tcPr>
                  <w:tcW w:w="1300" w:type="dxa"/>
                  <w:vMerge w:val="continue"/>
                  <w:tcBorders>
                    <w:tl2br w:val="nil"/>
                    <w:tr2bl w:val="nil"/>
                  </w:tcBorders>
                  <w:vAlign w:val="center"/>
                </w:tcPr>
                <w:p>
                  <w:pPr>
                    <w:jc w:val="center"/>
                    <w:rPr>
                      <w:rFonts w:ascii="宋体" w:hAnsi="宋体" w:cs="宋体"/>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Merge w:val="continue"/>
                  <w:tcBorders>
                    <w:tl2br w:val="nil"/>
                    <w:tr2bl w:val="nil"/>
                  </w:tcBorders>
                  <w:vAlign w:val="center"/>
                </w:tcPr>
                <w:p>
                  <w:pPr>
                    <w:jc w:val="center"/>
                    <w:rPr>
                      <w:rFonts w:ascii="宋体" w:hAnsi="宋体" w:cs="宋体"/>
                      <w:sz w:val="18"/>
                      <w:szCs w:val="18"/>
                    </w:rPr>
                  </w:pPr>
                </w:p>
              </w:tc>
              <w:tc>
                <w:tcPr>
                  <w:tcW w:w="560" w:type="dxa"/>
                  <w:vMerge w:val="continue"/>
                  <w:tcBorders>
                    <w:tl2br w:val="nil"/>
                    <w:tr2bl w:val="nil"/>
                  </w:tcBorders>
                  <w:vAlign w:val="center"/>
                </w:tcPr>
                <w:p>
                  <w:pPr>
                    <w:jc w:val="center"/>
                    <w:rPr>
                      <w:rFonts w:ascii="宋体" w:hAnsi="宋体" w:cs="宋体"/>
                      <w:sz w:val="18"/>
                      <w:szCs w:val="18"/>
                    </w:rPr>
                  </w:pPr>
                </w:p>
              </w:tc>
              <w:tc>
                <w:tcPr>
                  <w:tcW w:w="3341" w:type="dxa"/>
                  <w:vMerge w:val="restart"/>
                  <w:tcBorders>
                    <w:tl2br w:val="nil"/>
                    <w:tr2bl w:val="nil"/>
                  </w:tcBorders>
                  <w:vAlign w:val="center"/>
                </w:tcPr>
                <w:p>
                  <w:pPr>
                    <w:tabs>
                      <w:tab w:val="left" w:pos="751"/>
                      <w:tab w:val="center" w:pos="1622"/>
                    </w:tabs>
                    <w:jc w:val="left"/>
                    <w:rPr>
                      <w:rFonts w:ascii="宋体" w:hAnsi="宋体" w:cs="宋体"/>
                      <w:sz w:val="18"/>
                      <w:szCs w:val="18"/>
                    </w:rPr>
                  </w:pPr>
                  <w:r>
                    <w:rPr>
                      <w:rFonts w:hint="eastAsia" w:ascii="宋体" w:hAnsi="宋体" w:cs="宋体"/>
                      <w:sz w:val="18"/>
                      <w:szCs w:val="18"/>
                    </w:rPr>
                    <w:tab/>
                  </w:r>
                  <w:r>
                    <w:rPr>
                      <w:rFonts w:hint="eastAsia" w:ascii="宋体" w:hAnsi="宋体" w:cs="宋体"/>
                      <w:sz w:val="18"/>
                      <w:szCs w:val="18"/>
                    </w:rPr>
                    <w:tab/>
                  </w:r>
                  <w:r>
                    <w:rPr>
                      <w:rFonts w:hint="eastAsia" w:ascii="宋体" w:hAnsi="宋体" w:cs="宋体"/>
                      <w:sz w:val="18"/>
                      <w:szCs w:val="18"/>
                    </w:rPr>
                    <w:t>低氮燃烧技术</w:t>
                  </w:r>
                </w:p>
              </w:tc>
              <w:tc>
                <w:tcPr>
                  <w:tcW w:w="673"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1</w:t>
                  </w:r>
                </w:p>
              </w:tc>
              <w:tc>
                <w:tcPr>
                  <w:tcW w:w="1300"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10</w:t>
                  </w:r>
                </w:p>
              </w:tc>
              <w:tc>
                <w:tcPr>
                  <w:tcW w:w="1300" w:type="dxa"/>
                  <w:vMerge w:val="continue"/>
                  <w:tcBorders>
                    <w:tl2br w:val="nil"/>
                    <w:tr2bl w:val="nil"/>
                  </w:tcBorders>
                  <w:vAlign w:val="center"/>
                </w:tcPr>
                <w:p>
                  <w:pPr>
                    <w:jc w:val="center"/>
                    <w:rPr>
                      <w:rFonts w:ascii="宋体" w:hAnsi="宋体" w:cs="宋体"/>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3" w:type="dxa"/>
                  <w:vMerge w:val="continue"/>
                  <w:tcBorders>
                    <w:tl2br w:val="nil"/>
                    <w:tr2bl w:val="nil"/>
                  </w:tcBorders>
                  <w:vAlign w:val="center"/>
                </w:tcPr>
                <w:p>
                  <w:pPr>
                    <w:ind w:firstLine="3" w:firstLineChars="2"/>
                    <w:jc w:val="center"/>
                    <w:rPr>
                      <w:rFonts w:ascii="宋体" w:hAnsi="宋体" w:cs="宋体"/>
                      <w:sz w:val="18"/>
                      <w:szCs w:val="18"/>
                    </w:rPr>
                  </w:pPr>
                </w:p>
              </w:tc>
              <w:tc>
                <w:tcPr>
                  <w:tcW w:w="560" w:type="dxa"/>
                  <w:vMerge w:val="continue"/>
                  <w:tcBorders>
                    <w:tl2br w:val="nil"/>
                    <w:tr2bl w:val="nil"/>
                  </w:tcBorders>
                  <w:vAlign w:val="center"/>
                </w:tcPr>
                <w:p>
                  <w:pPr>
                    <w:jc w:val="center"/>
                    <w:rPr>
                      <w:rFonts w:ascii="宋体" w:hAnsi="宋体" w:cs="宋体"/>
                      <w:sz w:val="18"/>
                      <w:szCs w:val="18"/>
                    </w:rPr>
                  </w:pPr>
                </w:p>
              </w:tc>
              <w:tc>
                <w:tcPr>
                  <w:tcW w:w="3341"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厂房封闭</w:t>
                  </w:r>
                </w:p>
              </w:tc>
              <w:tc>
                <w:tcPr>
                  <w:tcW w:w="673"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w:t>
                  </w:r>
                </w:p>
              </w:tc>
              <w:tc>
                <w:tcPr>
                  <w:tcW w:w="1300"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70.9</w:t>
                  </w:r>
                </w:p>
              </w:tc>
              <w:tc>
                <w:tcPr>
                  <w:tcW w:w="1300"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3" w:type="dxa"/>
                  <w:vMerge w:val="restart"/>
                  <w:tcBorders>
                    <w:tl2br w:val="nil"/>
                    <w:tr2bl w:val="nil"/>
                  </w:tcBorders>
                  <w:vAlign w:val="center"/>
                </w:tcPr>
                <w:p>
                  <w:pPr>
                    <w:ind w:firstLine="3" w:firstLineChars="2"/>
                    <w:jc w:val="center"/>
                    <w:rPr>
                      <w:rFonts w:ascii="宋体" w:hAnsi="宋体" w:cs="宋体"/>
                      <w:sz w:val="18"/>
                      <w:szCs w:val="18"/>
                    </w:rPr>
                  </w:pPr>
                  <w:r>
                    <w:rPr>
                      <w:rFonts w:hint="eastAsia" w:ascii="宋体" w:hAnsi="宋体" w:cs="宋体"/>
                      <w:sz w:val="18"/>
                      <w:szCs w:val="18"/>
                    </w:rPr>
                    <w:t>2</w:t>
                  </w:r>
                </w:p>
              </w:tc>
              <w:tc>
                <w:tcPr>
                  <w:tcW w:w="560"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噪声</w:t>
                  </w:r>
                </w:p>
              </w:tc>
              <w:tc>
                <w:tcPr>
                  <w:tcW w:w="3341" w:type="dxa"/>
                  <w:vMerge w:val="continue"/>
                  <w:tcBorders>
                    <w:tl2br w:val="nil"/>
                    <w:tr2bl w:val="nil"/>
                  </w:tcBorders>
                  <w:vAlign w:val="center"/>
                </w:tcPr>
                <w:p>
                  <w:pPr>
                    <w:jc w:val="center"/>
                    <w:rPr>
                      <w:rFonts w:ascii="宋体" w:hAnsi="宋体" w:cs="宋体"/>
                      <w:sz w:val="18"/>
                      <w:szCs w:val="18"/>
                    </w:rPr>
                  </w:pPr>
                </w:p>
              </w:tc>
              <w:tc>
                <w:tcPr>
                  <w:tcW w:w="673" w:type="dxa"/>
                  <w:vMerge w:val="continue"/>
                  <w:tcBorders>
                    <w:tl2br w:val="nil"/>
                    <w:tr2bl w:val="nil"/>
                  </w:tcBorders>
                  <w:vAlign w:val="center"/>
                </w:tcPr>
                <w:p>
                  <w:pPr>
                    <w:jc w:val="center"/>
                    <w:rPr>
                      <w:rFonts w:ascii="宋体" w:hAnsi="宋体" w:cs="宋体"/>
                      <w:sz w:val="18"/>
                      <w:szCs w:val="18"/>
                    </w:rPr>
                  </w:pPr>
                </w:p>
              </w:tc>
              <w:tc>
                <w:tcPr>
                  <w:tcW w:w="1300" w:type="dxa"/>
                  <w:vMerge w:val="continue"/>
                  <w:tcBorders>
                    <w:tl2br w:val="nil"/>
                    <w:tr2bl w:val="nil"/>
                  </w:tcBorders>
                  <w:vAlign w:val="center"/>
                </w:tcPr>
                <w:p>
                  <w:pPr>
                    <w:jc w:val="center"/>
                    <w:rPr>
                      <w:rFonts w:ascii="宋体" w:hAnsi="宋体" w:cs="宋体"/>
                      <w:sz w:val="18"/>
                      <w:szCs w:val="18"/>
                    </w:rPr>
                  </w:pPr>
                </w:p>
              </w:tc>
              <w:tc>
                <w:tcPr>
                  <w:tcW w:w="1300" w:type="dxa"/>
                  <w:vMerge w:val="continue"/>
                  <w:tcBorders>
                    <w:tl2br w:val="nil"/>
                    <w:tr2bl w:val="nil"/>
                  </w:tcBorders>
                  <w:vAlign w:val="center"/>
                </w:tcPr>
                <w:p>
                  <w:pPr>
                    <w:jc w:val="center"/>
                    <w:rPr>
                      <w:rFonts w:ascii="宋体" w:hAnsi="宋体" w:cs="宋体"/>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Merge w:val="continue"/>
                  <w:tcBorders>
                    <w:tl2br w:val="nil"/>
                    <w:tr2bl w:val="nil"/>
                  </w:tcBorders>
                  <w:vAlign w:val="center"/>
                </w:tcPr>
                <w:p>
                  <w:pPr>
                    <w:ind w:firstLine="3" w:firstLineChars="2"/>
                    <w:jc w:val="center"/>
                    <w:rPr>
                      <w:rFonts w:ascii="宋体" w:hAnsi="宋体" w:cs="宋体"/>
                      <w:sz w:val="18"/>
                      <w:szCs w:val="18"/>
                    </w:rPr>
                  </w:pPr>
                </w:p>
              </w:tc>
              <w:tc>
                <w:tcPr>
                  <w:tcW w:w="560" w:type="dxa"/>
                  <w:vMerge w:val="continue"/>
                  <w:tcBorders>
                    <w:tl2br w:val="nil"/>
                    <w:tr2bl w:val="nil"/>
                  </w:tcBorders>
                  <w:vAlign w:val="center"/>
                </w:tcPr>
                <w:p>
                  <w:pPr>
                    <w:jc w:val="center"/>
                    <w:rPr>
                      <w:rFonts w:ascii="宋体" w:hAnsi="宋体" w:cs="宋体"/>
                      <w:sz w:val="18"/>
                      <w:szCs w:val="18"/>
                    </w:rPr>
                  </w:pPr>
                </w:p>
              </w:tc>
              <w:tc>
                <w:tcPr>
                  <w:tcW w:w="3341"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橡胶软管连接、基础减振</w:t>
                  </w:r>
                </w:p>
              </w:tc>
              <w:tc>
                <w:tcPr>
                  <w:tcW w:w="673"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w:t>
                  </w:r>
                </w:p>
              </w:tc>
              <w:tc>
                <w:tcPr>
                  <w:tcW w:w="1300"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1.5</w:t>
                  </w:r>
                </w:p>
              </w:tc>
              <w:tc>
                <w:tcPr>
                  <w:tcW w:w="1300"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Merge w:val="restart"/>
                  <w:tcBorders>
                    <w:tl2br w:val="nil"/>
                    <w:tr2bl w:val="nil"/>
                  </w:tcBorders>
                  <w:vAlign w:val="center"/>
                </w:tcPr>
                <w:p>
                  <w:pPr>
                    <w:ind w:firstLine="3" w:firstLineChars="2"/>
                    <w:jc w:val="center"/>
                    <w:rPr>
                      <w:rFonts w:ascii="宋体" w:hAnsi="宋体" w:cs="宋体"/>
                      <w:sz w:val="18"/>
                      <w:szCs w:val="18"/>
                    </w:rPr>
                  </w:pPr>
                  <w:r>
                    <w:rPr>
                      <w:rFonts w:hint="eastAsia" w:ascii="宋体" w:hAnsi="宋体" w:cs="宋体"/>
                      <w:sz w:val="18"/>
                      <w:szCs w:val="18"/>
                    </w:rPr>
                    <w:t>3</w:t>
                  </w:r>
                </w:p>
              </w:tc>
              <w:tc>
                <w:tcPr>
                  <w:tcW w:w="560"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固废</w:t>
                  </w:r>
                </w:p>
              </w:tc>
              <w:tc>
                <w:tcPr>
                  <w:tcW w:w="3341"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生活垃圾：生活垃圾箱</w:t>
                  </w:r>
                </w:p>
              </w:tc>
              <w:tc>
                <w:tcPr>
                  <w:tcW w:w="673"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3</w:t>
                  </w:r>
                </w:p>
              </w:tc>
              <w:tc>
                <w:tcPr>
                  <w:tcW w:w="1300"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0.1</w:t>
                  </w:r>
                </w:p>
              </w:tc>
              <w:tc>
                <w:tcPr>
                  <w:tcW w:w="1300"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Merge w:val="continue"/>
                  <w:tcBorders>
                    <w:tl2br w:val="nil"/>
                    <w:tr2bl w:val="nil"/>
                  </w:tcBorders>
                  <w:vAlign w:val="center"/>
                </w:tcPr>
                <w:p>
                  <w:pPr>
                    <w:ind w:firstLine="3" w:firstLineChars="2"/>
                    <w:jc w:val="center"/>
                    <w:rPr>
                      <w:rFonts w:ascii="宋体" w:hAnsi="宋体" w:cs="宋体"/>
                      <w:sz w:val="18"/>
                      <w:szCs w:val="18"/>
                    </w:rPr>
                  </w:pPr>
                </w:p>
              </w:tc>
              <w:tc>
                <w:tcPr>
                  <w:tcW w:w="560" w:type="dxa"/>
                  <w:vMerge w:val="continue"/>
                  <w:tcBorders>
                    <w:tl2br w:val="nil"/>
                    <w:tr2bl w:val="nil"/>
                  </w:tcBorders>
                  <w:vAlign w:val="center"/>
                </w:tcPr>
                <w:p>
                  <w:pPr>
                    <w:jc w:val="center"/>
                    <w:rPr>
                      <w:rFonts w:ascii="宋体" w:hAnsi="宋体" w:cs="宋体"/>
                      <w:sz w:val="18"/>
                      <w:szCs w:val="18"/>
                    </w:rPr>
                  </w:pPr>
                </w:p>
              </w:tc>
              <w:tc>
                <w:tcPr>
                  <w:tcW w:w="3341"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危废间</w:t>
                  </w:r>
                </w:p>
              </w:tc>
              <w:tc>
                <w:tcPr>
                  <w:tcW w:w="673"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1</w:t>
                  </w:r>
                </w:p>
              </w:tc>
              <w:tc>
                <w:tcPr>
                  <w:tcW w:w="1300"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4</w:t>
                  </w:r>
                </w:p>
              </w:tc>
              <w:tc>
                <w:tcPr>
                  <w:tcW w:w="1300"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4" w:type="dxa"/>
                  <w:gridSpan w:val="3"/>
                  <w:tcBorders>
                    <w:tl2br w:val="nil"/>
                    <w:tr2bl w:val="nil"/>
                  </w:tcBorders>
                  <w:vAlign w:val="center"/>
                </w:tcPr>
                <w:p>
                  <w:pPr>
                    <w:ind w:firstLine="360" w:firstLineChars="200"/>
                    <w:jc w:val="center"/>
                    <w:rPr>
                      <w:rFonts w:ascii="宋体" w:hAnsi="宋体" w:cs="宋体"/>
                      <w:sz w:val="18"/>
                      <w:szCs w:val="18"/>
                    </w:rPr>
                  </w:pPr>
                  <w:r>
                    <w:rPr>
                      <w:rFonts w:hint="eastAsia" w:ascii="宋体" w:hAnsi="宋体" w:cs="宋体"/>
                      <w:sz w:val="18"/>
                      <w:szCs w:val="18"/>
                    </w:rPr>
                    <w:t>环保投资合计</w:t>
                  </w:r>
                </w:p>
              </w:tc>
              <w:tc>
                <w:tcPr>
                  <w:tcW w:w="673" w:type="dxa"/>
                  <w:tcBorders>
                    <w:tl2br w:val="nil"/>
                    <w:tr2bl w:val="nil"/>
                  </w:tcBorders>
                  <w:vAlign w:val="center"/>
                </w:tcPr>
                <w:p>
                  <w:pPr>
                    <w:jc w:val="center"/>
                    <w:rPr>
                      <w:rFonts w:ascii="宋体" w:hAnsi="宋体" w:cs="宋体"/>
                      <w:sz w:val="18"/>
                      <w:szCs w:val="18"/>
                    </w:rPr>
                  </w:pPr>
                </w:p>
              </w:tc>
              <w:tc>
                <w:tcPr>
                  <w:tcW w:w="1300"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99.5</w:t>
                  </w:r>
                </w:p>
              </w:tc>
              <w:tc>
                <w:tcPr>
                  <w:tcW w:w="1300"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4" w:type="dxa"/>
                  <w:gridSpan w:val="3"/>
                  <w:tcBorders>
                    <w:tl2br w:val="nil"/>
                    <w:tr2bl w:val="nil"/>
                  </w:tcBorders>
                  <w:vAlign w:val="center"/>
                </w:tcPr>
                <w:p>
                  <w:pPr>
                    <w:ind w:firstLine="360" w:firstLineChars="200"/>
                    <w:jc w:val="center"/>
                    <w:rPr>
                      <w:rFonts w:ascii="宋体" w:hAnsi="宋体" w:cs="宋体"/>
                      <w:sz w:val="18"/>
                      <w:szCs w:val="18"/>
                    </w:rPr>
                  </w:pPr>
                  <w:r>
                    <w:rPr>
                      <w:rFonts w:hint="eastAsia" w:ascii="宋体" w:hAnsi="宋体" w:cs="宋体"/>
                      <w:sz w:val="18"/>
                      <w:szCs w:val="18"/>
                    </w:rPr>
                    <w:t>占总投资比例（%）</w:t>
                  </w:r>
                </w:p>
              </w:tc>
              <w:tc>
                <w:tcPr>
                  <w:tcW w:w="673" w:type="dxa"/>
                  <w:tcBorders>
                    <w:tl2br w:val="nil"/>
                    <w:tr2bl w:val="nil"/>
                  </w:tcBorders>
                  <w:vAlign w:val="center"/>
                </w:tcPr>
                <w:p>
                  <w:pPr>
                    <w:jc w:val="center"/>
                    <w:rPr>
                      <w:rFonts w:ascii="宋体" w:hAnsi="宋体" w:cs="宋体"/>
                      <w:sz w:val="18"/>
                      <w:szCs w:val="18"/>
                    </w:rPr>
                  </w:pPr>
                </w:p>
              </w:tc>
              <w:tc>
                <w:tcPr>
                  <w:tcW w:w="1300"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12.44</w:t>
                  </w:r>
                </w:p>
              </w:tc>
              <w:tc>
                <w:tcPr>
                  <w:tcW w:w="1300" w:type="dxa"/>
                  <w:vMerge w:val="continue"/>
                  <w:tcBorders>
                    <w:tl2br w:val="nil"/>
                    <w:tr2bl w:val="nil"/>
                  </w:tcBorders>
                  <w:vAlign w:val="center"/>
                </w:tcPr>
                <w:p>
                  <w:pPr>
                    <w:jc w:val="center"/>
                    <w:rPr>
                      <w:rFonts w:ascii="宋体" w:hAnsi="宋体" w:cs="宋体"/>
                      <w:sz w:val="18"/>
                      <w:szCs w:val="18"/>
                    </w:rPr>
                  </w:pPr>
                </w:p>
              </w:tc>
            </w:tr>
          </w:tbl>
          <w:p>
            <w:pPr>
              <w:pStyle w:val="12"/>
              <w:jc w:val="both"/>
              <w:rPr>
                <w:b/>
                <w:sz w:val="21"/>
                <w:szCs w:val="21"/>
              </w:rPr>
            </w:pPr>
          </w:p>
          <w:p>
            <w:pPr>
              <w:pStyle w:val="12"/>
              <w:jc w:val="center"/>
              <w:rPr>
                <w:rFonts w:ascii="宋体" w:hAnsi="宋体" w:cs="宋体"/>
                <w:b/>
                <w:sz w:val="21"/>
                <w:szCs w:val="21"/>
              </w:rPr>
            </w:pPr>
            <w:r>
              <w:rPr>
                <w:rFonts w:hint="eastAsia" w:ascii="宋体" w:hAnsi="宋体" w:cs="宋体"/>
                <w:b/>
                <w:sz w:val="21"/>
                <w:szCs w:val="21"/>
              </w:rPr>
              <w:t>表4-1</w:t>
            </w:r>
            <w:r>
              <w:rPr>
                <w:rFonts w:hint="eastAsia" w:ascii="宋体" w:hAnsi="宋体" w:cs="宋体"/>
                <w:b/>
                <w:sz w:val="21"/>
                <w:szCs w:val="21"/>
                <w:lang w:val="en-US" w:eastAsia="zh-CN"/>
              </w:rPr>
              <w:t>8</w:t>
            </w:r>
            <w:r>
              <w:rPr>
                <w:rFonts w:hint="eastAsia" w:ascii="宋体" w:hAnsi="宋体" w:cs="宋体"/>
                <w:b/>
                <w:sz w:val="21"/>
                <w:szCs w:val="21"/>
              </w:rPr>
              <w:t xml:space="preserve">  项目环保“三同时”验收项目一览表</w:t>
            </w:r>
          </w:p>
          <w:p>
            <w:pPr>
              <w:pStyle w:val="12"/>
              <w:ind w:firstLine="517" w:firstLineChars="245"/>
              <w:jc w:val="center"/>
              <w:rPr>
                <w:b/>
                <w:sz w:val="21"/>
                <w:szCs w:val="21"/>
              </w:rPr>
            </w:pPr>
          </w:p>
          <w:tbl>
            <w:tblPr>
              <w:tblStyle w:val="24"/>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1"/>
              <w:gridCol w:w="3019"/>
              <w:gridCol w:w="3491"/>
              <w:gridCol w:w="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tcBorders>
                    <w:tl2br w:val="nil"/>
                    <w:tr2bl w:val="nil"/>
                  </w:tcBorders>
                  <w:vAlign w:val="center"/>
                </w:tcPr>
                <w:p>
                  <w:pPr>
                    <w:pStyle w:val="12"/>
                    <w:jc w:val="center"/>
                    <w:rPr>
                      <w:rFonts w:ascii="宋体" w:hAnsi="宋体" w:cs="宋体"/>
                      <w:sz w:val="18"/>
                      <w:szCs w:val="18"/>
                    </w:rPr>
                  </w:pPr>
                  <w:r>
                    <w:rPr>
                      <w:rFonts w:hint="eastAsia" w:ascii="宋体" w:hAnsi="宋体" w:cs="宋体"/>
                      <w:sz w:val="18"/>
                      <w:szCs w:val="18"/>
                    </w:rPr>
                    <w:t>名称</w:t>
                  </w:r>
                </w:p>
              </w:tc>
              <w:tc>
                <w:tcPr>
                  <w:tcW w:w="3019" w:type="dxa"/>
                  <w:tcBorders>
                    <w:tl2br w:val="nil"/>
                    <w:tr2bl w:val="nil"/>
                  </w:tcBorders>
                  <w:vAlign w:val="center"/>
                </w:tcPr>
                <w:p>
                  <w:pPr>
                    <w:pStyle w:val="12"/>
                    <w:jc w:val="center"/>
                    <w:rPr>
                      <w:rFonts w:ascii="宋体" w:hAnsi="宋体" w:cs="宋体"/>
                      <w:sz w:val="18"/>
                      <w:szCs w:val="18"/>
                    </w:rPr>
                  </w:pPr>
                  <w:r>
                    <w:rPr>
                      <w:rFonts w:hint="eastAsia" w:ascii="宋体" w:hAnsi="宋体" w:cs="宋体"/>
                      <w:sz w:val="18"/>
                      <w:szCs w:val="18"/>
                    </w:rPr>
                    <w:t>环保设施名称</w:t>
                  </w:r>
                </w:p>
              </w:tc>
              <w:tc>
                <w:tcPr>
                  <w:tcW w:w="3491" w:type="dxa"/>
                  <w:tcBorders>
                    <w:tl2br w:val="nil"/>
                    <w:tr2bl w:val="nil"/>
                  </w:tcBorders>
                  <w:vAlign w:val="center"/>
                </w:tcPr>
                <w:p>
                  <w:pPr>
                    <w:pStyle w:val="12"/>
                    <w:jc w:val="center"/>
                    <w:rPr>
                      <w:rFonts w:ascii="宋体" w:hAnsi="宋体" w:cs="宋体"/>
                      <w:sz w:val="18"/>
                      <w:szCs w:val="18"/>
                    </w:rPr>
                  </w:pPr>
                  <w:r>
                    <w:rPr>
                      <w:rFonts w:hint="eastAsia" w:ascii="宋体" w:hAnsi="宋体" w:cs="宋体"/>
                      <w:sz w:val="18"/>
                      <w:szCs w:val="18"/>
                    </w:rPr>
                    <w:t>效果</w:t>
                  </w:r>
                </w:p>
              </w:tc>
              <w:tc>
                <w:tcPr>
                  <w:tcW w:w="687" w:type="dxa"/>
                  <w:tcBorders>
                    <w:tl2br w:val="nil"/>
                    <w:tr2bl w:val="nil"/>
                  </w:tcBorders>
                  <w:vAlign w:val="center"/>
                </w:tcPr>
                <w:p>
                  <w:pPr>
                    <w:pStyle w:val="12"/>
                    <w:jc w:val="center"/>
                    <w:rPr>
                      <w:rFonts w:ascii="宋体" w:hAnsi="宋体" w:cs="宋体"/>
                      <w:sz w:val="18"/>
                      <w:szCs w:val="18"/>
                    </w:rPr>
                  </w:pPr>
                  <w:r>
                    <w:rPr>
                      <w:rFonts w:hint="eastAsia" w:ascii="宋体" w:hAnsi="宋体" w:cs="宋体"/>
                      <w:sz w:val="18"/>
                      <w:szCs w:val="18"/>
                    </w:rPr>
                    <w:t>进度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restart"/>
                  <w:tcBorders>
                    <w:tl2br w:val="nil"/>
                    <w:tr2bl w:val="nil"/>
                  </w:tcBorders>
                  <w:vAlign w:val="center"/>
                </w:tcPr>
                <w:p>
                  <w:pPr>
                    <w:pStyle w:val="12"/>
                    <w:jc w:val="center"/>
                    <w:rPr>
                      <w:rFonts w:ascii="宋体" w:hAnsi="宋体" w:cs="宋体"/>
                      <w:sz w:val="18"/>
                      <w:szCs w:val="18"/>
                    </w:rPr>
                  </w:pPr>
                  <w:r>
                    <w:rPr>
                      <w:rFonts w:hint="eastAsia" w:ascii="宋体" w:hAnsi="宋体" w:cs="宋体"/>
                      <w:sz w:val="18"/>
                      <w:szCs w:val="18"/>
                    </w:rPr>
                    <w:t>废气</w:t>
                  </w:r>
                </w:p>
              </w:tc>
              <w:tc>
                <w:tcPr>
                  <w:tcW w:w="3019" w:type="dxa"/>
                  <w:tcBorders>
                    <w:tl2br w:val="nil"/>
                    <w:tr2bl w:val="nil"/>
                  </w:tcBorders>
                  <w:vAlign w:val="center"/>
                </w:tcPr>
                <w:p>
                  <w:pPr>
                    <w:jc w:val="center"/>
                    <w:rPr>
                      <w:rFonts w:ascii="宋体" w:hAnsi="宋体" w:cs="宋体"/>
                      <w:sz w:val="18"/>
                      <w:szCs w:val="18"/>
                    </w:rPr>
                  </w:pPr>
                </w:p>
                <w:p>
                  <w:pPr>
                    <w:jc w:val="center"/>
                    <w:rPr>
                      <w:rFonts w:ascii="宋体" w:hAnsi="宋体" w:cs="宋体"/>
                      <w:sz w:val="18"/>
                      <w:szCs w:val="18"/>
                    </w:rPr>
                  </w:pPr>
                  <w:r>
                    <w:rPr>
                      <w:rFonts w:hint="eastAsia" w:ascii="宋体" w:hAnsi="宋体" w:cs="宋体"/>
                      <w:sz w:val="18"/>
                      <w:szCs w:val="18"/>
                    </w:rPr>
                    <w:t>布袋除尘器+35m排气筒</w:t>
                  </w:r>
                </w:p>
              </w:tc>
              <w:tc>
                <w:tcPr>
                  <w:tcW w:w="3491" w:type="dxa"/>
                  <w:vMerge w:val="restart"/>
                  <w:tcBorders>
                    <w:tl2br w:val="nil"/>
                    <w:tr2bl w:val="nil"/>
                  </w:tcBorders>
                  <w:vAlign w:val="center"/>
                </w:tcPr>
                <w:p>
                  <w:pPr>
                    <w:jc w:val="center"/>
                    <w:rPr>
                      <w:rFonts w:ascii="宋体" w:hAnsi="宋体" w:cs="宋体"/>
                      <w:kern w:val="0"/>
                      <w:sz w:val="18"/>
                      <w:szCs w:val="18"/>
                    </w:rPr>
                  </w:pPr>
                  <w:r>
                    <w:rPr>
                      <w:rFonts w:hint="eastAsia" w:ascii="宋体" w:hAnsi="宋体" w:cs="宋体"/>
                      <w:kern w:val="0"/>
                      <w:sz w:val="18"/>
                      <w:szCs w:val="18"/>
                    </w:rPr>
                    <w:t>《锅炉大气污染物排放标准》（DB13/5161-2020）表1生物质锅炉的排放限值</w:t>
                  </w:r>
                </w:p>
              </w:tc>
              <w:tc>
                <w:tcPr>
                  <w:tcW w:w="687" w:type="dxa"/>
                  <w:vMerge w:val="restart"/>
                  <w:tcBorders>
                    <w:tl2br w:val="nil"/>
                    <w:tr2bl w:val="nil"/>
                  </w:tcBorders>
                  <w:vAlign w:val="center"/>
                </w:tcPr>
                <w:p>
                  <w:pPr>
                    <w:pStyle w:val="12"/>
                    <w:jc w:val="center"/>
                    <w:rPr>
                      <w:rFonts w:ascii="宋体" w:hAnsi="宋体" w:cs="宋体"/>
                      <w:sz w:val="18"/>
                      <w:szCs w:val="18"/>
                    </w:rPr>
                  </w:pPr>
                  <w:r>
                    <w:rPr>
                      <w:rFonts w:hint="eastAsia" w:ascii="宋体" w:hAnsi="宋体" w:cs="宋体"/>
                      <w:sz w:val="18"/>
                      <w:szCs w:val="18"/>
                    </w:rPr>
                    <w:t>与建设项目同时设计、同时施工、同时投入使用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tcBorders>
                    <w:tl2br w:val="nil"/>
                    <w:tr2bl w:val="nil"/>
                  </w:tcBorders>
                  <w:vAlign w:val="center"/>
                </w:tcPr>
                <w:p>
                  <w:pPr>
                    <w:jc w:val="center"/>
                    <w:rPr>
                      <w:rFonts w:ascii="宋体" w:hAnsi="宋体" w:cs="宋体"/>
                      <w:sz w:val="18"/>
                      <w:szCs w:val="18"/>
                    </w:rPr>
                  </w:pPr>
                </w:p>
              </w:tc>
              <w:tc>
                <w:tcPr>
                  <w:tcW w:w="3019"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低氮燃烧</w:t>
                  </w:r>
                </w:p>
              </w:tc>
              <w:tc>
                <w:tcPr>
                  <w:tcW w:w="3491" w:type="dxa"/>
                  <w:vMerge w:val="continue"/>
                  <w:tcBorders>
                    <w:tl2br w:val="nil"/>
                    <w:tr2bl w:val="nil"/>
                  </w:tcBorders>
                  <w:vAlign w:val="center"/>
                </w:tcPr>
                <w:p>
                  <w:pPr>
                    <w:jc w:val="center"/>
                    <w:rPr>
                      <w:rFonts w:ascii="宋体" w:hAnsi="宋体" w:cs="宋体"/>
                      <w:kern w:val="0"/>
                      <w:sz w:val="18"/>
                      <w:szCs w:val="18"/>
                    </w:rPr>
                  </w:pPr>
                </w:p>
              </w:tc>
              <w:tc>
                <w:tcPr>
                  <w:tcW w:w="687" w:type="dxa"/>
                  <w:vMerge w:val="continue"/>
                  <w:tcBorders>
                    <w:tl2br w:val="nil"/>
                    <w:tr2bl w:val="nil"/>
                  </w:tcBorders>
                  <w:vAlign w:val="center"/>
                </w:tcPr>
                <w:p>
                  <w:pPr>
                    <w:jc w:val="center"/>
                    <w:rPr>
                      <w:rFonts w:ascii="宋体" w:hAnsi="宋体" w:cs="宋体"/>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tcBorders>
                    <w:tl2br w:val="nil"/>
                    <w:tr2bl w:val="nil"/>
                  </w:tcBorders>
                  <w:vAlign w:val="center"/>
                </w:tcPr>
                <w:p>
                  <w:pPr>
                    <w:jc w:val="center"/>
                    <w:rPr>
                      <w:rFonts w:ascii="宋体" w:hAnsi="宋体" w:cs="宋体"/>
                      <w:sz w:val="18"/>
                      <w:szCs w:val="18"/>
                    </w:rPr>
                  </w:pPr>
                </w:p>
              </w:tc>
              <w:tc>
                <w:tcPr>
                  <w:tcW w:w="3019" w:type="dxa"/>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布袋除尘器+15m排气筒</w:t>
                  </w:r>
                </w:p>
              </w:tc>
              <w:tc>
                <w:tcPr>
                  <w:tcW w:w="3491" w:type="dxa"/>
                  <w:tcBorders>
                    <w:tl2br w:val="nil"/>
                    <w:tr2bl w:val="nil"/>
                  </w:tcBorders>
                  <w:vAlign w:val="center"/>
                </w:tcPr>
                <w:p>
                  <w:pPr>
                    <w:jc w:val="center"/>
                    <w:rPr>
                      <w:rFonts w:ascii="宋体" w:hAnsi="宋体" w:cs="宋体"/>
                      <w:kern w:val="0"/>
                      <w:sz w:val="18"/>
                      <w:szCs w:val="18"/>
                    </w:rPr>
                  </w:pPr>
                  <w:r>
                    <w:rPr>
                      <w:rFonts w:hint="eastAsia" w:ascii="宋体" w:hAnsi="宋体" w:cs="宋体"/>
                      <w:bCs/>
                      <w:sz w:val="18"/>
                      <w:szCs w:val="18"/>
                    </w:rPr>
                    <w:t>《大气污染物综合排放标准》</w:t>
                  </w:r>
                  <w:r>
                    <w:rPr>
                      <w:rFonts w:hint="eastAsia" w:ascii="宋体" w:hAnsi="宋体" w:cs="宋体"/>
                      <w:sz w:val="18"/>
                      <w:szCs w:val="18"/>
                    </w:rPr>
                    <w:t>（GB9078-1996）表2排放限值</w:t>
                  </w:r>
                </w:p>
              </w:tc>
              <w:tc>
                <w:tcPr>
                  <w:tcW w:w="687" w:type="dxa"/>
                  <w:vMerge w:val="continue"/>
                  <w:tcBorders>
                    <w:tl2br w:val="nil"/>
                    <w:tr2bl w:val="nil"/>
                  </w:tcBorders>
                  <w:vAlign w:val="center"/>
                </w:tcPr>
                <w:p>
                  <w:pPr>
                    <w:jc w:val="center"/>
                    <w:rPr>
                      <w:rFonts w:ascii="宋体" w:hAnsi="宋体" w:cs="宋体"/>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tcBorders>
                    <w:tl2br w:val="nil"/>
                    <w:tr2bl w:val="nil"/>
                  </w:tcBorders>
                  <w:vAlign w:val="center"/>
                </w:tcPr>
                <w:p>
                  <w:pPr>
                    <w:pStyle w:val="12"/>
                    <w:jc w:val="center"/>
                    <w:rPr>
                      <w:rFonts w:ascii="宋体" w:hAnsi="宋体" w:cs="宋体"/>
                      <w:sz w:val="18"/>
                      <w:szCs w:val="18"/>
                    </w:rPr>
                  </w:pPr>
                  <w:r>
                    <w:rPr>
                      <w:rFonts w:hint="eastAsia" w:ascii="宋体" w:hAnsi="宋体" w:cs="宋体"/>
                      <w:sz w:val="18"/>
                      <w:szCs w:val="18"/>
                    </w:rPr>
                    <w:t>噪声</w:t>
                  </w:r>
                </w:p>
              </w:tc>
              <w:tc>
                <w:tcPr>
                  <w:tcW w:w="3019" w:type="dxa"/>
                  <w:tcBorders>
                    <w:tl2br w:val="nil"/>
                    <w:tr2bl w:val="nil"/>
                  </w:tcBorders>
                  <w:vAlign w:val="center"/>
                </w:tcPr>
                <w:p>
                  <w:pPr>
                    <w:pStyle w:val="12"/>
                    <w:jc w:val="center"/>
                    <w:rPr>
                      <w:rFonts w:ascii="宋体" w:hAnsi="宋体" w:cs="宋体"/>
                      <w:sz w:val="18"/>
                      <w:szCs w:val="18"/>
                    </w:rPr>
                  </w:pPr>
                  <w:r>
                    <w:rPr>
                      <w:rFonts w:hint="eastAsia" w:ascii="宋体" w:hAnsi="宋体" w:cs="宋体"/>
                      <w:sz w:val="18"/>
                      <w:szCs w:val="18"/>
                    </w:rPr>
                    <w:t>厂房封闭、选用低噪声设备、基 础减震、厂房隔声等</w:t>
                  </w:r>
                </w:p>
              </w:tc>
              <w:tc>
                <w:tcPr>
                  <w:tcW w:w="3491" w:type="dxa"/>
                  <w:tcBorders>
                    <w:tl2br w:val="nil"/>
                    <w:tr2bl w:val="nil"/>
                  </w:tcBorders>
                  <w:vAlign w:val="center"/>
                </w:tcPr>
                <w:p>
                  <w:pPr>
                    <w:pStyle w:val="12"/>
                    <w:jc w:val="both"/>
                    <w:rPr>
                      <w:rFonts w:ascii="宋体" w:hAnsi="宋体" w:cs="宋体"/>
                      <w:sz w:val="18"/>
                      <w:szCs w:val="18"/>
                    </w:rPr>
                  </w:pPr>
                  <w:r>
                    <w:rPr>
                      <w:rFonts w:hint="eastAsia" w:ascii="宋体" w:hAnsi="宋体" w:cs="宋体"/>
                      <w:sz w:val="18"/>
                      <w:szCs w:val="18"/>
                    </w:rPr>
                    <w:t>《工业企业厂界环境噪声排放标准》 （GB12348-2008 ）2类（东、西、北厂界）、4类（南厂界）标准</w:t>
                  </w:r>
                </w:p>
              </w:tc>
              <w:tc>
                <w:tcPr>
                  <w:tcW w:w="687" w:type="dxa"/>
                  <w:vMerge w:val="continue"/>
                  <w:tcBorders>
                    <w:tl2br w:val="nil"/>
                    <w:tr2bl w:val="nil"/>
                  </w:tcBorders>
                  <w:vAlign w:val="center"/>
                </w:tcPr>
                <w:p>
                  <w:pPr>
                    <w:pStyle w:val="12"/>
                    <w:jc w:val="center"/>
                    <w:rPr>
                      <w:rFonts w:ascii="宋体" w:hAnsi="宋体" w:cs="宋体"/>
                      <w:sz w:val="18"/>
                      <w:szCs w:val="18"/>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tcBorders>
                    <w:tl2br w:val="nil"/>
                    <w:tr2bl w:val="nil"/>
                  </w:tcBorders>
                  <w:vAlign w:val="center"/>
                </w:tcPr>
                <w:p>
                  <w:pPr>
                    <w:pStyle w:val="12"/>
                    <w:jc w:val="center"/>
                    <w:rPr>
                      <w:rFonts w:ascii="宋体" w:hAnsi="宋体" w:cs="宋体"/>
                      <w:sz w:val="18"/>
                      <w:szCs w:val="18"/>
                    </w:rPr>
                  </w:pPr>
                  <w:r>
                    <w:rPr>
                      <w:rFonts w:hint="eastAsia" w:ascii="宋体" w:hAnsi="宋体" w:cs="宋体"/>
                      <w:sz w:val="18"/>
                      <w:szCs w:val="18"/>
                    </w:rPr>
                    <w:t>废水</w:t>
                  </w:r>
                </w:p>
              </w:tc>
              <w:tc>
                <w:tcPr>
                  <w:tcW w:w="3019" w:type="dxa"/>
                  <w:tcBorders>
                    <w:tl2br w:val="nil"/>
                    <w:tr2bl w:val="nil"/>
                  </w:tcBorders>
                  <w:vAlign w:val="center"/>
                </w:tcPr>
                <w:p>
                  <w:pPr>
                    <w:pStyle w:val="12"/>
                    <w:jc w:val="center"/>
                    <w:rPr>
                      <w:rFonts w:ascii="宋体" w:hAnsi="宋体" w:cs="宋体"/>
                      <w:sz w:val="18"/>
                      <w:szCs w:val="18"/>
                    </w:rPr>
                  </w:pPr>
                  <w:r>
                    <w:rPr>
                      <w:rFonts w:hint="eastAsia" w:ascii="宋体" w:hAnsi="宋体" w:cs="宋体"/>
                      <w:sz w:val="18"/>
                      <w:szCs w:val="18"/>
                    </w:rPr>
                    <w:t>锅炉冷凝水经回收装置返回锅炉收集循环利用；每年生产运营期结束后蒸汽锅炉需定期排空水，废水暂存于厂区储水罐内，用于粉碎工序喷淋用水。生活污水排入厂区化粪池，定期由清污车运送至围场满族蒙古族自治县永溢环保科技有限责任公司克勒沟污水处理厂处理。</w:t>
                  </w:r>
                </w:p>
              </w:tc>
              <w:tc>
                <w:tcPr>
                  <w:tcW w:w="3491" w:type="dxa"/>
                  <w:tcBorders>
                    <w:tl2br w:val="nil"/>
                    <w:tr2bl w:val="nil"/>
                  </w:tcBorders>
                  <w:vAlign w:val="center"/>
                </w:tcPr>
                <w:p>
                  <w:pPr>
                    <w:pStyle w:val="12"/>
                    <w:jc w:val="center"/>
                    <w:rPr>
                      <w:rFonts w:ascii="宋体" w:hAnsi="宋体" w:cs="宋体"/>
                      <w:sz w:val="18"/>
                      <w:szCs w:val="18"/>
                    </w:rPr>
                  </w:pPr>
                  <w:r>
                    <w:rPr>
                      <w:rFonts w:hint="eastAsia" w:ascii="宋体" w:hAnsi="宋体" w:cs="宋体"/>
                      <w:sz w:val="18"/>
                      <w:szCs w:val="18"/>
                    </w:rPr>
                    <w:t>生活污水满足《污水综合排放标准》 （GB8978-1996）表1、表4三级标准及围场满族蒙古族自治县永溢环保科技有限责任公司克勒沟污水处理厂收水要求。</w:t>
                  </w:r>
                </w:p>
              </w:tc>
              <w:tc>
                <w:tcPr>
                  <w:tcW w:w="687" w:type="dxa"/>
                  <w:vMerge w:val="continue"/>
                  <w:tcBorders>
                    <w:tl2br w:val="nil"/>
                    <w:tr2bl w:val="nil"/>
                  </w:tcBorders>
                  <w:vAlign w:val="center"/>
                </w:tcPr>
                <w:p>
                  <w:pPr>
                    <w:pStyle w:val="12"/>
                    <w:jc w:val="center"/>
                    <w:rPr>
                      <w:rFonts w:ascii="宋体" w:hAnsi="宋体" w:cs="宋体"/>
                      <w:sz w:val="18"/>
                      <w:szCs w:val="18"/>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restart"/>
                  <w:tcBorders>
                    <w:tl2br w:val="nil"/>
                    <w:tr2bl w:val="nil"/>
                  </w:tcBorders>
                  <w:vAlign w:val="center"/>
                </w:tcPr>
                <w:p>
                  <w:pPr>
                    <w:pStyle w:val="12"/>
                    <w:jc w:val="center"/>
                    <w:rPr>
                      <w:rFonts w:ascii="宋体" w:hAnsi="宋体" w:cs="宋体"/>
                      <w:sz w:val="18"/>
                      <w:szCs w:val="18"/>
                    </w:rPr>
                  </w:pPr>
                  <w:r>
                    <w:rPr>
                      <w:rFonts w:hint="eastAsia" w:ascii="宋体" w:hAnsi="宋体" w:cs="宋体"/>
                      <w:sz w:val="18"/>
                      <w:szCs w:val="18"/>
                    </w:rPr>
                    <w:t>固废</w:t>
                  </w:r>
                </w:p>
              </w:tc>
              <w:tc>
                <w:tcPr>
                  <w:tcW w:w="6510" w:type="dxa"/>
                  <w:gridSpan w:val="2"/>
                  <w:tcBorders>
                    <w:tl2br w:val="nil"/>
                    <w:tr2bl w:val="nil"/>
                  </w:tcBorders>
                  <w:vAlign w:val="center"/>
                </w:tcPr>
                <w:p>
                  <w:pPr>
                    <w:pStyle w:val="12"/>
                    <w:jc w:val="center"/>
                    <w:rPr>
                      <w:rFonts w:ascii="宋体" w:hAnsi="宋体" w:cs="宋体"/>
                      <w:kern w:val="2"/>
                      <w:sz w:val="18"/>
                      <w:szCs w:val="18"/>
                      <w:lang w:bidi="ar"/>
                    </w:rPr>
                  </w:pPr>
                  <w:r>
                    <w:rPr>
                      <w:rFonts w:hint="eastAsia" w:ascii="宋体" w:hAnsi="宋体" w:cs="宋体"/>
                      <w:kern w:val="2"/>
                      <w:sz w:val="18"/>
                      <w:szCs w:val="18"/>
                      <w:lang w:bidi="ar"/>
                    </w:rPr>
                    <w:t>生活垃圾存于垃圾箱内，定期交由环卫部门处理。</w:t>
                  </w:r>
                </w:p>
              </w:tc>
              <w:tc>
                <w:tcPr>
                  <w:tcW w:w="687" w:type="dxa"/>
                  <w:vMerge w:val="continue"/>
                  <w:tcBorders>
                    <w:tl2br w:val="nil"/>
                    <w:tr2bl w:val="nil"/>
                  </w:tcBorders>
                  <w:vAlign w:val="center"/>
                </w:tcPr>
                <w:p>
                  <w:pPr>
                    <w:pStyle w:val="12"/>
                    <w:jc w:val="center"/>
                    <w:rPr>
                      <w:rFonts w:ascii="宋体" w:hAnsi="宋体" w:cs="宋体"/>
                      <w:sz w:val="18"/>
                      <w:szCs w:val="18"/>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781" w:type="dxa"/>
                  <w:vMerge w:val="continue"/>
                  <w:tcBorders>
                    <w:tl2br w:val="nil"/>
                    <w:tr2bl w:val="nil"/>
                  </w:tcBorders>
                  <w:vAlign w:val="center"/>
                </w:tcPr>
                <w:p>
                  <w:pPr>
                    <w:pStyle w:val="12"/>
                    <w:jc w:val="center"/>
                    <w:rPr>
                      <w:rFonts w:ascii="宋体" w:hAnsi="宋体" w:cs="宋体"/>
                      <w:sz w:val="18"/>
                      <w:szCs w:val="18"/>
                    </w:rPr>
                  </w:pPr>
                </w:p>
              </w:tc>
              <w:tc>
                <w:tcPr>
                  <w:tcW w:w="6510" w:type="dxa"/>
                  <w:gridSpan w:val="2"/>
                  <w:tcBorders>
                    <w:tl2br w:val="nil"/>
                    <w:tr2bl w:val="nil"/>
                  </w:tcBorders>
                  <w:vAlign w:val="center"/>
                </w:tcPr>
                <w:p>
                  <w:pPr>
                    <w:jc w:val="center"/>
                    <w:rPr>
                      <w:rFonts w:ascii="宋体" w:hAnsi="宋体" w:cs="宋体"/>
                      <w:kern w:val="0"/>
                      <w:sz w:val="18"/>
                      <w:szCs w:val="18"/>
                    </w:rPr>
                  </w:pPr>
                  <w:r>
                    <w:rPr>
                      <w:rFonts w:hint="eastAsia" w:ascii="宋体" w:hAnsi="宋体" w:cs="宋体"/>
                      <w:sz w:val="18"/>
                      <w:szCs w:val="18"/>
                    </w:rPr>
                    <w:t>一般固体废物主要为生物质锅炉炉渣、锅炉水垢、废菌棒、除尘灰、生活垃圾和废培养皿。其中生物质锅炉炉渣集中收集后外售；锅炉水垢每一年清理一次，集中收集后暂存于垃圾箱统一由环卫部门清运处理；废菌棒一部分可回收回用于生产，不可回收部分暂存于锅炉房用于锅炉燃料燃烧；锅炉除尘灰、生活垃圾、经蒸汽高温消毒后的废培养皿（不涉及化学试剂）经收集后统一由环卫部门清运处理，粉碎工序除尘灰回用于生产；危险废物：废润滑油、废润滑油桶暂时贮存于企业严格按照《危险废物贮存污染控制标准》（GB18597-2023）及标准修改单中关于危险废物贮存设施的规定建造危险废物贮存间内，并定期委托秦皇岛市徐山口危险废物处理有限公司运输处置。</w:t>
                  </w:r>
                </w:p>
              </w:tc>
              <w:tc>
                <w:tcPr>
                  <w:tcW w:w="687" w:type="dxa"/>
                  <w:vMerge w:val="continue"/>
                  <w:tcBorders>
                    <w:tl2br w:val="nil"/>
                    <w:tr2bl w:val="nil"/>
                  </w:tcBorders>
                  <w:vAlign w:val="center"/>
                </w:tcPr>
                <w:p>
                  <w:pPr>
                    <w:pStyle w:val="12"/>
                    <w:jc w:val="center"/>
                    <w:rPr>
                      <w:rFonts w:ascii="宋体" w:hAnsi="宋体" w:cs="宋体"/>
                      <w:sz w:val="18"/>
                      <w:szCs w:val="18"/>
                      <w:highlight w:val="yellow"/>
                    </w:rPr>
                  </w:pPr>
                </w:p>
              </w:tc>
            </w:tr>
          </w:tbl>
          <w:p>
            <w:pPr>
              <w:pStyle w:val="41"/>
              <w:spacing w:line="360" w:lineRule="auto"/>
              <w:jc w:val="both"/>
              <w:rPr>
                <w:rFonts w:ascii="宋体" w:hAnsi="宋体" w:cs="宋体"/>
                <w:b/>
                <w:bCs/>
                <w:color w:val="auto"/>
                <w:sz w:val="21"/>
                <w:szCs w:val="21"/>
              </w:rPr>
            </w:pPr>
            <w:r>
              <w:rPr>
                <w:rFonts w:hint="eastAsia" w:ascii="宋体" w:hAnsi="宋体" w:cs="宋体"/>
                <w:b/>
                <w:bCs/>
                <w:color w:val="auto"/>
                <w:sz w:val="21"/>
                <w:szCs w:val="21"/>
              </w:rPr>
              <w:t>9、本项目“三本账”</w:t>
            </w:r>
          </w:p>
          <w:p>
            <w:pPr>
              <w:pStyle w:val="41"/>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本项目建成后企业污染物排放量“三本账”情况见下表4-1</w:t>
            </w:r>
            <w:r>
              <w:rPr>
                <w:rFonts w:hint="eastAsia" w:ascii="宋体" w:hAnsi="宋体" w:cs="宋体"/>
                <w:color w:val="auto"/>
                <w:sz w:val="21"/>
                <w:szCs w:val="21"/>
                <w:lang w:val="en-US" w:eastAsia="zh-CN"/>
              </w:rPr>
              <w:t>9</w:t>
            </w:r>
            <w:r>
              <w:rPr>
                <w:rFonts w:hint="eastAsia" w:ascii="宋体" w:hAnsi="宋体" w:cs="宋体"/>
                <w:color w:val="auto"/>
                <w:sz w:val="21"/>
                <w:szCs w:val="21"/>
              </w:rPr>
              <w:t>。</w:t>
            </w:r>
          </w:p>
          <w:p>
            <w:pPr>
              <w:pStyle w:val="61"/>
              <w:autoSpaceDE w:val="0"/>
              <w:autoSpaceDN w:val="0"/>
              <w:spacing w:after="0" w:line="240" w:lineRule="auto"/>
              <w:ind w:firstLine="0" w:firstLineChars="0"/>
              <w:jc w:val="center"/>
              <w:rPr>
                <w:rFonts w:ascii="宋体" w:hAnsi="宋体" w:cs="宋体"/>
                <w:b/>
                <w:sz w:val="21"/>
                <w:szCs w:val="21"/>
              </w:rPr>
            </w:pPr>
            <w:r>
              <w:rPr>
                <w:rFonts w:hint="eastAsia" w:ascii="宋体" w:hAnsi="宋体" w:cs="宋体"/>
                <w:b/>
                <w:sz w:val="21"/>
                <w:szCs w:val="21"/>
              </w:rPr>
              <w:t>表4-1</w:t>
            </w:r>
            <w:r>
              <w:rPr>
                <w:rFonts w:hint="eastAsia" w:ascii="宋体" w:hAnsi="宋体" w:cs="宋体"/>
                <w:b/>
                <w:sz w:val="21"/>
                <w:szCs w:val="21"/>
                <w:lang w:val="en-US" w:eastAsia="zh-CN"/>
              </w:rPr>
              <w:t>9</w:t>
            </w:r>
            <w:r>
              <w:rPr>
                <w:rFonts w:hint="eastAsia" w:ascii="宋体" w:hAnsi="宋体" w:cs="宋体"/>
                <w:b/>
                <w:sz w:val="21"/>
                <w:szCs w:val="21"/>
              </w:rPr>
              <w:t xml:space="preserve">   项目“三本账”</w:t>
            </w:r>
          </w:p>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39"/>
              <w:gridCol w:w="1240"/>
              <w:gridCol w:w="1067"/>
              <w:gridCol w:w="1131"/>
              <w:gridCol w:w="975"/>
              <w:gridCol w:w="1262"/>
              <w:gridCol w:w="12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9" w:type="dxa"/>
                  <w:tcBorders>
                    <w:tl2br w:val="nil"/>
                    <w:tr2bl w:val="nil"/>
                  </w:tcBorders>
                  <w:vAlign w:val="center"/>
                </w:tcPr>
                <w:p>
                  <w:pPr>
                    <w:pStyle w:val="61"/>
                    <w:spacing w:after="0" w:line="240" w:lineRule="auto"/>
                    <w:ind w:left="0" w:leftChars="0" w:firstLine="0" w:firstLineChars="0"/>
                    <w:jc w:val="center"/>
                    <w:rPr>
                      <w:rFonts w:ascii="宋体" w:hAnsi="宋体" w:cs="宋体"/>
                      <w:b/>
                      <w:sz w:val="18"/>
                      <w:szCs w:val="18"/>
                    </w:rPr>
                  </w:pPr>
                  <w:r>
                    <w:rPr>
                      <w:rFonts w:hint="eastAsia" w:ascii="宋体" w:hAnsi="宋体" w:cs="宋体"/>
                      <w:b/>
                      <w:sz w:val="18"/>
                      <w:szCs w:val="18"/>
                    </w:rPr>
                    <w:t>污染源</w:t>
                  </w:r>
                </w:p>
              </w:tc>
              <w:tc>
                <w:tcPr>
                  <w:tcW w:w="1240" w:type="dxa"/>
                  <w:tcBorders>
                    <w:tl2br w:val="nil"/>
                    <w:tr2bl w:val="nil"/>
                  </w:tcBorders>
                  <w:vAlign w:val="center"/>
                </w:tcPr>
                <w:p>
                  <w:pPr>
                    <w:pStyle w:val="61"/>
                    <w:spacing w:after="0" w:line="240" w:lineRule="auto"/>
                    <w:ind w:left="0" w:leftChars="0" w:firstLine="0" w:firstLineChars="0"/>
                    <w:jc w:val="center"/>
                    <w:rPr>
                      <w:rFonts w:ascii="宋体" w:hAnsi="宋体" w:cs="宋体"/>
                      <w:b/>
                      <w:sz w:val="18"/>
                      <w:szCs w:val="18"/>
                    </w:rPr>
                  </w:pPr>
                  <w:r>
                    <w:rPr>
                      <w:rFonts w:hint="eastAsia" w:ascii="宋体" w:hAnsi="宋体" w:cs="宋体"/>
                      <w:b/>
                      <w:sz w:val="18"/>
                      <w:szCs w:val="18"/>
                    </w:rPr>
                    <w:t>污染因子</w:t>
                  </w:r>
                </w:p>
              </w:tc>
              <w:tc>
                <w:tcPr>
                  <w:tcW w:w="1067" w:type="dxa"/>
                  <w:tcBorders>
                    <w:tl2br w:val="nil"/>
                    <w:tr2bl w:val="nil"/>
                  </w:tcBorders>
                  <w:vAlign w:val="center"/>
                </w:tcPr>
                <w:p>
                  <w:pPr>
                    <w:pStyle w:val="61"/>
                    <w:autoSpaceDE w:val="0"/>
                    <w:autoSpaceDN w:val="0"/>
                    <w:spacing w:after="0" w:line="240" w:lineRule="auto"/>
                    <w:ind w:left="0" w:leftChars="0" w:firstLine="0" w:firstLineChars="0"/>
                    <w:jc w:val="center"/>
                    <w:rPr>
                      <w:rFonts w:ascii="宋体" w:hAnsi="宋体" w:cs="宋体"/>
                      <w:b/>
                      <w:sz w:val="18"/>
                      <w:szCs w:val="18"/>
                    </w:rPr>
                  </w:pPr>
                  <w:r>
                    <w:rPr>
                      <w:rFonts w:hint="eastAsia" w:ascii="宋体" w:hAnsi="宋体" w:cs="宋体"/>
                      <w:b/>
                      <w:sz w:val="18"/>
                      <w:szCs w:val="18"/>
                    </w:rPr>
                    <w:t>现有工程</w:t>
                  </w:r>
                </w:p>
                <w:p>
                  <w:pPr>
                    <w:pStyle w:val="61"/>
                    <w:autoSpaceDE w:val="0"/>
                    <w:autoSpaceDN w:val="0"/>
                    <w:spacing w:after="0" w:line="240" w:lineRule="auto"/>
                    <w:ind w:left="0" w:leftChars="0" w:firstLine="0" w:firstLineChars="0"/>
                    <w:jc w:val="center"/>
                    <w:rPr>
                      <w:rFonts w:ascii="宋体" w:hAnsi="宋体" w:cs="宋体"/>
                      <w:b/>
                      <w:sz w:val="18"/>
                      <w:szCs w:val="18"/>
                    </w:rPr>
                  </w:pPr>
                  <w:r>
                    <w:rPr>
                      <w:rFonts w:hint="eastAsia" w:ascii="宋体" w:hAnsi="宋体" w:cs="宋体"/>
                      <w:b/>
                      <w:sz w:val="18"/>
                      <w:szCs w:val="18"/>
                    </w:rPr>
                    <w:t>排放量（t/a）</w:t>
                  </w:r>
                </w:p>
              </w:tc>
              <w:tc>
                <w:tcPr>
                  <w:tcW w:w="1131" w:type="dxa"/>
                  <w:tcBorders>
                    <w:tl2br w:val="nil"/>
                    <w:tr2bl w:val="nil"/>
                  </w:tcBorders>
                  <w:vAlign w:val="center"/>
                </w:tcPr>
                <w:p>
                  <w:pPr>
                    <w:pStyle w:val="61"/>
                    <w:spacing w:after="0" w:line="240" w:lineRule="auto"/>
                    <w:ind w:left="0" w:leftChars="0" w:firstLine="0" w:firstLineChars="0"/>
                    <w:jc w:val="center"/>
                    <w:rPr>
                      <w:rFonts w:ascii="宋体" w:hAnsi="宋体" w:cs="宋体"/>
                      <w:b/>
                      <w:sz w:val="18"/>
                      <w:szCs w:val="18"/>
                    </w:rPr>
                  </w:pPr>
                  <w:r>
                    <w:rPr>
                      <w:rFonts w:hint="eastAsia" w:ascii="宋体" w:hAnsi="宋体" w:cs="宋体"/>
                      <w:b/>
                      <w:sz w:val="18"/>
                      <w:szCs w:val="18"/>
                    </w:rPr>
                    <w:t>本项目排放量（t/a）</w:t>
                  </w:r>
                </w:p>
              </w:tc>
              <w:tc>
                <w:tcPr>
                  <w:tcW w:w="975" w:type="dxa"/>
                  <w:tcBorders>
                    <w:tl2br w:val="nil"/>
                    <w:tr2bl w:val="nil"/>
                  </w:tcBorders>
                  <w:vAlign w:val="center"/>
                </w:tcPr>
                <w:p>
                  <w:pPr>
                    <w:pStyle w:val="61"/>
                    <w:spacing w:after="0" w:line="240" w:lineRule="auto"/>
                    <w:ind w:left="0" w:leftChars="0" w:firstLine="0" w:firstLineChars="0"/>
                    <w:jc w:val="center"/>
                    <w:rPr>
                      <w:rFonts w:ascii="宋体" w:hAnsi="宋体" w:cs="宋体"/>
                      <w:b/>
                      <w:sz w:val="18"/>
                      <w:szCs w:val="18"/>
                    </w:rPr>
                  </w:pPr>
                  <w:r>
                    <w:rPr>
                      <w:rFonts w:hint="eastAsia" w:ascii="宋体" w:hAnsi="宋体" w:cs="宋体"/>
                      <w:b/>
                      <w:sz w:val="18"/>
                      <w:szCs w:val="18"/>
                    </w:rPr>
                    <w:t>“以新带老”消减量（t/a）</w:t>
                  </w:r>
                </w:p>
              </w:tc>
              <w:tc>
                <w:tcPr>
                  <w:tcW w:w="1262" w:type="dxa"/>
                  <w:tcBorders>
                    <w:tl2br w:val="nil"/>
                    <w:tr2bl w:val="nil"/>
                  </w:tcBorders>
                  <w:vAlign w:val="center"/>
                </w:tcPr>
                <w:p>
                  <w:pPr>
                    <w:pStyle w:val="61"/>
                    <w:spacing w:after="0" w:line="240" w:lineRule="auto"/>
                    <w:ind w:left="0" w:leftChars="0" w:firstLine="0" w:firstLineChars="0"/>
                    <w:jc w:val="center"/>
                    <w:rPr>
                      <w:rFonts w:ascii="宋体" w:hAnsi="宋体" w:cs="宋体"/>
                      <w:b/>
                      <w:sz w:val="18"/>
                      <w:szCs w:val="18"/>
                    </w:rPr>
                  </w:pPr>
                  <w:r>
                    <w:rPr>
                      <w:rFonts w:hint="eastAsia" w:ascii="宋体" w:hAnsi="宋体" w:cs="宋体"/>
                      <w:b/>
                      <w:sz w:val="18"/>
                      <w:szCs w:val="18"/>
                    </w:rPr>
                    <w:t>本项目建成后总排放量（t/a）</w:t>
                  </w:r>
                </w:p>
              </w:tc>
              <w:tc>
                <w:tcPr>
                  <w:tcW w:w="1262" w:type="dxa"/>
                  <w:tcBorders>
                    <w:tl2br w:val="nil"/>
                    <w:tr2bl w:val="nil"/>
                  </w:tcBorders>
                  <w:vAlign w:val="center"/>
                </w:tcPr>
                <w:p>
                  <w:pPr>
                    <w:pStyle w:val="61"/>
                    <w:spacing w:after="0" w:line="240" w:lineRule="auto"/>
                    <w:ind w:left="0" w:leftChars="0" w:firstLine="0" w:firstLineChars="0"/>
                    <w:jc w:val="center"/>
                    <w:rPr>
                      <w:rFonts w:ascii="宋体" w:hAnsi="宋体" w:cs="宋体"/>
                      <w:b/>
                      <w:sz w:val="18"/>
                      <w:szCs w:val="18"/>
                    </w:rPr>
                  </w:pPr>
                  <w:r>
                    <w:rPr>
                      <w:rFonts w:hint="eastAsia" w:ascii="宋体" w:hAnsi="宋体" w:cs="宋体"/>
                      <w:b/>
                      <w:sz w:val="18"/>
                      <w:szCs w:val="18"/>
                    </w:rPr>
                    <w:t>增减变化量 （t/a）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9" w:type="dxa"/>
                  <w:vMerge w:val="restart"/>
                  <w:tcBorders>
                    <w:tl2br w:val="nil"/>
                    <w:tr2bl w:val="nil"/>
                  </w:tcBorders>
                  <w:vAlign w:val="center"/>
                </w:tcPr>
                <w:p>
                  <w:pPr>
                    <w:pStyle w:val="61"/>
                    <w:autoSpaceDE w:val="0"/>
                    <w:autoSpaceDN w:val="0"/>
                    <w:spacing w:after="0" w:line="240" w:lineRule="auto"/>
                    <w:ind w:left="0" w:leftChars="0" w:firstLine="0" w:firstLineChars="0"/>
                    <w:jc w:val="center"/>
                    <w:rPr>
                      <w:rFonts w:ascii="宋体" w:hAnsi="宋体" w:cs="宋体"/>
                      <w:bCs/>
                      <w:sz w:val="18"/>
                      <w:szCs w:val="18"/>
                    </w:rPr>
                  </w:pPr>
                  <w:r>
                    <w:rPr>
                      <w:rFonts w:hint="eastAsia" w:ascii="宋体" w:hAnsi="宋体" w:cs="宋体"/>
                      <w:bCs/>
                      <w:sz w:val="18"/>
                      <w:szCs w:val="18"/>
                    </w:rPr>
                    <w:t>废气</w:t>
                  </w:r>
                </w:p>
              </w:tc>
              <w:tc>
                <w:tcPr>
                  <w:tcW w:w="1240" w:type="dxa"/>
                  <w:tcBorders>
                    <w:tl2br w:val="nil"/>
                    <w:tr2bl w:val="nil"/>
                  </w:tcBorders>
                  <w:vAlign w:val="center"/>
                </w:tcPr>
                <w:p>
                  <w:pPr>
                    <w:pStyle w:val="54"/>
                    <w:jc w:val="center"/>
                    <w:rPr>
                      <w:rFonts w:ascii="宋体" w:hAnsi="宋体" w:cs="宋体"/>
                      <w:snapToGrid w:val="0"/>
                      <w:color w:val="000000" w:themeColor="text1"/>
                      <w:kern w:val="21"/>
                      <w:sz w:val="18"/>
                      <w:szCs w:val="18"/>
                      <w:highlight w:val="none"/>
                      <w:lang w:bidi="zh-CN"/>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二氧化硫</w:t>
                  </w:r>
                </w:p>
              </w:tc>
              <w:tc>
                <w:tcPr>
                  <w:tcW w:w="1067" w:type="dxa"/>
                  <w:tcBorders>
                    <w:tl2br w:val="nil"/>
                    <w:tr2bl w:val="nil"/>
                  </w:tcBorders>
                  <w:vAlign w:val="center"/>
                </w:tcPr>
                <w:p>
                  <w:pPr>
                    <w:jc w:val="center"/>
                    <w:rPr>
                      <w:rFonts w:ascii="宋体" w:hAnsi="宋体" w:cs="宋体"/>
                      <w:snapToGrid w:val="0"/>
                      <w:color w:val="000000" w:themeColor="text1"/>
                      <w:kern w:val="21"/>
                      <w:sz w:val="18"/>
                      <w:szCs w:val="18"/>
                      <w:highlight w:val="none"/>
                      <w:lang w:bidi="zh-CN"/>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0.021</w:t>
                  </w:r>
                </w:p>
              </w:tc>
              <w:tc>
                <w:tcPr>
                  <w:tcW w:w="1131" w:type="dxa"/>
                  <w:tcBorders>
                    <w:tl2br w:val="nil"/>
                    <w:tr2bl w:val="nil"/>
                  </w:tcBorders>
                  <w:vAlign w:val="center"/>
                </w:tcPr>
                <w:p>
                  <w:pPr>
                    <w:pStyle w:val="45"/>
                    <w:spacing w:beforeLines="0" w:afterLines="0" w:line="240" w:lineRule="auto"/>
                    <w:rPr>
                      <w:rFonts w:hAnsi="宋体" w:cs="宋体"/>
                      <w:bCs/>
                      <w:color w:val="000000" w:themeColor="text1"/>
                      <w:sz w:val="18"/>
                      <w:szCs w:val="18"/>
                      <w:highlight w:val="none"/>
                      <w14:textFill>
                        <w14:solidFill>
                          <w14:schemeClr w14:val="tx1"/>
                        </w14:solidFill>
                      </w14:textFill>
                    </w:rPr>
                  </w:pPr>
                  <w:r>
                    <w:rPr>
                      <w:rFonts w:hint="eastAsia" w:hAnsi="宋体" w:cs="宋体"/>
                      <w:snapToGrid w:val="0"/>
                      <w:color w:val="000000" w:themeColor="text1"/>
                      <w:kern w:val="21"/>
                      <w:sz w:val="18"/>
                      <w:szCs w:val="18"/>
                      <w:highlight w:val="none"/>
                      <w14:textFill>
                        <w14:solidFill>
                          <w14:schemeClr w14:val="tx1"/>
                        </w14:solidFill>
                      </w14:textFill>
                    </w:rPr>
                    <w:t>0.041</w:t>
                  </w:r>
                </w:p>
              </w:tc>
              <w:tc>
                <w:tcPr>
                  <w:tcW w:w="975" w:type="dxa"/>
                  <w:tcBorders>
                    <w:tl2br w:val="nil"/>
                    <w:tr2bl w:val="nil"/>
                  </w:tcBorders>
                  <w:vAlign w:val="center"/>
                </w:tcPr>
                <w:p>
                  <w:pPr>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w:t>
                  </w:r>
                </w:p>
              </w:tc>
              <w:tc>
                <w:tcPr>
                  <w:tcW w:w="1262" w:type="dxa"/>
                  <w:tcBorders>
                    <w:tl2br w:val="nil"/>
                    <w:tr2bl w:val="nil"/>
                  </w:tcBorders>
                  <w:vAlign w:val="center"/>
                </w:tcPr>
                <w:p>
                  <w:pPr>
                    <w:pStyle w:val="45"/>
                    <w:spacing w:beforeLines="0" w:afterLines="0" w:line="240" w:lineRule="auto"/>
                    <w:rPr>
                      <w:rFonts w:hAnsi="宋体" w:cs="宋体"/>
                      <w:bCs/>
                      <w:color w:val="000000" w:themeColor="text1"/>
                      <w:sz w:val="18"/>
                      <w:szCs w:val="18"/>
                      <w:highlight w:val="none"/>
                      <w14:textFill>
                        <w14:solidFill>
                          <w14:schemeClr w14:val="tx1"/>
                        </w14:solidFill>
                      </w14:textFill>
                    </w:rPr>
                  </w:pPr>
                  <w:r>
                    <w:rPr>
                      <w:rFonts w:hint="eastAsia" w:hAnsi="宋体" w:cs="宋体"/>
                      <w:snapToGrid w:val="0"/>
                      <w:color w:val="000000" w:themeColor="text1"/>
                      <w:kern w:val="21"/>
                      <w:sz w:val="18"/>
                      <w:szCs w:val="18"/>
                      <w:highlight w:val="none"/>
                      <w14:textFill>
                        <w14:solidFill>
                          <w14:schemeClr w14:val="tx1"/>
                        </w14:solidFill>
                      </w14:textFill>
                    </w:rPr>
                    <w:t>0.062</w:t>
                  </w:r>
                </w:p>
              </w:tc>
              <w:tc>
                <w:tcPr>
                  <w:tcW w:w="1262" w:type="dxa"/>
                  <w:tcBorders>
                    <w:tl2br w:val="nil"/>
                    <w:tr2bl w:val="nil"/>
                  </w:tcBorders>
                  <w:vAlign w:val="center"/>
                </w:tcPr>
                <w:p>
                  <w:pPr>
                    <w:pStyle w:val="45"/>
                    <w:spacing w:beforeLines="0" w:afterLines="0" w:line="240" w:lineRule="auto"/>
                    <w:rPr>
                      <w:rFonts w:hAnsi="宋体" w:cs="宋体"/>
                      <w:color w:val="000000" w:themeColor="text1"/>
                      <w:sz w:val="18"/>
                      <w:szCs w:val="18"/>
                      <w:highlight w:val="none"/>
                      <w14:textFill>
                        <w14:solidFill>
                          <w14:schemeClr w14:val="tx1"/>
                        </w14:solidFill>
                      </w14:textFill>
                    </w:rPr>
                  </w:pPr>
                  <w:r>
                    <w:rPr>
                      <w:rFonts w:hint="eastAsia" w:hAnsi="宋体" w:cs="宋体"/>
                      <w:snapToGrid w:val="0"/>
                      <w:color w:val="000000" w:themeColor="text1"/>
                      <w:kern w:val="21"/>
                      <w:sz w:val="18"/>
                      <w:szCs w:val="18"/>
                      <w:highlight w:val="none"/>
                      <w14:textFill>
                        <w14:solidFill>
                          <w14:schemeClr w14:val="tx1"/>
                        </w14:solidFill>
                      </w14:textFill>
                    </w:rPr>
                    <w:t>+0.041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9" w:type="dxa"/>
                  <w:vMerge w:val="continue"/>
                  <w:tcBorders>
                    <w:tl2br w:val="nil"/>
                    <w:tr2bl w:val="nil"/>
                  </w:tcBorders>
                  <w:vAlign w:val="center"/>
                </w:tcPr>
                <w:p>
                  <w:pPr>
                    <w:pStyle w:val="61"/>
                    <w:autoSpaceDE w:val="0"/>
                    <w:autoSpaceDN w:val="0"/>
                    <w:spacing w:after="0" w:line="240" w:lineRule="auto"/>
                    <w:ind w:left="0" w:leftChars="0" w:firstLine="0" w:firstLineChars="0"/>
                    <w:jc w:val="center"/>
                    <w:rPr>
                      <w:rFonts w:ascii="宋体" w:hAnsi="宋体" w:cs="宋体"/>
                      <w:bCs/>
                      <w:sz w:val="18"/>
                      <w:szCs w:val="18"/>
                    </w:rPr>
                  </w:pPr>
                </w:p>
              </w:tc>
              <w:tc>
                <w:tcPr>
                  <w:tcW w:w="1240" w:type="dxa"/>
                  <w:tcBorders>
                    <w:tl2br w:val="nil"/>
                    <w:tr2bl w:val="nil"/>
                  </w:tcBorders>
                  <w:vAlign w:val="center"/>
                </w:tcPr>
                <w:p>
                  <w:pPr>
                    <w:pStyle w:val="54"/>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颗粒物</w:t>
                  </w:r>
                </w:p>
              </w:tc>
              <w:tc>
                <w:tcPr>
                  <w:tcW w:w="1067" w:type="dxa"/>
                  <w:tcBorders>
                    <w:tl2br w:val="nil"/>
                    <w:tr2bl w:val="nil"/>
                  </w:tcBorders>
                  <w:vAlign w:val="center"/>
                </w:tcPr>
                <w:p>
                  <w:pPr>
                    <w:jc w:val="center"/>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cs="宋体"/>
                      <w:snapToGrid w:val="0"/>
                      <w:color w:val="000000" w:themeColor="text1"/>
                      <w:kern w:val="21"/>
                      <w:sz w:val="18"/>
                      <w:szCs w:val="18"/>
                      <w:highlight w:val="none"/>
                      <w:lang w:val="en-US" w:eastAsia="zh-CN"/>
                      <w14:textFill>
                        <w14:solidFill>
                          <w14:schemeClr w14:val="tx1"/>
                        </w14:solidFill>
                      </w14:textFill>
                    </w:rPr>
                    <w:t>0.014</w:t>
                  </w:r>
                </w:p>
              </w:tc>
              <w:tc>
                <w:tcPr>
                  <w:tcW w:w="1131" w:type="dxa"/>
                  <w:tcBorders>
                    <w:tl2br w:val="nil"/>
                    <w:tr2bl w:val="nil"/>
                  </w:tcBorders>
                  <w:vAlign w:val="center"/>
                </w:tcPr>
                <w:p>
                  <w:pPr>
                    <w:pStyle w:val="45"/>
                    <w:spacing w:beforeLines="0" w:afterLines="0" w:line="240" w:lineRule="auto"/>
                    <w:rPr>
                      <w:rFonts w:hint="default" w:hAnsi="宋体" w:eastAsia="宋体" w:cs="宋体"/>
                      <w:color w:val="000000" w:themeColor="text1"/>
                      <w:sz w:val="18"/>
                      <w:szCs w:val="18"/>
                      <w:highlight w:val="none"/>
                      <w:lang w:val="en-US" w:eastAsia="zh-CN"/>
                      <w14:textFill>
                        <w14:solidFill>
                          <w14:schemeClr w14:val="tx1"/>
                        </w14:solidFill>
                      </w14:textFill>
                    </w:rPr>
                  </w:pPr>
                  <w:r>
                    <w:rPr>
                      <w:rFonts w:hint="eastAsia" w:hAnsi="宋体" w:cs="宋体"/>
                      <w:color w:val="000000" w:themeColor="text1"/>
                      <w:kern w:val="2"/>
                      <w:sz w:val="18"/>
                      <w:szCs w:val="18"/>
                      <w:highlight w:val="none"/>
                      <w14:textFill>
                        <w14:solidFill>
                          <w14:schemeClr w14:val="tx1"/>
                        </w14:solidFill>
                      </w14:textFill>
                    </w:rPr>
                    <w:t>0.0</w:t>
                  </w:r>
                  <w:r>
                    <w:rPr>
                      <w:rFonts w:hint="eastAsia" w:hAnsi="宋体" w:cs="宋体"/>
                      <w:color w:val="000000" w:themeColor="text1"/>
                      <w:kern w:val="2"/>
                      <w:sz w:val="18"/>
                      <w:szCs w:val="18"/>
                      <w:highlight w:val="none"/>
                      <w:lang w:val="en-US" w:eastAsia="zh-CN"/>
                      <w14:textFill>
                        <w14:solidFill>
                          <w14:schemeClr w14:val="tx1"/>
                        </w14:solidFill>
                      </w14:textFill>
                    </w:rPr>
                    <w:t>29</w:t>
                  </w:r>
                </w:p>
              </w:tc>
              <w:tc>
                <w:tcPr>
                  <w:tcW w:w="975" w:type="dxa"/>
                  <w:tcBorders>
                    <w:tl2br w:val="nil"/>
                    <w:tr2bl w:val="nil"/>
                  </w:tcBorders>
                  <w:vAlign w:val="center"/>
                </w:tcPr>
                <w:p>
                  <w:pPr>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w:t>
                  </w:r>
                </w:p>
              </w:tc>
              <w:tc>
                <w:tcPr>
                  <w:tcW w:w="1262" w:type="dxa"/>
                  <w:tcBorders>
                    <w:tl2br w:val="nil"/>
                    <w:tr2bl w:val="nil"/>
                  </w:tcBorders>
                  <w:vAlign w:val="center"/>
                </w:tcPr>
                <w:p>
                  <w:pPr>
                    <w:pStyle w:val="45"/>
                    <w:spacing w:beforeLines="0" w:afterLines="0" w:line="240" w:lineRule="auto"/>
                    <w:rPr>
                      <w:rFonts w:hint="default"/>
                      <w:highlight w:val="none"/>
                      <w:lang w:val="en-US" w:eastAsia="zh-CN"/>
                    </w:rPr>
                  </w:pPr>
                  <w:r>
                    <w:rPr>
                      <w:rFonts w:hint="eastAsia" w:hAnsi="宋体" w:cs="宋体"/>
                      <w:color w:val="000000" w:themeColor="text1"/>
                      <w:kern w:val="2"/>
                      <w:sz w:val="18"/>
                      <w:szCs w:val="18"/>
                      <w:highlight w:val="none"/>
                      <w:lang w:val="en-US" w:eastAsia="zh-CN"/>
                      <w14:textFill>
                        <w14:solidFill>
                          <w14:schemeClr w14:val="tx1"/>
                        </w14:solidFill>
                      </w14:textFill>
                    </w:rPr>
                    <w:t>0.043</w:t>
                  </w:r>
                </w:p>
              </w:tc>
              <w:tc>
                <w:tcPr>
                  <w:tcW w:w="1262" w:type="dxa"/>
                  <w:tcBorders>
                    <w:tl2br w:val="nil"/>
                    <w:tr2bl w:val="nil"/>
                  </w:tcBorders>
                  <w:vAlign w:val="center"/>
                </w:tcPr>
                <w:p>
                  <w:pPr>
                    <w:pStyle w:val="45"/>
                    <w:spacing w:beforeLines="0" w:afterLines="0" w:line="240" w:lineRule="auto"/>
                    <w:rPr>
                      <w:rFonts w:hAnsi="宋体" w:cs="宋体"/>
                      <w:color w:val="000000" w:themeColor="text1"/>
                      <w:sz w:val="18"/>
                      <w:szCs w:val="18"/>
                      <w:highlight w:val="none"/>
                      <w14:textFill>
                        <w14:solidFill>
                          <w14:schemeClr w14:val="tx1"/>
                        </w14:solidFill>
                      </w14:textFill>
                    </w:rPr>
                  </w:pPr>
                  <w:r>
                    <w:rPr>
                      <w:rFonts w:hint="eastAsia" w:hAnsi="宋体" w:cs="宋体"/>
                      <w:color w:val="000000" w:themeColor="text1"/>
                      <w:kern w:val="2"/>
                      <w:sz w:val="18"/>
                      <w:szCs w:val="18"/>
                      <w:highlight w:val="none"/>
                      <w14:textFill>
                        <w14:solidFill>
                          <w14:schemeClr w14:val="tx1"/>
                        </w14:solidFill>
                      </w14:textFill>
                    </w:rPr>
                    <w:t>+0.0</w:t>
                  </w:r>
                  <w:r>
                    <w:rPr>
                      <w:rFonts w:hint="eastAsia" w:hAnsi="宋体" w:cs="宋体"/>
                      <w:color w:val="000000" w:themeColor="text1"/>
                      <w:kern w:val="2"/>
                      <w:sz w:val="18"/>
                      <w:szCs w:val="18"/>
                      <w:highlight w:val="none"/>
                      <w:lang w:val="en-US" w:eastAsia="zh-CN"/>
                      <w14:textFill>
                        <w14:solidFill>
                          <w14:schemeClr w14:val="tx1"/>
                        </w14:solidFill>
                      </w14:textFill>
                    </w:rPr>
                    <w:t>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9" w:type="dxa"/>
                  <w:vMerge w:val="continue"/>
                  <w:tcBorders>
                    <w:tl2br w:val="nil"/>
                    <w:tr2bl w:val="nil"/>
                  </w:tcBorders>
                  <w:vAlign w:val="center"/>
                </w:tcPr>
                <w:p>
                  <w:pPr>
                    <w:pStyle w:val="61"/>
                    <w:autoSpaceDE w:val="0"/>
                    <w:autoSpaceDN w:val="0"/>
                    <w:spacing w:after="0" w:line="240" w:lineRule="auto"/>
                    <w:ind w:left="0" w:leftChars="0" w:firstLine="0" w:firstLineChars="0"/>
                    <w:jc w:val="center"/>
                    <w:rPr>
                      <w:rFonts w:ascii="宋体" w:hAnsi="宋体" w:cs="宋体"/>
                      <w:bCs/>
                      <w:sz w:val="18"/>
                      <w:szCs w:val="18"/>
                    </w:rPr>
                  </w:pPr>
                </w:p>
              </w:tc>
              <w:tc>
                <w:tcPr>
                  <w:tcW w:w="1240" w:type="dxa"/>
                  <w:tcBorders>
                    <w:tl2br w:val="nil"/>
                    <w:tr2bl w:val="nil"/>
                  </w:tcBorders>
                  <w:vAlign w:val="center"/>
                </w:tcPr>
                <w:p>
                  <w:pPr>
                    <w:pStyle w:val="54"/>
                    <w:jc w:val="center"/>
                    <w:rPr>
                      <w:rFonts w:ascii="宋体" w:hAnsi="宋体" w:cs="宋体"/>
                      <w:sz w:val="18"/>
                      <w:szCs w:val="18"/>
                      <w:highlight w:val="none"/>
                    </w:rPr>
                  </w:pPr>
                  <w:r>
                    <w:rPr>
                      <w:rFonts w:hint="eastAsia" w:ascii="宋体" w:hAnsi="宋体" w:cs="宋体"/>
                      <w:sz w:val="18"/>
                      <w:szCs w:val="18"/>
                      <w:highlight w:val="none"/>
                    </w:rPr>
                    <w:t>氮氧化物</w:t>
                  </w:r>
                </w:p>
              </w:tc>
              <w:tc>
                <w:tcPr>
                  <w:tcW w:w="1067" w:type="dxa"/>
                  <w:tcBorders>
                    <w:tl2br w:val="nil"/>
                    <w:tr2bl w:val="nil"/>
                  </w:tcBorders>
                  <w:vAlign w:val="center"/>
                </w:tcPr>
                <w:p>
                  <w:pPr>
                    <w:jc w:val="center"/>
                    <w:rPr>
                      <w:rFonts w:hint="default" w:ascii="宋体" w:hAnsi="宋体" w:eastAsia="宋体" w:cs="宋体"/>
                      <w:sz w:val="18"/>
                      <w:szCs w:val="18"/>
                      <w:highlight w:val="none"/>
                      <w:lang w:val="en-US" w:eastAsia="zh-CN"/>
                    </w:rPr>
                  </w:pPr>
                  <w:r>
                    <w:rPr>
                      <w:rFonts w:hint="eastAsia" w:ascii="宋体" w:hAnsi="宋体" w:cs="宋体"/>
                      <w:snapToGrid w:val="0"/>
                      <w:kern w:val="21"/>
                      <w:sz w:val="18"/>
                      <w:szCs w:val="18"/>
                      <w:highlight w:val="none"/>
                      <w:lang w:val="en-US" w:eastAsia="zh-CN"/>
                    </w:rPr>
                    <w:t>0.061</w:t>
                  </w:r>
                </w:p>
              </w:tc>
              <w:tc>
                <w:tcPr>
                  <w:tcW w:w="1131" w:type="dxa"/>
                  <w:tcBorders>
                    <w:tl2br w:val="nil"/>
                    <w:tr2bl w:val="nil"/>
                  </w:tcBorders>
                  <w:vAlign w:val="center"/>
                </w:tcPr>
                <w:p>
                  <w:pPr>
                    <w:pStyle w:val="45"/>
                    <w:spacing w:beforeLines="0" w:afterLines="0" w:line="240" w:lineRule="auto"/>
                    <w:rPr>
                      <w:rFonts w:hint="default" w:hAnsi="宋体" w:eastAsia="宋体" w:cs="宋体"/>
                      <w:sz w:val="18"/>
                      <w:szCs w:val="18"/>
                      <w:highlight w:val="none"/>
                      <w:lang w:val="en-US" w:eastAsia="zh-CN"/>
                    </w:rPr>
                  </w:pPr>
                  <w:r>
                    <w:rPr>
                      <w:rFonts w:hint="eastAsia" w:hAnsi="宋体" w:cs="宋体"/>
                      <w:kern w:val="2"/>
                      <w:sz w:val="18"/>
                      <w:szCs w:val="18"/>
                      <w:highlight w:val="none"/>
                      <w:lang w:val="en-US" w:eastAsia="zh-CN"/>
                    </w:rPr>
                    <w:t>0.123</w:t>
                  </w:r>
                </w:p>
              </w:tc>
              <w:tc>
                <w:tcPr>
                  <w:tcW w:w="975" w:type="dxa"/>
                  <w:tcBorders>
                    <w:tl2br w:val="nil"/>
                    <w:tr2bl w:val="nil"/>
                  </w:tcBorders>
                  <w:vAlign w:val="center"/>
                </w:tcPr>
                <w:p>
                  <w:pPr>
                    <w:jc w:val="center"/>
                    <w:rPr>
                      <w:rFonts w:ascii="宋体" w:hAnsi="宋体" w:cs="宋体"/>
                      <w:sz w:val="18"/>
                      <w:szCs w:val="18"/>
                      <w:highlight w:val="none"/>
                    </w:rPr>
                  </w:pPr>
                  <w:r>
                    <w:rPr>
                      <w:rFonts w:hint="eastAsia" w:ascii="宋体" w:hAnsi="宋体" w:cs="宋体"/>
                      <w:snapToGrid w:val="0"/>
                      <w:kern w:val="21"/>
                      <w:sz w:val="18"/>
                      <w:szCs w:val="18"/>
                      <w:highlight w:val="none"/>
                    </w:rPr>
                    <w:t>/</w:t>
                  </w:r>
                </w:p>
              </w:tc>
              <w:tc>
                <w:tcPr>
                  <w:tcW w:w="1262" w:type="dxa"/>
                  <w:tcBorders>
                    <w:tl2br w:val="nil"/>
                    <w:tr2bl w:val="nil"/>
                  </w:tcBorders>
                  <w:vAlign w:val="center"/>
                </w:tcPr>
                <w:p>
                  <w:pPr>
                    <w:pStyle w:val="45"/>
                    <w:spacing w:beforeLines="0" w:afterLines="0" w:line="240" w:lineRule="auto"/>
                    <w:rPr>
                      <w:rFonts w:hint="default" w:hAnsi="宋体" w:eastAsia="宋体" w:cs="宋体"/>
                      <w:sz w:val="18"/>
                      <w:szCs w:val="18"/>
                      <w:highlight w:val="none"/>
                      <w:lang w:val="en-US" w:eastAsia="zh-CN"/>
                    </w:rPr>
                  </w:pPr>
                  <w:r>
                    <w:rPr>
                      <w:rFonts w:hint="eastAsia" w:hAnsi="宋体" w:cs="宋体"/>
                      <w:kern w:val="2"/>
                      <w:sz w:val="18"/>
                      <w:szCs w:val="18"/>
                      <w:highlight w:val="none"/>
                      <w:lang w:val="en-US" w:eastAsia="zh-CN"/>
                    </w:rPr>
                    <w:t>0.184</w:t>
                  </w:r>
                </w:p>
              </w:tc>
              <w:tc>
                <w:tcPr>
                  <w:tcW w:w="1262" w:type="dxa"/>
                  <w:tcBorders>
                    <w:tl2br w:val="nil"/>
                    <w:tr2bl w:val="nil"/>
                  </w:tcBorders>
                  <w:vAlign w:val="center"/>
                </w:tcPr>
                <w:p>
                  <w:pPr>
                    <w:pStyle w:val="45"/>
                    <w:spacing w:beforeLines="0" w:afterLines="0" w:line="240" w:lineRule="auto"/>
                    <w:rPr>
                      <w:rFonts w:hAnsi="宋体" w:cs="宋体"/>
                      <w:sz w:val="18"/>
                      <w:szCs w:val="18"/>
                      <w:highlight w:val="none"/>
                    </w:rPr>
                  </w:pPr>
                  <w:r>
                    <w:rPr>
                      <w:rFonts w:hint="eastAsia" w:hAnsi="宋体" w:cs="宋体"/>
                      <w:kern w:val="2"/>
                      <w:sz w:val="18"/>
                      <w:szCs w:val="18"/>
                      <w:highlight w:val="none"/>
                    </w:rPr>
                    <w:t>+</w:t>
                  </w:r>
                  <w:r>
                    <w:rPr>
                      <w:rFonts w:hint="eastAsia" w:hAnsi="宋体" w:cs="宋体"/>
                      <w:kern w:val="2"/>
                      <w:sz w:val="18"/>
                      <w:szCs w:val="18"/>
                      <w:highlight w:val="none"/>
                      <w:lang w:val="en-US" w:eastAsia="zh-CN"/>
                    </w:rPr>
                    <w:t>0.123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9" w:type="dxa"/>
                  <w:vMerge w:val="restart"/>
                  <w:tcBorders>
                    <w:tl2br w:val="nil"/>
                    <w:tr2bl w:val="nil"/>
                  </w:tcBorders>
                  <w:vAlign w:val="center"/>
                </w:tcPr>
                <w:p>
                  <w:pPr>
                    <w:jc w:val="center"/>
                    <w:rPr>
                      <w:rFonts w:ascii="宋体" w:hAnsi="宋体" w:cs="宋体"/>
                      <w:snapToGrid w:val="0"/>
                      <w:kern w:val="21"/>
                      <w:sz w:val="18"/>
                      <w:szCs w:val="18"/>
                    </w:rPr>
                  </w:pPr>
                  <w:r>
                    <w:rPr>
                      <w:rFonts w:hint="eastAsia" w:ascii="宋体" w:hAnsi="宋体" w:cs="宋体"/>
                      <w:snapToGrid w:val="0"/>
                      <w:kern w:val="21"/>
                      <w:sz w:val="18"/>
                      <w:szCs w:val="18"/>
                      <w:lang w:bidi="zh-CN"/>
                    </w:rPr>
                    <w:t>废水</w:t>
                  </w:r>
                </w:p>
              </w:tc>
              <w:tc>
                <w:tcPr>
                  <w:tcW w:w="1240" w:type="dxa"/>
                  <w:tcBorders>
                    <w:tl2br w:val="nil"/>
                    <w:tr2bl w:val="nil"/>
                  </w:tcBorders>
                  <w:vAlign w:val="center"/>
                </w:tcPr>
                <w:p>
                  <w:pPr>
                    <w:pStyle w:val="54"/>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COD</w:t>
                  </w:r>
                </w:p>
              </w:tc>
              <w:tc>
                <w:tcPr>
                  <w:tcW w:w="1067" w:type="dxa"/>
                  <w:tcBorders>
                    <w:tl2br w:val="nil"/>
                    <w:tr2bl w:val="nil"/>
                  </w:tcBorders>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0.002017</w:t>
                  </w:r>
                </w:p>
              </w:tc>
              <w:tc>
                <w:tcPr>
                  <w:tcW w:w="1131" w:type="dxa"/>
                  <w:tcBorders>
                    <w:tl2br w:val="nil"/>
                    <w:tr2bl w:val="nil"/>
                  </w:tcBorders>
                  <w:vAlign w:val="center"/>
                </w:tcPr>
                <w:p>
                  <w:pPr>
                    <w:jc w:val="center"/>
                    <w:rPr>
                      <w:rFonts w:ascii="宋体" w:hAnsi="宋体" w:cs="宋体"/>
                      <w:bCs/>
                      <w:color w:val="000000" w:themeColor="text1"/>
                      <w:sz w:val="18"/>
                      <w:szCs w:val="18"/>
                      <w:highlight w:val="none"/>
                      <w:lang w:bidi="zh-CN"/>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0.002017</w:t>
                  </w:r>
                </w:p>
              </w:tc>
              <w:tc>
                <w:tcPr>
                  <w:tcW w:w="975" w:type="dxa"/>
                  <w:tcBorders>
                    <w:tl2br w:val="nil"/>
                    <w:tr2bl w:val="nil"/>
                  </w:tcBorders>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w:t>
                  </w:r>
                </w:p>
              </w:tc>
              <w:tc>
                <w:tcPr>
                  <w:tcW w:w="1262" w:type="dxa"/>
                  <w:tcBorders>
                    <w:tl2br w:val="nil"/>
                    <w:tr2bl w:val="nil"/>
                  </w:tcBorders>
                  <w:vAlign w:val="center"/>
                </w:tcPr>
                <w:p>
                  <w:pPr>
                    <w:jc w:val="center"/>
                    <w:rPr>
                      <w:rFonts w:ascii="宋体" w:hAnsi="宋体" w:cs="宋体"/>
                      <w:bCs/>
                      <w:color w:val="000000" w:themeColor="text1"/>
                      <w:sz w:val="18"/>
                      <w:szCs w:val="18"/>
                      <w:highlight w:val="none"/>
                      <w:lang w:bidi="zh-CN"/>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0.004034</w:t>
                  </w:r>
                </w:p>
              </w:tc>
              <w:tc>
                <w:tcPr>
                  <w:tcW w:w="1262" w:type="dxa"/>
                  <w:tcBorders>
                    <w:tl2br w:val="nil"/>
                    <w:tr2bl w:val="nil"/>
                  </w:tcBorders>
                  <w:vAlign w:val="center"/>
                </w:tcPr>
                <w:p>
                  <w:pPr>
                    <w:jc w:val="center"/>
                    <w:rPr>
                      <w:rFonts w:ascii="宋体" w:hAnsi="宋体" w:cs="宋体"/>
                      <w:bCs/>
                      <w:color w:val="000000" w:themeColor="text1"/>
                      <w:sz w:val="18"/>
                      <w:szCs w:val="18"/>
                      <w:highlight w:val="none"/>
                      <w:lang w:bidi="zh-CN"/>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+0.002017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9" w:type="dxa"/>
                  <w:vMerge w:val="continue"/>
                  <w:tcBorders>
                    <w:tl2br w:val="nil"/>
                    <w:tr2bl w:val="nil"/>
                  </w:tcBorders>
                  <w:vAlign w:val="center"/>
                </w:tcPr>
                <w:p>
                  <w:pPr>
                    <w:jc w:val="center"/>
                    <w:rPr>
                      <w:rFonts w:ascii="宋体" w:hAnsi="宋体" w:cs="宋体"/>
                      <w:snapToGrid w:val="0"/>
                      <w:kern w:val="21"/>
                      <w:sz w:val="18"/>
                      <w:szCs w:val="18"/>
                    </w:rPr>
                  </w:pPr>
                </w:p>
              </w:tc>
              <w:tc>
                <w:tcPr>
                  <w:tcW w:w="1240" w:type="dxa"/>
                  <w:tcBorders>
                    <w:tl2br w:val="nil"/>
                    <w:tr2bl w:val="nil"/>
                  </w:tcBorders>
                  <w:vAlign w:val="center"/>
                </w:tcPr>
                <w:p>
                  <w:pPr>
                    <w:pStyle w:val="54"/>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氨氮</w:t>
                  </w:r>
                </w:p>
              </w:tc>
              <w:tc>
                <w:tcPr>
                  <w:tcW w:w="1067" w:type="dxa"/>
                  <w:tcBorders>
                    <w:tl2br w:val="nil"/>
                    <w:tr2bl w:val="nil"/>
                  </w:tcBorders>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0.0002017</w:t>
                  </w:r>
                </w:p>
              </w:tc>
              <w:tc>
                <w:tcPr>
                  <w:tcW w:w="1131" w:type="dxa"/>
                  <w:tcBorders>
                    <w:tl2br w:val="nil"/>
                    <w:tr2bl w:val="nil"/>
                  </w:tcBorders>
                  <w:vAlign w:val="center"/>
                </w:tcPr>
                <w:p>
                  <w:pPr>
                    <w:jc w:val="center"/>
                    <w:rPr>
                      <w:rFonts w:ascii="宋体" w:hAnsi="宋体" w:cs="宋体"/>
                      <w:bCs/>
                      <w:color w:val="000000" w:themeColor="text1"/>
                      <w:sz w:val="18"/>
                      <w:szCs w:val="18"/>
                      <w:highlight w:val="none"/>
                      <w:lang w:bidi="zh-CN"/>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0.0002017</w:t>
                  </w:r>
                </w:p>
              </w:tc>
              <w:tc>
                <w:tcPr>
                  <w:tcW w:w="975" w:type="dxa"/>
                  <w:tcBorders>
                    <w:tl2br w:val="nil"/>
                    <w:tr2bl w:val="nil"/>
                  </w:tcBorders>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w:t>
                  </w:r>
                </w:p>
              </w:tc>
              <w:tc>
                <w:tcPr>
                  <w:tcW w:w="1262" w:type="dxa"/>
                  <w:tcBorders>
                    <w:tl2br w:val="nil"/>
                    <w:tr2bl w:val="nil"/>
                  </w:tcBorders>
                  <w:vAlign w:val="center"/>
                </w:tcPr>
                <w:p>
                  <w:pPr>
                    <w:jc w:val="center"/>
                    <w:rPr>
                      <w:rFonts w:ascii="宋体" w:hAnsi="宋体" w:cs="宋体"/>
                      <w:bCs/>
                      <w:color w:val="000000" w:themeColor="text1"/>
                      <w:sz w:val="18"/>
                      <w:szCs w:val="18"/>
                      <w:highlight w:val="none"/>
                      <w:lang w:bidi="zh-CN"/>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0.0004034</w:t>
                  </w:r>
                </w:p>
              </w:tc>
              <w:tc>
                <w:tcPr>
                  <w:tcW w:w="1262" w:type="dxa"/>
                  <w:tcBorders>
                    <w:tl2br w:val="nil"/>
                    <w:tr2bl w:val="nil"/>
                  </w:tcBorders>
                  <w:vAlign w:val="center"/>
                </w:tcPr>
                <w:p>
                  <w:pPr>
                    <w:jc w:val="center"/>
                    <w:rPr>
                      <w:rFonts w:ascii="宋体" w:hAnsi="宋体" w:cs="宋体"/>
                      <w:bCs/>
                      <w:color w:val="000000" w:themeColor="text1"/>
                      <w:sz w:val="18"/>
                      <w:szCs w:val="18"/>
                      <w:highlight w:val="none"/>
                      <w:lang w:bidi="zh-CN"/>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+0.0002017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9" w:type="dxa"/>
                  <w:vMerge w:val="restart"/>
                  <w:tcBorders>
                    <w:tl2br w:val="nil"/>
                    <w:tr2bl w:val="nil"/>
                  </w:tcBorders>
                  <w:vAlign w:val="center"/>
                </w:tcPr>
                <w:p>
                  <w:pPr>
                    <w:jc w:val="center"/>
                    <w:rPr>
                      <w:rFonts w:ascii="宋体" w:hAnsi="宋体" w:cs="宋体"/>
                      <w:snapToGrid w:val="0"/>
                      <w:kern w:val="21"/>
                      <w:sz w:val="18"/>
                      <w:szCs w:val="18"/>
                      <w:lang w:bidi="zh-CN"/>
                    </w:rPr>
                  </w:pPr>
                  <w:r>
                    <w:rPr>
                      <w:rFonts w:hint="eastAsia" w:ascii="宋体" w:hAnsi="宋体" w:cs="宋体"/>
                      <w:snapToGrid w:val="0"/>
                      <w:kern w:val="21"/>
                      <w:sz w:val="18"/>
                      <w:szCs w:val="18"/>
                      <w:lang w:bidi="zh-CN"/>
                    </w:rPr>
                    <w:t>一般工业固体废物</w:t>
                  </w:r>
                </w:p>
              </w:tc>
              <w:tc>
                <w:tcPr>
                  <w:tcW w:w="1240" w:type="dxa"/>
                  <w:tcBorders>
                    <w:tl2br w:val="nil"/>
                    <w:tr2bl w:val="nil"/>
                  </w:tcBorders>
                  <w:vAlign w:val="center"/>
                </w:tcPr>
                <w:p>
                  <w:pPr>
                    <w:pStyle w:val="45"/>
                    <w:spacing w:beforeLines="0" w:afterLines="0" w:line="240" w:lineRule="auto"/>
                    <w:rPr>
                      <w:rFonts w:hAnsi="宋体" w:cs="宋体"/>
                      <w:color w:val="000000" w:themeColor="text1"/>
                      <w:sz w:val="18"/>
                      <w:szCs w:val="18"/>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生活垃圾</w:t>
                  </w:r>
                </w:p>
              </w:tc>
              <w:tc>
                <w:tcPr>
                  <w:tcW w:w="1067" w:type="dxa"/>
                  <w:tcBorders>
                    <w:tl2br w:val="nil"/>
                    <w:tr2bl w:val="nil"/>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napToGrid w:val="0"/>
                      <w:color w:val="000000" w:themeColor="text1"/>
                      <w:kern w:val="21"/>
                      <w:sz w:val="18"/>
                      <w:szCs w:val="18"/>
                      <w14:textFill>
                        <w14:solidFill>
                          <w14:schemeClr w14:val="tx1"/>
                        </w14:solidFill>
                      </w14:textFill>
                    </w:rPr>
                    <w:t>0.25</w:t>
                  </w:r>
                </w:p>
              </w:tc>
              <w:tc>
                <w:tcPr>
                  <w:tcW w:w="1131" w:type="dxa"/>
                  <w:tcBorders>
                    <w:tl2br w:val="nil"/>
                    <w:tr2bl w:val="nil"/>
                  </w:tcBorders>
                  <w:vAlign w:val="center"/>
                </w:tcPr>
                <w:p>
                  <w:pPr>
                    <w:pStyle w:val="45"/>
                    <w:spacing w:beforeLines="0" w:afterLines="0" w:line="240" w:lineRule="auto"/>
                    <w:rPr>
                      <w:rFonts w:hAnsi="宋体" w:cs="宋体"/>
                      <w:bCs/>
                      <w:color w:val="000000" w:themeColor="text1"/>
                      <w:sz w:val="18"/>
                      <w:szCs w:val="18"/>
                      <w:lang w:bidi="zh-CN"/>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0.25</w:t>
                  </w:r>
                </w:p>
              </w:tc>
              <w:tc>
                <w:tcPr>
                  <w:tcW w:w="975" w:type="dxa"/>
                  <w:tcBorders>
                    <w:tl2br w:val="nil"/>
                    <w:tr2bl w:val="nil"/>
                  </w:tcBorders>
                  <w:vAlign w:val="center"/>
                </w:tcPr>
                <w:p>
                  <w:pPr>
                    <w:jc w:val="center"/>
                    <w:rPr>
                      <w:rFonts w:ascii="宋体" w:hAnsi="宋体" w:cs="宋体"/>
                      <w:snapToGrid w:val="0"/>
                      <w:color w:val="000000" w:themeColor="text1"/>
                      <w:kern w:val="21"/>
                      <w:sz w:val="18"/>
                      <w:szCs w:val="18"/>
                      <w14:textFill>
                        <w14:solidFill>
                          <w14:schemeClr w14:val="tx1"/>
                        </w14:solidFill>
                      </w14:textFill>
                    </w:rPr>
                  </w:pPr>
                  <w:r>
                    <w:rPr>
                      <w:rFonts w:hint="eastAsia" w:ascii="宋体" w:hAnsi="宋体" w:cs="宋体"/>
                      <w:snapToGrid w:val="0"/>
                      <w:color w:val="000000" w:themeColor="text1"/>
                      <w:kern w:val="21"/>
                      <w:sz w:val="18"/>
                      <w:szCs w:val="18"/>
                      <w14:textFill>
                        <w14:solidFill>
                          <w14:schemeClr w14:val="tx1"/>
                        </w14:solidFill>
                      </w14:textFill>
                    </w:rPr>
                    <w:t>/</w:t>
                  </w:r>
                </w:p>
              </w:tc>
              <w:tc>
                <w:tcPr>
                  <w:tcW w:w="1262" w:type="dxa"/>
                  <w:tcBorders>
                    <w:tl2br w:val="nil"/>
                    <w:tr2bl w:val="nil"/>
                  </w:tcBorders>
                  <w:vAlign w:val="center"/>
                </w:tcPr>
                <w:p>
                  <w:pPr>
                    <w:pStyle w:val="45"/>
                    <w:spacing w:beforeLines="0" w:afterLines="0" w:line="240" w:lineRule="auto"/>
                    <w:rPr>
                      <w:rFonts w:hAnsi="宋体" w:cs="宋体"/>
                      <w:bCs/>
                      <w:color w:val="000000" w:themeColor="text1"/>
                      <w:sz w:val="18"/>
                      <w:szCs w:val="18"/>
                      <w:lang w:bidi="zh-CN"/>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0.5</w:t>
                  </w:r>
                </w:p>
              </w:tc>
              <w:tc>
                <w:tcPr>
                  <w:tcW w:w="1262" w:type="dxa"/>
                  <w:tcBorders>
                    <w:tl2br w:val="nil"/>
                    <w:tr2bl w:val="nil"/>
                  </w:tcBorders>
                  <w:vAlign w:val="center"/>
                </w:tcPr>
                <w:p>
                  <w:pPr>
                    <w:pStyle w:val="45"/>
                    <w:spacing w:beforeLines="0" w:afterLines="0" w:line="240" w:lineRule="auto"/>
                    <w:rPr>
                      <w:rFonts w:hAnsi="宋体" w:cs="宋体"/>
                      <w:bCs/>
                      <w:color w:val="000000" w:themeColor="text1"/>
                      <w:sz w:val="18"/>
                      <w:szCs w:val="18"/>
                      <w:lang w:bidi="zh-CN"/>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9" w:type="dxa"/>
                  <w:vMerge w:val="continue"/>
                  <w:tcBorders>
                    <w:tl2br w:val="nil"/>
                    <w:tr2bl w:val="nil"/>
                  </w:tcBorders>
                  <w:vAlign w:val="center"/>
                </w:tcPr>
                <w:p>
                  <w:pPr>
                    <w:jc w:val="center"/>
                    <w:rPr>
                      <w:rFonts w:ascii="宋体" w:hAnsi="宋体" w:cs="宋体"/>
                      <w:snapToGrid w:val="0"/>
                      <w:kern w:val="21"/>
                      <w:sz w:val="18"/>
                      <w:szCs w:val="18"/>
                      <w:lang w:bidi="zh-CN"/>
                    </w:rPr>
                  </w:pPr>
                </w:p>
              </w:tc>
              <w:tc>
                <w:tcPr>
                  <w:tcW w:w="1240" w:type="dxa"/>
                  <w:tcBorders>
                    <w:tl2br w:val="nil"/>
                    <w:tr2bl w:val="nil"/>
                  </w:tcBorders>
                  <w:vAlign w:val="center"/>
                </w:tcPr>
                <w:p>
                  <w:pPr>
                    <w:pStyle w:val="45"/>
                    <w:spacing w:beforeLines="0" w:afterLines="0" w:line="240" w:lineRule="auto"/>
                    <w:rPr>
                      <w:rFonts w:hAnsi="宋体" w:cs="宋体"/>
                      <w:color w:val="000000" w:themeColor="text1"/>
                      <w:sz w:val="18"/>
                      <w:szCs w:val="18"/>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炉渣</w:t>
                  </w:r>
                </w:p>
              </w:tc>
              <w:tc>
                <w:tcPr>
                  <w:tcW w:w="1067" w:type="dxa"/>
                  <w:tcBorders>
                    <w:tl2br w:val="nil"/>
                    <w:tr2bl w:val="nil"/>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ascii="宋体" w:hAnsi="宋体" w:cs="宋体"/>
                      <w:snapToGrid w:val="0"/>
                      <w:color w:val="000000" w:themeColor="text1"/>
                      <w:kern w:val="21"/>
                      <w:sz w:val="18"/>
                      <w:szCs w:val="18"/>
                      <w14:textFill>
                        <w14:solidFill>
                          <w14:schemeClr w14:val="tx1"/>
                        </w14:solidFill>
                      </w14:textFill>
                    </w:rPr>
                    <w:t>2.16</w:t>
                  </w:r>
                </w:p>
              </w:tc>
              <w:tc>
                <w:tcPr>
                  <w:tcW w:w="1131" w:type="dxa"/>
                  <w:tcBorders>
                    <w:tl2br w:val="nil"/>
                    <w:tr2bl w:val="nil"/>
                  </w:tcBorders>
                  <w:vAlign w:val="center"/>
                </w:tcPr>
                <w:p>
                  <w:pPr>
                    <w:pStyle w:val="45"/>
                    <w:spacing w:beforeLines="0" w:afterLines="0" w:line="240" w:lineRule="auto"/>
                    <w:rPr>
                      <w:rFonts w:hAnsi="宋体" w:cs="宋体"/>
                      <w:bCs/>
                      <w:color w:val="000000" w:themeColor="text1"/>
                      <w:sz w:val="18"/>
                      <w:szCs w:val="18"/>
                      <w:lang w:bidi="zh-CN"/>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4.32</w:t>
                  </w:r>
                </w:p>
              </w:tc>
              <w:tc>
                <w:tcPr>
                  <w:tcW w:w="975" w:type="dxa"/>
                  <w:tcBorders>
                    <w:tl2br w:val="nil"/>
                    <w:tr2bl w:val="nil"/>
                  </w:tcBorders>
                  <w:vAlign w:val="center"/>
                </w:tcPr>
                <w:p>
                  <w:pPr>
                    <w:jc w:val="center"/>
                    <w:rPr>
                      <w:rFonts w:ascii="宋体" w:hAnsi="宋体" w:cs="宋体"/>
                      <w:snapToGrid w:val="0"/>
                      <w:color w:val="000000" w:themeColor="text1"/>
                      <w:kern w:val="21"/>
                      <w:sz w:val="18"/>
                      <w:szCs w:val="18"/>
                      <w14:textFill>
                        <w14:solidFill>
                          <w14:schemeClr w14:val="tx1"/>
                        </w14:solidFill>
                      </w14:textFill>
                    </w:rPr>
                  </w:pPr>
                  <w:r>
                    <w:rPr>
                      <w:rFonts w:hint="eastAsia" w:ascii="宋体" w:hAnsi="宋体" w:cs="宋体"/>
                      <w:snapToGrid w:val="0"/>
                      <w:color w:val="000000" w:themeColor="text1"/>
                      <w:kern w:val="21"/>
                      <w:sz w:val="18"/>
                      <w:szCs w:val="18"/>
                      <w14:textFill>
                        <w14:solidFill>
                          <w14:schemeClr w14:val="tx1"/>
                        </w14:solidFill>
                      </w14:textFill>
                    </w:rPr>
                    <w:t>/</w:t>
                  </w:r>
                </w:p>
              </w:tc>
              <w:tc>
                <w:tcPr>
                  <w:tcW w:w="1262" w:type="dxa"/>
                  <w:tcBorders>
                    <w:tl2br w:val="nil"/>
                    <w:tr2bl w:val="nil"/>
                  </w:tcBorders>
                  <w:vAlign w:val="center"/>
                </w:tcPr>
                <w:p>
                  <w:pPr>
                    <w:pStyle w:val="45"/>
                    <w:spacing w:beforeLines="0" w:afterLines="0" w:line="240" w:lineRule="auto"/>
                    <w:rPr>
                      <w:rFonts w:hAnsi="宋体" w:cs="宋体"/>
                      <w:bCs/>
                      <w:color w:val="000000" w:themeColor="text1"/>
                      <w:sz w:val="18"/>
                      <w:szCs w:val="18"/>
                      <w:lang w:bidi="zh-CN"/>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6.48</w:t>
                  </w:r>
                </w:p>
              </w:tc>
              <w:tc>
                <w:tcPr>
                  <w:tcW w:w="1262" w:type="dxa"/>
                  <w:tcBorders>
                    <w:tl2br w:val="nil"/>
                    <w:tr2bl w:val="nil"/>
                  </w:tcBorders>
                  <w:vAlign w:val="center"/>
                </w:tcPr>
                <w:p>
                  <w:pPr>
                    <w:pStyle w:val="45"/>
                    <w:spacing w:beforeLines="0" w:afterLines="0" w:line="240" w:lineRule="auto"/>
                    <w:rPr>
                      <w:rFonts w:hAnsi="宋体" w:cs="宋体"/>
                      <w:bCs/>
                      <w:color w:val="000000" w:themeColor="text1"/>
                      <w:sz w:val="18"/>
                      <w:szCs w:val="18"/>
                      <w:lang w:bidi="zh-CN"/>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+4.32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9" w:type="dxa"/>
                  <w:vMerge w:val="continue"/>
                  <w:tcBorders>
                    <w:tl2br w:val="nil"/>
                    <w:tr2bl w:val="nil"/>
                  </w:tcBorders>
                  <w:vAlign w:val="center"/>
                </w:tcPr>
                <w:p>
                  <w:pPr>
                    <w:jc w:val="center"/>
                    <w:rPr>
                      <w:rFonts w:ascii="宋体" w:hAnsi="宋体" w:cs="宋体"/>
                      <w:snapToGrid w:val="0"/>
                      <w:kern w:val="21"/>
                      <w:sz w:val="18"/>
                      <w:szCs w:val="18"/>
                      <w:lang w:bidi="zh-CN"/>
                    </w:rPr>
                  </w:pPr>
                </w:p>
              </w:tc>
              <w:tc>
                <w:tcPr>
                  <w:tcW w:w="1240" w:type="dxa"/>
                  <w:tcBorders>
                    <w:tl2br w:val="nil"/>
                    <w:tr2bl w:val="nil"/>
                  </w:tcBorders>
                  <w:vAlign w:val="center"/>
                </w:tcPr>
                <w:p>
                  <w:pPr>
                    <w:pStyle w:val="45"/>
                    <w:spacing w:beforeLines="0" w:afterLines="0" w:line="240" w:lineRule="auto"/>
                    <w:rPr>
                      <w:rFonts w:hAnsi="宋体" w:cs="宋体"/>
                      <w:color w:val="000000" w:themeColor="text1"/>
                      <w:sz w:val="18"/>
                      <w:szCs w:val="18"/>
                      <w:highlight w:val="none"/>
                      <w14:textFill>
                        <w14:solidFill>
                          <w14:schemeClr w14:val="tx1"/>
                        </w14:solidFill>
                      </w14:textFill>
                    </w:rPr>
                  </w:pPr>
                  <w:r>
                    <w:rPr>
                      <w:rFonts w:hint="eastAsia" w:hAnsi="宋体" w:cs="宋体"/>
                      <w:snapToGrid w:val="0"/>
                      <w:color w:val="000000" w:themeColor="text1"/>
                      <w:kern w:val="21"/>
                      <w:sz w:val="18"/>
                      <w:szCs w:val="18"/>
                      <w:highlight w:val="none"/>
                      <w14:textFill>
                        <w14:solidFill>
                          <w14:schemeClr w14:val="tx1"/>
                        </w14:solidFill>
                      </w14:textFill>
                    </w:rPr>
                    <w:t>锅炉除尘灰</w:t>
                  </w:r>
                </w:p>
              </w:tc>
              <w:tc>
                <w:tcPr>
                  <w:tcW w:w="1067" w:type="dxa"/>
                  <w:tcBorders>
                    <w:tl2br w:val="nil"/>
                    <w:tr2bl w:val="nil"/>
                  </w:tcBorders>
                  <w:vAlign w:val="center"/>
                </w:tcPr>
                <w:p>
                  <w:pPr>
                    <w:jc w:val="center"/>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cs="宋体"/>
                      <w:snapToGrid w:val="0"/>
                      <w:color w:val="000000" w:themeColor="text1"/>
                      <w:kern w:val="21"/>
                      <w:sz w:val="18"/>
                      <w:szCs w:val="18"/>
                      <w:highlight w:val="none"/>
                      <w:lang w:eastAsia="zh-CN"/>
                      <w14:textFill>
                        <w14:solidFill>
                          <w14:schemeClr w14:val="tx1"/>
                        </w14:solidFill>
                      </w14:textFill>
                    </w:rPr>
                    <w:t>2.44</w:t>
                  </w:r>
                </w:p>
              </w:tc>
              <w:tc>
                <w:tcPr>
                  <w:tcW w:w="1131" w:type="dxa"/>
                  <w:tcBorders>
                    <w:tl2br w:val="nil"/>
                    <w:tr2bl w:val="nil"/>
                  </w:tcBorders>
                  <w:vAlign w:val="center"/>
                </w:tcPr>
                <w:p>
                  <w:pPr>
                    <w:pStyle w:val="45"/>
                    <w:spacing w:beforeLines="0" w:afterLines="0" w:line="240" w:lineRule="auto"/>
                    <w:rPr>
                      <w:rFonts w:hint="eastAsia" w:hAnsi="宋体" w:eastAsia="宋体" w:cs="宋体"/>
                      <w:bCs/>
                      <w:color w:val="000000" w:themeColor="text1"/>
                      <w:sz w:val="18"/>
                      <w:szCs w:val="18"/>
                      <w:highlight w:val="none"/>
                      <w:lang w:eastAsia="zh-CN" w:bidi="zh-CN"/>
                      <w14:textFill>
                        <w14:solidFill>
                          <w14:schemeClr w14:val="tx1"/>
                        </w14:solidFill>
                      </w14:textFill>
                    </w:rPr>
                  </w:pPr>
                  <w:r>
                    <w:rPr>
                      <w:rFonts w:hint="eastAsia" w:hAnsi="宋体" w:cs="宋体"/>
                      <w:snapToGrid w:val="0"/>
                      <w:color w:val="000000" w:themeColor="text1"/>
                      <w:kern w:val="21"/>
                      <w:sz w:val="18"/>
                      <w:szCs w:val="18"/>
                      <w:highlight w:val="none"/>
                      <w:lang w:eastAsia="zh-CN"/>
                      <w14:textFill>
                        <w14:solidFill>
                          <w14:schemeClr w14:val="tx1"/>
                        </w14:solidFill>
                      </w14:textFill>
                    </w:rPr>
                    <w:t>6.18</w:t>
                  </w:r>
                </w:p>
              </w:tc>
              <w:tc>
                <w:tcPr>
                  <w:tcW w:w="975" w:type="dxa"/>
                  <w:tcBorders>
                    <w:tl2br w:val="nil"/>
                    <w:tr2bl w:val="nil"/>
                  </w:tcBorders>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w:t>
                  </w:r>
                </w:p>
              </w:tc>
              <w:tc>
                <w:tcPr>
                  <w:tcW w:w="1262" w:type="dxa"/>
                  <w:tcBorders>
                    <w:tl2br w:val="nil"/>
                    <w:tr2bl w:val="nil"/>
                  </w:tcBorders>
                  <w:vAlign w:val="center"/>
                </w:tcPr>
                <w:p>
                  <w:pPr>
                    <w:pStyle w:val="45"/>
                    <w:spacing w:beforeLines="0" w:afterLines="0" w:line="240" w:lineRule="auto"/>
                    <w:rPr>
                      <w:rFonts w:hint="eastAsia" w:hAnsi="宋体" w:eastAsia="宋体" w:cs="宋体"/>
                      <w:bCs/>
                      <w:color w:val="000000" w:themeColor="text1"/>
                      <w:sz w:val="18"/>
                      <w:szCs w:val="18"/>
                      <w:highlight w:val="none"/>
                      <w:lang w:eastAsia="zh-CN" w:bidi="zh-CN"/>
                      <w14:textFill>
                        <w14:solidFill>
                          <w14:schemeClr w14:val="tx1"/>
                        </w14:solidFill>
                      </w14:textFill>
                    </w:rPr>
                  </w:pPr>
                  <w:r>
                    <w:rPr>
                      <w:rFonts w:hint="eastAsia" w:hAnsi="宋体" w:cs="宋体"/>
                      <w:snapToGrid w:val="0"/>
                      <w:color w:val="000000" w:themeColor="text1"/>
                      <w:kern w:val="21"/>
                      <w:sz w:val="18"/>
                      <w:szCs w:val="18"/>
                      <w:highlight w:val="none"/>
                      <w:lang w:eastAsia="zh-CN"/>
                      <w14:textFill>
                        <w14:solidFill>
                          <w14:schemeClr w14:val="tx1"/>
                        </w14:solidFill>
                      </w14:textFill>
                    </w:rPr>
                    <w:t>8.62</w:t>
                  </w:r>
                </w:p>
              </w:tc>
              <w:tc>
                <w:tcPr>
                  <w:tcW w:w="1262" w:type="dxa"/>
                  <w:tcBorders>
                    <w:tl2br w:val="nil"/>
                    <w:tr2bl w:val="nil"/>
                  </w:tcBorders>
                  <w:vAlign w:val="center"/>
                </w:tcPr>
                <w:p>
                  <w:pPr>
                    <w:pStyle w:val="45"/>
                    <w:spacing w:beforeLines="0" w:afterLines="0" w:line="240" w:lineRule="auto"/>
                    <w:rPr>
                      <w:rFonts w:hint="eastAsia" w:hAnsi="宋体" w:eastAsia="宋体" w:cs="宋体"/>
                      <w:bCs/>
                      <w:color w:val="000000" w:themeColor="text1"/>
                      <w:sz w:val="18"/>
                      <w:szCs w:val="18"/>
                      <w:highlight w:val="none"/>
                      <w:lang w:eastAsia="zh-CN" w:bidi="zh-CN"/>
                      <w14:textFill>
                        <w14:solidFill>
                          <w14:schemeClr w14:val="tx1"/>
                        </w14:solidFill>
                      </w14:textFill>
                    </w:rPr>
                  </w:pPr>
                  <w:r>
                    <w:rPr>
                      <w:rFonts w:hint="eastAsia" w:hAnsi="宋体" w:cs="宋体"/>
                      <w:snapToGrid w:val="0"/>
                      <w:color w:val="000000" w:themeColor="text1"/>
                      <w:kern w:val="21"/>
                      <w:sz w:val="18"/>
                      <w:szCs w:val="18"/>
                      <w:highlight w:val="none"/>
                      <w14:textFill>
                        <w14:solidFill>
                          <w14:schemeClr w14:val="tx1"/>
                        </w14:solidFill>
                      </w14:textFill>
                    </w:rPr>
                    <w:t>+</w:t>
                  </w:r>
                  <w:r>
                    <w:rPr>
                      <w:rFonts w:hint="eastAsia" w:hAnsi="宋体" w:cs="宋体"/>
                      <w:snapToGrid w:val="0"/>
                      <w:color w:val="000000" w:themeColor="text1"/>
                      <w:kern w:val="21"/>
                      <w:sz w:val="18"/>
                      <w:szCs w:val="18"/>
                      <w:highlight w:val="none"/>
                      <w:lang w:eastAsia="zh-CN"/>
                      <w14:textFill>
                        <w14:solidFill>
                          <w14:schemeClr w14:val="tx1"/>
                        </w14:solidFill>
                      </w14:textFill>
                    </w:rPr>
                    <w:t>6.18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9" w:type="dxa"/>
                  <w:vMerge w:val="continue"/>
                  <w:tcBorders>
                    <w:tl2br w:val="nil"/>
                    <w:tr2bl w:val="nil"/>
                  </w:tcBorders>
                  <w:vAlign w:val="center"/>
                </w:tcPr>
                <w:p>
                  <w:pPr>
                    <w:jc w:val="center"/>
                    <w:rPr>
                      <w:rFonts w:ascii="宋体" w:hAnsi="宋体" w:cs="宋体"/>
                      <w:snapToGrid w:val="0"/>
                      <w:kern w:val="21"/>
                      <w:sz w:val="18"/>
                      <w:szCs w:val="18"/>
                      <w:lang w:bidi="zh-CN"/>
                    </w:rPr>
                  </w:pPr>
                </w:p>
              </w:tc>
              <w:tc>
                <w:tcPr>
                  <w:tcW w:w="1240"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粉碎除尘灰</w:t>
                  </w:r>
                </w:p>
              </w:tc>
              <w:tc>
                <w:tcPr>
                  <w:tcW w:w="1067" w:type="dxa"/>
                  <w:tcBorders>
                    <w:tl2br w:val="nil"/>
                    <w:tr2bl w:val="nil"/>
                  </w:tcBorders>
                  <w:vAlign w:val="center"/>
                </w:tcPr>
                <w:p>
                  <w:pPr>
                    <w:jc w:val="center"/>
                    <w:rPr>
                      <w:rFonts w:ascii="宋体" w:hAnsi="宋体" w:cs="宋体"/>
                      <w:snapToGrid w:val="0"/>
                      <w:kern w:val="21"/>
                      <w:sz w:val="18"/>
                      <w:szCs w:val="18"/>
                    </w:rPr>
                  </w:pPr>
                  <w:r>
                    <w:rPr>
                      <w:rFonts w:hint="eastAsia" w:ascii="宋体" w:hAnsi="宋体" w:cs="宋体"/>
                      <w:snapToGrid w:val="0"/>
                      <w:kern w:val="21"/>
                      <w:sz w:val="18"/>
                      <w:szCs w:val="18"/>
                    </w:rPr>
                    <w:t>0.43</w:t>
                  </w:r>
                </w:p>
              </w:tc>
              <w:tc>
                <w:tcPr>
                  <w:tcW w:w="1131"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0.43</w:t>
                  </w:r>
                </w:p>
              </w:tc>
              <w:tc>
                <w:tcPr>
                  <w:tcW w:w="975" w:type="dxa"/>
                  <w:tcBorders>
                    <w:tl2br w:val="nil"/>
                    <w:tr2bl w:val="nil"/>
                  </w:tcBorders>
                  <w:vAlign w:val="center"/>
                </w:tcPr>
                <w:p>
                  <w:pPr>
                    <w:jc w:val="center"/>
                    <w:rPr>
                      <w:rFonts w:ascii="宋体" w:hAnsi="宋体" w:cs="宋体"/>
                      <w:snapToGrid w:val="0"/>
                      <w:kern w:val="21"/>
                      <w:sz w:val="18"/>
                      <w:szCs w:val="18"/>
                    </w:rPr>
                  </w:pPr>
                </w:p>
              </w:tc>
              <w:tc>
                <w:tcPr>
                  <w:tcW w:w="1262"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0.86</w:t>
                  </w:r>
                </w:p>
              </w:tc>
              <w:tc>
                <w:tcPr>
                  <w:tcW w:w="1262"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9" w:type="dxa"/>
                  <w:vMerge w:val="continue"/>
                  <w:tcBorders>
                    <w:tl2br w:val="nil"/>
                    <w:tr2bl w:val="nil"/>
                  </w:tcBorders>
                  <w:vAlign w:val="center"/>
                </w:tcPr>
                <w:p>
                  <w:pPr>
                    <w:jc w:val="center"/>
                    <w:rPr>
                      <w:rFonts w:ascii="宋体" w:hAnsi="宋体" w:cs="宋体"/>
                      <w:snapToGrid w:val="0"/>
                      <w:kern w:val="21"/>
                      <w:sz w:val="18"/>
                      <w:szCs w:val="18"/>
                      <w:lang w:bidi="zh-CN"/>
                    </w:rPr>
                  </w:pPr>
                </w:p>
              </w:tc>
              <w:tc>
                <w:tcPr>
                  <w:tcW w:w="1240" w:type="dxa"/>
                  <w:tcBorders>
                    <w:tl2br w:val="nil"/>
                    <w:tr2bl w:val="nil"/>
                  </w:tcBorders>
                  <w:vAlign w:val="center"/>
                </w:tcPr>
                <w:p>
                  <w:pPr>
                    <w:pStyle w:val="45"/>
                    <w:spacing w:beforeLines="0" w:afterLines="0" w:line="240" w:lineRule="auto"/>
                    <w:rPr>
                      <w:rFonts w:hAnsi="宋体" w:cs="宋体"/>
                      <w:sz w:val="18"/>
                      <w:szCs w:val="18"/>
                    </w:rPr>
                  </w:pPr>
                  <w:r>
                    <w:rPr>
                      <w:rFonts w:hint="eastAsia" w:hAnsi="宋体" w:cs="宋体"/>
                      <w:snapToGrid w:val="0"/>
                      <w:kern w:val="21"/>
                      <w:sz w:val="18"/>
                      <w:szCs w:val="18"/>
                    </w:rPr>
                    <w:t>废培养皿</w:t>
                  </w:r>
                </w:p>
              </w:tc>
              <w:tc>
                <w:tcPr>
                  <w:tcW w:w="1067" w:type="dxa"/>
                  <w:tcBorders>
                    <w:tl2br w:val="nil"/>
                    <w:tr2bl w:val="nil"/>
                  </w:tcBorders>
                  <w:vAlign w:val="center"/>
                </w:tcPr>
                <w:p>
                  <w:pPr>
                    <w:jc w:val="center"/>
                    <w:rPr>
                      <w:rFonts w:ascii="宋体" w:hAnsi="宋体" w:cs="宋体"/>
                      <w:sz w:val="18"/>
                      <w:szCs w:val="18"/>
                    </w:rPr>
                  </w:pPr>
                  <w:r>
                    <w:rPr>
                      <w:rFonts w:hint="eastAsia" w:ascii="宋体" w:hAnsi="宋体" w:cs="宋体"/>
                      <w:snapToGrid w:val="0"/>
                      <w:kern w:val="21"/>
                      <w:sz w:val="18"/>
                      <w:szCs w:val="18"/>
                    </w:rPr>
                    <w:t>0.025</w:t>
                  </w:r>
                </w:p>
              </w:tc>
              <w:tc>
                <w:tcPr>
                  <w:tcW w:w="1131" w:type="dxa"/>
                  <w:tcBorders>
                    <w:tl2br w:val="nil"/>
                    <w:tr2bl w:val="nil"/>
                  </w:tcBorders>
                  <w:vAlign w:val="center"/>
                </w:tcPr>
                <w:p>
                  <w:pPr>
                    <w:pStyle w:val="45"/>
                    <w:spacing w:beforeLines="0" w:afterLines="0" w:line="240" w:lineRule="auto"/>
                    <w:rPr>
                      <w:rFonts w:hAnsi="宋体" w:cs="宋体"/>
                      <w:bCs/>
                      <w:sz w:val="18"/>
                      <w:szCs w:val="18"/>
                      <w:lang w:bidi="zh-CN"/>
                    </w:rPr>
                  </w:pPr>
                  <w:r>
                    <w:rPr>
                      <w:rFonts w:hint="eastAsia" w:hAnsi="宋体" w:cs="宋体"/>
                      <w:snapToGrid w:val="0"/>
                      <w:kern w:val="21"/>
                      <w:sz w:val="18"/>
                      <w:szCs w:val="18"/>
                    </w:rPr>
                    <w:t>0.025</w:t>
                  </w:r>
                </w:p>
              </w:tc>
              <w:tc>
                <w:tcPr>
                  <w:tcW w:w="975" w:type="dxa"/>
                  <w:tcBorders>
                    <w:tl2br w:val="nil"/>
                    <w:tr2bl w:val="nil"/>
                  </w:tcBorders>
                  <w:vAlign w:val="center"/>
                </w:tcPr>
                <w:p>
                  <w:pPr>
                    <w:jc w:val="center"/>
                    <w:rPr>
                      <w:rFonts w:ascii="宋体" w:hAnsi="宋体" w:cs="宋体"/>
                      <w:snapToGrid w:val="0"/>
                      <w:kern w:val="21"/>
                      <w:sz w:val="18"/>
                      <w:szCs w:val="18"/>
                    </w:rPr>
                  </w:pPr>
                  <w:r>
                    <w:rPr>
                      <w:rFonts w:hint="eastAsia" w:ascii="宋体" w:hAnsi="宋体" w:cs="宋体"/>
                      <w:snapToGrid w:val="0"/>
                      <w:kern w:val="21"/>
                      <w:sz w:val="18"/>
                      <w:szCs w:val="18"/>
                    </w:rPr>
                    <w:t>/</w:t>
                  </w:r>
                </w:p>
              </w:tc>
              <w:tc>
                <w:tcPr>
                  <w:tcW w:w="1262" w:type="dxa"/>
                  <w:tcBorders>
                    <w:tl2br w:val="nil"/>
                    <w:tr2bl w:val="nil"/>
                  </w:tcBorders>
                  <w:vAlign w:val="center"/>
                </w:tcPr>
                <w:p>
                  <w:pPr>
                    <w:pStyle w:val="45"/>
                    <w:spacing w:beforeLines="0" w:afterLines="0" w:line="240" w:lineRule="auto"/>
                    <w:rPr>
                      <w:rFonts w:hAnsi="宋体" w:cs="宋体"/>
                      <w:bCs/>
                      <w:sz w:val="18"/>
                      <w:szCs w:val="18"/>
                      <w:lang w:bidi="zh-CN"/>
                    </w:rPr>
                  </w:pPr>
                  <w:r>
                    <w:rPr>
                      <w:rFonts w:hint="eastAsia" w:hAnsi="宋体" w:cs="宋体"/>
                      <w:snapToGrid w:val="0"/>
                      <w:kern w:val="21"/>
                      <w:sz w:val="18"/>
                      <w:szCs w:val="18"/>
                    </w:rPr>
                    <w:t>0.05</w:t>
                  </w:r>
                </w:p>
              </w:tc>
              <w:tc>
                <w:tcPr>
                  <w:tcW w:w="1262" w:type="dxa"/>
                  <w:tcBorders>
                    <w:tl2br w:val="nil"/>
                    <w:tr2bl w:val="nil"/>
                  </w:tcBorders>
                  <w:vAlign w:val="center"/>
                </w:tcPr>
                <w:p>
                  <w:pPr>
                    <w:pStyle w:val="45"/>
                    <w:spacing w:beforeLines="0" w:afterLines="0" w:line="240" w:lineRule="auto"/>
                    <w:rPr>
                      <w:rFonts w:hAnsi="宋体" w:cs="宋体"/>
                      <w:bCs/>
                      <w:sz w:val="18"/>
                      <w:szCs w:val="18"/>
                      <w:lang w:bidi="zh-CN"/>
                    </w:rPr>
                  </w:pPr>
                  <w:r>
                    <w:rPr>
                      <w:rFonts w:hint="eastAsia" w:hAnsi="宋体" w:cs="宋体"/>
                      <w:snapToGrid w:val="0"/>
                      <w:kern w:val="21"/>
                      <w:sz w:val="18"/>
                      <w:szCs w:val="18"/>
                    </w:rPr>
                    <w:t>+0.025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9" w:type="dxa"/>
                  <w:vMerge w:val="continue"/>
                  <w:tcBorders>
                    <w:tl2br w:val="nil"/>
                    <w:tr2bl w:val="nil"/>
                  </w:tcBorders>
                  <w:vAlign w:val="center"/>
                </w:tcPr>
                <w:p>
                  <w:pPr>
                    <w:jc w:val="center"/>
                    <w:rPr>
                      <w:rFonts w:ascii="宋体" w:hAnsi="宋体" w:cs="宋体"/>
                      <w:snapToGrid w:val="0"/>
                      <w:kern w:val="21"/>
                      <w:sz w:val="18"/>
                      <w:szCs w:val="18"/>
                      <w:lang w:bidi="zh-CN"/>
                    </w:rPr>
                  </w:pPr>
                </w:p>
              </w:tc>
              <w:tc>
                <w:tcPr>
                  <w:tcW w:w="1240" w:type="dxa"/>
                  <w:tcBorders>
                    <w:tl2br w:val="nil"/>
                    <w:tr2bl w:val="nil"/>
                  </w:tcBorders>
                  <w:vAlign w:val="center"/>
                </w:tcPr>
                <w:p>
                  <w:pPr>
                    <w:pStyle w:val="45"/>
                    <w:spacing w:beforeLines="0" w:afterLines="0" w:line="240" w:lineRule="auto"/>
                    <w:rPr>
                      <w:rFonts w:hAnsi="宋体" w:cs="宋体"/>
                      <w:sz w:val="18"/>
                      <w:szCs w:val="18"/>
                    </w:rPr>
                  </w:pPr>
                  <w:r>
                    <w:rPr>
                      <w:rFonts w:hint="eastAsia" w:hAnsi="宋体" w:cs="宋体"/>
                      <w:snapToGrid w:val="0"/>
                      <w:kern w:val="21"/>
                      <w:sz w:val="18"/>
                      <w:szCs w:val="18"/>
                    </w:rPr>
                    <w:t>废菌棒</w:t>
                  </w:r>
                </w:p>
              </w:tc>
              <w:tc>
                <w:tcPr>
                  <w:tcW w:w="1067" w:type="dxa"/>
                  <w:tcBorders>
                    <w:tl2br w:val="nil"/>
                    <w:tr2bl w:val="nil"/>
                  </w:tcBorders>
                  <w:vAlign w:val="center"/>
                </w:tcPr>
                <w:p>
                  <w:pPr>
                    <w:jc w:val="center"/>
                    <w:rPr>
                      <w:rFonts w:ascii="宋体" w:hAnsi="宋体" w:cs="宋体"/>
                      <w:sz w:val="18"/>
                      <w:szCs w:val="18"/>
                    </w:rPr>
                  </w:pPr>
                  <w:r>
                    <w:rPr>
                      <w:rFonts w:hint="eastAsia" w:ascii="宋体" w:hAnsi="宋体" w:cs="宋体"/>
                      <w:snapToGrid w:val="0"/>
                      <w:kern w:val="21"/>
                      <w:sz w:val="18"/>
                      <w:szCs w:val="18"/>
                    </w:rPr>
                    <w:t>264.21</w:t>
                  </w:r>
                </w:p>
              </w:tc>
              <w:tc>
                <w:tcPr>
                  <w:tcW w:w="1131" w:type="dxa"/>
                  <w:tcBorders>
                    <w:tl2br w:val="nil"/>
                    <w:tr2bl w:val="nil"/>
                  </w:tcBorders>
                  <w:vAlign w:val="center"/>
                </w:tcPr>
                <w:p>
                  <w:pPr>
                    <w:jc w:val="center"/>
                    <w:rPr>
                      <w:rFonts w:ascii="宋体" w:hAnsi="宋体" w:cs="宋体"/>
                      <w:bCs/>
                      <w:sz w:val="18"/>
                      <w:szCs w:val="18"/>
                      <w:lang w:bidi="zh-CN"/>
                    </w:rPr>
                  </w:pPr>
                  <w:r>
                    <w:rPr>
                      <w:rFonts w:hint="eastAsia" w:ascii="宋体" w:hAnsi="宋体" w:cs="宋体"/>
                      <w:sz w:val="18"/>
                      <w:szCs w:val="18"/>
                    </w:rPr>
                    <w:t>264.21</w:t>
                  </w:r>
                </w:p>
              </w:tc>
              <w:tc>
                <w:tcPr>
                  <w:tcW w:w="975" w:type="dxa"/>
                  <w:tcBorders>
                    <w:tl2br w:val="nil"/>
                    <w:tr2bl w:val="nil"/>
                  </w:tcBorders>
                  <w:vAlign w:val="center"/>
                </w:tcPr>
                <w:p>
                  <w:pPr>
                    <w:jc w:val="center"/>
                    <w:rPr>
                      <w:rFonts w:ascii="宋体" w:hAnsi="宋体" w:cs="宋体"/>
                      <w:snapToGrid w:val="0"/>
                      <w:kern w:val="21"/>
                      <w:sz w:val="18"/>
                      <w:szCs w:val="18"/>
                    </w:rPr>
                  </w:pPr>
                  <w:r>
                    <w:rPr>
                      <w:rFonts w:hint="eastAsia" w:ascii="宋体" w:hAnsi="宋体" w:cs="宋体"/>
                      <w:snapToGrid w:val="0"/>
                      <w:kern w:val="21"/>
                      <w:sz w:val="18"/>
                      <w:szCs w:val="18"/>
                    </w:rPr>
                    <w:t>/</w:t>
                  </w:r>
                </w:p>
              </w:tc>
              <w:tc>
                <w:tcPr>
                  <w:tcW w:w="1262" w:type="dxa"/>
                  <w:tcBorders>
                    <w:tl2br w:val="nil"/>
                    <w:tr2bl w:val="nil"/>
                  </w:tcBorders>
                  <w:vAlign w:val="center"/>
                </w:tcPr>
                <w:p>
                  <w:pPr>
                    <w:jc w:val="center"/>
                    <w:rPr>
                      <w:rFonts w:ascii="宋体" w:hAnsi="宋体" w:cs="宋体"/>
                      <w:bCs/>
                      <w:sz w:val="18"/>
                      <w:szCs w:val="18"/>
                      <w:lang w:bidi="zh-CN"/>
                    </w:rPr>
                  </w:pPr>
                  <w:r>
                    <w:rPr>
                      <w:rFonts w:hint="eastAsia" w:ascii="宋体" w:hAnsi="宋体" w:cs="宋体"/>
                      <w:sz w:val="18"/>
                      <w:szCs w:val="18"/>
                    </w:rPr>
                    <w:t>528.42</w:t>
                  </w:r>
                </w:p>
              </w:tc>
              <w:tc>
                <w:tcPr>
                  <w:tcW w:w="1262" w:type="dxa"/>
                  <w:tcBorders>
                    <w:tl2br w:val="nil"/>
                    <w:tr2bl w:val="nil"/>
                  </w:tcBorders>
                  <w:vAlign w:val="center"/>
                </w:tcPr>
                <w:p>
                  <w:pPr>
                    <w:jc w:val="center"/>
                    <w:rPr>
                      <w:rFonts w:ascii="宋体" w:hAnsi="宋体" w:cs="宋体"/>
                      <w:bCs/>
                      <w:sz w:val="18"/>
                      <w:szCs w:val="18"/>
                      <w:lang w:bidi="zh-CN"/>
                    </w:rPr>
                  </w:pPr>
                  <w:r>
                    <w:rPr>
                      <w:rFonts w:hint="eastAsia" w:ascii="宋体" w:hAnsi="宋体" w:cs="宋体"/>
                      <w:sz w:val="18"/>
                      <w:szCs w:val="18"/>
                    </w:rPr>
                    <w:t>+264.21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9" w:type="dxa"/>
                  <w:vMerge w:val="restart"/>
                  <w:tcBorders>
                    <w:tl2br w:val="nil"/>
                    <w:tr2bl w:val="nil"/>
                  </w:tcBorders>
                  <w:vAlign w:val="center"/>
                </w:tcPr>
                <w:p>
                  <w:pPr>
                    <w:jc w:val="center"/>
                    <w:rPr>
                      <w:rFonts w:ascii="宋体" w:hAnsi="宋体" w:cs="宋体"/>
                      <w:snapToGrid w:val="0"/>
                      <w:kern w:val="21"/>
                      <w:sz w:val="18"/>
                      <w:szCs w:val="18"/>
                      <w:lang w:bidi="zh-CN"/>
                    </w:rPr>
                  </w:pPr>
                  <w:r>
                    <w:rPr>
                      <w:rFonts w:hint="eastAsia" w:ascii="宋体" w:hAnsi="宋体" w:cs="宋体"/>
                      <w:snapToGrid w:val="0"/>
                      <w:kern w:val="21"/>
                      <w:sz w:val="18"/>
                      <w:szCs w:val="18"/>
                      <w:lang w:bidi="zh-CN"/>
                    </w:rPr>
                    <w:t>危险</w:t>
                  </w:r>
                </w:p>
                <w:p>
                  <w:pPr>
                    <w:jc w:val="center"/>
                    <w:rPr>
                      <w:rFonts w:ascii="宋体" w:hAnsi="宋体" w:cs="宋体"/>
                      <w:snapToGrid w:val="0"/>
                      <w:kern w:val="21"/>
                      <w:sz w:val="18"/>
                      <w:szCs w:val="18"/>
                      <w:lang w:bidi="zh-CN"/>
                    </w:rPr>
                  </w:pPr>
                  <w:r>
                    <w:rPr>
                      <w:rFonts w:hint="eastAsia" w:ascii="宋体" w:hAnsi="宋体" w:cs="宋体"/>
                      <w:snapToGrid w:val="0"/>
                      <w:kern w:val="21"/>
                      <w:sz w:val="18"/>
                      <w:szCs w:val="18"/>
                      <w:lang w:bidi="zh-CN"/>
                    </w:rPr>
                    <w:t>废物</w:t>
                  </w:r>
                </w:p>
              </w:tc>
              <w:tc>
                <w:tcPr>
                  <w:tcW w:w="1240" w:type="dxa"/>
                  <w:tcBorders>
                    <w:top w:val="single" w:color="auto" w:sz="4" w:space="0"/>
                    <w:tl2br w:val="nil"/>
                    <w:tr2bl w:val="nil"/>
                  </w:tcBorders>
                  <w:vAlign w:val="center"/>
                </w:tcPr>
                <w:p>
                  <w:pPr>
                    <w:pStyle w:val="65"/>
                    <w:rPr>
                      <w:rFonts w:ascii="宋体" w:hAnsi="宋体" w:cs="宋体"/>
                      <w:sz w:val="18"/>
                      <w:szCs w:val="18"/>
                    </w:rPr>
                  </w:pPr>
                  <w:r>
                    <w:rPr>
                      <w:rFonts w:hint="eastAsia" w:ascii="宋体" w:hAnsi="宋体" w:cs="宋体"/>
                      <w:sz w:val="18"/>
                      <w:szCs w:val="18"/>
                    </w:rPr>
                    <w:t>废油</w:t>
                  </w:r>
                </w:p>
              </w:tc>
              <w:tc>
                <w:tcPr>
                  <w:tcW w:w="1067" w:type="dxa"/>
                  <w:tcBorders>
                    <w:tl2br w:val="nil"/>
                    <w:tr2bl w:val="nil"/>
                  </w:tcBorders>
                  <w:vAlign w:val="center"/>
                </w:tcPr>
                <w:p>
                  <w:pPr>
                    <w:jc w:val="center"/>
                    <w:rPr>
                      <w:rFonts w:ascii="宋体" w:hAnsi="宋体" w:cs="宋体"/>
                      <w:sz w:val="18"/>
                      <w:szCs w:val="18"/>
                    </w:rPr>
                  </w:pPr>
                  <w:r>
                    <w:rPr>
                      <w:rFonts w:hint="eastAsia" w:ascii="宋体" w:hAnsi="宋体" w:cs="宋体"/>
                      <w:snapToGrid w:val="0"/>
                      <w:kern w:val="21"/>
                      <w:sz w:val="18"/>
                      <w:szCs w:val="18"/>
                    </w:rPr>
                    <w:t>0.04</w:t>
                  </w:r>
                </w:p>
              </w:tc>
              <w:tc>
                <w:tcPr>
                  <w:tcW w:w="1131"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0.04</w:t>
                  </w:r>
                </w:p>
              </w:tc>
              <w:tc>
                <w:tcPr>
                  <w:tcW w:w="975" w:type="dxa"/>
                  <w:tcBorders>
                    <w:tl2br w:val="nil"/>
                    <w:tr2bl w:val="nil"/>
                  </w:tcBorders>
                  <w:vAlign w:val="center"/>
                </w:tcPr>
                <w:p>
                  <w:pPr>
                    <w:jc w:val="center"/>
                    <w:rPr>
                      <w:rFonts w:ascii="宋体" w:hAnsi="宋体" w:cs="宋体"/>
                      <w:snapToGrid w:val="0"/>
                      <w:kern w:val="21"/>
                      <w:sz w:val="18"/>
                      <w:szCs w:val="18"/>
                    </w:rPr>
                  </w:pPr>
                  <w:r>
                    <w:rPr>
                      <w:rFonts w:hint="eastAsia" w:ascii="宋体" w:hAnsi="宋体" w:cs="宋体"/>
                      <w:snapToGrid w:val="0"/>
                      <w:kern w:val="21"/>
                      <w:sz w:val="18"/>
                      <w:szCs w:val="18"/>
                    </w:rPr>
                    <w:t>/</w:t>
                  </w:r>
                </w:p>
              </w:tc>
              <w:tc>
                <w:tcPr>
                  <w:tcW w:w="1262"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0.08</w:t>
                  </w:r>
                </w:p>
              </w:tc>
              <w:tc>
                <w:tcPr>
                  <w:tcW w:w="1262"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9" w:type="dxa"/>
                  <w:vMerge w:val="continue"/>
                  <w:tcBorders>
                    <w:tl2br w:val="nil"/>
                    <w:tr2bl w:val="nil"/>
                  </w:tcBorders>
                  <w:vAlign w:val="center"/>
                </w:tcPr>
                <w:p>
                  <w:pPr>
                    <w:jc w:val="center"/>
                    <w:rPr>
                      <w:rFonts w:ascii="宋体" w:hAnsi="宋体" w:cs="宋体"/>
                      <w:snapToGrid w:val="0"/>
                      <w:kern w:val="21"/>
                      <w:sz w:val="18"/>
                      <w:szCs w:val="18"/>
                      <w:lang w:bidi="zh-CN"/>
                    </w:rPr>
                  </w:pPr>
                </w:p>
              </w:tc>
              <w:tc>
                <w:tcPr>
                  <w:tcW w:w="1240" w:type="dxa"/>
                  <w:tcBorders>
                    <w:tl2br w:val="nil"/>
                    <w:tr2bl w:val="nil"/>
                  </w:tcBorders>
                  <w:vAlign w:val="center"/>
                </w:tcPr>
                <w:p>
                  <w:pPr>
                    <w:pStyle w:val="65"/>
                    <w:rPr>
                      <w:rFonts w:ascii="宋体" w:hAnsi="宋体" w:cs="宋体"/>
                      <w:snapToGrid w:val="0"/>
                      <w:kern w:val="21"/>
                      <w:sz w:val="18"/>
                      <w:szCs w:val="18"/>
                    </w:rPr>
                  </w:pPr>
                  <w:r>
                    <w:rPr>
                      <w:rFonts w:hint="eastAsia" w:ascii="宋体" w:hAnsi="宋体" w:cs="宋体"/>
                      <w:snapToGrid w:val="0"/>
                      <w:kern w:val="21"/>
                      <w:sz w:val="18"/>
                      <w:szCs w:val="18"/>
                    </w:rPr>
                    <w:t>废油桶</w:t>
                  </w:r>
                </w:p>
              </w:tc>
              <w:tc>
                <w:tcPr>
                  <w:tcW w:w="1067" w:type="dxa"/>
                  <w:tcBorders>
                    <w:tl2br w:val="nil"/>
                    <w:tr2bl w:val="nil"/>
                  </w:tcBorders>
                  <w:vAlign w:val="center"/>
                </w:tcPr>
                <w:p>
                  <w:pPr>
                    <w:jc w:val="center"/>
                    <w:rPr>
                      <w:rFonts w:ascii="宋体" w:hAnsi="宋体" w:cs="宋体"/>
                      <w:snapToGrid w:val="0"/>
                      <w:kern w:val="21"/>
                      <w:sz w:val="18"/>
                      <w:szCs w:val="18"/>
                    </w:rPr>
                  </w:pPr>
                  <w:r>
                    <w:rPr>
                      <w:rFonts w:hint="eastAsia" w:ascii="宋体" w:hAnsi="宋体" w:cs="宋体"/>
                      <w:snapToGrid w:val="0"/>
                      <w:kern w:val="21"/>
                      <w:sz w:val="18"/>
                      <w:szCs w:val="18"/>
                    </w:rPr>
                    <w:t>0.015</w:t>
                  </w:r>
                </w:p>
              </w:tc>
              <w:tc>
                <w:tcPr>
                  <w:tcW w:w="1131"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0.015</w:t>
                  </w:r>
                </w:p>
              </w:tc>
              <w:tc>
                <w:tcPr>
                  <w:tcW w:w="975" w:type="dxa"/>
                  <w:tcBorders>
                    <w:tl2br w:val="nil"/>
                    <w:tr2bl w:val="nil"/>
                  </w:tcBorders>
                  <w:vAlign w:val="center"/>
                </w:tcPr>
                <w:p>
                  <w:pPr>
                    <w:jc w:val="center"/>
                    <w:rPr>
                      <w:rFonts w:ascii="宋体" w:hAnsi="宋体" w:cs="宋体"/>
                      <w:snapToGrid w:val="0"/>
                      <w:kern w:val="21"/>
                      <w:sz w:val="18"/>
                      <w:szCs w:val="18"/>
                    </w:rPr>
                  </w:pPr>
                  <w:r>
                    <w:rPr>
                      <w:rFonts w:hint="eastAsia" w:ascii="宋体" w:hAnsi="宋体" w:cs="宋体"/>
                      <w:snapToGrid w:val="0"/>
                      <w:kern w:val="21"/>
                      <w:sz w:val="18"/>
                      <w:szCs w:val="18"/>
                    </w:rPr>
                    <w:t>/</w:t>
                  </w:r>
                </w:p>
              </w:tc>
              <w:tc>
                <w:tcPr>
                  <w:tcW w:w="1262"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0.03</w:t>
                  </w:r>
                </w:p>
              </w:tc>
              <w:tc>
                <w:tcPr>
                  <w:tcW w:w="1262" w:type="dxa"/>
                  <w:tcBorders>
                    <w:tl2br w:val="nil"/>
                    <w:tr2bl w:val="nil"/>
                  </w:tcBorders>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+0.015</w:t>
                  </w:r>
                </w:p>
              </w:tc>
            </w:tr>
          </w:tbl>
          <w:p>
            <w:pPr>
              <w:pStyle w:val="29"/>
              <w:ind w:firstLine="0"/>
              <w:rPr>
                <w:sz w:val="21"/>
                <w:szCs w:val="21"/>
              </w:rPr>
            </w:pPr>
          </w:p>
        </w:tc>
      </w:tr>
    </w:tbl>
    <w:p>
      <w:pPr>
        <w:adjustRightInd w:val="0"/>
        <w:snapToGrid w:val="0"/>
        <w:spacing w:line="360" w:lineRule="auto"/>
        <w:rPr>
          <w:rFonts w:ascii="宋体" w:cs="宋体"/>
          <w:b/>
          <w:kern w:val="0"/>
          <w:sz w:val="28"/>
          <w:szCs w:val="28"/>
        </w:rPr>
        <w:sectPr>
          <w:pgSz w:w="11907" w:h="16840"/>
          <w:pgMar w:top="1701" w:right="1531" w:bottom="2127" w:left="1531" w:header="851" w:footer="851" w:gutter="0"/>
          <w:cols w:space="720" w:num="1"/>
          <w:docGrid w:linePitch="312" w:charSpace="0"/>
        </w:sectPr>
      </w:pPr>
    </w:p>
    <w:p>
      <w:pPr>
        <w:pStyle w:val="20"/>
        <w:jc w:val="center"/>
        <w:outlineLvl w:val="0"/>
        <w:rPr>
          <w:rFonts w:ascii="黑体" w:hAnsi="黑体" w:eastAsia="黑体"/>
          <w:snapToGrid w:val="0"/>
          <w:sz w:val="30"/>
          <w:szCs w:val="30"/>
        </w:rPr>
      </w:pPr>
      <w:bookmarkStart w:id="20" w:name="_Toc3605"/>
      <w:r>
        <w:rPr>
          <w:rFonts w:hint="eastAsia" w:ascii="黑体" w:hAnsi="黑体" w:eastAsia="黑体"/>
          <w:snapToGrid w:val="0"/>
          <w:sz w:val="30"/>
          <w:szCs w:val="30"/>
        </w:rPr>
        <w:t>五、</w:t>
      </w:r>
      <w:bookmarkStart w:id="21" w:name="_Hlk54167917"/>
      <w:r>
        <w:rPr>
          <w:rFonts w:hint="eastAsia" w:ascii="黑体" w:hAnsi="黑体" w:eastAsia="黑体"/>
          <w:snapToGrid w:val="0"/>
          <w:sz w:val="30"/>
          <w:szCs w:val="30"/>
        </w:rPr>
        <w:t>环境保护措施监督检查清单</w:t>
      </w:r>
      <w:bookmarkEnd w:id="20"/>
      <w:bookmarkEnd w:id="21"/>
    </w:p>
    <w:tbl>
      <w:tblPr>
        <w:tblStyle w:val="24"/>
        <w:tblW w:w="87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1545"/>
        <w:gridCol w:w="1680"/>
        <w:gridCol w:w="1935"/>
        <w:gridCol w:w="21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7" w:type="dxa"/>
            <w:tcBorders>
              <w:tl2br w:val="single" w:color="auto" w:sz="4" w:space="0"/>
            </w:tcBorders>
            <w:noWrap/>
          </w:tcPr>
          <w:p>
            <w:pPr>
              <w:adjustRightInd w:val="0"/>
              <w:snapToGrid w:val="0"/>
              <w:ind w:firstLine="840"/>
              <w:rPr>
                <w:rFonts w:ascii="宋体" w:hAnsi="宋体" w:cs="宋体"/>
                <w:sz w:val="18"/>
                <w:szCs w:val="18"/>
              </w:rPr>
            </w:pPr>
            <w:r>
              <w:rPr>
                <w:rFonts w:hint="eastAsia" w:ascii="宋体" w:hAnsi="宋体" w:cs="宋体"/>
                <w:sz w:val="18"/>
                <w:szCs w:val="18"/>
              </w:rPr>
              <w:t>内容</w:t>
            </w:r>
          </w:p>
          <w:p>
            <w:pPr>
              <w:adjustRightInd w:val="0"/>
              <w:snapToGrid w:val="0"/>
              <w:rPr>
                <w:rFonts w:ascii="宋体" w:hAnsi="宋体" w:cs="宋体"/>
                <w:sz w:val="18"/>
                <w:szCs w:val="18"/>
              </w:rPr>
            </w:pPr>
            <w:r>
              <w:rPr>
                <w:rFonts w:hint="eastAsia" w:ascii="宋体" w:hAnsi="宋体" w:cs="宋体"/>
                <w:sz w:val="18"/>
                <w:szCs w:val="18"/>
              </w:rPr>
              <w:t>要素</w:t>
            </w:r>
          </w:p>
        </w:tc>
        <w:tc>
          <w:tcPr>
            <w:tcW w:w="1545"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排放口(编号、</w:t>
            </w:r>
          </w:p>
          <w:p>
            <w:pPr>
              <w:adjustRightInd w:val="0"/>
              <w:snapToGrid w:val="0"/>
              <w:jc w:val="center"/>
              <w:rPr>
                <w:rFonts w:ascii="宋体" w:hAnsi="宋体" w:cs="宋体"/>
                <w:sz w:val="18"/>
                <w:szCs w:val="18"/>
              </w:rPr>
            </w:pPr>
            <w:r>
              <w:rPr>
                <w:rFonts w:hint="eastAsia" w:ascii="宋体" w:hAnsi="宋体" w:cs="宋体"/>
                <w:sz w:val="18"/>
                <w:szCs w:val="18"/>
              </w:rPr>
              <w:t>名称)/污染源</w:t>
            </w:r>
          </w:p>
        </w:tc>
        <w:tc>
          <w:tcPr>
            <w:tcW w:w="1680"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污染物项目</w:t>
            </w:r>
          </w:p>
        </w:tc>
        <w:tc>
          <w:tcPr>
            <w:tcW w:w="1935"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环境保护措施</w:t>
            </w:r>
          </w:p>
        </w:tc>
        <w:tc>
          <w:tcPr>
            <w:tcW w:w="2127"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7" w:type="dxa"/>
            <w:vMerge w:val="restart"/>
            <w:noWrap/>
            <w:vAlign w:val="center"/>
          </w:tcPr>
          <w:p>
            <w:pPr>
              <w:adjustRightInd w:val="0"/>
              <w:snapToGrid w:val="0"/>
              <w:jc w:val="center"/>
              <w:rPr>
                <w:rFonts w:ascii="宋体" w:hAnsi="宋体" w:cs="宋体"/>
                <w:sz w:val="18"/>
                <w:szCs w:val="18"/>
              </w:rPr>
            </w:pPr>
            <w:r>
              <w:rPr>
                <w:rFonts w:hint="eastAsia" w:ascii="宋体" w:hAnsi="宋体" w:cs="宋体"/>
                <w:sz w:val="18"/>
                <w:szCs w:val="18"/>
              </w:rPr>
              <w:t>大气环境</w:t>
            </w:r>
          </w:p>
        </w:tc>
        <w:tc>
          <w:tcPr>
            <w:tcW w:w="1545"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生物质锅炉</w:t>
            </w:r>
          </w:p>
          <w:p>
            <w:pPr>
              <w:adjustRightInd w:val="0"/>
              <w:snapToGrid w:val="0"/>
              <w:jc w:val="center"/>
              <w:rPr>
                <w:rFonts w:ascii="宋体" w:hAnsi="宋体" w:cs="宋体"/>
                <w:sz w:val="18"/>
                <w:szCs w:val="18"/>
              </w:rPr>
            </w:pPr>
            <w:r>
              <w:rPr>
                <w:rFonts w:hint="eastAsia" w:ascii="宋体" w:hAnsi="宋体" w:cs="宋体"/>
                <w:sz w:val="18"/>
                <w:szCs w:val="18"/>
              </w:rPr>
              <w:t>排放口</w:t>
            </w:r>
          </w:p>
        </w:tc>
        <w:tc>
          <w:tcPr>
            <w:tcW w:w="1680"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二氧化硫、颗粒物、氮氧化物</w:t>
            </w:r>
          </w:p>
        </w:tc>
        <w:tc>
          <w:tcPr>
            <w:tcW w:w="1935"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低氮燃烧、布袋除尘器+35米高排气筒。</w:t>
            </w:r>
          </w:p>
        </w:tc>
        <w:tc>
          <w:tcPr>
            <w:tcW w:w="2127"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《锅炉大气污染物排放标准》（DB13/5161-2020）表1生物质锅炉的排放限值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7" w:type="dxa"/>
            <w:vMerge w:val="continue"/>
            <w:noWrap/>
            <w:vAlign w:val="center"/>
          </w:tcPr>
          <w:p>
            <w:pPr>
              <w:adjustRightInd w:val="0"/>
              <w:snapToGrid w:val="0"/>
              <w:jc w:val="center"/>
              <w:rPr>
                <w:rFonts w:ascii="宋体" w:hAnsi="宋体" w:cs="宋体"/>
                <w:sz w:val="18"/>
                <w:szCs w:val="18"/>
              </w:rPr>
            </w:pPr>
          </w:p>
        </w:tc>
        <w:tc>
          <w:tcPr>
            <w:tcW w:w="1545"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粉碎机排放口</w:t>
            </w:r>
          </w:p>
        </w:tc>
        <w:tc>
          <w:tcPr>
            <w:tcW w:w="1680"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颗粒物</w:t>
            </w:r>
          </w:p>
        </w:tc>
        <w:tc>
          <w:tcPr>
            <w:tcW w:w="1935"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布袋除尘器+15米高排气筒，车间封闭，出入料口设置喷淋装置。</w:t>
            </w:r>
          </w:p>
        </w:tc>
        <w:tc>
          <w:tcPr>
            <w:tcW w:w="2127" w:type="dxa"/>
            <w:noWrap/>
            <w:vAlign w:val="center"/>
          </w:tcPr>
          <w:p>
            <w:pPr>
              <w:adjustRightInd w:val="0"/>
              <w:snapToGrid w:val="0"/>
              <w:jc w:val="center"/>
              <w:rPr>
                <w:rFonts w:ascii="宋体" w:hAnsi="宋体" w:cs="宋体"/>
                <w:sz w:val="18"/>
                <w:szCs w:val="18"/>
              </w:rPr>
            </w:pPr>
            <w:r>
              <w:rPr>
                <w:rFonts w:hint="eastAsia" w:ascii="宋体" w:hAnsi="宋体" w:cs="宋体"/>
                <w:bCs/>
                <w:sz w:val="18"/>
                <w:szCs w:val="18"/>
              </w:rPr>
              <w:t>《大气污染物综合排放标准》</w:t>
            </w:r>
            <w:r>
              <w:rPr>
                <w:rFonts w:hint="eastAsia" w:ascii="宋体" w:hAnsi="宋体" w:cs="宋体"/>
                <w:sz w:val="18"/>
                <w:szCs w:val="18"/>
              </w:rPr>
              <w:t>（GB9078-1996）表2排放限值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7"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声环境</w:t>
            </w:r>
          </w:p>
        </w:tc>
        <w:tc>
          <w:tcPr>
            <w:tcW w:w="1545"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 xml:space="preserve">设备  </w:t>
            </w:r>
          </w:p>
        </w:tc>
        <w:tc>
          <w:tcPr>
            <w:tcW w:w="1680"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噪声</w:t>
            </w:r>
          </w:p>
        </w:tc>
        <w:tc>
          <w:tcPr>
            <w:tcW w:w="1935"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 xml:space="preserve">厂房封闭、选用低噪声设备、基 础减震、厂房隔声等。 </w:t>
            </w:r>
          </w:p>
        </w:tc>
        <w:tc>
          <w:tcPr>
            <w:tcW w:w="2127"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《工业企业厂界环境噪声排放标准》 （GB12348-2008 ）</w:t>
            </w:r>
          </w:p>
          <w:p>
            <w:pPr>
              <w:adjustRightInd w:val="0"/>
              <w:snapToGrid w:val="0"/>
              <w:jc w:val="center"/>
              <w:rPr>
                <w:rFonts w:ascii="宋体" w:hAnsi="宋体" w:cs="宋体"/>
                <w:sz w:val="18"/>
                <w:szCs w:val="18"/>
              </w:rPr>
            </w:pPr>
            <w:r>
              <w:rPr>
                <w:rFonts w:hint="eastAsia" w:ascii="宋体" w:hAnsi="宋体" w:cs="宋体"/>
                <w:sz w:val="18"/>
                <w:szCs w:val="18"/>
              </w:rPr>
              <w:t>2类（东、西、北厂界）、4类（南厂界）标准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7" w:type="dxa"/>
            <w:vMerge w:val="restart"/>
            <w:noWrap/>
            <w:vAlign w:val="center"/>
          </w:tcPr>
          <w:p>
            <w:pPr>
              <w:adjustRightInd w:val="0"/>
              <w:snapToGrid w:val="0"/>
              <w:jc w:val="center"/>
              <w:rPr>
                <w:rFonts w:ascii="宋体" w:hAnsi="宋体" w:cs="宋体"/>
                <w:sz w:val="18"/>
                <w:szCs w:val="18"/>
              </w:rPr>
            </w:pPr>
            <w:r>
              <w:rPr>
                <w:rFonts w:hint="eastAsia" w:ascii="宋体" w:hAnsi="宋体" w:cs="宋体"/>
                <w:sz w:val="18"/>
                <w:szCs w:val="18"/>
              </w:rPr>
              <w:t>水环境</w:t>
            </w:r>
          </w:p>
        </w:tc>
        <w:tc>
          <w:tcPr>
            <w:tcW w:w="1545"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生物质锅炉</w:t>
            </w:r>
          </w:p>
        </w:tc>
        <w:tc>
          <w:tcPr>
            <w:tcW w:w="1680"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冷凝水、</w:t>
            </w:r>
          </w:p>
          <w:p>
            <w:pPr>
              <w:adjustRightInd w:val="0"/>
              <w:snapToGrid w:val="0"/>
              <w:jc w:val="center"/>
              <w:rPr>
                <w:rFonts w:ascii="宋体" w:hAnsi="宋体" w:cs="宋体"/>
                <w:sz w:val="18"/>
                <w:szCs w:val="18"/>
              </w:rPr>
            </w:pPr>
            <w:r>
              <w:rPr>
                <w:rFonts w:hint="eastAsia" w:ascii="宋体" w:hAnsi="宋体" w:cs="宋体"/>
                <w:sz w:val="18"/>
                <w:szCs w:val="18"/>
              </w:rPr>
              <w:t>锅炉排空水</w:t>
            </w:r>
          </w:p>
        </w:tc>
        <w:tc>
          <w:tcPr>
            <w:tcW w:w="1935"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锅炉冷凝水经回收装置返回锅炉收集循环利用；每年生产运营期结束后蒸汽锅炉需定期排空水，废水暂存于厂区储水罐内，用于粉碎工序喷淋用水。</w:t>
            </w:r>
          </w:p>
        </w:tc>
        <w:tc>
          <w:tcPr>
            <w:tcW w:w="2127"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1497" w:type="dxa"/>
            <w:vMerge w:val="continue"/>
            <w:noWrap/>
            <w:vAlign w:val="center"/>
          </w:tcPr>
          <w:p>
            <w:pPr>
              <w:adjustRightInd w:val="0"/>
              <w:snapToGrid w:val="0"/>
              <w:jc w:val="center"/>
              <w:rPr>
                <w:rFonts w:ascii="宋体" w:hAnsi="宋体" w:cs="宋体"/>
                <w:sz w:val="18"/>
                <w:szCs w:val="18"/>
              </w:rPr>
            </w:pPr>
          </w:p>
        </w:tc>
        <w:tc>
          <w:tcPr>
            <w:tcW w:w="1545"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职工生活</w:t>
            </w:r>
          </w:p>
        </w:tc>
        <w:tc>
          <w:tcPr>
            <w:tcW w:w="1680"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生活污水</w:t>
            </w:r>
          </w:p>
        </w:tc>
        <w:tc>
          <w:tcPr>
            <w:tcW w:w="1935" w:type="dxa"/>
            <w:noWrap/>
            <w:vAlign w:val="center"/>
          </w:tcPr>
          <w:p>
            <w:pPr>
              <w:adjustRightInd w:val="0"/>
              <w:snapToGrid w:val="0"/>
              <w:rPr>
                <w:rFonts w:ascii="宋体" w:hAnsi="宋体" w:cs="宋体"/>
                <w:sz w:val="18"/>
                <w:szCs w:val="18"/>
              </w:rPr>
            </w:pPr>
            <w:r>
              <w:rPr>
                <w:rFonts w:hint="eastAsia" w:ascii="宋体" w:hAnsi="宋体" w:cs="宋体"/>
                <w:sz w:val="18"/>
                <w:szCs w:val="18"/>
              </w:rPr>
              <w:t>生活污水排入厂区化粪池，定期由清污车运送至围场满族蒙古族自治县永溢环保科技有限责任公司克勒沟污水处理厂处理。</w:t>
            </w:r>
          </w:p>
        </w:tc>
        <w:tc>
          <w:tcPr>
            <w:tcW w:w="2127"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w:t>
            </w:r>
            <w:r>
              <w:rPr>
                <w:rFonts w:hint="eastAsia" w:ascii="宋体" w:hAnsi="宋体" w:cs="宋体"/>
                <w:kern w:val="0"/>
                <w:sz w:val="18"/>
                <w:szCs w:val="18"/>
              </w:rPr>
              <w:t>城镇污水处理厂污染物排放标准GB18918-2002</w:t>
            </w:r>
            <w:r>
              <w:rPr>
                <w:rFonts w:hint="eastAsia" w:ascii="宋体" w:hAnsi="宋体" w:cs="宋体"/>
                <w:sz w:val="18"/>
                <w:szCs w:val="18"/>
              </w:rPr>
              <w:t>》一级A 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7"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电磁辐射</w:t>
            </w:r>
          </w:p>
        </w:tc>
        <w:tc>
          <w:tcPr>
            <w:tcW w:w="1545"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w:t>
            </w:r>
          </w:p>
        </w:tc>
        <w:tc>
          <w:tcPr>
            <w:tcW w:w="1680"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w:t>
            </w:r>
          </w:p>
        </w:tc>
        <w:tc>
          <w:tcPr>
            <w:tcW w:w="1935"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w:t>
            </w:r>
          </w:p>
        </w:tc>
        <w:tc>
          <w:tcPr>
            <w:tcW w:w="2127"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7"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固体废物</w:t>
            </w:r>
          </w:p>
        </w:tc>
        <w:tc>
          <w:tcPr>
            <w:tcW w:w="7287" w:type="dxa"/>
            <w:gridSpan w:val="4"/>
            <w:noWrap/>
            <w:vAlign w:val="center"/>
          </w:tcPr>
          <w:p>
            <w:p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一般固体废物主要为生物质锅炉炉渣、锅炉水垢、废菌棒、除尘灰、生活垃圾和废培养皿。其中生物质锅炉炉渣集中收集后外售；锅炉水垢每1年清理一次，每次约15kg，集中收集后暂存于垃圾箱统一由环卫部门清运处理；废菌棒一部分可回收回用于生产，不可回收部分暂存于锅炉房用于锅炉燃料燃烧；锅炉除尘灰、生活垃圾、经蒸汽高温消毒后的废培养皿（不涉及化学试剂）经收集后统一由环卫部门清运处理，粉碎工序除尘灰回用于生产；危险废物：废润滑油、废润滑油桶暂时贮存于企业严格按照《危险废物贮存污染控制标准》（GB18597-2023）中关于危险废物贮存设施的规定建造危险废物贮存间内，并定期委托秦皇岛市徐山口危险废物处理有限公司运输处置。</w:t>
            </w:r>
          </w:p>
          <w:p>
            <w:p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highlight w:val="none"/>
              </w:rPr>
              <w:t>建立健全污染防治责任制，制定一般工业固体废物垃圾分类准则，依法建立固体废物污染防治信息公开制度，严禁擅自倾倒、填埋固体废物，严格执行固体废物申报登记制度，建立管理台账并如实记录，同时做好相关证明材料保存工作，保存期限不少于5年，应执行排污许可管理制度的相关规定，按要求向生态环境主管部门提供一般工业固体废物种类、数量、流向、贮存、利用、处置等有关资料，以及减少一般工业固体废物产生、促进综合利用的具体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7"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土壤及地下水</w:t>
            </w:r>
          </w:p>
          <w:p>
            <w:pPr>
              <w:adjustRightInd w:val="0"/>
              <w:snapToGrid w:val="0"/>
              <w:jc w:val="center"/>
              <w:rPr>
                <w:rFonts w:ascii="宋体" w:hAnsi="宋体" w:cs="宋体"/>
                <w:sz w:val="18"/>
                <w:szCs w:val="18"/>
              </w:rPr>
            </w:pPr>
            <w:r>
              <w:rPr>
                <w:rFonts w:hint="eastAsia" w:ascii="宋体" w:hAnsi="宋体" w:cs="宋体"/>
                <w:sz w:val="18"/>
                <w:szCs w:val="18"/>
              </w:rPr>
              <w:t>污染防治措施</w:t>
            </w:r>
          </w:p>
        </w:tc>
        <w:tc>
          <w:tcPr>
            <w:tcW w:w="7287" w:type="dxa"/>
            <w:gridSpan w:val="4"/>
            <w:noWrap/>
            <w:vAlign w:val="center"/>
          </w:tcPr>
          <w:p>
            <w:p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本项目运营过程中设置危废间。为进一步保护区域地下水和土壤，建设单位采取分区防渗措施，危废间按照《危险废物贮存污染控制标准》(GB 18597-2023)要求建设，地面进行基础防渗，防渗层为至少1m厚黏土层(渗透系数不大于10</w:t>
            </w:r>
            <w:r>
              <w:rPr>
                <w:rFonts w:hint="eastAsia" w:ascii="宋体" w:hAnsi="宋体" w:cs="宋体"/>
                <w:sz w:val="18"/>
                <w:szCs w:val="18"/>
                <w:vertAlign w:val="superscript"/>
              </w:rPr>
              <w:t>-7</w:t>
            </w:r>
            <w:r>
              <w:rPr>
                <w:rFonts w:hint="eastAsia" w:ascii="宋体" w:hAnsi="宋体" w:cs="宋体"/>
                <w:sz w:val="18"/>
                <w:szCs w:val="18"/>
              </w:rPr>
              <w:t>cm/s)，或至少2mm厚高密度聚乙烯膜等人工防渗材料(渗透系数不大于10</w:t>
            </w:r>
            <w:r>
              <w:rPr>
                <w:rFonts w:hint="eastAsia" w:ascii="宋体" w:hAnsi="宋体" w:cs="宋体"/>
                <w:sz w:val="18"/>
                <w:szCs w:val="18"/>
                <w:vertAlign w:val="superscript"/>
              </w:rPr>
              <w:t>-10</w:t>
            </w:r>
            <w:r>
              <w:rPr>
                <w:rFonts w:hint="eastAsia" w:ascii="宋体" w:hAnsi="宋体" w:cs="宋体"/>
                <w:sz w:val="18"/>
                <w:szCs w:val="18"/>
              </w:rPr>
              <w:t>cm/s)，化粪池按重点防渗处理，采取等效黏土防渗层Mb≥6m，防渗系数K≤1×10-7cm/s，粉碎车间、生产车间、仓库为一般防渗区，一般防渗区采取等效黏土层Mb≥1.5m、K≤1.0×10</w:t>
            </w:r>
            <w:r>
              <w:rPr>
                <w:rFonts w:hint="eastAsia" w:ascii="宋体" w:hAnsi="宋体" w:cs="宋体"/>
                <w:sz w:val="18"/>
                <w:szCs w:val="18"/>
                <w:vertAlign w:val="superscript"/>
              </w:rPr>
              <w:t>-7</w:t>
            </w:r>
            <w:r>
              <w:rPr>
                <w:rFonts w:hint="eastAsia" w:ascii="宋体" w:hAnsi="宋体" w:cs="宋体"/>
                <w:sz w:val="18"/>
                <w:szCs w:val="18"/>
              </w:rPr>
              <w:t>cm/s或参照GB16889执行；值班室及厂区道路为简单防渗区，一般地面硬化。</w:t>
            </w:r>
          </w:p>
          <w:p>
            <w:p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在采取完善的防渗措施后，本项目的建设不会对区域地下水、土壤产生明显影响。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7" w:type="dxa"/>
            <w:noWrap/>
            <w:vAlign w:val="center"/>
          </w:tcPr>
          <w:p>
            <w:pPr>
              <w:adjustRightInd w:val="0"/>
              <w:snapToGrid w:val="0"/>
              <w:jc w:val="center"/>
              <w:rPr>
                <w:rFonts w:ascii="宋体" w:hAnsi="宋体" w:cs="宋体"/>
                <w:sz w:val="18"/>
                <w:szCs w:val="18"/>
              </w:rPr>
            </w:pPr>
            <w:r>
              <w:rPr>
                <w:rFonts w:hint="eastAsia" w:ascii="宋体" w:hAnsi="宋体" w:cs="宋体"/>
                <w:sz w:val="18"/>
                <w:szCs w:val="18"/>
              </w:rPr>
              <w:t>生态保护措施</w:t>
            </w:r>
          </w:p>
        </w:tc>
        <w:tc>
          <w:tcPr>
            <w:tcW w:w="7287" w:type="dxa"/>
            <w:gridSpan w:val="4"/>
            <w:noWrap/>
            <w:vAlign w:val="center"/>
          </w:tcPr>
          <w:p>
            <w:p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项目选址位于现有已经开发平整的建设用地地块，不重新开拓地块， 不新增生态环境影响。项目扩建厂区需进行地面硬化，项目的建设本身产生的生态环境影响较小。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7" w:type="dxa"/>
            <w:noWrap/>
            <w:vAlign w:val="center"/>
          </w:tcPr>
          <w:p>
            <w:pPr>
              <w:adjustRightInd w:val="0"/>
              <w:snapToGrid w:val="0"/>
              <w:jc w:val="center"/>
              <w:rPr>
                <w:rFonts w:ascii="宋体" w:hAnsi="宋体" w:cs="宋体"/>
                <w:spacing w:val="-8"/>
                <w:sz w:val="18"/>
                <w:szCs w:val="18"/>
              </w:rPr>
            </w:pPr>
            <w:r>
              <w:rPr>
                <w:rFonts w:hint="eastAsia" w:ascii="宋体" w:hAnsi="宋体" w:cs="宋体"/>
                <w:spacing w:val="-8"/>
                <w:sz w:val="18"/>
                <w:szCs w:val="18"/>
              </w:rPr>
              <w:t>其他环境</w:t>
            </w:r>
          </w:p>
          <w:p>
            <w:pPr>
              <w:adjustRightInd w:val="0"/>
              <w:snapToGrid w:val="0"/>
              <w:jc w:val="center"/>
              <w:rPr>
                <w:rFonts w:ascii="宋体" w:hAnsi="宋体" w:cs="宋体"/>
                <w:spacing w:val="-8"/>
                <w:sz w:val="18"/>
                <w:szCs w:val="18"/>
              </w:rPr>
            </w:pPr>
            <w:r>
              <w:rPr>
                <w:rFonts w:hint="eastAsia" w:ascii="宋体" w:hAnsi="宋体" w:cs="宋体"/>
                <w:spacing w:val="-8"/>
                <w:sz w:val="18"/>
                <w:szCs w:val="18"/>
              </w:rPr>
              <w:t>管理要求</w:t>
            </w:r>
          </w:p>
        </w:tc>
        <w:tc>
          <w:tcPr>
            <w:tcW w:w="7287" w:type="dxa"/>
            <w:gridSpan w:val="4"/>
            <w:noWrap/>
            <w:vAlign w:val="center"/>
          </w:tcPr>
          <w:p>
            <w:p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 xml:space="preserve">◆环境管理组织机构 </w:t>
            </w:r>
          </w:p>
          <w:p>
            <w:p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设立控制污染、环境的法律负责者和相关的责任人，负责项目整个过程（包括建设和生产运行阶段）的环境保护工作。</w:t>
            </w:r>
          </w:p>
          <w:p>
            <w:p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环境管理台账要求将环保设施的运行情况、环保设施日常检查、环境事件等建立环境管理台账，落实环境管理台账记录的责任单位和责任人，明确工作职责，并对环境管理台账的真实性、完整性和规范性负责。一般按日或按批次进行记录，异常情况应按次记录。</w:t>
            </w:r>
          </w:p>
          <w:p>
            <w:p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 xml:space="preserve">◆环保设施及措施运行及维护费用保障计划项目环境保护设施建设费用为99.5万元，占项目投资比例的为12.44%，环保设施投入处于企业可接受范围。项目生产运行阶段，主要环保设施有：封闭的厂房、布袋除尘器等，主要运行费用为电费、人工定期检修维护费等费用。项目生产运行阶段污染防治措施的运行维修，污染物的监测，及设备的管理费用，资金在建设单位的可承受范围内，项目生产运行阶段污染防治措施及设备能够正常运转，各项污染物达标排放。故项目所采用的污染防治措施经济合理，项目的环保设施运行费用在可接受范围内，环保措施在经济上可行。 </w:t>
            </w:r>
          </w:p>
          <w:p>
            <w:p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 xml:space="preserve">◆排污口规范化管理排污口是企业污染物进入受纳环境的通道，做好排污口管理是实施污染物总量控制和达标排放的基础工作之一，必须实行规范化管理。 </w:t>
            </w:r>
          </w:p>
          <w:p>
            <w:pPr>
              <w:numPr>
                <w:ilvl w:val="0"/>
                <w:numId w:val="9"/>
              </w:num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 xml:space="preserve">废气排污口规范化：排气筒应设置便于采样、监测的采样口和采样平台。当采样平台设置在离地面高度≥5m的位置时，应有通往平台的Z字梯/旋梯/升降梯。在各排气筒近地面处，应设立醒目的环境保护图形标志牌。 </w:t>
            </w:r>
          </w:p>
          <w:p>
            <w:p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 xml:space="preserve">（2）废水排放口规范化：应设置规范的、便于测量流量、流速的测流段。一般污水排放口可安装三角堰、矩形堰、测流槽等测流装置或其他计量装置；列入重点整治的污水排放口应安装流量计。应按照《污染源监测技术规范》设置采样点。 </w:t>
            </w:r>
          </w:p>
          <w:p>
            <w:p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（3）噪声排污口规范化：须按《工业企业厂界环境噪声排放标准》（GB12348-2008）的规定，设置环境噪声监测点，并在该处附近醒目处设置环境保护图形标志牌。</w:t>
            </w:r>
          </w:p>
          <w:p>
            <w:p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 xml:space="preserve">（4）固体废物：项目固体废物堆放场所必须有防火、防扬散、防渗漏等防止污染环境的措施，标志牌达到《环境保护图形标志-固体废物贮存（处置）场》（GB15562.2-1995）的规定。 </w:t>
            </w:r>
          </w:p>
          <w:p>
            <w:p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 xml:space="preserve">（5）管理要求：排放口规范化的相关设施（如：计量、监控装置、标志牌等）属污染治理设施的组成部分，当地生态环境部门应按照有关污染治理设施的监督管理规定，加强日常监督管理，排污单位应将规范化排放的相关设施纳入本单位设备管理范围内。 </w:t>
            </w:r>
          </w:p>
          <w:p>
            <w:p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（6）排放口立标要求：设立排污口标志牌，标志牌由生态环境局统一定点监制，达到《环境保护图形标志》（GB15562.1～2-1995）的规定。</w:t>
            </w:r>
          </w:p>
          <w:p>
            <w:pPr>
              <w:adjustRightInd w:val="0"/>
              <w:snapToGrid w:val="0"/>
              <w:spacing w:line="360" w:lineRule="auto"/>
              <w:ind w:firstLine="360" w:firstLineChars="200"/>
              <w:rPr>
                <w:rFonts w:ascii="宋体" w:hAnsi="宋体" w:cs="宋体"/>
                <w:sz w:val="18"/>
                <w:szCs w:val="18"/>
              </w:rPr>
            </w:pPr>
            <w:r>
              <w:rPr>
                <w:rFonts w:hint="eastAsia" w:ascii="宋体" w:hAnsi="宋体" w:cs="宋体"/>
                <w:sz w:val="18"/>
                <w:szCs w:val="18"/>
              </w:rPr>
              <w:t xml:space="preserve"> ◆排污许可制度 </w:t>
            </w:r>
          </w:p>
          <w:p>
            <w:pPr>
              <w:adjustRightInd w:val="0"/>
              <w:snapToGrid w:val="0"/>
              <w:spacing w:line="360" w:lineRule="auto"/>
              <w:ind w:firstLine="360" w:firstLineChars="200"/>
              <w:rPr>
                <w:rFonts w:hint="eastAsia" w:ascii="宋体" w:hAnsi="宋体" w:cs="宋体"/>
                <w:sz w:val="18"/>
                <w:szCs w:val="18"/>
              </w:rPr>
            </w:pPr>
            <w:r>
              <w:rPr>
                <w:rFonts w:hint="eastAsia" w:ascii="宋体" w:hAnsi="宋体" w:cs="宋体"/>
                <w:sz w:val="18"/>
                <w:szCs w:val="18"/>
              </w:rPr>
              <w:t>项目建设完成后在运营之前应按照排污许可相关制度申领排污许可证，取得排污许可证后方可形成排污事实，项目污染物排放清单见附表。</w:t>
            </w: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p>
            <w:pPr>
              <w:pStyle w:val="2"/>
              <w:rPr>
                <w:rFonts w:hint="eastAsia" w:ascii="宋体" w:hAnsi="宋体" w:cs="宋体"/>
                <w:sz w:val="18"/>
                <w:szCs w:val="18"/>
              </w:rPr>
            </w:pPr>
          </w:p>
        </w:tc>
      </w:tr>
    </w:tbl>
    <w:p>
      <w:pPr>
        <w:pStyle w:val="20"/>
        <w:jc w:val="center"/>
        <w:outlineLvl w:val="0"/>
        <w:rPr>
          <w:rFonts w:ascii="黑体" w:hAnsi="黑体" w:eastAsia="黑体"/>
          <w:snapToGrid w:val="0"/>
          <w:sz w:val="30"/>
          <w:szCs w:val="30"/>
        </w:rPr>
      </w:pPr>
      <w:bookmarkStart w:id="22" w:name="_Toc13850"/>
      <w:r>
        <w:rPr>
          <w:rFonts w:hint="eastAsia" w:cs="宋体"/>
          <w:b/>
          <w:bCs/>
          <w:snapToGrid w:val="0"/>
          <w:szCs w:val="24"/>
        </w:rPr>
        <w:t>六、结论</w:t>
      </w:r>
      <w:bookmarkEnd w:id="22"/>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61" w:hRule="atLeast"/>
          <w:jc w:val="center"/>
        </w:trPr>
        <w:tc>
          <w:tcPr>
            <w:tcW w:w="8865" w:type="dxa"/>
            <w:noWrap/>
          </w:tcPr>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cs="宋体"/>
                <w:sz w:val="24"/>
              </w:rPr>
            </w:pPr>
            <w:r>
              <w:rPr>
                <w:rFonts w:ascii="宋体" w:hAnsi="宋体" w:cs="宋体"/>
                <w:szCs w:val="21"/>
              </w:rPr>
              <w:t>综上所述，项目选址较为合理，符合国家及地方相关产业政策要求，采取相应的污染治理措施后，各项污染物排放均满足相关环保标准要求，对区域环境质量影响较小。从生态环境影响的角度分析，在落实好各项环保措施、环境管理和监测计划的前提下，项目的建设是可行的。</w:t>
            </w:r>
          </w:p>
        </w:tc>
      </w:tr>
    </w:tbl>
    <w:p>
      <w:pPr>
        <w:rPr>
          <w:rFonts w:ascii="宋体"/>
        </w:rPr>
        <w:sectPr>
          <w:pgSz w:w="11906" w:h="16838"/>
          <w:pgMar w:top="1701" w:right="1531" w:bottom="1701" w:left="1531" w:header="851" w:footer="851" w:gutter="0"/>
          <w:cols w:space="720" w:num="1"/>
          <w:docGrid w:linePitch="312" w:charSpace="0"/>
        </w:sectPr>
      </w:pPr>
    </w:p>
    <w:p>
      <w:pPr>
        <w:pStyle w:val="20"/>
        <w:adjustRightInd w:val="0"/>
        <w:snapToGrid w:val="0"/>
        <w:spacing w:before="0" w:beforeAutospacing="0" w:after="0" w:afterAutospacing="0" w:line="360" w:lineRule="auto"/>
        <w:outlineLvl w:val="0"/>
        <w:rPr>
          <w:rFonts w:ascii="方正小标宋_GBK" w:hAnsi="黑体" w:eastAsia="方正小标宋_GBK"/>
          <w:snapToGrid w:val="0"/>
          <w:sz w:val="38"/>
          <w:szCs w:val="38"/>
        </w:rPr>
      </w:pPr>
      <w:bookmarkStart w:id="23" w:name="_Toc13211"/>
      <w:r>
        <w:rPr>
          <w:rFonts w:hint="eastAsia" w:cs="宋体"/>
          <w:b/>
          <w:bCs/>
          <w:snapToGrid w:val="0"/>
          <w:sz w:val="32"/>
          <w:szCs w:val="32"/>
        </w:rPr>
        <w:t xml:space="preserve">附表               </w:t>
      </w:r>
      <w:r>
        <w:rPr>
          <w:rFonts w:hint="eastAsia" w:cs="宋体"/>
          <w:b/>
          <w:bCs/>
          <w:snapToGrid w:val="0"/>
          <w:color w:val="FF0000"/>
          <w:sz w:val="32"/>
          <w:szCs w:val="32"/>
        </w:rPr>
        <w:t xml:space="preserve">  </w:t>
      </w:r>
      <w:r>
        <w:rPr>
          <w:rFonts w:hint="eastAsia" w:cs="宋体"/>
          <w:b/>
          <w:bCs/>
          <w:snapToGrid w:val="0"/>
          <w:color w:val="FF0000"/>
          <w:sz w:val="32"/>
          <w:szCs w:val="32"/>
          <w:lang w:val="en-US" w:eastAsia="zh-CN"/>
        </w:rPr>
        <w:t xml:space="preserve">    </w:t>
      </w:r>
      <w:r>
        <w:rPr>
          <w:rFonts w:hint="eastAsia" w:cs="宋体"/>
          <w:b/>
          <w:bCs/>
          <w:snapToGrid w:val="0"/>
          <w:color w:val="000000" w:themeColor="text1"/>
          <w:sz w:val="38"/>
          <w:szCs w:val="38"/>
          <w14:textFill>
            <w14:solidFill>
              <w14:schemeClr w14:val="tx1"/>
            </w14:solidFill>
          </w14:textFill>
        </w:rPr>
        <w:t>建设项目污染物排放量汇总表</w:t>
      </w:r>
      <w:bookmarkEnd w:id="23"/>
    </w:p>
    <w:tbl>
      <w:tblPr>
        <w:tblStyle w:val="24"/>
        <w:tblW w:w="14265" w:type="dxa"/>
        <w:tblInd w:w="-35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245"/>
        <w:gridCol w:w="1980"/>
        <w:gridCol w:w="1155"/>
        <w:gridCol w:w="2070"/>
        <w:gridCol w:w="1965"/>
        <w:gridCol w:w="1245"/>
        <w:gridCol w:w="2040"/>
        <w:gridCol w:w="13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45" w:type="dxa"/>
            <w:tcBorders>
              <w:tl2br w:val="single" w:color="auto" w:sz="4" w:space="0"/>
            </w:tcBorders>
            <w:noWrap/>
            <w:tcMar>
              <w:left w:w="28" w:type="dxa"/>
              <w:right w:w="28" w:type="dxa"/>
            </w:tcMar>
            <w:vAlign w:val="center"/>
          </w:tcPr>
          <w:p>
            <w:pPr>
              <w:pStyle w:val="45"/>
              <w:spacing w:beforeLines="0" w:afterLines="0" w:line="240" w:lineRule="auto"/>
              <w:jc w:val="right"/>
              <w:rPr>
                <w:rFonts w:hAnsi="宋体" w:cs="宋体"/>
                <w:snapToGrid w:val="0"/>
                <w:spacing w:val="-6"/>
                <w:kern w:val="21"/>
                <w:sz w:val="18"/>
                <w:szCs w:val="18"/>
              </w:rPr>
            </w:pPr>
            <w:r>
              <w:rPr>
                <w:rFonts w:hint="eastAsia" w:hAnsi="宋体" w:cs="宋体"/>
                <w:snapToGrid w:val="0"/>
                <w:spacing w:val="-6"/>
                <w:kern w:val="21"/>
                <w:sz w:val="18"/>
                <w:szCs w:val="18"/>
              </w:rPr>
              <w:t>项目</w:t>
            </w:r>
          </w:p>
          <w:p>
            <w:pPr>
              <w:pStyle w:val="45"/>
              <w:spacing w:beforeLines="0" w:afterLines="0" w:line="240" w:lineRule="auto"/>
              <w:jc w:val="left"/>
              <w:rPr>
                <w:rFonts w:hAnsi="宋体" w:cs="宋体"/>
                <w:snapToGrid w:val="0"/>
                <w:spacing w:val="-6"/>
                <w:kern w:val="21"/>
                <w:sz w:val="18"/>
                <w:szCs w:val="18"/>
              </w:rPr>
            </w:pPr>
            <w:r>
              <w:rPr>
                <w:rFonts w:hint="eastAsia" w:hAnsi="宋体" w:cs="宋体"/>
                <w:snapToGrid w:val="0"/>
                <w:spacing w:val="-6"/>
                <w:kern w:val="21"/>
                <w:sz w:val="18"/>
                <w:szCs w:val="18"/>
              </w:rPr>
              <w:t>分类</w:t>
            </w:r>
          </w:p>
        </w:tc>
        <w:tc>
          <w:tcPr>
            <w:tcW w:w="1245" w:type="dxa"/>
            <w:noWrap/>
            <w:tcMar>
              <w:left w:w="28" w:type="dxa"/>
              <w:right w:w="28" w:type="dxa"/>
            </w:tcMar>
            <w:vAlign w:val="center"/>
          </w:tcPr>
          <w:p>
            <w:pPr>
              <w:pStyle w:val="45"/>
              <w:spacing w:beforeLines="0" w:afterLines="0" w:line="240" w:lineRule="auto"/>
              <w:rPr>
                <w:rFonts w:hAnsi="宋体" w:cs="宋体"/>
                <w:snapToGrid w:val="0"/>
                <w:spacing w:val="-6"/>
                <w:kern w:val="21"/>
                <w:sz w:val="18"/>
                <w:szCs w:val="18"/>
              </w:rPr>
            </w:pPr>
            <w:r>
              <w:rPr>
                <w:rFonts w:hint="eastAsia" w:hAnsi="宋体" w:cs="宋体"/>
                <w:snapToGrid w:val="0"/>
                <w:spacing w:val="-6"/>
                <w:kern w:val="21"/>
                <w:sz w:val="18"/>
                <w:szCs w:val="18"/>
              </w:rPr>
              <w:t>污染物名称</w:t>
            </w:r>
          </w:p>
        </w:tc>
        <w:tc>
          <w:tcPr>
            <w:tcW w:w="1980" w:type="dxa"/>
            <w:noWrap/>
            <w:tcMar>
              <w:left w:w="28" w:type="dxa"/>
              <w:right w:w="28" w:type="dxa"/>
            </w:tcMar>
            <w:vAlign w:val="center"/>
          </w:tcPr>
          <w:p>
            <w:pPr>
              <w:pStyle w:val="45"/>
              <w:spacing w:beforeLines="0" w:afterLines="0" w:line="240" w:lineRule="auto"/>
              <w:rPr>
                <w:rFonts w:hAnsi="宋体" w:cs="宋体"/>
                <w:snapToGrid w:val="0"/>
                <w:spacing w:val="-6"/>
                <w:kern w:val="21"/>
                <w:sz w:val="18"/>
                <w:szCs w:val="18"/>
              </w:rPr>
            </w:pPr>
            <w:r>
              <w:rPr>
                <w:rFonts w:hint="eastAsia" w:hAnsi="宋体" w:cs="宋体"/>
                <w:snapToGrid w:val="0"/>
                <w:spacing w:val="-6"/>
                <w:kern w:val="21"/>
                <w:sz w:val="18"/>
                <w:szCs w:val="18"/>
              </w:rPr>
              <w:t>现有工程</w:t>
            </w:r>
          </w:p>
          <w:p>
            <w:pPr>
              <w:pStyle w:val="45"/>
              <w:spacing w:beforeLines="0" w:afterLines="0" w:line="240" w:lineRule="auto"/>
              <w:rPr>
                <w:rFonts w:hAnsi="宋体" w:cs="宋体"/>
                <w:snapToGrid w:val="0"/>
                <w:spacing w:val="-6"/>
                <w:kern w:val="21"/>
                <w:sz w:val="18"/>
                <w:szCs w:val="18"/>
              </w:rPr>
            </w:pPr>
            <w:r>
              <w:rPr>
                <w:rFonts w:hint="eastAsia" w:hAnsi="宋体" w:cs="宋体"/>
                <w:snapToGrid w:val="0"/>
                <w:spacing w:val="-6"/>
                <w:kern w:val="21"/>
                <w:sz w:val="18"/>
                <w:szCs w:val="18"/>
              </w:rPr>
              <w:t>排放量（固体废物产生量）</w:t>
            </w:r>
            <w:r>
              <w:rPr>
                <w:rFonts w:hint="eastAsia" w:hAnsi="宋体" w:cs="宋体"/>
                <w:snapToGrid w:val="0"/>
                <w:spacing w:val="-6"/>
                <w:kern w:val="21"/>
                <w:sz w:val="18"/>
                <w:szCs w:val="18"/>
              </w:rPr>
              <w:fldChar w:fldCharType="begin"/>
            </w:r>
            <w:r>
              <w:rPr>
                <w:rFonts w:hint="eastAsia" w:hAnsi="宋体" w:cs="宋体"/>
                <w:snapToGrid w:val="0"/>
                <w:spacing w:val="-6"/>
                <w:kern w:val="21"/>
                <w:sz w:val="18"/>
                <w:szCs w:val="18"/>
              </w:rPr>
              <w:instrText xml:space="preserve"> = 1 \* GB3 \* MERGEFORMAT </w:instrText>
            </w:r>
            <w:r>
              <w:rPr>
                <w:rFonts w:hint="eastAsia" w:hAnsi="宋体" w:cs="宋体"/>
                <w:snapToGrid w:val="0"/>
                <w:spacing w:val="-6"/>
                <w:kern w:val="21"/>
                <w:sz w:val="18"/>
                <w:szCs w:val="18"/>
              </w:rPr>
              <w:fldChar w:fldCharType="separate"/>
            </w:r>
            <w:r>
              <w:rPr>
                <w:rFonts w:hint="eastAsia" w:hAnsi="宋体" w:cs="宋体"/>
                <w:kern w:val="2"/>
                <w:sz w:val="18"/>
                <w:szCs w:val="18"/>
              </w:rPr>
              <w:t>①</w:t>
            </w:r>
            <w:r>
              <w:rPr>
                <w:rFonts w:hint="eastAsia" w:hAnsi="宋体" w:cs="宋体"/>
                <w:snapToGrid w:val="0"/>
                <w:spacing w:val="-6"/>
                <w:kern w:val="21"/>
                <w:sz w:val="18"/>
                <w:szCs w:val="18"/>
              </w:rPr>
              <w:fldChar w:fldCharType="end"/>
            </w:r>
          </w:p>
        </w:tc>
        <w:tc>
          <w:tcPr>
            <w:tcW w:w="1155" w:type="dxa"/>
            <w:noWrap/>
            <w:tcMar>
              <w:left w:w="28" w:type="dxa"/>
              <w:right w:w="28" w:type="dxa"/>
            </w:tcMar>
            <w:vAlign w:val="center"/>
          </w:tcPr>
          <w:p>
            <w:pPr>
              <w:pStyle w:val="45"/>
              <w:spacing w:beforeLines="0" w:afterLines="0" w:line="240" w:lineRule="auto"/>
              <w:rPr>
                <w:rFonts w:hAnsi="宋体" w:cs="宋体"/>
                <w:snapToGrid w:val="0"/>
                <w:spacing w:val="-6"/>
                <w:kern w:val="21"/>
                <w:sz w:val="18"/>
                <w:szCs w:val="18"/>
              </w:rPr>
            </w:pPr>
            <w:r>
              <w:rPr>
                <w:rFonts w:hint="eastAsia" w:hAnsi="宋体" w:cs="宋体"/>
                <w:snapToGrid w:val="0"/>
                <w:spacing w:val="-6"/>
                <w:kern w:val="21"/>
                <w:sz w:val="18"/>
                <w:szCs w:val="18"/>
              </w:rPr>
              <w:t>现有工程</w:t>
            </w:r>
          </w:p>
          <w:p>
            <w:pPr>
              <w:pStyle w:val="45"/>
              <w:spacing w:beforeLines="0" w:afterLines="0" w:line="240" w:lineRule="auto"/>
              <w:rPr>
                <w:rFonts w:hAnsi="宋体" w:cs="宋体"/>
                <w:snapToGrid w:val="0"/>
                <w:spacing w:val="-6"/>
                <w:kern w:val="21"/>
                <w:sz w:val="18"/>
                <w:szCs w:val="18"/>
              </w:rPr>
            </w:pPr>
            <w:r>
              <w:rPr>
                <w:rFonts w:hint="eastAsia" w:hAnsi="宋体" w:cs="宋体"/>
                <w:snapToGrid w:val="0"/>
                <w:spacing w:val="-6"/>
                <w:kern w:val="21"/>
                <w:sz w:val="18"/>
                <w:szCs w:val="18"/>
              </w:rPr>
              <w:t>许可排放量</w:t>
            </w:r>
          </w:p>
          <w:p>
            <w:pPr>
              <w:pStyle w:val="45"/>
              <w:spacing w:beforeLines="0" w:afterLines="0"/>
              <w:rPr>
                <w:rFonts w:hAnsi="宋体" w:cs="宋体"/>
                <w:snapToGrid w:val="0"/>
                <w:spacing w:val="-6"/>
                <w:kern w:val="21"/>
                <w:sz w:val="18"/>
                <w:szCs w:val="18"/>
              </w:rPr>
            </w:pPr>
            <w:r>
              <w:rPr>
                <w:rFonts w:hint="eastAsia" w:hAnsi="宋体" w:cs="宋体"/>
                <w:snapToGrid w:val="0"/>
                <w:spacing w:val="-6"/>
                <w:kern w:val="21"/>
                <w:sz w:val="18"/>
                <w:szCs w:val="18"/>
              </w:rPr>
              <w:fldChar w:fldCharType="begin"/>
            </w:r>
            <w:r>
              <w:rPr>
                <w:rFonts w:hint="eastAsia" w:hAnsi="宋体" w:cs="宋体"/>
                <w:snapToGrid w:val="0"/>
                <w:spacing w:val="-6"/>
                <w:kern w:val="21"/>
                <w:sz w:val="18"/>
                <w:szCs w:val="18"/>
              </w:rPr>
              <w:instrText xml:space="preserve"> = 2 \* GB3 \* MERGEFORMAT </w:instrText>
            </w:r>
            <w:r>
              <w:rPr>
                <w:rFonts w:hint="eastAsia" w:hAnsi="宋体" w:cs="宋体"/>
                <w:snapToGrid w:val="0"/>
                <w:spacing w:val="-6"/>
                <w:kern w:val="21"/>
                <w:sz w:val="18"/>
                <w:szCs w:val="18"/>
              </w:rPr>
              <w:fldChar w:fldCharType="separate"/>
            </w:r>
            <w:r>
              <w:rPr>
                <w:rFonts w:hint="eastAsia" w:hAnsi="宋体" w:cs="宋体"/>
                <w:snapToGrid w:val="0"/>
                <w:spacing w:val="-6"/>
                <w:kern w:val="21"/>
                <w:sz w:val="18"/>
                <w:szCs w:val="18"/>
              </w:rPr>
              <w:t>②</w:t>
            </w:r>
            <w:r>
              <w:rPr>
                <w:rFonts w:hint="eastAsia" w:hAnsi="宋体" w:cs="宋体"/>
                <w:snapToGrid w:val="0"/>
                <w:spacing w:val="-6"/>
                <w:kern w:val="21"/>
                <w:sz w:val="18"/>
                <w:szCs w:val="18"/>
              </w:rPr>
              <w:fldChar w:fldCharType="end"/>
            </w:r>
          </w:p>
        </w:tc>
        <w:tc>
          <w:tcPr>
            <w:tcW w:w="2070" w:type="dxa"/>
            <w:noWrap/>
            <w:tcMar>
              <w:left w:w="28" w:type="dxa"/>
              <w:right w:w="28" w:type="dxa"/>
            </w:tcMar>
            <w:vAlign w:val="center"/>
          </w:tcPr>
          <w:p>
            <w:pPr>
              <w:pStyle w:val="45"/>
              <w:spacing w:beforeLines="0" w:afterLines="0" w:line="240" w:lineRule="auto"/>
              <w:rPr>
                <w:rFonts w:hAnsi="宋体" w:cs="宋体"/>
                <w:snapToGrid w:val="0"/>
                <w:spacing w:val="-6"/>
                <w:kern w:val="21"/>
                <w:sz w:val="18"/>
                <w:szCs w:val="18"/>
              </w:rPr>
            </w:pPr>
            <w:r>
              <w:rPr>
                <w:rFonts w:hint="eastAsia" w:hAnsi="宋体" w:cs="宋体"/>
                <w:snapToGrid w:val="0"/>
                <w:spacing w:val="-6"/>
                <w:kern w:val="21"/>
                <w:sz w:val="18"/>
                <w:szCs w:val="18"/>
              </w:rPr>
              <w:t>在建工程</w:t>
            </w:r>
          </w:p>
          <w:p>
            <w:pPr>
              <w:pStyle w:val="45"/>
              <w:spacing w:beforeLines="0" w:afterLines="0" w:line="240" w:lineRule="auto"/>
              <w:rPr>
                <w:rFonts w:hAnsi="宋体" w:cs="宋体"/>
                <w:snapToGrid w:val="0"/>
                <w:spacing w:val="-6"/>
                <w:kern w:val="21"/>
                <w:sz w:val="18"/>
                <w:szCs w:val="18"/>
              </w:rPr>
            </w:pPr>
            <w:r>
              <w:rPr>
                <w:rFonts w:hint="eastAsia" w:hAnsi="宋体" w:cs="宋体"/>
                <w:snapToGrid w:val="0"/>
                <w:spacing w:val="-6"/>
                <w:kern w:val="21"/>
                <w:sz w:val="18"/>
                <w:szCs w:val="18"/>
              </w:rPr>
              <w:t>排放量（固体废物产生量）</w:t>
            </w:r>
            <w:r>
              <w:rPr>
                <w:rFonts w:hint="eastAsia" w:hAnsi="宋体" w:cs="宋体"/>
                <w:snapToGrid w:val="0"/>
                <w:spacing w:val="-6"/>
                <w:kern w:val="21"/>
                <w:sz w:val="18"/>
                <w:szCs w:val="18"/>
              </w:rPr>
              <w:fldChar w:fldCharType="begin"/>
            </w:r>
            <w:r>
              <w:rPr>
                <w:rFonts w:hint="eastAsia" w:hAnsi="宋体" w:cs="宋体"/>
                <w:snapToGrid w:val="0"/>
                <w:spacing w:val="-6"/>
                <w:kern w:val="21"/>
                <w:sz w:val="18"/>
                <w:szCs w:val="18"/>
              </w:rPr>
              <w:instrText xml:space="preserve"> = 3 \* GB3 \* MERGEFORMAT </w:instrText>
            </w:r>
            <w:r>
              <w:rPr>
                <w:rFonts w:hint="eastAsia" w:hAnsi="宋体" w:cs="宋体"/>
                <w:snapToGrid w:val="0"/>
                <w:spacing w:val="-6"/>
                <w:kern w:val="21"/>
                <w:sz w:val="18"/>
                <w:szCs w:val="18"/>
              </w:rPr>
              <w:fldChar w:fldCharType="separate"/>
            </w:r>
            <w:r>
              <w:rPr>
                <w:rFonts w:hint="eastAsia" w:hAnsi="宋体" w:cs="宋体"/>
                <w:kern w:val="2"/>
                <w:sz w:val="18"/>
                <w:szCs w:val="18"/>
              </w:rPr>
              <w:t>③</w:t>
            </w:r>
            <w:r>
              <w:rPr>
                <w:rFonts w:hint="eastAsia" w:hAnsi="宋体" w:cs="宋体"/>
                <w:snapToGrid w:val="0"/>
                <w:spacing w:val="-6"/>
                <w:kern w:val="21"/>
                <w:sz w:val="18"/>
                <w:szCs w:val="18"/>
              </w:rPr>
              <w:fldChar w:fldCharType="end"/>
            </w:r>
          </w:p>
        </w:tc>
        <w:tc>
          <w:tcPr>
            <w:tcW w:w="1965" w:type="dxa"/>
            <w:noWrap/>
            <w:tcMar>
              <w:left w:w="28" w:type="dxa"/>
              <w:right w:w="28" w:type="dxa"/>
            </w:tcMar>
            <w:vAlign w:val="center"/>
          </w:tcPr>
          <w:p>
            <w:pPr>
              <w:pStyle w:val="45"/>
              <w:spacing w:beforeLines="0" w:afterLines="0" w:line="240" w:lineRule="auto"/>
              <w:rPr>
                <w:rFonts w:hAnsi="宋体" w:cs="宋体"/>
                <w:snapToGrid w:val="0"/>
                <w:spacing w:val="-6"/>
                <w:kern w:val="21"/>
                <w:sz w:val="18"/>
                <w:szCs w:val="18"/>
              </w:rPr>
            </w:pPr>
            <w:r>
              <w:rPr>
                <w:rFonts w:hint="eastAsia" w:hAnsi="宋体" w:cs="宋体"/>
                <w:snapToGrid w:val="0"/>
                <w:spacing w:val="-6"/>
                <w:kern w:val="21"/>
                <w:sz w:val="18"/>
                <w:szCs w:val="18"/>
              </w:rPr>
              <w:t>本项目</w:t>
            </w:r>
          </w:p>
          <w:p>
            <w:pPr>
              <w:pStyle w:val="45"/>
              <w:spacing w:beforeLines="0" w:afterLines="0" w:line="240" w:lineRule="auto"/>
              <w:rPr>
                <w:rFonts w:hAnsi="宋体" w:cs="宋体"/>
                <w:snapToGrid w:val="0"/>
                <w:spacing w:val="-6"/>
                <w:kern w:val="21"/>
                <w:sz w:val="18"/>
                <w:szCs w:val="18"/>
              </w:rPr>
            </w:pPr>
            <w:r>
              <w:rPr>
                <w:rFonts w:hint="eastAsia" w:hAnsi="宋体" w:cs="宋体"/>
                <w:snapToGrid w:val="0"/>
                <w:spacing w:val="-6"/>
                <w:kern w:val="21"/>
                <w:sz w:val="18"/>
                <w:szCs w:val="18"/>
              </w:rPr>
              <w:t>排放量（固体废物产生量）</w:t>
            </w:r>
            <w:r>
              <w:rPr>
                <w:rFonts w:hint="eastAsia" w:hAnsi="宋体" w:cs="宋体"/>
                <w:snapToGrid w:val="0"/>
                <w:spacing w:val="-6"/>
                <w:kern w:val="21"/>
                <w:sz w:val="18"/>
                <w:szCs w:val="18"/>
              </w:rPr>
              <w:fldChar w:fldCharType="begin"/>
            </w:r>
            <w:r>
              <w:rPr>
                <w:rFonts w:hint="eastAsia" w:hAnsi="宋体" w:cs="宋体"/>
                <w:snapToGrid w:val="0"/>
                <w:spacing w:val="-6"/>
                <w:kern w:val="21"/>
                <w:sz w:val="18"/>
                <w:szCs w:val="18"/>
              </w:rPr>
              <w:instrText xml:space="preserve"> = 4 \* GB3 \* MERGEFORMAT </w:instrText>
            </w:r>
            <w:r>
              <w:rPr>
                <w:rFonts w:hint="eastAsia" w:hAnsi="宋体" w:cs="宋体"/>
                <w:snapToGrid w:val="0"/>
                <w:spacing w:val="-6"/>
                <w:kern w:val="21"/>
                <w:sz w:val="18"/>
                <w:szCs w:val="18"/>
              </w:rPr>
              <w:fldChar w:fldCharType="separate"/>
            </w:r>
            <w:r>
              <w:rPr>
                <w:rFonts w:hint="eastAsia" w:hAnsi="宋体" w:cs="宋体"/>
                <w:kern w:val="2"/>
                <w:sz w:val="18"/>
                <w:szCs w:val="18"/>
              </w:rPr>
              <w:t>④</w:t>
            </w:r>
            <w:r>
              <w:rPr>
                <w:rFonts w:hint="eastAsia" w:hAnsi="宋体" w:cs="宋体"/>
                <w:snapToGrid w:val="0"/>
                <w:spacing w:val="-6"/>
                <w:kern w:val="21"/>
                <w:sz w:val="18"/>
                <w:szCs w:val="18"/>
              </w:rPr>
              <w:fldChar w:fldCharType="end"/>
            </w:r>
          </w:p>
        </w:tc>
        <w:tc>
          <w:tcPr>
            <w:tcW w:w="1245" w:type="dxa"/>
            <w:noWrap/>
            <w:tcMar>
              <w:left w:w="28" w:type="dxa"/>
              <w:right w:w="28" w:type="dxa"/>
            </w:tcMar>
            <w:vAlign w:val="center"/>
          </w:tcPr>
          <w:p>
            <w:pPr>
              <w:pStyle w:val="45"/>
              <w:spacing w:beforeLines="0" w:afterLines="0" w:line="240" w:lineRule="auto"/>
              <w:rPr>
                <w:rFonts w:hAnsi="宋体" w:cs="宋体"/>
                <w:snapToGrid w:val="0"/>
                <w:spacing w:val="-16"/>
                <w:kern w:val="21"/>
                <w:sz w:val="18"/>
                <w:szCs w:val="18"/>
              </w:rPr>
            </w:pPr>
            <w:r>
              <w:rPr>
                <w:rFonts w:hint="eastAsia" w:hAnsi="宋体" w:cs="宋体"/>
                <w:snapToGrid w:val="0"/>
                <w:spacing w:val="-16"/>
                <w:kern w:val="21"/>
                <w:sz w:val="18"/>
                <w:szCs w:val="18"/>
              </w:rPr>
              <w:t>以新带老削减量</w:t>
            </w:r>
          </w:p>
          <w:p>
            <w:pPr>
              <w:pStyle w:val="45"/>
              <w:spacing w:beforeLines="0" w:afterLines="0" w:line="240" w:lineRule="auto"/>
              <w:rPr>
                <w:rFonts w:hAnsi="宋体" w:cs="宋体"/>
                <w:snapToGrid w:val="0"/>
                <w:spacing w:val="-16"/>
                <w:kern w:val="21"/>
                <w:sz w:val="18"/>
                <w:szCs w:val="18"/>
              </w:rPr>
            </w:pPr>
            <w:r>
              <w:rPr>
                <w:rFonts w:hint="eastAsia" w:hAnsi="宋体" w:cs="宋体"/>
                <w:snapToGrid w:val="0"/>
                <w:spacing w:val="-16"/>
                <w:kern w:val="21"/>
                <w:sz w:val="18"/>
                <w:szCs w:val="18"/>
              </w:rPr>
              <w:t>（新建项目不填）</w:t>
            </w:r>
            <w:r>
              <w:rPr>
                <w:rFonts w:hint="eastAsia" w:hAnsi="宋体" w:cs="宋体"/>
                <w:snapToGrid w:val="0"/>
                <w:spacing w:val="-16"/>
                <w:kern w:val="21"/>
                <w:sz w:val="18"/>
                <w:szCs w:val="18"/>
              </w:rPr>
              <w:fldChar w:fldCharType="begin"/>
            </w:r>
            <w:r>
              <w:rPr>
                <w:rFonts w:hint="eastAsia" w:hAnsi="宋体" w:cs="宋体"/>
                <w:snapToGrid w:val="0"/>
                <w:spacing w:val="-16"/>
                <w:kern w:val="21"/>
                <w:sz w:val="18"/>
                <w:szCs w:val="18"/>
              </w:rPr>
              <w:instrText xml:space="preserve"> = 5 \* GB3 \* MERGEFORMAT </w:instrText>
            </w:r>
            <w:r>
              <w:rPr>
                <w:rFonts w:hint="eastAsia" w:hAnsi="宋体" w:cs="宋体"/>
                <w:snapToGrid w:val="0"/>
                <w:spacing w:val="-16"/>
                <w:kern w:val="21"/>
                <w:sz w:val="18"/>
                <w:szCs w:val="18"/>
              </w:rPr>
              <w:fldChar w:fldCharType="separate"/>
            </w:r>
            <w:r>
              <w:rPr>
                <w:rFonts w:hint="eastAsia" w:hAnsi="宋体" w:cs="宋体"/>
                <w:kern w:val="2"/>
                <w:sz w:val="18"/>
                <w:szCs w:val="18"/>
              </w:rPr>
              <w:t>⑤</w:t>
            </w:r>
            <w:r>
              <w:rPr>
                <w:rFonts w:hint="eastAsia" w:hAnsi="宋体" w:cs="宋体"/>
                <w:snapToGrid w:val="0"/>
                <w:spacing w:val="-16"/>
                <w:kern w:val="21"/>
                <w:sz w:val="18"/>
                <w:szCs w:val="18"/>
              </w:rPr>
              <w:fldChar w:fldCharType="end"/>
            </w:r>
          </w:p>
        </w:tc>
        <w:tc>
          <w:tcPr>
            <w:tcW w:w="2040" w:type="dxa"/>
            <w:noWrap/>
            <w:tcMar>
              <w:left w:w="28" w:type="dxa"/>
              <w:right w:w="28" w:type="dxa"/>
            </w:tcMar>
            <w:vAlign w:val="center"/>
          </w:tcPr>
          <w:p>
            <w:pPr>
              <w:pStyle w:val="45"/>
              <w:spacing w:beforeLines="0" w:afterLines="0" w:line="240" w:lineRule="auto"/>
              <w:rPr>
                <w:rFonts w:hAnsi="宋体" w:cs="宋体"/>
                <w:snapToGrid w:val="0"/>
                <w:spacing w:val="-16"/>
                <w:kern w:val="21"/>
                <w:sz w:val="18"/>
                <w:szCs w:val="18"/>
              </w:rPr>
            </w:pPr>
            <w:r>
              <w:rPr>
                <w:rFonts w:hint="eastAsia" w:hAnsi="宋体" w:cs="宋体"/>
                <w:snapToGrid w:val="0"/>
                <w:spacing w:val="-16"/>
                <w:kern w:val="21"/>
                <w:sz w:val="18"/>
                <w:szCs w:val="18"/>
              </w:rPr>
              <w:t>本项目建成后</w:t>
            </w:r>
          </w:p>
          <w:p>
            <w:pPr>
              <w:pStyle w:val="45"/>
              <w:spacing w:beforeLines="0" w:afterLines="0" w:line="240" w:lineRule="auto"/>
              <w:rPr>
                <w:rFonts w:hAnsi="宋体" w:cs="宋体"/>
                <w:snapToGrid w:val="0"/>
                <w:spacing w:val="-16"/>
                <w:kern w:val="21"/>
                <w:sz w:val="18"/>
                <w:szCs w:val="18"/>
              </w:rPr>
            </w:pPr>
            <w:r>
              <w:rPr>
                <w:rFonts w:hint="eastAsia" w:hAnsi="宋体" w:cs="宋体"/>
                <w:snapToGrid w:val="0"/>
                <w:spacing w:val="-16"/>
                <w:kern w:val="21"/>
                <w:sz w:val="18"/>
                <w:szCs w:val="18"/>
              </w:rPr>
              <w:t>全厂排放量（固体废物产生量）</w:t>
            </w:r>
            <w:r>
              <w:rPr>
                <w:rFonts w:hint="eastAsia" w:hAnsi="宋体" w:cs="宋体"/>
                <w:snapToGrid w:val="0"/>
                <w:spacing w:val="-16"/>
                <w:kern w:val="21"/>
                <w:sz w:val="18"/>
                <w:szCs w:val="18"/>
              </w:rPr>
              <w:fldChar w:fldCharType="begin"/>
            </w:r>
            <w:r>
              <w:rPr>
                <w:rFonts w:hint="eastAsia" w:hAnsi="宋体" w:cs="宋体"/>
                <w:snapToGrid w:val="0"/>
                <w:spacing w:val="-16"/>
                <w:kern w:val="21"/>
                <w:sz w:val="18"/>
                <w:szCs w:val="18"/>
              </w:rPr>
              <w:instrText xml:space="preserve"> = 6 \* GB3 \* MERGEFORMAT </w:instrText>
            </w:r>
            <w:r>
              <w:rPr>
                <w:rFonts w:hint="eastAsia" w:hAnsi="宋体" w:cs="宋体"/>
                <w:snapToGrid w:val="0"/>
                <w:spacing w:val="-16"/>
                <w:kern w:val="21"/>
                <w:sz w:val="18"/>
                <w:szCs w:val="18"/>
              </w:rPr>
              <w:fldChar w:fldCharType="separate"/>
            </w:r>
            <w:r>
              <w:rPr>
                <w:rFonts w:hint="eastAsia" w:hAnsi="宋体" w:cs="宋体"/>
                <w:kern w:val="2"/>
                <w:sz w:val="18"/>
                <w:szCs w:val="18"/>
              </w:rPr>
              <w:t>⑥</w:t>
            </w:r>
            <w:r>
              <w:rPr>
                <w:rFonts w:hint="eastAsia" w:hAnsi="宋体" w:cs="宋体"/>
                <w:snapToGrid w:val="0"/>
                <w:spacing w:val="-16"/>
                <w:kern w:val="21"/>
                <w:sz w:val="18"/>
                <w:szCs w:val="18"/>
              </w:rPr>
              <w:fldChar w:fldCharType="end"/>
            </w:r>
          </w:p>
        </w:tc>
        <w:tc>
          <w:tcPr>
            <w:tcW w:w="1320" w:type="dxa"/>
            <w:noWrap/>
            <w:tcMar>
              <w:left w:w="28" w:type="dxa"/>
              <w:right w:w="28" w:type="dxa"/>
            </w:tcMar>
            <w:vAlign w:val="center"/>
          </w:tcPr>
          <w:p>
            <w:pPr>
              <w:pStyle w:val="45"/>
              <w:spacing w:beforeLines="0" w:afterLines="0" w:line="240" w:lineRule="auto"/>
              <w:rPr>
                <w:rFonts w:hAnsi="宋体" w:cs="宋体"/>
                <w:snapToGrid w:val="0"/>
                <w:spacing w:val="-6"/>
                <w:kern w:val="21"/>
                <w:sz w:val="18"/>
                <w:szCs w:val="18"/>
              </w:rPr>
            </w:pPr>
            <w:r>
              <w:rPr>
                <w:rFonts w:hint="eastAsia" w:hAnsi="宋体" w:cs="宋体"/>
                <w:snapToGrid w:val="0"/>
                <w:spacing w:val="-6"/>
                <w:kern w:val="21"/>
                <w:sz w:val="18"/>
                <w:szCs w:val="18"/>
              </w:rPr>
              <w:t>变化量</w:t>
            </w:r>
          </w:p>
          <w:p>
            <w:pPr>
              <w:pStyle w:val="45"/>
              <w:spacing w:beforeLines="0" w:afterLines="0" w:line="240" w:lineRule="auto"/>
              <w:rPr>
                <w:rFonts w:hAnsi="宋体" w:cs="宋体"/>
                <w:snapToGrid w:val="0"/>
                <w:spacing w:val="-6"/>
                <w:kern w:val="21"/>
                <w:sz w:val="18"/>
                <w:szCs w:val="18"/>
              </w:rPr>
            </w:pPr>
            <w:r>
              <w:rPr>
                <w:rFonts w:hint="eastAsia" w:hAnsi="宋体" w:cs="宋体"/>
                <w:snapToGrid w:val="0"/>
                <w:spacing w:val="-6"/>
                <w:kern w:val="21"/>
                <w:sz w:val="18"/>
                <w:szCs w:val="18"/>
              </w:rPr>
              <w:fldChar w:fldCharType="begin"/>
            </w:r>
            <w:r>
              <w:rPr>
                <w:rFonts w:hint="eastAsia" w:hAnsi="宋体" w:cs="宋体"/>
                <w:snapToGrid w:val="0"/>
                <w:spacing w:val="-6"/>
                <w:kern w:val="21"/>
                <w:sz w:val="18"/>
                <w:szCs w:val="18"/>
              </w:rPr>
              <w:instrText xml:space="preserve"> = 7 \* GB3 \* MERGEFORMAT </w:instrText>
            </w:r>
            <w:r>
              <w:rPr>
                <w:rFonts w:hint="eastAsia" w:hAnsi="宋体" w:cs="宋体"/>
                <w:snapToGrid w:val="0"/>
                <w:spacing w:val="-6"/>
                <w:kern w:val="21"/>
                <w:sz w:val="18"/>
                <w:szCs w:val="18"/>
              </w:rPr>
              <w:fldChar w:fldCharType="separate"/>
            </w:r>
            <w:r>
              <w:rPr>
                <w:rFonts w:hint="eastAsia" w:hAnsi="宋体" w:cs="宋体"/>
                <w:kern w:val="2"/>
                <w:sz w:val="18"/>
                <w:szCs w:val="18"/>
              </w:rPr>
              <w:t>⑦</w:t>
            </w:r>
            <w:r>
              <w:rPr>
                <w:rFonts w:hint="eastAsia" w:hAnsi="宋体" w:cs="宋体"/>
                <w:snapToGrid w:val="0"/>
                <w:spacing w:val="-6"/>
                <w:kern w:val="21"/>
                <w:sz w:val="18"/>
                <w:szCs w:val="18"/>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245" w:type="dxa"/>
            <w:vMerge w:val="restart"/>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废气</w:t>
            </w:r>
          </w:p>
        </w:tc>
        <w:tc>
          <w:tcPr>
            <w:tcW w:w="1245" w:type="dxa"/>
            <w:noWrap/>
            <w:vAlign w:val="center"/>
          </w:tcPr>
          <w:p>
            <w:pPr>
              <w:pStyle w:val="45"/>
              <w:spacing w:beforeLines="0" w:afterLines="0" w:line="240" w:lineRule="auto"/>
              <w:rPr>
                <w:rFonts w:hAnsi="宋体" w:cs="宋体"/>
                <w:snapToGrid w:val="0"/>
                <w:kern w:val="21"/>
                <w:sz w:val="18"/>
                <w:szCs w:val="18"/>
                <w:highlight w:val="none"/>
              </w:rPr>
            </w:pPr>
            <w:r>
              <w:rPr>
                <w:rFonts w:hint="eastAsia" w:hAnsi="宋体" w:cs="宋体"/>
                <w:snapToGrid w:val="0"/>
                <w:kern w:val="21"/>
                <w:sz w:val="18"/>
                <w:szCs w:val="18"/>
                <w:highlight w:val="none"/>
              </w:rPr>
              <w:t>二氧化硫</w:t>
            </w:r>
          </w:p>
        </w:tc>
        <w:tc>
          <w:tcPr>
            <w:tcW w:w="1980" w:type="dxa"/>
            <w:noWrap/>
            <w:vAlign w:val="center"/>
          </w:tcPr>
          <w:p>
            <w:pPr>
              <w:jc w:val="center"/>
              <w:rPr>
                <w:rFonts w:ascii="宋体" w:hAnsi="宋体" w:cs="宋体"/>
                <w:sz w:val="18"/>
                <w:szCs w:val="18"/>
                <w:highlight w:val="none"/>
              </w:rPr>
            </w:pPr>
            <w:r>
              <w:rPr>
                <w:rFonts w:hint="eastAsia" w:ascii="宋体" w:hAnsi="宋体" w:cs="宋体"/>
                <w:snapToGrid w:val="0"/>
                <w:kern w:val="21"/>
                <w:sz w:val="18"/>
                <w:szCs w:val="18"/>
                <w:highlight w:val="none"/>
              </w:rPr>
              <w:t>0.021</w:t>
            </w:r>
            <w:r>
              <w:rPr>
                <w:rFonts w:hint="eastAsia" w:hAnsi="宋体" w:cs="宋体"/>
                <w:sz w:val="18"/>
                <w:szCs w:val="18"/>
                <w:highlight w:val="none"/>
              </w:rPr>
              <w:t>t/a</w:t>
            </w:r>
          </w:p>
        </w:tc>
        <w:tc>
          <w:tcPr>
            <w:tcW w:w="1155" w:type="dxa"/>
            <w:noWrap/>
            <w:vAlign w:val="center"/>
          </w:tcPr>
          <w:p>
            <w:pPr>
              <w:spacing w:line="360" w:lineRule="auto"/>
              <w:jc w:val="center"/>
              <w:rPr>
                <w:rFonts w:ascii="宋体" w:hAnsi="宋体" w:cs="宋体"/>
                <w:sz w:val="18"/>
                <w:szCs w:val="18"/>
                <w:highlight w:val="none"/>
              </w:rPr>
            </w:pPr>
            <w:r>
              <w:rPr>
                <w:rFonts w:hint="eastAsia" w:ascii="宋体" w:hAnsi="宋体" w:cs="宋体"/>
                <w:sz w:val="18"/>
                <w:szCs w:val="18"/>
                <w:highlight w:val="none"/>
              </w:rPr>
              <w:t>/</w:t>
            </w:r>
          </w:p>
        </w:tc>
        <w:tc>
          <w:tcPr>
            <w:tcW w:w="2070" w:type="dxa"/>
            <w:noWrap/>
            <w:vAlign w:val="center"/>
          </w:tcPr>
          <w:p>
            <w:pPr>
              <w:jc w:val="center"/>
              <w:rPr>
                <w:rFonts w:ascii="宋体" w:hAnsi="宋体" w:cs="宋体"/>
                <w:sz w:val="18"/>
                <w:szCs w:val="18"/>
                <w:highlight w:val="none"/>
              </w:rPr>
            </w:pPr>
            <w:r>
              <w:rPr>
                <w:rFonts w:hint="eastAsia" w:ascii="宋体" w:hAnsi="宋体" w:cs="宋体"/>
                <w:sz w:val="18"/>
                <w:szCs w:val="18"/>
                <w:highlight w:val="none"/>
              </w:rPr>
              <w:t>/</w:t>
            </w:r>
          </w:p>
        </w:tc>
        <w:tc>
          <w:tcPr>
            <w:tcW w:w="1965" w:type="dxa"/>
            <w:noWrap/>
            <w:vAlign w:val="center"/>
          </w:tcPr>
          <w:p>
            <w:pPr>
              <w:pStyle w:val="45"/>
              <w:spacing w:beforeLines="0" w:afterLines="0" w:line="240" w:lineRule="auto"/>
              <w:rPr>
                <w:rFonts w:hAnsi="宋体" w:cs="宋体"/>
                <w:snapToGrid w:val="0"/>
                <w:kern w:val="21"/>
                <w:sz w:val="18"/>
                <w:szCs w:val="18"/>
                <w:highlight w:val="none"/>
              </w:rPr>
            </w:pPr>
            <w:r>
              <w:rPr>
                <w:rFonts w:hint="eastAsia" w:hAnsi="宋体" w:cs="宋体"/>
                <w:snapToGrid w:val="0"/>
                <w:kern w:val="21"/>
                <w:sz w:val="18"/>
                <w:szCs w:val="18"/>
                <w:highlight w:val="none"/>
              </w:rPr>
              <w:t>0.041</w:t>
            </w:r>
            <w:r>
              <w:rPr>
                <w:rFonts w:hint="eastAsia" w:hAnsi="宋体" w:cs="宋体"/>
                <w:sz w:val="18"/>
                <w:szCs w:val="18"/>
                <w:highlight w:val="none"/>
              </w:rPr>
              <w:t>t/a</w:t>
            </w:r>
          </w:p>
        </w:tc>
        <w:tc>
          <w:tcPr>
            <w:tcW w:w="1245" w:type="dxa"/>
            <w:noWrap/>
            <w:vAlign w:val="center"/>
          </w:tcPr>
          <w:p>
            <w:pPr>
              <w:jc w:val="center"/>
              <w:rPr>
                <w:rFonts w:ascii="宋体" w:hAnsi="宋体" w:cs="宋体"/>
                <w:snapToGrid w:val="0"/>
                <w:kern w:val="21"/>
                <w:sz w:val="18"/>
                <w:szCs w:val="18"/>
                <w:highlight w:val="none"/>
              </w:rPr>
            </w:pPr>
            <w:r>
              <w:rPr>
                <w:rFonts w:hint="eastAsia" w:ascii="宋体" w:hAnsi="宋体" w:cs="宋体"/>
                <w:sz w:val="18"/>
                <w:szCs w:val="18"/>
                <w:highlight w:val="none"/>
              </w:rPr>
              <w:t>/</w:t>
            </w:r>
          </w:p>
        </w:tc>
        <w:tc>
          <w:tcPr>
            <w:tcW w:w="2040" w:type="dxa"/>
            <w:noWrap/>
            <w:vAlign w:val="center"/>
          </w:tcPr>
          <w:p>
            <w:pPr>
              <w:pStyle w:val="45"/>
              <w:spacing w:beforeLines="0" w:afterLines="0" w:line="240" w:lineRule="auto"/>
              <w:rPr>
                <w:rFonts w:hAnsi="宋体" w:cs="宋体"/>
                <w:snapToGrid w:val="0"/>
                <w:kern w:val="21"/>
                <w:sz w:val="18"/>
                <w:szCs w:val="18"/>
                <w:highlight w:val="none"/>
              </w:rPr>
            </w:pPr>
            <w:r>
              <w:rPr>
                <w:rFonts w:hint="eastAsia" w:hAnsi="宋体" w:cs="宋体"/>
                <w:snapToGrid w:val="0"/>
                <w:kern w:val="21"/>
                <w:sz w:val="18"/>
                <w:szCs w:val="18"/>
                <w:highlight w:val="none"/>
              </w:rPr>
              <w:t>0.062</w:t>
            </w:r>
            <w:r>
              <w:rPr>
                <w:rFonts w:hint="eastAsia" w:hAnsi="宋体" w:cs="宋体"/>
                <w:sz w:val="18"/>
                <w:szCs w:val="18"/>
                <w:highlight w:val="none"/>
              </w:rPr>
              <w:t>t/a</w:t>
            </w:r>
          </w:p>
        </w:tc>
        <w:tc>
          <w:tcPr>
            <w:tcW w:w="1320" w:type="dxa"/>
            <w:noWrap/>
            <w:vAlign w:val="center"/>
          </w:tcPr>
          <w:p>
            <w:pPr>
              <w:pStyle w:val="45"/>
              <w:spacing w:beforeLines="0" w:afterLines="0" w:line="240" w:lineRule="auto"/>
              <w:rPr>
                <w:rFonts w:hAnsi="宋体" w:cs="宋体"/>
                <w:snapToGrid w:val="0"/>
                <w:kern w:val="21"/>
                <w:sz w:val="18"/>
                <w:szCs w:val="18"/>
                <w:highlight w:val="none"/>
              </w:rPr>
            </w:pPr>
            <w:r>
              <w:rPr>
                <w:rFonts w:hint="eastAsia" w:hAnsi="宋体" w:cs="宋体"/>
                <w:snapToGrid w:val="0"/>
                <w:kern w:val="21"/>
                <w:sz w:val="18"/>
                <w:szCs w:val="18"/>
                <w:highlight w:val="none"/>
              </w:rPr>
              <w:t>+0.041</w:t>
            </w:r>
            <w:r>
              <w:rPr>
                <w:rFonts w:hint="eastAsia" w:hAnsi="宋体" w:cs="宋体"/>
                <w:sz w:val="18"/>
                <w:szCs w:val="18"/>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245" w:type="dxa"/>
            <w:vMerge w:val="continue"/>
            <w:noWrap/>
            <w:vAlign w:val="center"/>
          </w:tcPr>
          <w:p>
            <w:pPr>
              <w:pStyle w:val="45"/>
              <w:spacing w:beforeLines="0" w:afterLines="0" w:line="240" w:lineRule="auto"/>
              <w:rPr>
                <w:rFonts w:hAnsi="宋体" w:cs="宋体"/>
                <w:snapToGrid w:val="0"/>
                <w:kern w:val="21"/>
                <w:sz w:val="18"/>
                <w:szCs w:val="18"/>
              </w:rPr>
            </w:pPr>
          </w:p>
        </w:tc>
        <w:tc>
          <w:tcPr>
            <w:tcW w:w="1245" w:type="dxa"/>
            <w:noWrap/>
            <w:vAlign w:val="center"/>
          </w:tcPr>
          <w:p>
            <w:pPr>
              <w:pStyle w:val="45"/>
              <w:spacing w:beforeLines="0" w:afterLines="0" w:line="240" w:lineRule="auto"/>
              <w:rPr>
                <w:rFonts w:hAnsi="宋体" w:cs="宋体"/>
                <w:snapToGrid w:val="0"/>
                <w:color w:val="000000" w:themeColor="text1"/>
                <w:kern w:val="21"/>
                <w:sz w:val="18"/>
                <w:szCs w:val="18"/>
                <w:highlight w:val="none"/>
                <w14:textFill>
                  <w14:solidFill>
                    <w14:schemeClr w14:val="tx1"/>
                  </w14:solidFill>
                </w14:textFill>
              </w:rPr>
            </w:pPr>
            <w:r>
              <w:rPr>
                <w:rFonts w:hint="eastAsia" w:hAnsi="宋体" w:cs="宋体"/>
                <w:snapToGrid w:val="0"/>
                <w:color w:val="000000" w:themeColor="text1"/>
                <w:kern w:val="21"/>
                <w:sz w:val="18"/>
                <w:szCs w:val="18"/>
                <w:highlight w:val="none"/>
                <w14:textFill>
                  <w14:solidFill>
                    <w14:schemeClr w14:val="tx1"/>
                  </w14:solidFill>
                </w14:textFill>
              </w:rPr>
              <w:t>颗粒物</w:t>
            </w:r>
          </w:p>
        </w:tc>
        <w:tc>
          <w:tcPr>
            <w:tcW w:w="1980"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lang w:val="en-US" w:eastAsia="zh-CN"/>
                <w14:textFill>
                  <w14:solidFill>
                    <w14:schemeClr w14:val="tx1"/>
                  </w14:solidFill>
                </w14:textFill>
              </w:rPr>
              <w:t>0.014</w:t>
            </w:r>
            <w:r>
              <w:rPr>
                <w:rFonts w:hint="eastAsia" w:hAnsi="宋体" w:cs="宋体"/>
                <w:color w:val="000000" w:themeColor="text1"/>
                <w:sz w:val="18"/>
                <w:szCs w:val="18"/>
                <w:highlight w:val="none"/>
                <w14:textFill>
                  <w14:solidFill>
                    <w14:schemeClr w14:val="tx1"/>
                  </w14:solidFill>
                </w14:textFill>
              </w:rPr>
              <w:t>t/a</w:t>
            </w:r>
          </w:p>
        </w:tc>
        <w:tc>
          <w:tcPr>
            <w:tcW w:w="1155"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w:t>
            </w:r>
          </w:p>
        </w:tc>
        <w:tc>
          <w:tcPr>
            <w:tcW w:w="2070"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w:t>
            </w:r>
          </w:p>
        </w:tc>
        <w:tc>
          <w:tcPr>
            <w:tcW w:w="1965" w:type="dxa"/>
            <w:noWrap/>
            <w:vAlign w:val="center"/>
          </w:tcPr>
          <w:p>
            <w:pPr>
              <w:pStyle w:val="45"/>
              <w:spacing w:beforeLines="0" w:afterLines="0" w:line="240" w:lineRule="auto"/>
              <w:rPr>
                <w:rFonts w:hAnsi="宋体" w:cs="宋体"/>
                <w:color w:val="000000" w:themeColor="text1"/>
                <w:kern w:val="2"/>
                <w:sz w:val="18"/>
                <w:szCs w:val="18"/>
                <w:highlight w:val="none"/>
                <w14:textFill>
                  <w14:solidFill>
                    <w14:schemeClr w14:val="tx1"/>
                  </w14:solidFill>
                </w14:textFill>
              </w:rPr>
            </w:pPr>
            <w:r>
              <w:rPr>
                <w:rFonts w:hint="eastAsia" w:hAnsi="宋体" w:cs="宋体"/>
                <w:color w:val="000000" w:themeColor="text1"/>
                <w:kern w:val="2"/>
                <w:sz w:val="18"/>
                <w:szCs w:val="18"/>
                <w:highlight w:val="none"/>
                <w14:textFill>
                  <w14:solidFill>
                    <w14:schemeClr w14:val="tx1"/>
                  </w14:solidFill>
                </w14:textFill>
              </w:rPr>
              <w:t>0.0</w:t>
            </w:r>
            <w:r>
              <w:rPr>
                <w:rFonts w:hint="eastAsia" w:hAnsi="宋体" w:cs="宋体"/>
                <w:color w:val="000000" w:themeColor="text1"/>
                <w:kern w:val="2"/>
                <w:sz w:val="18"/>
                <w:szCs w:val="18"/>
                <w:highlight w:val="none"/>
                <w:lang w:val="en-US" w:eastAsia="zh-CN"/>
                <w14:textFill>
                  <w14:solidFill>
                    <w14:schemeClr w14:val="tx1"/>
                  </w14:solidFill>
                </w14:textFill>
              </w:rPr>
              <w:t>29</w:t>
            </w:r>
            <w:r>
              <w:rPr>
                <w:rFonts w:hint="eastAsia" w:hAnsi="宋体" w:cs="宋体"/>
                <w:color w:val="000000" w:themeColor="text1"/>
                <w:sz w:val="18"/>
                <w:szCs w:val="18"/>
                <w:highlight w:val="none"/>
                <w14:textFill>
                  <w14:solidFill>
                    <w14:schemeClr w14:val="tx1"/>
                  </w14:solidFill>
                </w14:textFill>
              </w:rPr>
              <w:t>t/a</w:t>
            </w:r>
          </w:p>
        </w:tc>
        <w:tc>
          <w:tcPr>
            <w:tcW w:w="1245" w:type="dxa"/>
            <w:noWrap/>
            <w:vAlign w:val="center"/>
          </w:tcPr>
          <w:p>
            <w:pPr>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w:t>
            </w:r>
          </w:p>
        </w:tc>
        <w:tc>
          <w:tcPr>
            <w:tcW w:w="2040" w:type="dxa"/>
            <w:noWrap/>
            <w:vAlign w:val="center"/>
          </w:tcPr>
          <w:p>
            <w:pPr>
              <w:pStyle w:val="45"/>
              <w:spacing w:beforeLines="0" w:afterLines="0" w:line="240" w:lineRule="auto"/>
              <w:rPr>
                <w:rFonts w:hAnsi="宋体" w:cs="宋体"/>
                <w:color w:val="000000" w:themeColor="text1"/>
                <w:kern w:val="2"/>
                <w:sz w:val="18"/>
                <w:szCs w:val="18"/>
                <w:highlight w:val="none"/>
                <w14:textFill>
                  <w14:solidFill>
                    <w14:schemeClr w14:val="tx1"/>
                  </w14:solidFill>
                </w14:textFill>
              </w:rPr>
            </w:pPr>
            <w:r>
              <w:rPr>
                <w:rFonts w:hint="eastAsia" w:hAnsi="宋体" w:cs="宋体"/>
                <w:color w:val="000000" w:themeColor="text1"/>
                <w:kern w:val="2"/>
                <w:sz w:val="18"/>
                <w:szCs w:val="18"/>
                <w:highlight w:val="none"/>
                <w:lang w:val="en-US" w:eastAsia="zh-CN"/>
                <w14:textFill>
                  <w14:solidFill>
                    <w14:schemeClr w14:val="tx1"/>
                  </w14:solidFill>
                </w14:textFill>
              </w:rPr>
              <w:t>0.043</w:t>
            </w:r>
            <w:r>
              <w:rPr>
                <w:rFonts w:hint="eastAsia" w:hAnsi="宋体" w:cs="宋体"/>
                <w:color w:val="000000" w:themeColor="text1"/>
                <w:sz w:val="18"/>
                <w:szCs w:val="18"/>
                <w:highlight w:val="none"/>
                <w14:textFill>
                  <w14:solidFill>
                    <w14:schemeClr w14:val="tx1"/>
                  </w14:solidFill>
                </w14:textFill>
              </w:rPr>
              <w:t>t/a</w:t>
            </w:r>
          </w:p>
        </w:tc>
        <w:tc>
          <w:tcPr>
            <w:tcW w:w="1320" w:type="dxa"/>
            <w:noWrap/>
            <w:vAlign w:val="center"/>
          </w:tcPr>
          <w:p>
            <w:pPr>
              <w:pStyle w:val="45"/>
              <w:spacing w:beforeLines="0" w:afterLines="0" w:line="240" w:lineRule="auto"/>
              <w:rPr>
                <w:rFonts w:hAnsi="宋体" w:cs="宋体"/>
                <w:color w:val="000000" w:themeColor="text1"/>
                <w:kern w:val="2"/>
                <w:sz w:val="18"/>
                <w:szCs w:val="18"/>
                <w:highlight w:val="none"/>
                <w14:textFill>
                  <w14:solidFill>
                    <w14:schemeClr w14:val="tx1"/>
                  </w14:solidFill>
                </w14:textFill>
              </w:rPr>
            </w:pPr>
            <w:r>
              <w:rPr>
                <w:rFonts w:hint="eastAsia" w:hAnsi="宋体" w:cs="宋体"/>
                <w:color w:val="000000" w:themeColor="text1"/>
                <w:kern w:val="2"/>
                <w:sz w:val="18"/>
                <w:szCs w:val="18"/>
                <w:highlight w:val="none"/>
                <w14:textFill>
                  <w14:solidFill>
                    <w14:schemeClr w14:val="tx1"/>
                  </w14:solidFill>
                </w14:textFill>
              </w:rPr>
              <w:t>+0.0</w:t>
            </w:r>
            <w:r>
              <w:rPr>
                <w:rFonts w:hint="eastAsia" w:hAnsi="宋体" w:cs="宋体"/>
                <w:color w:val="000000" w:themeColor="text1"/>
                <w:kern w:val="2"/>
                <w:sz w:val="18"/>
                <w:szCs w:val="18"/>
                <w:highlight w:val="none"/>
                <w:lang w:val="en-US" w:eastAsia="zh-CN"/>
                <w14:textFill>
                  <w14:solidFill>
                    <w14:schemeClr w14:val="tx1"/>
                  </w14:solidFill>
                </w14:textFill>
              </w:rPr>
              <w:t>29</w:t>
            </w:r>
            <w:r>
              <w:rPr>
                <w:rFonts w:hint="eastAsia" w:hAnsi="宋体" w:cs="宋体"/>
                <w:color w:val="000000" w:themeColor="text1"/>
                <w:sz w:val="18"/>
                <w:szCs w:val="18"/>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245" w:type="dxa"/>
            <w:vMerge w:val="continue"/>
            <w:noWrap/>
            <w:vAlign w:val="center"/>
          </w:tcPr>
          <w:p>
            <w:pPr>
              <w:pStyle w:val="45"/>
              <w:spacing w:beforeLines="0" w:afterLines="0" w:line="240" w:lineRule="auto"/>
              <w:rPr>
                <w:rFonts w:hAnsi="宋体" w:cs="宋体"/>
                <w:snapToGrid w:val="0"/>
                <w:kern w:val="21"/>
                <w:sz w:val="18"/>
                <w:szCs w:val="18"/>
              </w:rPr>
            </w:pPr>
          </w:p>
        </w:tc>
        <w:tc>
          <w:tcPr>
            <w:tcW w:w="1245" w:type="dxa"/>
            <w:noWrap/>
            <w:vAlign w:val="center"/>
          </w:tcPr>
          <w:p>
            <w:pPr>
              <w:pStyle w:val="45"/>
              <w:spacing w:beforeLines="0" w:afterLines="0" w:line="240" w:lineRule="auto"/>
              <w:rPr>
                <w:rFonts w:hAnsi="宋体" w:cs="宋体"/>
                <w:snapToGrid w:val="0"/>
                <w:color w:val="000000" w:themeColor="text1"/>
                <w:kern w:val="21"/>
                <w:sz w:val="18"/>
                <w:szCs w:val="18"/>
                <w:highlight w:val="none"/>
                <w14:textFill>
                  <w14:solidFill>
                    <w14:schemeClr w14:val="tx1"/>
                  </w14:solidFill>
                </w14:textFill>
              </w:rPr>
            </w:pPr>
            <w:r>
              <w:rPr>
                <w:rFonts w:hint="eastAsia" w:hAnsi="宋体" w:cs="宋体"/>
                <w:snapToGrid w:val="0"/>
                <w:color w:val="000000" w:themeColor="text1"/>
                <w:kern w:val="21"/>
                <w:sz w:val="18"/>
                <w:szCs w:val="18"/>
                <w:highlight w:val="none"/>
                <w14:textFill>
                  <w14:solidFill>
                    <w14:schemeClr w14:val="tx1"/>
                  </w14:solidFill>
                </w14:textFill>
              </w:rPr>
              <w:t>氮氧化物</w:t>
            </w:r>
          </w:p>
        </w:tc>
        <w:tc>
          <w:tcPr>
            <w:tcW w:w="1980"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lang w:val="en-US" w:eastAsia="zh-CN"/>
                <w14:textFill>
                  <w14:solidFill>
                    <w14:schemeClr w14:val="tx1"/>
                  </w14:solidFill>
                </w14:textFill>
              </w:rPr>
              <w:t>0.061</w:t>
            </w:r>
            <w:r>
              <w:rPr>
                <w:rFonts w:hint="eastAsia" w:hAnsi="宋体" w:cs="宋体"/>
                <w:color w:val="000000" w:themeColor="text1"/>
                <w:sz w:val="18"/>
                <w:szCs w:val="18"/>
                <w:highlight w:val="none"/>
                <w14:textFill>
                  <w14:solidFill>
                    <w14:schemeClr w14:val="tx1"/>
                  </w14:solidFill>
                </w14:textFill>
              </w:rPr>
              <w:t>t/a</w:t>
            </w:r>
          </w:p>
        </w:tc>
        <w:tc>
          <w:tcPr>
            <w:tcW w:w="1155"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w:t>
            </w:r>
          </w:p>
        </w:tc>
        <w:tc>
          <w:tcPr>
            <w:tcW w:w="2070"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w:t>
            </w:r>
          </w:p>
        </w:tc>
        <w:tc>
          <w:tcPr>
            <w:tcW w:w="1965" w:type="dxa"/>
            <w:noWrap/>
            <w:vAlign w:val="center"/>
          </w:tcPr>
          <w:p>
            <w:pPr>
              <w:pStyle w:val="45"/>
              <w:spacing w:beforeLines="0" w:afterLines="0" w:line="240" w:lineRule="auto"/>
              <w:rPr>
                <w:rFonts w:hAnsi="宋体" w:cs="宋体"/>
                <w:color w:val="000000" w:themeColor="text1"/>
                <w:kern w:val="2"/>
                <w:sz w:val="18"/>
                <w:szCs w:val="18"/>
                <w:highlight w:val="none"/>
                <w14:textFill>
                  <w14:solidFill>
                    <w14:schemeClr w14:val="tx1"/>
                  </w14:solidFill>
                </w14:textFill>
              </w:rPr>
            </w:pPr>
            <w:r>
              <w:rPr>
                <w:rFonts w:hint="eastAsia" w:hAnsi="宋体" w:cs="宋体"/>
                <w:color w:val="000000" w:themeColor="text1"/>
                <w:kern w:val="2"/>
                <w:sz w:val="18"/>
                <w:szCs w:val="18"/>
                <w:highlight w:val="none"/>
                <w:lang w:val="en-US" w:eastAsia="zh-CN"/>
                <w14:textFill>
                  <w14:solidFill>
                    <w14:schemeClr w14:val="tx1"/>
                  </w14:solidFill>
                </w14:textFill>
              </w:rPr>
              <w:t>0.123</w:t>
            </w:r>
            <w:r>
              <w:rPr>
                <w:rFonts w:hint="eastAsia" w:hAnsi="宋体" w:cs="宋体"/>
                <w:color w:val="000000" w:themeColor="text1"/>
                <w:sz w:val="18"/>
                <w:szCs w:val="18"/>
                <w:highlight w:val="none"/>
                <w14:textFill>
                  <w14:solidFill>
                    <w14:schemeClr w14:val="tx1"/>
                  </w14:solidFill>
                </w14:textFill>
              </w:rPr>
              <w:t>t/a</w:t>
            </w:r>
          </w:p>
        </w:tc>
        <w:tc>
          <w:tcPr>
            <w:tcW w:w="1245" w:type="dxa"/>
            <w:noWrap/>
            <w:vAlign w:val="center"/>
          </w:tcPr>
          <w:p>
            <w:pPr>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w:t>
            </w:r>
          </w:p>
        </w:tc>
        <w:tc>
          <w:tcPr>
            <w:tcW w:w="2040" w:type="dxa"/>
            <w:noWrap/>
            <w:vAlign w:val="center"/>
          </w:tcPr>
          <w:p>
            <w:pPr>
              <w:pStyle w:val="45"/>
              <w:spacing w:beforeLines="0" w:afterLines="0" w:line="240" w:lineRule="auto"/>
              <w:rPr>
                <w:rFonts w:hAnsi="宋体" w:cs="宋体"/>
                <w:color w:val="000000" w:themeColor="text1"/>
                <w:kern w:val="2"/>
                <w:sz w:val="18"/>
                <w:szCs w:val="18"/>
                <w:highlight w:val="none"/>
                <w14:textFill>
                  <w14:solidFill>
                    <w14:schemeClr w14:val="tx1"/>
                  </w14:solidFill>
                </w14:textFill>
              </w:rPr>
            </w:pPr>
            <w:r>
              <w:rPr>
                <w:rFonts w:hint="eastAsia" w:hAnsi="宋体" w:cs="宋体"/>
                <w:color w:val="000000" w:themeColor="text1"/>
                <w:kern w:val="2"/>
                <w:sz w:val="18"/>
                <w:szCs w:val="18"/>
                <w:highlight w:val="none"/>
                <w:lang w:val="en-US" w:eastAsia="zh-CN"/>
                <w14:textFill>
                  <w14:solidFill>
                    <w14:schemeClr w14:val="tx1"/>
                  </w14:solidFill>
                </w14:textFill>
              </w:rPr>
              <w:t>0.184</w:t>
            </w:r>
            <w:r>
              <w:rPr>
                <w:rFonts w:hint="eastAsia" w:hAnsi="宋体" w:cs="宋体"/>
                <w:color w:val="000000" w:themeColor="text1"/>
                <w:sz w:val="18"/>
                <w:szCs w:val="18"/>
                <w:highlight w:val="none"/>
                <w14:textFill>
                  <w14:solidFill>
                    <w14:schemeClr w14:val="tx1"/>
                  </w14:solidFill>
                </w14:textFill>
              </w:rPr>
              <w:t>t/a</w:t>
            </w:r>
          </w:p>
        </w:tc>
        <w:tc>
          <w:tcPr>
            <w:tcW w:w="1320" w:type="dxa"/>
            <w:noWrap/>
            <w:vAlign w:val="center"/>
          </w:tcPr>
          <w:p>
            <w:pPr>
              <w:pStyle w:val="45"/>
              <w:spacing w:beforeLines="0" w:afterLines="0" w:line="240" w:lineRule="auto"/>
              <w:rPr>
                <w:rFonts w:hAnsi="宋体" w:cs="宋体"/>
                <w:color w:val="000000" w:themeColor="text1"/>
                <w:kern w:val="2"/>
                <w:sz w:val="18"/>
                <w:szCs w:val="18"/>
                <w:highlight w:val="none"/>
                <w14:textFill>
                  <w14:solidFill>
                    <w14:schemeClr w14:val="tx1"/>
                  </w14:solidFill>
                </w14:textFill>
              </w:rPr>
            </w:pPr>
            <w:r>
              <w:rPr>
                <w:rFonts w:hint="eastAsia" w:hAnsi="宋体" w:cs="宋体"/>
                <w:color w:val="000000" w:themeColor="text1"/>
                <w:kern w:val="2"/>
                <w:sz w:val="18"/>
                <w:szCs w:val="18"/>
                <w:highlight w:val="none"/>
                <w14:textFill>
                  <w14:solidFill>
                    <w14:schemeClr w14:val="tx1"/>
                  </w14:solidFill>
                </w14:textFill>
              </w:rPr>
              <w:t>+</w:t>
            </w:r>
            <w:r>
              <w:rPr>
                <w:rFonts w:hint="eastAsia" w:hAnsi="宋体" w:cs="宋体"/>
                <w:color w:val="000000" w:themeColor="text1"/>
                <w:kern w:val="2"/>
                <w:sz w:val="18"/>
                <w:szCs w:val="18"/>
                <w:highlight w:val="none"/>
                <w:lang w:val="en-US" w:eastAsia="zh-CN"/>
                <w14:textFill>
                  <w14:solidFill>
                    <w14:schemeClr w14:val="tx1"/>
                  </w14:solidFill>
                </w14:textFill>
              </w:rPr>
              <w:t>0.123</w:t>
            </w:r>
            <w:r>
              <w:rPr>
                <w:rFonts w:hint="eastAsia" w:hAnsi="宋体" w:cs="宋体"/>
                <w:color w:val="000000" w:themeColor="text1"/>
                <w:sz w:val="18"/>
                <w:szCs w:val="18"/>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245" w:type="dxa"/>
            <w:vMerge w:val="restart"/>
            <w:noWrap/>
            <w:vAlign w:val="center"/>
          </w:tcPr>
          <w:p>
            <w:pPr>
              <w:pStyle w:val="45"/>
              <w:spacing w:beforeLines="0" w:afterLines="0" w:line="240" w:lineRule="auto"/>
              <w:rPr>
                <w:rFonts w:hAnsi="宋体" w:cs="宋体"/>
                <w:snapToGrid w:val="0"/>
                <w:color w:val="000000" w:themeColor="text1"/>
                <w:kern w:val="21"/>
                <w:sz w:val="18"/>
                <w:szCs w:val="18"/>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废水</w:t>
            </w:r>
          </w:p>
        </w:tc>
        <w:tc>
          <w:tcPr>
            <w:tcW w:w="1245" w:type="dxa"/>
            <w:noWrap/>
            <w:vAlign w:val="center"/>
          </w:tcPr>
          <w:p>
            <w:pPr>
              <w:pStyle w:val="45"/>
              <w:spacing w:beforeLines="0" w:afterLines="0" w:line="240" w:lineRule="auto"/>
              <w:rPr>
                <w:rFonts w:hAnsi="宋体" w:cs="宋体"/>
                <w:snapToGrid w:val="0"/>
                <w:color w:val="000000" w:themeColor="text1"/>
                <w:kern w:val="21"/>
                <w:sz w:val="18"/>
                <w:szCs w:val="18"/>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生活废水</w:t>
            </w:r>
          </w:p>
        </w:tc>
        <w:tc>
          <w:tcPr>
            <w:tcW w:w="1980" w:type="dxa"/>
            <w:noWrap/>
            <w:vAlign w:val="center"/>
          </w:tcPr>
          <w:p>
            <w:pPr>
              <w:jc w:val="center"/>
              <w:rPr>
                <w:rFonts w:ascii="宋体" w:hAnsi="宋体" w:cs="宋体"/>
                <w:snapToGrid w:val="0"/>
                <w:kern w:val="21"/>
                <w:sz w:val="18"/>
                <w:szCs w:val="18"/>
              </w:rPr>
            </w:pPr>
            <w:r>
              <w:rPr>
                <w:rFonts w:hint="eastAsia" w:ascii="宋体" w:hAnsi="宋体" w:cs="宋体"/>
                <w:snapToGrid w:val="0"/>
                <w:kern w:val="21"/>
                <w:sz w:val="18"/>
                <w:szCs w:val="18"/>
              </w:rPr>
              <w:t>40.34</w:t>
            </w:r>
            <w:r>
              <w:rPr>
                <w:rFonts w:hint="eastAsia" w:ascii="宋体" w:hAnsi="宋体" w:cs="宋体"/>
                <w:sz w:val="18"/>
                <w:szCs w:val="18"/>
              </w:rPr>
              <w:t>t/a</w:t>
            </w:r>
          </w:p>
        </w:tc>
        <w:tc>
          <w:tcPr>
            <w:tcW w:w="1155" w:type="dxa"/>
            <w:noWrap/>
            <w:vAlign w:val="center"/>
          </w:tcPr>
          <w:p>
            <w:pPr>
              <w:jc w:val="center"/>
              <w:rPr>
                <w:rFonts w:ascii="宋体" w:hAnsi="宋体" w:cs="宋体"/>
                <w:snapToGrid w:val="0"/>
                <w:kern w:val="21"/>
                <w:sz w:val="18"/>
                <w:szCs w:val="18"/>
              </w:rPr>
            </w:pPr>
            <w:r>
              <w:rPr>
                <w:rFonts w:hint="eastAsia" w:ascii="宋体" w:hAnsi="宋体" w:cs="宋体"/>
                <w:sz w:val="18"/>
                <w:szCs w:val="18"/>
              </w:rPr>
              <w:t>/</w:t>
            </w:r>
          </w:p>
        </w:tc>
        <w:tc>
          <w:tcPr>
            <w:tcW w:w="2070" w:type="dxa"/>
            <w:noWrap/>
            <w:vAlign w:val="center"/>
          </w:tcPr>
          <w:p>
            <w:pPr>
              <w:jc w:val="center"/>
              <w:rPr>
                <w:rFonts w:ascii="宋体" w:hAnsi="宋体" w:cs="宋体"/>
                <w:snapToGrid w:val="0"/>
                <w:kern w:val="21"/>
                <w:sz w:val="18"/>
                <w:szCs w:val="18"/>
              </w:rPr>
            </w:pPr>
            <w:r>
              <w:rPr>
                <w:rFonts w:hint="eastAsia" w:ascii="宋体" w:hAnsi="宋体" w:cs="宋体"/>
                <w:sz w:val="18"/>
                <w:szCs w:val="18"/>
              </w:rPr>
              <w:t>/</w:t>
            </w:r>
          </w:p>
        </w:tc>
        <w:tc>
          <w:tcPr>
            <w:tcW w:w="1965"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40.34</w:t>
            </w:r>
            <w:r>
              <w:rPr>
                <w:rFonts w:hint="eastAsia" w:hAnsi="宋体" w:cs="宋体"/>
                <w:kern w:val="2"/>
                <w:sz w:val="18"/>
                <w:szCs w:val="18"/>
              </w:rPr>
              <w:t>t/a</w:t>
            </w:r>
          </w:p>
        </w:tc>
        <w:tc>
          <w:tcPr>
            <w:tcW w:w="1245" w:type="dxa"/>
            <w:noWrap/>
            <w:vAlign w:val="center"/>
          </w:tcPr>
          <w:p>
            <w:pPr>
              <w:jc w:val="center"/>
              <w:rPr>
                <w:rFonts w:ascii="宋体" w:hAnsi="宋体" w:cs="宋体"/>
                <w:snapToGrid w:val="0"/>
                <w:kern w:val="21"/>
                <w:sz w:val="18"/>
                <w:szCs w:val="18"/>
              </w:rPr>
            </w:pPr>
            <w:r>
              <w:rPr>
                <w:rFonts w:hint="eastAsia" w:ascii="宋体" w:hAnsi="宋体" w:cs="宋体"/>
                <w:sz w:val="18"/>
                <w:szCs w:val="18"/>
              </w:rPr>
              <w:t>/</w:t>
            </w:r>
          </w:p>
        </w:tc>
        <w:tc>
          <w:tcPr>
            <w:tcW w:w="2040"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80.68</w:t>
            </w:r>
            <w:r>
              <w:rPr>
                <w:rFonts w:hint="eastAsia" w:hAnsi="宋体" w:cs="宋体"/>
                <w:kern w:val="2"/>
                <w:sz w:val="18"/>
                <w:szCs w:val="18"/>
              </w:rPr>
              <w:t>t/a</w:t>
            </w:r>
          </w:p>
        </w:tc>
        <w:tc>
          <w:tcPr>
            <w:tcW w:w="1320"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+40.34</w:t>
            </w:r>
            <w:r>
              <w:rPr>
                <w:rFonts w:hint="eastAsia" w:hAnsi="宋体" w:cs="宋体"/>
                <w:kern w:val="2"/>
                <w:sz w:val="18"/>
                <w:szCs w:val="18"/>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245" w:type="dxa"/>
            <w:vMerge w:val="continue"/>
            <w:noWrap/>
            <w:vAlign w:val="center"/>
          </w:tcPr>
          <w:p>
            <w:pPr>
              <w:pStyle w:val="45"/>
              <w:spacing w:beforeLines="0" w:afterLines="0" w:line="240" w:lineRule="auto"/>
              <w:rPr>
                <w:rFonts w:hAnsi="宋体" w:cs="宋体"/>
                <w:snapToGrid w:val="0"/>
                <w:color w:val="000000" w:themeColor="text1"/>
                <w:kern w:val="21"/>
                <w:sz w:val="18"/>
                <w:szCs w:val="18"/>
                <w14:textFill>
                  <w14:solidFill>
                    <w14:schemeClr w14:val="tx1"/>
                  </w14:solidFill>
                </w14:textFill>
              </w:rPr>
            </w:pPr>
          </w:p>
        </w:tc>
        <w:tc>
          <w:tcPr>
            <w:tcW w:w="1245" w:type="dxa"/>
            <w:noWrap/>
            <w:vAlign w:val="center"/>
          </w:tcPr>
          <w:p>
            <w:pPr>
              <w:pStyle w:val="45"/>
              <w:spacing w:beforeLines="0" w:afterLines="0" w:line="240" w:lineRule="auto"/>
              <w:rPr>
                <w:rFonts w:hAnsi="宋体" w:cs="宋体"/>
                <w:snapToGrid w:val="0"/>
                <w:color w:val="000000" w:themeColor="text1"/>
                <w:kern w:val="21"/>
                <w:sz w:val="18"/>
                <w:szCs w:val="18"/>
                <w:highlight w:val="none"/>
                <w14:textFill>
                  <w14:solidFill>
                    <w14:schemeClr w14:val="tx1"/>
                  </w14:solidFill>
                </w14:textFill>
              </w:rPr>
            </w:pPr>
            <w:r>
              <w:rPr>
                <w:rFonts w:hint="eastAsia" w:hAnsi="宋体" w:cs="宋体"/>
                <w:snapToGrid w:val="0"/>
                <w:color w:val="000000" w:themeColor="text1"/>
                <w:kern w:val="21"/>
                <w:sz w:val="18"/>
                <w:szCs w:val="18"/>
                <w:highlight w:val="none"/>
                <w14:textFill>
                  <w14:solidFill>
                    <w14:schemeClr w14:val="tx1"/>
                  </w14:solidFill>
                </w14:textFill>
              </w:rPr>
              <w:t>COD</w:t>
            </w:r>
          </w:p>
        </w:tc>
        <w:tc>
          <w:tcPr>
            <w:tcW w:w="1980"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0.002017</w:t>
            </w:r>
            <w:r>
              <w:rPr>
                <w:rFonts w:hint="eastAsia" w:hAnsi="宋体" w:cs="宋体"/>
                <w:color w:val="000000" w:themeColor="text1"/>
                <w:sz w:val="18"/>
                <w:szCs w:val="18"/>
                <w:highlight w:val="none"/>
                <w14:textFill>
                  <w14:solidFill>
                    <w14:schemeClr w14:val="tx1"/>
                  </w14:solidFill>
                </w14:textFill>
              </w:rPr>
              <w:t>t/a</w:t>
            </w:r>
          </w:p>
        </w:tc>
        <w:tc>
          <w:tcPr>
            <w:tcW w:w="1155" w:type="dxa"/>
            <w:noWrap/>
            <w:vAlign w:val="center"/>
          </w:tcPr>
          <w:p>
            <w:pPr>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w:t>
            </w:r>
          </w:p>
        </w:tc>
        <w:tc>
          <w:tcPr>
            <w:tcW w:w="2070" w:type="dxa"/>
            <w:noWrap/>
            <w:vAlign w:val="center"/>
          </w:tcPr>
          <w:p>
            <w:pPr>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w:t>
            </w:r>
          </w:p>
        </w:tc>
        <w:tc>
          <w:tcPr>
            <w:tcW w:w="1965"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0.002017</w:t>
            </w:r>
            <w:r>
              <w:rPr>
                <w:rFonts w:hint="eastAsia" w:hAnsi="宋体" w:cs="宋体"/>
                <w:color w:val="000000" w:themeColor="text1"/>
                <w:sz w:val="18"/>
                <w:szCs w:val="18"/>
                <w:highlight w:val="none"/>
                <w14:textFill>
                  <w14:solidFill>
                    <w14:schemeClr w14:val="tx1"/>
                  </w14:solidFill>
                </w14:textFill>
              </w:rPr>
              <w:t>t/a</w:t>
            </w:r>
          </w:p>
        </w:tc>
        <w:tc>
          <w:tcPr>
            <w:tcW w:w="1245" w:type="dxa"/>
            <w:noWrap/>
            <w:vAlign w:val="center"/>
          </w:tcPr>
          <w:p>
            <w:pPr>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w:t>
            </w:r>
          </w:p>
        </w:tc>
        <w:tc>
          <w:tcPr>
            <w:tcW w:w="2040"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0.004034</w:t>
            </w:r>
            <w:r>
              <w:rPr>
                <w:rFonts w:hint="eastAsia" w:hAnsi="宋体" w:cs="宋体"/>
                <w:color w:val="000000" w:themeColor="text1"/>
                <w:sz w:val="18"/>
                <w:szCs w:val="18"/>
                <w:highlight w:val="none"/>
                <w14:textFill>
                  <w14:solidFill>
                    <w14:schemeClr w14:val="tx1"/>
                  </w14:solidFill>
                </w14:textFill>
              </w:rPr>
              <w:t>t/a</w:t>
            </w:r>
          </w:p>
        </w:tc>
        <w:tc>
          <w:tcPr>
            <w:tcW w:w="1320"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+0.002017</w:t>
            </w:r>
            <w:r>
              <w:rPr>
                <w:rFonts w:hint="eastAsia" w:hAnsi="宋体" w:cs="宋体"/>
                <w:color w:val="000000" w:themeColor="text1"/>
                <w:sz w:val="18"/>
                <w:szCs w:val="18"/>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245" w:type="dxa"/>
            <w:vMerge w:val="continue"/>
            <w:noWrap/>
            <w:vAlign w:val="center"/>
          </w:tcPr>
          <w:p>
            <w:pPr>
              <w:pStyle w:val="45"/>
              <w:spacing w:beforeLines="0" w:afterLines="0" w:line="240" w:lineRule="auto"/>
              <w:rPr>
                <w:rFonts w:hAnsi="宋体" w:cs="宋体"/>
                <w:snapToGrid w:val="0"/>
                <w:color w:val="000000" w:themeColor="text1"/>
                <w:kern w:val="21"/>
                <w:sz w:val="18"/>
                <w:szCs w:val="18"/>
                <w14:textFill>
                  <w14:solidFill>
                    <w14:schemeClr w14:val="tx1"/>
                  </w14:solidFill>
                </w14:textFill>
              </w:rPr>
            </w:pPr>
          </w:p>
        </w:tc>
        <w:tc>
          <w:tcPr>
            <w:tcW w:w="1245" w:type="dxa"/>
            <w:noWrap/>
            <w:vAlign w:val="center"/>
          </w:tcPr>
          <w:p>
            <w:pPr>
              <w:pStyle w:val="45"/>
              <w:spacing w:beforeLines="0" w:afterLines="0" w:line="240" w:lineRule="auto"/>
              <w:rPr>
                <w:rFonts w:hAnsi="宋体" w:cs="宋体"/>
                <w:snapToGrid w:val="0"/>
                <w:color w:val="000000" w:themeColor="text1"/>
                <w:kern w:val="21"/>
                <w:sz w:val="18"/>
                <w:szCs w:val="18"/>
                <w:highlight w:val="none"/>
                <w14:textFill>
                  <w14:solidFill>
                    <w14:schemeClr w14:val="tx1"/>
                  </w14:solidFill>
                </w14:textFill>
              </w:rPr>
            </w:pPr>
            <w:r>
              <w:rPr>
                <w:rFonts w:hint="eastAsia" w:hAnsi="宋体" w:cs="宋体"/>
                <w:snapToGrid w:val="0"/>
                <w:color w:val="000000" w:themeColor="text1"/>
                <w:kern w:val="21"/>
                <w:sz w:val="18"/>
                <w:szCs w:val="18"/>
                <w:highlight w:val="none"/>
                <w14:textFill>
                  <w14:solidFill>
                    <w14:schemeClr w14:val="tx1"/>
                  </w14:solidFill>
                </w14:textFill>
              </w:rPr>
              <w:t>氨氮</w:t>
            </w:r>
          </w:p>
        </w:tc>
        <w:tc>
          <w:tcPr>
            <w:tcW w:w="1980" w:type="dxa"/>
            <w:noWrap/>
            <w:vAlign w:val="center"/>
          </w:tcPr>
          <w:p>
            <w:pPr>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0.0002017</w:t>
            </w:r>
            <w:r>
              <w:rPr>
                <w:rFonts w:hint="eastAsia" w:hAnsi="宋体" w:cs="宋体"/>
                <w:color w:val="000000" w:themeColor="text1"/>
                <w:sz w:val="18"/>
                <w:szCs w:val="18"/>
                <w:highlight w:val="none"/>
                <w14:textFill>
                  <w14:solidFill>
                    <w14:schemeClr w14:val="tx1"/>
                  </w14:solidFill>
                </w14:textFill>
              </w:rPr>
              <w:t>t/a</w:t>
            </w:r>
          </w:p>
        </w:tc>
        <w:tc>
          <w:tcPr>
            <w:tcW w:w="1155" w:type="dxa"/>
            <w:noWrap/>
            <w:vAlign w:val="center"/>
          </w:tcPr>
          <w:p>
            <w:pPr>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w:t>
            </w:r>
          </w:p>
        </w:tc>
        <w:tc>
          <w:tcPr>
            <w:tcW w:w="2070" w:type="dxa"/>
            <w:noWrap/>
            <w:vAlign w:val="center"/>
          </w:tcPr>
          <w:p>
            <w:pPr>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w:t>
            </w:r>
          </w:p>
        </w:tc>
        <w:tc>
          <w:tcPr>
            <w:tcW w:w="1965"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0.0002017</w:t>
            </w:r>
            <w:r>
              <w:rPr>
                <w:rFonts w:hint="eastAsia" w:hAnsi="宋体" w:cs="宋体"/>
                <w:color w:val="000000" w:themeColor="text1"/>
                <w:sz w:val="18"/>
                <w:szCs w:val="18"/>
                <w:highlight w:val="none"/>
                <w14:textFill>
                  <w14:solidFill>
                    <w14:schemeClr w14:val="tx1"/>
                  </w14:solidFill>
                </w14:textFill>
              </w:rPr>
              <w:t>t/a</w:t>
            </w:r>
          </w:p>
        </w:tc>
        <w:tc>
          <w:tcPr>
            <w:tcW w:w="1245" w:type="dxa"/>
            <w:noWrap/>
            <w:vAlign w:val="center"/>
          </w:tcPr>
          <w:p>
            <w:pPr>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w:t>
            </w:r>
          </w:p>
        </w:tc>
        <w:tc>
          <w:tcPr>
            <w:tcW w:w="2040"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0.0004034</w:t>
            </w:r>
            <w:r>
              <w:rPr>
                <w:rFonts w:hint="eastAsia" w:hAnsi="宋体" w:cs="宋体"/>
                <w:color w:val="000000" w:themeColor="text1"/>
                <w:sz w:val="18"/>
                <w:szCs w:val="18"/>
                <w:highlight w:val="none"/>
                <w14:textFill>
                  <w14:solidFill>
                    <w14:schemeClr w14:val="tx1"/>
                  </w14:solidFill>
                </w14:textFill>
              </w:rPr>
              <w:t>t/a</w:t>
            </w:r>
          </w:p>
        </w:tc>
        <w:tc>
          <w:tcPr>
            <w:tcW w:w="1320"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14:textFill>
                  <w14:solidFill>
                    <w14:schemeClr w14:val="tx1"/>
                  </w14:solidFill>
                </w14:textFill>
              </w:rPr>
              <w:t>+0.0002017</w:t>
            </w:r>
            <w:r>
              <w:rPr>
                <w:rFonts w:hint="eastAsia" w:hAnsi="宋体" w:cs="宋体"/>
                <w:color w:val="000000" w:themeColor="text1"/>
                <w:sz w:val="18"/>
                <w:szCs w:val="18"/>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245" w:type="dxa"/>
            <w:vMerge w:val="restart"/>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一般工业</w:t>
            </w:r>
          </w:p>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固体废物</w:t>
            </w:r>
          </w:p>
        </w:tc>
        <w:tc>
          <w:tcPr>
            <w:tcW w:w="1245" w:type="dxa"/>
            <w:noWrap/>
            <w:vAlign w:val="center"/>
          </w:tcPr>
          <w:p>
            <w:pPr>
              <w:pStyle w:val="45"/>
              <w:spacing w:beforeLines="0" w:afterLines="0" w:line="240" w:lineRule="auto"/>
              <w:rPr>
                <w:rFonts w:hAnsi="宋体" w:cs="宋体"/>
                <w:snapToGrid w:val="0"/>
                <w:color w:val="000000" w:themeColor="text1"/>
                <w:kern w:val="21"/>
                <w:sz w:val="18"/>
                <w:szCs w:val="18"/>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生活垃圾</w:t>
            </w:r>
          </w:p>
        </w:tc>
        <w:tc>
          <w:tcPr>
            <w:tcW w:w="1980" w:type="dxa"/>
            <w:noWrap/>
            <w:vAlign w:val="center"/>
          </w:tcPr>
          <w:p>
            <w:pPr>
              <w:jc w:val="center"/>
              <w:rPr>
                <w:rFonts w:ascii="宋体" w:hAnsi="宋体" w:cs="宋体"/>
                <w:snapToGrid w:val="0"/>
                <w:color w:val="000000" w:themeColor="text1"/>
                <w:kern w:val="21"/>
                <w:sz w:val="18"/>
                <w:szCs w:val="18"/>
                <w14:textFill>
                  <w14:solidFill>
                    <w14:schemeClr w14:val="tx1"/>
                  </w14:solidFill>
                </w14:textFill>
              </w:rPr>
            </w:pPr>
            <w:r>
              <w:rPr>
                <w:rFonts w:hint="eastAsia" w:ascii="宋体" w:hAnsi="宋体" w:cs="宋体"/>
                <w:snapToGrid w:val="0"/>
                <w:color w:val="000000" w:themeColor="text1"/>
                <w:kern w:val="21"/>
                <w:sz w:val="18"/>
                <w:szCs w:val="18"/>
                <w14:textFill>
                  <w14:solidFill>
                    <w14:schemeClr w14:val="tx1"/>
                  </w14:solidFill>
                </w14:textFill>
              </w:rPr>
              <w:t>0.25</w:t>
            </w:r>
            <w:r>
              <w:rPr>
                <w:rFonts w:hint="eastAsia" w:ascii="宋体" w:hAnsi="宋体" w:cs="宋体"/>
                <w:color w:val="000000" w:themeColor="text1"/>
                <w:sz w:val="18"/>
                <w:szCs w:val="18"/>
                <w14:textFill>
                  <w14:solidFill>
                    <w14:schemeClr w14:val="tx1"/>
                  </w14:solidFill>
                </w14:textFill>
              </w:rPr>
              <w:t>t/a</w:t>
            </w:r>
          </w:p>
        </w:tc>
        <w:tc>
          <w:tcPr>
            <w:tcW w:w="1155" w:type="dxa"/>
            <w:noWrap/>
            <w:vAlign w:val="center"/>
          </w:tcPr>
          <w:p>
            <w:pPr>
              <w:jc w:val="center"/>
              <w:rPr>
                <w:rFonts w:ascii="宋体" w:hAnsi="宋体" w:cs="宋体"/>
                <w:snapToGrid w:val="0"/>
                <w:color w:val="000000" w:themeColor="text1"/>
                <w:kern w:val="2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w:t>
            </w:r>
          </w:p>
        </w:tc>
        <w:tc>
          <w:tcPr>
            <w:tcW w:w="2070" w:type="dxa"/>
            <w:noWrap/>
            <w:vAlign w:val="center"/>
          </w:tcPr>
          <w:p>
            <w:pPr>
              <w:jc w:val="center"/>
              <w:rPr>
                <w:rFonts w:ascii="宋体" w:hAnsi="宋体" w:cs="宋体"/>
                <w:snapToGrid w:val="0"/>
                <w:color w:val="000000" w:themeColor="text1"/>
                <w:kern w:val="2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w:t>
            </w:r>
          </w:p>
        </w:tc>
        <w:tc>
          <w:tcPr>
            <w:tcW w:w="1965" w:type="dxa"/>
            <w:noWrap/>
            <w:vAlign w:val="center"/>
          </w:tcPr>
          <w:p>
            <w:pPr>
              <w:pStyle w:val="45"/>
              <w:spacing w:beforeLines="0" w:afterLines="0" w:line="240" w:lineRule="auto"/>
              <w:rPr>
                <w:rFonts w:hAnsi="宋体" w:cs="宋体"/>
                <w:snapToGrid w:val="0"/>
                <w:color w:val="000000" w:themeColor="text1"/>
                <w:kern w:val="21"/>
                <w:sz w:val="18"/>
                <w:szCs w:val="18"/>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0.25</w:t>
            </w:r>
            <w:r>
              <w:rPr>
                <w:rFonts w:hint="eastAsia" w:hAnsi="宋体" w:cs="宋体"/>
                <w:color w:val="000000" w:themeColor="text1"/>
                <w:kern w:val="2"/>
                <w:sz w:val="18"/>
                <w:szCs w:val="18"/>
                <w14:textFill>
                  <w14:solidFill>
                    <w14:schemeClr w14:val="tx1"/>
                  </w14:solidFill>
                </w14:textFill>
              </w:rPr>
              <w:t>t/a</w:t>
            </w:r>
          </w:p>
        </w:tc>
        <w:tc>
          <w:tcPr>
            <w:tcW w:w="1245" w:type="dxa"/>
            <w:noWrap/>
            <w:vAlign w:val="center"/>
          </w:tcPr>
          <w:p>
            <w:pPr>
              <w:jc w:val="center"/>
              <w:rPr>
                <w:rFonts w:ascii="宋体" w:hAnsi="宋体" w:cs="宋体"/>
                <w:snapToGrid w:val="0"/>
                <w:color w:val="000000" w:themeColor="text1"/>
                <w:kern w:val="2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w:t>
            </w:r>
          </w:p>
        </w:tc>
        <w:tc>
          <w:tcPr>
            <w:tcW w:w="2040" w:type="dxa"/>
            <w:noWrap/>
            <w:vAlign w:val="center"/>
          </w:tcPr>
          <w:p>
            <w:pPr>
              <w:pStyle w:val="45"/>
              <w:spacing w:beforeLines="0" w:afterLines="0" w:line="240" w:lineRule="auto"/>
              <w:rPr>
                <w:rFonts w:hAnsi="宋体" w:cs="宋体"/>
                <w:snapToGrid w:val="0"/>
                <w:color w:val="000000" w:themeColor="text1"/>
                <w:kern w:val="21"/>
                <w:sz w:val="18"/>
                <w:szCs w:val="18"/>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0.5</w:t>
            </w:r>
            <w:r>
              <w:rPr>
                <w:rFonts w:hint="eastAsia" w:hAnsi="宋体" w:cs="宋体"/>
                <w:color w:val="000000" w:themeColor="text1"/>
                <w:kern w:val="2"/>
                <w:sz w:val="18"/>
                <w:szCs w:val="18"/>
                <w14:textFill>
                  <w14:solidFill>
                    <w14:schemeClr w14:val="tx1"/>
                  </w14:solidFill>
                </w14:textFill>
              </w:rPr>
              <w:t>t/a</w:t>
            </w:r>
          </w:p>
        </w:tc>
        <w:tc>
          <w:tcPr>
            <w:tcW w:w="1320" w:type="dxa"/>
            <w:noWrap/>
            <w:vAlign w:val="center"/>
          </w:tcPr>
          <w:p>
            <w:pPr>
              <w:pStyle w:val="45"/>
              <w:spacing w:beforeLines="0" w:afterLines="0" w:line="240" w:lineRule="auto"/>
              <w:rPr>
                <w:rFonts w:hAnsi="宋体" w:cs="宋体"/>
                <w:snapToGrid w:val="0"/>
                <w:color w:val="000000" w:themeColor="text1"/>
                <w:kern w:val="21"/>
                <w:sz w:val="18"/>
                <w:szCs w:val="18"/>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+0.25</w:t>
            </w:r>
            <w:r>
              <w:rPr>
                <w:rFonts w:hint="eastAsia" w:hAnsi="宋体" w:cs="宋体"/>
                <w:color w:val="000000" w:themeColor="text1"/>
                <w:kern w:val="2"/>
                <w:sz w:val="18"/>
                <w:szCs w:val="18"/>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245" w:type="dxa"/>
            <w:vMerge w:val="continue"/>
            <w:noWrap/>
            <w:vAlign w:val="center"/>
          </w:tcPr>
          <w:p>
            <w:pPr>
              <w:pStyle w:val="45"/>
              <w:spacing w:beforeLines="0" w:afterLines="0" w:line="240" w:lineRule="auto"/>
              <w:rPr>
                <w:rFonts w:hAnsi="宋体" w:cs="宋体"/>
                <w:snapToGrid w:val="0"/>
                <w:kern w:val="21"/>
                <w:sz w:val="18"/>
                <w:szCs w:val="18"/>
              </w:rPr>
            </w:pPr>
          </w:p>
        </w:tc>
        <w:tc>
          <w:tcPr>
            <w:tcW w:w="1245" w:type="dxa"/>
            <w:noWrap/>
            <w:vAlign w:val="center"/>
          </w:tcPr>
          <w:p>
            <w:pPr>
              <w:pStyle w:val="45"/>
              <w:spacing w:beforeLines="0" w:afterLines="0" w:line="240" w:lineRule="auto"/>
              <w:rPr>
                <w:rFonts w:hAnsi="宋体" w:cs="宋体"/>
                <w:snapToGrid w:val="0"/>
                <w:color w:val="000000" w:themeColor="text1"/>
                <w:kern w:val="21"/>
                <w:sz w:val="18"/>
                <w:szCs w:val="18"/>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炉渣</w:t>
            </w:r>
          </w:p>
        </w:tc>
        <w:tc>
          <w:tcPr>
            <w:tcW w:w="1980" w:type="dxa"/>
            <w:noWrap/>
            <w:vAlign w:val="center"/>
          </w:tcPr>
          <w:p>
            <w:pPr>
              <w:jc w:val="center"/>
              <w:rPr>
                <w:rFonts w:ascii="宋体" w:hAnsi="宋体" w:cs="宋体"/>
                <w:snapToGrid w:val="0"/>
                <w:color w:val="000000" w:themeColor="text1"/>
                <w:kern w:val="21"/>
                <w:sz w:val="18"/>
                <w:szCs w:val="18"/>
                <w14:textFill>
                  <w14:solidFill>
                    <w14:schemeClr w14:val="tx1"/>
                  </w14:solidFill>
                </w14:textFill>
              </w:rPr>
            </w:pPr>
            <w:r>
              <w:rPr>
                <w:rFonts w:hint="eastAsia" w:ascii="宋体" w:hAnsi="宋体" w:cs="宋体"/>
                <w:snapToGrid w:val="0"/>
                <w:color w:val="000000" w:themeColor="text1"/>
                <w:kern w:val="21"/>
                <w:sz w:val="18"/>
                <w:szCs w:val="18"/>
                <w14:textFill>
                  <w14:solidFill>
                    <w14:schemeClr w14:val="tx1"/>
                  </w14:solidFill>
                </w14:textFill>
              </w:rPr>
              <w:t>2.16</w:t>
            </w:r>
            <w:r>
              <w:rPr>
                <w:rFonts w:hint="eastAsia" w:ascii="宋体" w:hAnsi="宋体" w:cs="宋体"/>
                <w:color w:val="000000" w:themeColor="text1"/>
                <w:sz w:val="18"/>
                <w:szCs w:val="18"/>
                <w14:textFill>
                  <w14:solidFill>
                    <w14:schemeClr w14:val="tx1"/>
                  </w14:solidFill>
                </w14:textFill>
              </w:rPr>
              <w:t>t/a</w:t>
            </w:r>
          </w:p>
        </w:tc>
        <w:tc>
          <w:tcPr>
            <w:tcW w:w="1155" w:type="dxa"/>
            <w:noWrap/>
            <w:vAlign w:val="center"/>
          </w:tcPr>
          <w:p>
            <w:pPr>
              <w:jc w:val="center"/>
              <w:rPr>
                <w:rFonts w:ascii="宋体" w:hAnsi="宋体" w:cs="宋体"/>
                <w:snapToGrid w:val="0"/>
                <w:color w:val="000000" w:themeColor="text1"/>
                <w:kern w:val="2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w:t>
            </w:r>
          </w:p>
        </w:tc>
        <w:tc>
          <w:tcPr>
            <w:tcW w:w="2070" w:type="dxa"/>
            <w:noWrap/>
            <w:vAlign w:val="center"/>
          </w:tcPr>
          <w:p>
            <w:pPr>
              <w:jc w:val="center"/>
              <w:rPr>
                <w:rFonts w:ascii="宋体" w:hAnsi="宋体" w:cs="宋体"/>
                <w:snapToGrid w:val="0"/>
                <w:color w:val="000000" w:themeColor="text1"/>
                <w:kern w:val="2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w:t>
            </w:r>
          </w:p>
        </w:tc>
        <w:tc>
          <w:tcPr>
            <w:tcW w:w="1965" w:type="dxa"/>
            <w:noWrap/>
            <w:vAlign w:val="center"/>
          </w:tcPr>
          <w:p>
            <w:pPr>
              <w:pStyle w:val="45"/>
              <w:spacing w:beforeLines="0" w:afterLines="0" w:line="240" w:lineRule="auto"/>
              <w:rPr>
                <w:rFonts w:hAnsi="宋体" w:cs="宋体"/>
                <w:snapToGrid w:val="0"/>
                <w:color w:val="000000" w:themeColor="text1"/>
                <w:kern w:val="21"/>
                <w:sz w:val="18"/>
                <w:szCs w:val="18"/>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4.32</w:t>
            </w:r>
            <w:r>
              <w:rPr>
                <w:rFonts w:hint="eastAsia" w:hAnsi="宋体" w:cs="宋体"/>
                <w:color w:val="000000" w:themeColor="text1"/>
                <w:kern w:val="2"/>
                <w:sz w:val="18"/>
                <w:szCs w:val="18"/>
                <w14:textFill>
                  <w14:solidFill>
                    <w14:schemeClr w14:val="tx1"/>
                  </w14:solidFill>
                </w14:textFill>
              </w:rPr>
              <w:t>t/a</w:t>
            </w:r>
          </w:p>
        </w:tc>
        <w:tc>
          <w:tcPr>
            <w:tcW w:w="1245" w:type="dxa"/>
            <w:noWrap/>
            <w:vAlign w:val="center"/>
          </w:tcPr>
          <w:p>
            <w:pPr>
              <w:jc w:val="center"/>
              <w:rPr>
                <w:rFonts w:ascii="宋体" w:hAnsi="宋体" w:cs="宋体"/>
                <w:snapToGrid w:val="0"/>
                <w:color w:val="000000" w:themeColor="text1"/>
                <w:kern w:val="2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w:t>
            </w:r>
          </w:p>
        </w:tc>
        <w:tc>
          <w:tcPr>
            <w:tcW w:w="2040" w:type="dxa"/>
            <w:noWrap/>
            <w:vAlign w:val="center"/>
          </w:tcPr>
          <w:p>
            <w:pPr>
              <w:pStyle w:val="45"/>
              <w:spacing w:beforeLines="0" w:afterLines="0" w:line="240" w:lineRule="auto"/>
              <w:rPr>
                <w:rFonts w:hAnsi="宋体" w:cs="宋体"/>
                <w:snapToGrid w:val="0"/>
                <w:color w:val="000000" w:themeColor="text1"/>
                <w:kern w:val="21"/>
                <w:sz w:val="18"/>
                <w:szCs w:val="18"/>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6.48</w:t>
            </w:r>
            <w:r>
              <w:rPr>
                <w:rFonts w:hint="eastAsia" w:hAnsi="宋体" w:cs="宋体"/>
                <w:color w:val="000000" w:themeColor="text1"/>
                <w:kern w:val="2"/>
                <w:sz w:val="18"/>
                <w:szCs w:val="18"/>
                <w14:textFill>
                  <w14:solidFill>
                    <w14:schemeClr w14:val="tx1"/>
                  </w14:solidFill>
                </w14:textFill>
              </w:rPr>
              <w:t>t/a</w:t>
            </w:r>
          </w:p>
        </w:tc>
        <w:tc>
          <w:tcPr>
            <w:tcW w:w="1320" w:type="dxa"/>
            <w:noWrap/>
            <w:vAlign w:val="center"/>
          </w:tcPr>
          <w:p>
            <w:pPr>
              <w:pStyle w:val="45"/>
              <w:spacing w:beforeLines="0" w:afterLines="0" w:line="240" w:lineRule="auto"/>
              <w:rPr>
                <w:rFonts w:hAnsi="宋体" w:cs="宋体"/>
                <w:snapToGrid w:val="0"/>
                <w:color w:val="000000" w:themeColor="text1"/>
                <w:kern w:val="21"/>
                <w:sz w:val="18"/>
                <w:szCs w:val="18"/>
                <w14:textFill>
                  <w14:solidFill>
                    <w14:schemeClr w14:val="tx1"/>
                  </w14:solidFill>
                </w14:textFill>
              </w:rPr>
            </w:pPr>
            <w:r>
              <w:rPr>
                <w:rFonts w:hint="eastAsia" w:hAnsi="宋体" w:cs="宋体"/>
                <w:snapToGrid w:val="0"/>
                <w:color w:val="000000" w:themeColor="text1"/>
                <w:kern w:val="21"/>
                <w:sz w:val="18"/>
                <w:szCs w:val="18"/>
                <w14:textFill>
                  <w14:solidFill>
                    <w14:schemeClr w14:val="tx1"/>
                  </w14:solidFill>
                </w14:textFill>
              </w:rPr>
              <w:t>+4.32</w:t>
            </w:r>
            <w:r>
              <w:rPr>
                <w:rFonts w:hint="eastAsia" w:hAnsi="宋体" w:cs="宋体"/>
                <w:color w:val="000000" w:themeColor="text1"/>
                <w:kern w:val="2"/>
                <w:sz w:val="18"/>
                <w:szCs w:val="18"/>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245" w:type="dxa"/>
            <w:vMerge w:val="continue"/>
            <w:noWrap/>
            <w:vAlign w:val="center"/>
          </w:tcPr>
          <w:p>
            <w:pPr>
              <w:pStyle w:val="45"/>
              <w:spacing w:beforeLines="0" w:afterLines="0" w:line="240" w:lineRule="auto"/>
              <w:rPr>
                <w:rFonts w:hAnsi="宋体" w:cs="宋体"/>
                <w:snapToGrid w:val="0"/>
                <w:kern w:val="21"/>
                <w:sz w:val="18"/>
                <w:szCs w:val="18"/>
              </w:rPr>
            </w:pPr>
          </w:p>
        </w:tc>
        <w:tc>
          <w:tcPr>
            <w:tcW w:w="1245" w:type="dxa"/>
            <w:noWrap/>
            <w:vAlign w:val="center"/>
          </w:tcPr>
          <w:p>
            <w:pPr>
              <w:pStyle w:val="45"/>
              <w:spacing w:beforeLines="0" w:afterLines="0" w:line="240" w:lineRule="auto"/>
              <w:rPr>
                <w:rFonts w:hAnsi="宋体" w:cs="宋体"/>
                <w:snapToGrid w:val="0"/>
                <w:color w:val="000000" w:themeColor="text1"/>
                <w:kern w:val="21"/>
                <w:sz w:val="18"/>
                <w:szCs w:val="18"/>
                <w:highlight w:val="none"/>
                <w14:textFill>
                  <w14:solidFill>
                    <w14:schemeClr w14:val="tx1"/>
                  </w14:solidFill>
                </w14:textFill>
              </w:rPr>
            </w:pPr>
            <w:r>
              <w:rPr>
                <w:rFonts w:hint="eastAsia" w:hAnsi="宋体" w:cs="宋体"/>
                <w:snapToGrid w:val="0"/>
                <w:color w:val="000000" w:themeColor="text1"/>
                <w:kern w:val="21"/>
                <w:sz w:val="18"/>
                <w:szCs w:val="18"/>
                <w:highlight w:val="none"/>
                <w14:textFill>
                  <w14:solidFill>
                    <w14:schemeClr w14:val="tx1"/>
                  </w14:solidFill>
                </w14:textFill>
              </w:rPr>
              <w:t>锅炉除尘灰</w:t>
            </w:r>
          </w:p>
        </w:tc>
        <w:tc>
          <w:tcPr>
            <w:tcW w:w="1980"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snapToGrid w:val="0"/>
                <w:color w:val="000000" w:themeColor="text1"/>
                <w:kern w:val="21"/>
                <w:sz w:val="18"/>
                <w:szCs w:val="18"/>
                <w:highlight w:val="none"/>
                <w:lang w:eastAsia="zh-CN"/>
                <w14:textFill>
                  <w14:solidFill>
                    <w14:schemeClr w14:val="tx1"/>
                  </w14:solidFill>
                </w14:textFill>
              </w:rPr>
              <w:t>2.44</w:t>
            </w:r>
            <w:r>
              <w:rPr>
                <w:rFonts w:hint="eastAsia" w:ascii="宋体" w:hAnsi="宋体" w:cs="宋体"/>
                <w:color w:val="000000" w:themeColor="text1"/>
                <w:sz w:val="18"/>
                <w:szCs w:val="18"/>
                <w:highlight w:val="none"/>
                <w14:textFill>
                  <w14:solidFill>
                    <w14:schemeClr w14:val="tx1"/>
                  </w14:solidFill>
                </w14:textFill>
              </w:rPr>
              <w:t>t/a</w:t>
            </w:r>
          </w:p>
        </w:tc>
        <w:tc>
          <w:tcPr>
            <w:tcW w:w="1155"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w:t>
            </w:r>
          </w:p>
        </w:tc>
        <w:tc>
          <w:tcPr>
            <w:tcW w:w="2070"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w:t>
            </w:r>
          </w:p>
        </w:tc>
        <w:tc>
          <w:tcPr>
            <w:tcW w:w="1965" w:type="dxa"/>
            <w:noWrap/>
            <w:vAlign w:val="center"/>
          </w:tcPr>
          <w:p>
            <w:pPr>
              <w:pStyle w:val="45"/>
              <w:spacing w:beforeLines="0" w:afterLines="0" w:line="240" w:lineRule="auto"/>
              <w:rPr>
                <w:rFonts w:hAnsi="宋体" w:cs="宋体"/>
                <w:snapToGrid w:val="0"/>
                <w:color w:val="000000" w:themeColor="text1"/>
                <w:kern w:val="21"/>
                <w:sz w:val="18"/>
                <w:szCs w:val="18"/>
                <w:highlight w:val="none"/>
                <w14:textFill>
                  <w14:solidFill>
                    <w14:schemeClr w14:val="tx1"/>
                  </w14:solidFill>
                </w14:textFill>
              </w:rPr>
            </w:pPr>
            <w:r>
              <w:rPr>
                <w:rFonts w:hint="eastAsia" w:hAnsi="宋体" w:cs="宋体"/>
                <w:snapToGrid w:val="0"/>
                <w:color w:val="000000" w:themeColor="text1"/>
                <w:kern w:val="21"/>
                <w:sz w:val="18"/>
                <w:szCs w:val="18"/>
                <w:highlight w:val="none"/>
                <w:lang w:eastAsia="zh-CN"/>
                <w14:textFill>
                  <w14:solidFill>
                    <w14:schemeClr w14:val="tx1"/>
                  </w14:solidFill>
                </w14:textFill>
              </w:rPr>
              <w:t>6.18</w:t>
            </w:r>
            <w:r>
              <w:rPr>
                <w:rFonts w:hint="eastAsia" w:hAnsi="宋体" w:cs="宋体"/>
                <w:color w:val="000000" w:themeColor="text1"/>
                <w:kern w:val="2"/>
                <w:sz w:val="18"/>
                <w:szCs w:val="18"/>
                <w:highlight w:val="none"/>
                <w14:textFill>
                  <w14:solidFill>
                    <w14:schemeClr w14:val="tx1"/>
                  </w14:solidFill>
                </w14:textFill>
              </w:rPr>
              <w:t>t/a</w:t>
            </w:r>
          </w:p>
        </w:tc>
        <w:tc>
          <w:tcPr>
            <w:tcW w:w="1245" w:type="dxa"/>
            <w:noWrap/>
            <w:vAlign w:val="center"/>
          </w:tcPr>
          <w:p>
            <w:pPr>
              <w:jc w:val="center"/>
              <w:rPr>
                <w:rFonts w:ascii="宋体" w:hAnsi="宋体" w:cs="宋体"/>
                <w:snapToGrid w:val="0"/>
                <w:color w:val="000000" w:themeColor="text1"/>
                <w:kern w:val="2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w:t>
            </w:r>
          </w:p>
        </w:tc>
        <w:tc>
          <w:tcPr>
            <w:tcW w:w="2040" w:type="dxa"/>
            <w:noWrap/>
            <w:vAlign w:val="center"/>
          </w:tcPr>
          <w:p>
            <w:pPr>
              <w:pStyle w:val="45"/>
              <w:spacing w:beforeLines="0" w:afterLines="0" w:line="240" w:lineRule="auto"/>
              <w:rPr>
                <w:rFonts w:hAnsi="宋体" w:cs="宋体"/>
                <w:snapToGrid w:val="0"/>
                <w:color w:val="000000" w:themeColor="text1"/>
                <w:kern w:val="21"/>
                <w:sz w:val="18"/>
                <w:szCs w:val="18"/>
                <w:highlight w:val="none"/>
                <w14:textFill>
                  <w14:solidFill>
                    <w14:schemeClr w14:val="tx1"/>
                  </w14:solidFill>
                </w14:textFill>
              </w:rPr>
            </w:pPr>
            <w:r>
              <w:rPr>
                <w:rFonts w:hint="eastAsia" w:hAnsi="宋体" w:cs="宋体"/>
                <w:snapToGrid w:val="0"/>
                <w:color w:val="000000" w:themeColor="text1"/>
                <w:kern w:val="21"/>
                <w:sz w:val="18"/>
                <w:szCs w:val="18"/>
                <w:highlight w:val="none"/>
                <w14:textFill>
                  <w14:solidFill>
                    <w14:schemeClr w14:val="tx1"/>
                  </w14:solidFill>
                </w14:textFill>
              </w:rPr>
              <w:t>8.</w:t>
            </w:r>
            <w:r>
              <w:rPr>
                <w:rFonts w:hint="eastAsia" w:hAnsi="宋体" w:cs="宋体"/>
                <w:snapToGrid w:val="0"/>
                <w:color w:val="000000" w:themeColor="text1"/>
                <w:kern w:val="21"/>
                <w:sz w:val="18"/>
                <w:szCs w:val="18"/>
                <w:highlight w:val="none"/>
                <w:lang w:val="en-US" w:eastAsia="zh-CN"/>
                <w14:textFill>
                  <w14:solidFill>
                    <w14:schemeClr w14:val="tx1"/>
                  </w14:solidFill>
                </w14:textFill>
              </w:rPr>
              <w:t>62</w:t>
            </w:r>
            <w:r>
              <w:rPr>
                <w:rFonts w:hint="eastAsia" w:hAnsi="宋体" w:cs="宋体"/>
                <w:color w:val="000000" w:themeColor="text1"/>
                <w:kern w:val="2"/>
                <w:sz w:val="18"/>
                <w:szCs w:val="18"/>
                <w:highlight w:val="none"/>
                <w14:textFill>
                  <w14:solidFill>
                    <w14:schemeClr w14:val="tx1"/>
                  </w14:solidFill>
                </w14:textFill>
              </w:rPr>
              <w:t>t/a</w:t>
            </w:r>
          </w:p>
        </w:tc>
        <w:tc>
          <w:tcPr>
            <w:tcW w:w="1320" w:type="dxa"/>
            <w:noWrap/>
            <w:vAlign w:val="center"/>
          </w:tcPr>
          <w:p>
            <w:pPr>
              <w:pStyle w:val="45"/>
              <w:spacing w:beforeLines="0" w:afterLines="0" w:line="240" w:lineRule="auto"/>
              <w:rPr>
                <w:rFonts w:hAnsi="宋体" w:cs="宋体"/>
                <w:snapToGrid w:val="0"/>
                <w:color w:val="000000" w:themeColor="text1"/>
                <w:kern w:val="21"/>
                <w:sz w:val="18"/>
                <w:szCs w:val="18"/>
                <w:highlight w:val="none"/>
                <w14:textFill>
                  <w14:solidFill>
                    <w14:schemeClr w14:val="tx1"/>
                  </w14:solidFill>
                </w14:textFill>
              </w:rPr>
            </w:pPr>
            <w:r>
              <w:rPr>
                <w:rFonts w:hint="eastAsia" w:hAnsi="宋体" w:cs="宋体"/>
                <w:snapToGrid w:val="0"/>
                <w:color w:val="000000" w:themeColor="text1"/>
                <w:kern w:val="21"/>
                <w:sz w:val="18"/>
                <w:szCs w:val="18"/>
                <w:highlight w:val="none"/>
                <w14:textFill>
                  <w14:solidFill>
                    <w14:schemeClr w14:val="tx1"/>
                  </w14:solidFill>
                </w14:textFill>
              </w:rPr>
              <w:t>+</w:t>
            </w:r>
            <w:r>
              <w:rPr>
                <w:rFonts w:hint="eastAsia" w:hAnsi="宋体" w:cs="宋体"/>
                <w:snapToGrid w:val="0"/>
                <w:color w:val="000000" w:themeColor="text1"/>
                <w:kern w:val="21"/>
                <w:sz w:val="18"/>
                <w:szCs w:val="18"/>
                <w:highlight w:val="none"/>
                <w:lang w:eastAsia="zh-CN"/>
                <w14:textFill>
                  <w14:solidFill>
                    <w14:schemeClr w14:val="tx1"/>
                  </w14:solidFill>
                </w14:textFill>
              </w:rPr>
              <w:t>6.18</w:t>
            </w:r>
            <w:r>
              <w:rPr>
                <w:rFonts w:hint="eastAsia" w:hAnsi="宋体" w:cs="宋体"/>
                <w:color w:val="000000" w:themeColor="text1"/>
                <w:kern w:val="2"/>
                <w:sz w:val="18"/>
                <w:szCs w:val="18"/>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245" w:type="dxa"/>
            <w:vMerge w:val="continue"/>
            <w:noWrap/>
            <w:vAlign w:val="center"/>
          </w:tcPr>
          <w:p>
            <w:pPr>
              <w:pStyle w:val="45"/>
              <w:spacing w:beforeLines="0" w:afterLines="0" w:line="240" w:lineRule="auto"/>
              <w:rPr>
                <w:rFonts w:hAnsi="宋体" w:cs="宋体"/>
                <w:snapToGrid w:val="0"/>
                <w:kern w:val="21"/>
                <w:sz w:val="18"/>
                <w:szCs w:val="18"/>
              </w:rPr>
            </w:pPr>
          </w:p>
        </w:tc>
        <w:tc>
          <w:tcPr>
            <w:tcW w:w="1245"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粉碎除尘灰</w:t>
            </w:r>
          </w:p>
        </w:tc>
        <w:tc>
          <w:tcPr>
            <w:tcW w:w="1980" w:type="dxa"/>
            <w:noWrap/>
            <w:vAlign w:val="center"/>
          </w:tcPr>
          <w:p>
            <w:pPr>
              <w:jc w:val="center"/>
              <w:rPr>
                <w:rFonts w:ascii="宋体" w:hAnsi="宋体" w:cs="宋体"/>
                <w:sz w:val="18"/>
                <w:szCs w:val="18"/>
              </w:rPr>
            </w:pPr>
            <w:r>
              <w:rPr>
                <w:rFonts w:hint="eastAsia" w:ascii="宋体" w:hAnsi="宋体" w:cs="宋体"/>
                <w:snapToGrid w:val="0"/>
                <w:kern w:val="21"/>
                <w:sz w:val="18"/>
                <w:szCs w:val="18"/>
              </w:rPr>
              <w:t>0.43</w:t>
            </w:r>
            <w:r>
              <w:rPr>
                <w:rFonts w:hint="eastAsia" w:ascii="宋体" w:hAnsi="宋体" w:cs="宋体"/>
                <w:sz w:val="18"/>
                <w:szCs w:val="18"/>
              </w:rPr>
              <w:t>t/a</w:t>
            </w:r>
          </w:p>
        </w:tc>
        <w:tc>
          <w:tcPr>
            <w:tcW w:w="1155" w:type="dxa"/>
            <w:noWrap/>
            <w:vAlign w:val="center"/>
          </w:tcPr>
          <w:p>
            <w:pPr>
              <w:jc w:val="center"/>
              <w:rPr>
                <w:rFonts w:ascii="宋体" w:hAnsi="宋体" w:cs="宋体"/>
                <w:sz w:val="18"/>
                <w:szCs w:val="18"/>
              </w:rPr>
            </w:pPr>
            <w:r>
              <w:rPr>
                <w:rFonts w:hint="eastAsia" w:ascii="宋体" w:hAnsi="宋体" w:cs="宋体"/>
                <w:color w:val="000000" w:themeColor="text1"/>
                <w:sz w:val="18"/>
                <w:szCs w:val="18"/>
                <w:highlight w:val="none"/>
                <w14:textFill>
                  <w14:solidFill>
                    <w14:schemeClr w14:val="tx1"/>
                  </w14:solidFill>
                </w14:textFill>
              </w:rPr>
              <w:t>/</w:t>
            </w:r>
          </w:p>
        </w:tc>
        <w:tc>
          <w:tcPr>
            <w:tcW w:w="2070" w:type="dxa"/>
            <w:noWrap/>
            <w:vAlign w:val="center"/>
          </w:tcPr>
          <w:p>
            <w:pPr>
              <w:jc w:val="center"/>
              <w:rPr>
                <w:rFonts w:ascii="宋体" w:hAnsi="宋体" w:cs="宋体"/>
                <w:sz w:val="18"/>
                <w:szCs w:val="18"/>
              </w:rPr>
            </w:pPr>
            <w:r>
              <w:rPr>
                <w:rFonts w:hint="eastAsia" w:ascii="宋体" w:hAnsi="宋体" w:cs="宋体"/>
                <w:color w:val="000000" w:themeColor="text1"/>
                <w:sz w:val="18"/>
                <w:szCs w:val="18"/>
                <w:highlight w:val="none"/>
                <w14:textFill>
                  <w14:solidFill>
                    <w14:schemeClr w14:val="tx1"/>
                  </w14:solidFill>
                </w14:textFill>
              </w:rPr>
              <w:t>/</w:t>
            </w:r>
          </w:p>
        </w:tc>
        <w:tc>
          <w:tcPr>
            <w:tcW w:w="1965"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0.43</w:t>
            </w:r>
            <w:r>
              <w:rPr>
                <w:rFonts w:hint="eastAsia" w:hAnsi="宋体" w:cs="宋体"/>
                <w:kern w:val="2"/>
                <w:sz w:val="18"/>
                <w:szCs w:val="18"/>
              </w:rPr>
              <w:t>t/a</w:t>
            </w:r>
          </w:p>
        </w:tc>
        <w:tc>
          <w:tcPr>
            <w:tcW w:w="1245" w:type="dxa"/>
            <w:noWrap/>
            <w:vAlign w:val="center"/>
          </w:tcPr>
          <w:p>
            <w:pPr>
              <w:jc w:val="center"/>
              <w:rPr>
                <w:rFonts w:ascii="宋体" w:hAnsi="宋体" w:cs="宋体"/>
                <w:sz w:val="18"/>
                <w:szCs w:val="18"/>
              </w:rPr>
            </w:pPr>
            <w:r>
              <w:rPr>
                <w:rFonts w:hint="eastAsia" w:ascii="宋体" w:hAnsi="宋体" w:cs="宋体"/>
                <w:color w:val="000000" w:themeColor="text1"/>
                <w:sz w:val="18"/>
                <w:szCs w:val="18"/>
                <w:highlight w:val="none"/>
                <w14:textFill>
                  <w14:solidFill>
                    <w14:schemeClr w14:val="tx1"/>
                  </w14:solidFill>
                </w14:textFill>
              </w:rPr>
              <w:t>/</w:t>
            </w:r>
          </w:p>
        </w:tc>
        <w:tc>
          <w:tcPr>
            <w:tcW w:w="2040"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0.86</w:t>
            </w:r>
            <w:r>
              <w:rPr>
                <w:rFonts w:hint="eastAsia" w:hAnsi="宋体" w:cs="宋体"/>
                <w:kern w:val="2"/>
                <w:sz w:val="18"/>
                <w:szCs w:val="18"/>
              </w:rPr>
              <w:t>t/a</w:t>
            </w:r>
          </w:p>
        </w:tc>
        <w:tc>
          <w:tcPr>
            <w:tcW w:w="1320"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+0.43</w:t>
            </w:r>
            <w:r>
              <w:rPr>
                <w:rFonts w:hint="eastAsia" w:hAnsi="宋体" w:cs="宋体"/>
                <w:kern w:val="2"/>
                <w:sz w:val="18"/>
                <w:szCs w:val="18"/>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245" w:type="dxa"/>
            <w:vMerge w:val="continue"/>
            <w:noWrap/>
            <w:vAlign w:val="center"/>
          </w:tcPr>
          <w:p>
            <w:pPr>
              <w:pStyle w:val="45"/>
              <w:spacing w:beforeLines="0" w:afterLines="0" w:line="240" w:lineRule="auto"/>
              <w:rPr>
                <w:rFonts w:hAnsi="宋体" w:cs="宋体"/>
                <w:snapToGrid w:val="0"/>
                <w:kern w:val="21"/>
                <w:sz w:val="18"/>
                <w:szCs w:val="18"/>
              </w:rPr>
            </w:pPr>
          </w:p>
        </w:tc>
        <w:tc>
          <w:tcPr>
            <w:tcW w:w="1245"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废培养皿</w:t>
            </w:r>
          </w:p>
        </w:tc>
        <w:tc>
          <w:tcPr>
            <w:tcW w:w="1980" w:type="dxa"/>
            <w:noWrap/>
            <w:vAlign w:val="center"/>
          </w:tcPr>
          <w:p>
            <w:pPr>
              <w:jc w:val="center"/>
              <w:rPr>
                <w:rFonts w:ascii="宋体" w:hAnsi="宋体" w:cs="宋体"/>
                <w:snapToGrid w:val="0"/>
                <w:kern w:val="21"/>
                <w:sz w:val="18"/>
                <w:szCs w:val="18"/>
              </w:rPr>
            </w:pPr>
            <w:r>
              <w:rPr>
                <w:rFonts w:hint="eastAsia" w:ascii="宋体" w:hAnsi="宋体" w:cs="宋体"/>
                <w:snapToGrid w:val="0"/>
                <w:kern w:val="21"/>
                <w:sz w:val="18"/>
                <w:szCs w:val="18"/>
              </w:rPr>
              <w:t>0.025</w:t>
            </w:r>
            <w:r>
              <w:rPr>
                <w:rFonts w:hint="eastAsia" w:ascii="宋体" w:hAnsi="宋体" w:cs="宋体"/>
                <w:sz w:val="18"/>
                <w:szCs w:val="18"/>
              </w:rPr>
              <w:t>t/a</w:t>
            </w:r>
          </w:p>
        </w:tc>
        <w:tc>
          <w:tcPr>
            <w:tcW w:w="1155" w:type="dxa"/>
            <w:noWrap/>
            <w:vAlign w:val="center"/>
          </w:tcPr>
          <w:p>
            <w:pPr>
              <w:jc w:val="center"/>
              <w:rPr>
                <w:rFonts w:ascii="宋体" w:hAnsi="宋体" w:cs="宋体"/>
                <w:snapToGrid w:val="0"/>
                <w:kern w:val="21"/>
                <w:sz w:val="18"/>
                <w:szCs w:val="18"/>
              </w:rPr>
            </w:pPr>
            <w:r>
              <w:rPr>
                <w:rFonts w:hint="eastAsia" w:ascii="宋体" w:hAnsi="宋体" w:cs="宋体"/>
                <w:sz w:val="18"/>
                <w:szCs w:val="18"/>
              </w:rPr>
              <w:t>/</w:t>
            </w:r>
          </w:p>
        </w:tc>
        <w:tc>
          <w:tcPr>
            <w:tcW w:w="2070" w:type="dxa"/>
            <w:noWrap/>
            <w:vAlign w:val="center"/>
          </w:tcPr>
          <w:p>
            <w:pPr>
              <w:jc w:val="center"/>
              <w:rPr>
                <w:rFonts w:ascii="宋体" w:hAnsi="宋体" w:cs="宋体"/>
                <w:snapToGrid w:val="0"/>
                <w:kern w:val="21"/>
                <w:sz w:val="18"/>
                <w:szCs w:val="18"/>
              </w:rPr>
            </w:pPr>
            <w:r>
              <w:rPr>
                <w:rFonts w:hint="eastAsia" w:ascii="宋体" w:hAnsi="宋体" w:cs="宋体"/>
                <w:sz w:val="18"/>
                <w:szCs w:val="18"/>
              </w:rPr>
              <w:t>/</w:t>
            </w:r>
          </w:p>
        </w:tc>
        <w:tc>
          <w:tcPr>
            <w:tcW w:w="1965"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0.025</w:t>
            </w:r>
            <w:r>
              <w:rPr>
                <w:rFonts w:hint="eastAsia" w:hAnsi="宋体" w:cs="宋体"/>
                <w:kern w:val="2"/>
                <w:sz w:val="18"/>
                <w:szCs w:val="18"/>
              </w:rPr>
              <w:t>t/a</w:t>
            </w:r>
          </w:p>
        </w:tc>
        <w:tc>
          <w:tcPr>
            <w:tcW w:w="1245" w:type="dxa"/>
            <w:noWrap/>
            <w:vAlign w:val="center"/>
          </w:tcPr>
          <w:p>
            <w:pPr>
              <w:jc w:val="center"/>
              <w:rPr>
                <w:rFonts w:ascii="宋体" w:hAnsi="宋体" w:cs="宋体"/>
                <w:snapToGrid w:val="0"/>
                <w:kern w:val="21"/>
                <w:sz w:val="18"/>
                <w:szCs w:val="18"/>
              </w:rPr>
            </w:pPr>
            <w:r>
              <w:rPr>
                <w:rFonts w:hint="eastAsia" w:ascii="宋体" w:hAnsi="宋体" w:cs="宋体"/>
                <w:sz w:val="18"/>
                <w:szCs w:val="18"/>
              </w:rPr>
              <w:t>/</w:t>
            </w:r>
          </w:p>
        </w:tc>
        <w:tc>
          <w:tcPr>
            <w:tcW w:w="2040"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0.05</w:t>
            </w:r>
            <w:r>
              <w:rPr>
                <w:rFonts w:hint="eastAsia" w:hAnsi="宋体" w:cs="宋体"/>
                <w:kern w:val="2"/>
                <w:sz w:val="18"/>
                <w:szCs w:val="18"/>
              </w:rPr>
              <w:t>t/a</w:t>
            </w:r>
          </w:p>
        </w:tc>
        <w:tc>
          <w:tcPr>
            <w:tcW w:w="1320"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+0.025</w:t>
            </w:r>
            <w:r>
              <w:rPr>
                <w:rFonts w:hint="eastAsia" w:hAnsi="宋体" w:cs="宋体"/>
                <w:kern w:val="2"/>
                <w:sz w:val="18"/>
                <w:szCs w:val="18"/>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245" w:type="dxa"/>
            <w:vMerge w:val="continue"/>
            <w:noWrap/>
            <w:vAlign w:val="center"/>
          </w:tcPr>
          <w:p>
            <w:pPr>
              <w:pStyle w:val="45"/>
              <w:spacing w:beforeLines="0" w:afterLines="0" w:line="240" w:lineRule="auto"/>
              <w:rPr>
                <w:rFonts w:hAnsi="宋体" w:cs="宋体"/>
                <w:snapToGrid w:val="0"/>
                <w:kern w:val="21"/>
                <w:sz w:val="18"/>
                <w:szCs w:val="18"/>
              </w:rPr>
            </w:pPr>
          </w:p>
        </w:tc>
        <w:tc>
          <w:tcPr>
            <w:tcW w:w="1245"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废菌棒</w:t>
            </w:r>
          </w:p>
        </w:tc>
        <w:tc>
          <w:tcPr>
            <w:tcW w:w="1980" w:type="dxa"/>
            <w:noWrap/>
            <w:vAlign w:val="center"/>
          </w:tcPr>
          <w:p>
            <w:pPr>
              <w:jc w:val="center"/>
              <w:rPr>
                <w:rFonts w:ascii="宋体" w:hAnsi="宋体" w:cs="宋体"/>
                <w:snapToGrid w:val="0"/>
                <w:kern w:val="21"/>
                <w:sz w:val="18"/>
                <w:szCs w:val="18"/>
              </w:rPr>
            </w:pPr>
            <w:r>
              <w:rPr>
                <w:rFonts w:hint="eastAsia" w:ascii="宋体" w:hAnsi="宋体" w:cs="宋体"/>
                <w:snapToGrid w:val="0"/>
                <w:kern w:val="21"/>
                <w:sz w:val="18"/>
                <w:szCs w:val="18"/>
              </w:rPr>
              <w:t>264.21</w:t>
            </w:r>
            <w:r>
              <w:rPr>
                <w:rFonts w:hint="eastAsia" w:ascii="宋体" w:hAnsi="宋体" w:cs="宋体"/>
                <w:sz w:val="18"/>
                <w:szCs w:val="18"/>
              </w:rPr>
              <w:t>t/a</w:t>
            </w:r>
          </w:p>
        </w:tc>
        <w:tc>
          <w:tcPr>
            <w:tcW w:w="1155" w:type="dxa"/>
            <w:noWrap/>
            <w:vAlign w:val="center"/>
          </w:tcPr>
          <w:p>
            <w:pPr>
              <w:jc w:val="center"/>
              <w:rPr>
                <w:rFonts w:ascii="宋体" w:hAnsi="宋体" w:cs="宋体"/>
                <w:snapToGrid w:val="0"/>
                <w:kern w:val="21"/>
                <w:sz w:val="18"/>
                <w:szCs w:val="18"/>
              </w:rPr>
            </w:pPr>
            <w:r>
              <w:rPr>
                <w:rFonts w:hint="eastAsia" w:ascii="宋体" w:hAnsi="宋体" w:cs="宋体"/>
                <w:sz w:val="18"/>
                <w:szCs w:val="18"/>
              </w:rPr>
              <w:t>/</w:t>
            </w:r>
          </w:p>
        </w:tc>
        <w:tc>
          <w:tcPr>
            <w:tcW w:w="2070" w:type="dxa"/>
            <w:noWrap/>
            <w:vAlign w:val="center"/>
          </w:tcPr>
          <w:p>
            <w:pPr>
              <w:jc w:val="center"/>
              <w:rPr>
                <w:rFonts w:ascii="宋体" w:hAnsi="宋体" w:cs="宋体"/>
                <w:snapToGrid w:val="0"/>
                <w:kern w:val="21"/>
                <w:sz w:val="18"/>
                <w:szCs w:val="18"/>
              </w:rPr>
            </w:pPr>
            <w:r>
              <w:rPr>
                <w:rFonts w:hint="eastAsia" w:ascii="宋体" w:hAnsi="宋体" w:cs="宋体"/>
                <w:sz w:val="18"/>
                <w:szCs w:val="18"/>
              </w:rPr>
              <w:t>/</w:t>
            </w:r>
          </w:p>
        </w:tc>
        <w:tc>
          <w:tcPr>
            <w:tcW w:w="1965" w:type="dxa"/>
            <w:noWrap/>
            <w:vAlign w:val="center"/>
          </w:tcPr>
          <w:p>
            <w:pPr>
              <w:jc w:val="center"/>
              <w:rPr>
                <w:rFonts w:ascii="宋体" w:hAnsi="宋体" w:cs="宋体"/>
                <w:snapToGrid w:val="0"/>
                <w:kern w:val="21"/>
                <w:sz w:val="18"/>
                <w:szCs w:val="18"/>
              </w:rPr>
            </w:pPr>
            <w:r>
              <w:rPr>
                <w:rFonts w:hint="eastAsia" w:ascii="宋体" w:hAnsi="宋体" w:cs="宋体"/>
                <w:sz w:val="18"/>
                <w:szCs w:val="18"/>
              </w:rPr>
              <w:t>264.21t/a</w:t>
            </w:r>
          </w:p>
        </w:tc>
        <w:tc>
          <w:tcPr>
            <w:tcW w:w="1245" w:type="dxa"/>
            <w:noWrap/>
            <w:vAlign w:val="center"/>
          </w:tcPr>
          <w:p>
            <w:pPr>
              <w:jc w:val="center"/>
              <w:rPr>
                <w:rFonts w:ascii="宋体" w:hAnsi="宋体" w:cs="宋体"/>
                <w:snapToGrid w:val="0"/>
                <w:kern w:val="21"/>
                <w:sz w:val="18"/>
                <w:szCs w:val="18"/>
              </w:rPr>
            </w:pPr>
            <w:r>
              <w:rPr>
                <w:rFonts w:hint="eastAsia" w:ascii="宋体" w:hAnsi="宋体" w:cs="宋体"/>
                <w:sz w:val="18"/>
                <w:szCs w:val="18"/>
              </w:rPr>
              <w:t>/</w:t>
            </w:r>
          </w:p>
        </w:tc>
        <w:tc>
          <w:tcPr>
            <w:tcW w:w="2040" w:type="dxa"/>
            <w:noWrap/>
            <w:vAlign w:val="center"/>
          </w:tcPr>
          <w:p>
            <w:pPr>
              <w:jc w:val="center"/>
              <w:rPr>
                <w:rFonts w:ascii="宋体" w:hAnsi="宋体" w:cs="宋体"/>
                <w:snapToGrid w:val="0"/>
                <w:kern w:val="21"/>
                <w:sz w:val="18"/>
                <w:szCs w:val="18"/>
              </w:rPr>
            </w:pPr>
            <w:r>
              <w:rPr>
                <w:rFonts w:hint="eastAsia" w:ascii="宋体" w:hAnsi="宋体" w:cs="宋体"/>
                <w:sz w:val="18"/>
                <w:szCs w:val="18"/>
              </w:rPr>
              <w:t>528.42t/a</w:t>
            </w:r>
          </w:p>
        </w:tc>
        <w:tc>
          <w:tcPr>
            <w:tcW w:w="1320" w:type="dxa"/>
            <w:noWrap/>
            <w:vAlign w:val="center"/>
          </w:tcPr>
          <w:p>
            <w:pPr>
              <w:jc w:val="center"/>
              <w:rPr>
                <w:rFonts w:ascii="宋体" w:hAnsi="宋体" w:cs="宋体"/>
                <w:snapToGrid w:val="0"/>
                <w:kern w:val="21"/>
                <w:sz w:val="18"/>
                <w:szCs w:val="18"/>
              </w:rPr>
            </w:pPr>
            <w:r>
              <w:rPr>
                <w:rFonts w:hint="eastAsia" w:ascii="宋体" w:hAnsi="宋体" w:cs="宋体"/>
                <w:sz w:val="18"/>
                <w:szCs w:val="18"/>
              </w:rPr>
              <w:t>+264.21t/a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245" w:type="dxa"/>
            <w:vMerge w:val="restart"/>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危险废物</w:t>
            </w:r>
          </w:p>
        </w:tc>
        <w:tc>
          <w:tcPr>
            <w:tcW w:w="1245"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废油</w:t>
            </w:r>
          </w:p>
        </w:tc>
        <w:tc>
          <w:tcPr>
            <w:tcW w:w="1980" w:type="dxa"/>
            <w:noWrap/>
            <w:vAlign w:val="center"/>
          </w:tcPr>
          <w:p>
            <w:pPr>
              <w:jc w:val="center"/>
              <w:rPr>
                <w:rFonts w:ascii="宋体" w:hAnsi="宋体" w:cs="宋体"/>
                <w:snapToGrid w:val="0"/>
                <w:kern w:val="21"/>
                <w:sz w:val="18"/>
                <w:szCs w:val="18"/>
              </w:rPr>
            </w:pPr>
            <w:r>
              <w:rPr>
                <w:rFonts w:hint="eastAsia" w:ascii="宋体" w:hAnsi="宋体" w:cs="宋体"/>
                <w:snapToGrid w:val="0"/>
                <w:kern w:val="21"/>
                <w:sz w:val="18"/>
                <w:szCs w:val="18"/>
              </w:rPr>
              <w:t>0.04</w:t>
            </w:r>
            <w:r>
              <w:rPr>
                <w:rFonts w:hint="eastAsia" w:ascii="宋体" w:hAnsi="宋体" w:cs="宋体"/>
                <w:sz w:val="18"/>
                <w:szCs w:val="18"/>
              </w:rPr>
              <w:t>t/a</w:t>
            </w:r>
          </w:p>
        </w:tc>
        <w:tc>
          <w:tcPr>
            <w:tcW w:w="1155" w:type="dxa"/>
            <w:noWrap/>
            <w:vAlign w:val="center"/>
          </w:tcPr>
          <w:p>
            <w:pPr>
              <w:jc w:val="center"/>
              <w:rPr>
                <w:rFonts w:ascii="宋体" w:hAnsi="宋体" w:cs="宋体"/>
                <w:snapToGrid w:val="0"/>
                <w:kern w:val="21"/>
                <w:sz w:val="18"/>
                <w:szCs w:val="18"/>
              </w:rPr>
            </w:pPr>
            <w:r>
              <w:rPr>
                <w:rFonts w:hint="eastAsia" w:ascii="宋体" w:hAnsi="宋体" w:cs="宋体"/>
                <w:sz w:val="18"/>
                <w:szCs w:val="18"/>
              </w:rPr>
              <w:t>/</w:t>
            </w:r>
          </w:p>
        </w:tc>
        <w:tc>
          <w:tcPr>
            <w:tcW w:w="2070" w:type="dxa"/>
            <w:noWrap/>
            <w:vAlign w:val="center"/>
          </w:tcPr>
          <w:p>
            <w:pPr>
              <w:jc w:val="center"/>
              <w:rPr>
                <w:rFonts w:ascii="宋体" w:hAnsi="宋体" w:cs="宋体"/>
                <w:snapToGrid w:val="0"/>
                <w:kern w:val="21"/>
                <w:sz w:val="18"/>
                <w:szCs w:val="18"/>
              </w:rPr>
            </w:pPr>
            <w:r>
              <w:rPr>
                <w:rFonts w:hint="eastAsia" w:ascii="宋体" w:hAnsi="宋体" w:cs="宋体"/>
                <w:sz w:val="18"/>
                <w:szCs w:val="18"/>
              </w:rPr>
              <w:t>/</w:t>
            </w:r>
          </w:p>
        </w:tc>
        <w:tc>
          <w:tcPr>
            <w:tcW w:w="1965"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0.04</w:t>
            </w:r>
            <w:r>
              <w:rPr>
                <w:rFonts w:hint="eastAsia" w:hAnsi="宋体" w:cs="宋体"/>
                <w:kern w:val="2"/>
                <w:sz w:val="18"/>
                <w:szCs w:val="18"/>
              </w:rPr>
              <w:t>t/a</w:t>
            </w:r>
          </w:p>
        </w:tc>
        <w:tc>
          <w:tcPr>
            <w:tcW w:w="1245" w:type="dxa"/>
            <w:noWrap/>
            <w:vAlign w:val="center"/>
          </w:tcPr>
          <w:p>
            <w:pPr>
              <w:jc w:val="center"/>
              <w:rPr>
                <w:rFonts w:ascii="宋体" w:hAnsi="宋体" w:cs="宋体"/>
                <w:snapToGrid w:val="0"/>
                <w:kern w:val="21"/>
                <w:sz w:val="18"/>
                <w:szCs w:val="18"/>
              </w:rPr>
            </w:pPr>
            <w:r>
              <w:rPr>
                <w:rFonts w:hint="eastAsia" w:ascii="宋体" w:hAnsi="宋体" w:cs="宋体"/>
                <w:sz w:val="18"/>
                <w:szCs w:val="18"/>
              </w:rPr>
              <w:t>/</w:t>
            </w:r>
          </w:p>
        </w:tc>
        <w:tc>
          <w:tcPr>
            <w:tcW w:w="2040"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0.08</w:t>
            </w:r>
            <w:r>
              <w:rPr>
                <w:rFonts w:hint="eastAsia" w:hAnsi="宋体" w:cs="宋体"/>
                <w:kern w:val="2"/>
                <w:sz w:val="18"/>
                <w:szCs w:val="18"/>
              </w:rPr>
              <w:t>t/a</w:t>
            </w:r>
          </w:p>
        </w:tc>
        <w:tc>
          <w:tcPr>
            <w:tcW w:w="1320"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+0.04</w:t>
            </w:r>
            <w:r>
              <w:rPr>
                <w:rFonts w:hint="eastAsia" w:hAnsi="宋体" w:cs="宋体"/>
                <w:kern w:val="2"/>
                <w:sz w:val="18"/>
                <w:szCs w:val="18"/>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245" w:type="dxa"/>
            <w:vMerge w:val="continue"/>
            <w:noWrap/>
            <w:vAlign w:val="center"/>
          </w:tcPr>
          <w:p>
            <w:pPr>
              <w:pStyle w:val="45"/>
              <w:spacing w:beforeLines="0" w:afterLines="0" w:line="240" w:lineRule="auto"/>
              <w:rPr>
                <w:rFonts w:hAnsi="宋体" w:cs="宋体"/>
                <w:snapToGrid w:val="0"/>
                <w:kern w:val="21"/>
                <w:sz w:val="18"/>
                <w:szCs w:val="18"/>
              </w:rPr>
            </w:pPr>
          </w:p>
        </w:tc>
        <w:tc>
          <w:tcPr>
            <w:tcW w:w="1245"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废油桶</w:t>
            </w:r>
          </w:p>
        </w:tc>
        <w:tc>
          <w:tcPr>
            <w:tcW w:w="1980" w:type="dxa"/>
            <w:noWrap/>
            <w:vAlign w:val="center"/>
          </w:tcPr>
          <w:p>
            <w:pPr>
              <w:jc w:val="center"/>
              <w:rPr>
                <w:rFonts w:ascii="宋体" w:hAnsi="宋体" w:cs="宋体"/>
                <w:snapToGrid w:val="0"/>
                <w:kern w:val="21"/>
                <w:sz w:val="18"/>
                <w:szCs w:val="18"/>
              </w:rPr>
            </w:pPr>
            <w:r>
              <w:rPr>
                <w:rFonts w:hint="eastAsia" w:ascii="宋体" w:hAnsi="宋体" w:cs="宋体"/>
                <w:snapToGrid w:val="0"/>
                <w:kern w:val="21"/>
                <w:sz w:val="18"/>
                <w:szCs w:val="18"/>
              </w:rPr>
              <w:t>0.015</w:t>
            </w:r>
            <w:r>
              <w:rPr>
                <w:rFonts w:hint="eastAsia" w:ascii="宋体" w:hAnsi="宋体" w:cs="宋体"/>
                <w:sz w:val="18"/>
                <w:szCs w:val="18"/>
              </w:rPr>
              <w:t>t/a</w:t>
            </w:r>
          </w:p>
        </w:tc>
        <w:tc>
          <w:tcPr>
            <w:tcW w:w="1155" w:type="dxa"/>
            <w:noWrap/>
            <w:vAlign w:val="center"/>
          </w:tcPr>
          <w:p>
            <w:pPr>
              <w:jc w:val="center"/>
              <w:rPr>
                <w:rFonts w:ascii="宋体" w:hAnsi="宋体" w:cs="宋体"/>
                <w:snapToGrid w:val="0"/>
                <w:kern w:val="21"/>
                <w:sz w:val="18"/>
                <w:szCs w:val="18"/>
              </w:rPr>
            </w:pPr>
            <w:r>
              <w:rPr>
                <w:rFonts w:hint="eastAsia" w:ascii="宋体" w:hAnsi="宋体" w:cs="宋体"/>
                <w:sz w:val="18"/>
                <w:szCs w:val="18"/>
              </w:rPr>
              <w:t>/</w:t>
            </w:r>
          </w:p>
        </w:tc>
        <w:tc>
          <w:tcPr>
            <w:tcW w:w="2070" w:type="dxa"/>
            <w:noWrap/>
            <w:vAlign w:val="center"/>
          </w:tcPr>
          <w:p>
            <w:pPr>
              <w:jc w:val="center"/>
              <w:rPr>
                <w:rFonts w:ascii="宋体" w:hAnsi="宋体" w:cs="宋体"/>
                <w:snapToGrid w:val="0"/>
                <w:kern w:val="21"/>
                <w:sz w:val="18"/>
                <w:szCs w:val="18"/>
              </w:rPr>
            </w:pPr>
            <w:r>
              <w:rPr>
                <w:rFonts w:hint="eastAsia" w:ascii="宋体" w:hAnsi="宋体" w:cs="宋体"/>
                <w:sz w:val="18"/>
                <w:szCs w:val="18"/>
              </w:rPr>
              <w:t>/</w:t>
            </w:r>
          </w:p>
        </w:tc>
        <w:tc>
          <w:tcPr>
            <w:tcW w:w="1965"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0.015</w:t>
            </w:r>
            <w:r>
              <w:rPr>
                <w:rFonts w:hint="eastAsia" w:hAnsi="宋体" w:cs="宋体"/>
                <w:kern w:val="2"/>
                <w:sz w:val="18"/>
                <w:szCs w:val="18"/>
              </w:rPr>
              <w:t>t/a</w:t>
            </w:r>
          </w:p>
        </w:tc>
        <w:tc>
          <w:tcPr>
            <w:tcW w:w="1245" w:type="dxa"/>
            <w:noWrap/>
            <w:vAlign w:val="center"/>
          </w:tcPr>
          <w:p>
            <w:pPr>
              <w:jc w:val="center"/>
              <w:rPr>
                <w:rFonts w:ascii="宋体" w:hAnsi="宋体" w:cs="宋体"/>
                <w:snapToGrid w:val="0"/>
                <w:kern w:val="21"/>
                <w:sz w:val="18"/>
                <w:szCs w:val="18"/>
              </w:rPr>
            </w:pPr>
            <w:r>
              <w:rPr>
                <w:rFonts w:hint="eastAsia" w:ascii="宋体" w:hAnsi="宋体" w:cs="宋体"/>
                <w:sz w:val="18"/>
                <w:szCs w:val="18"/>
              </w:rPr>
              <w:t>/</w:t>
            </w:r>
          </w:p>
        </w:tc>
        <w:tc>
          <w:tcPr>
            <w:tcW w:w="2040"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0.03</w:t>
            </w:r>
            <w:r>
              <w:rPr>
                <w:rFonts w:hint="eastAsia" w:hAnsi="宋体" w:cs="宋体"/>
                <w:kern w:val="2"/>
                <w:sz w:val="18"/>
                <w:szCs w:val="18"/>
              </w:rPr>
              <w:t>t/a</w:t>
            </w:r>
          </w:p>
        </w:tc>
        <w:tc>
          <w:tcPr>
            <w:tcW w:w="1320" w:type="dxa"/>
            <w:noWrap/>
            <w:vAlign w:val="center"/>
          </w:tcPr>
          <w:p>
            <w:pPr>
              <w:pStyle w:val="45"/>
              <w:spacing w:beforeLines="0" w:afterLines="0" w:line="240" w:lineRule="auto"/>
              <w:rPr>
                <w:rFonts w:hAnsi="宋体" w:cs="宋体"/>
                <w:snapToGrid w:val="0"/>
                <w:kern w:val="21"/>
                <w:sz w:val="18"/>
                <w:szCs w:val="18"/>
              </w:rPr>
            </w:pPr>
            <w:r>
              <w:rPr>
                <w:rFonts w:hint="eastAsia" w:hAnsi="宋体" w:cs="宋体"/>
                <w:snapToGrid w:val="0"/>
                <w:kern w:val="21"/>
                <w:sz w:val="18"/>
                <w:szCs w:val="18"/>
              </w:rPr>
              <w:t>+0.015</w:t>
            </w:r>
            <w:r>
              <w:rPr>
                <w:rFonts w:hint="eastAsia" w:hAnsi="宋体" w:cs="宋体"/>
                <w:kern w:val="2"/>
                <w:sz w:val="18"/>
                <w:szCs w:val="18"/>
              </w:rPr>
              <w:t>t/a</w:t>
            </w:r>
          </w:p>
        </w:tc>
      </w:tr>
    </w:tbl>
    <w:p>
      <w:pPr>
        <w:pStyle w:val="45"/>
        <w:spacing w:before="192" w:beforeLines="80" w:after="24"/>
        <w:jc w:val="left"/>
        <w:sectPr>
          <w:footerReference r:id="rId7" w:type="default"/>
          <w:pgSz w:w="16838" w:h="11906" w:orient="landscape"/>
          <w:pgMar w:top="1701" w:right="1531" w:bottom="1701" w:left="1531" w:header="851" w:footer="851" w:gutter="0"/>
          <w:cols w:space="720" w:num="1"/>
          <w:docGrid w:linePitch="312" w:charSpace="0"/>
        </w:sect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p>
      <w:pPr>
        <w:pStyle w:val="8"/>
        <w:ind w:firstLine="0"/>
      </w:pPr>
      <w:bookmarkStart w:id="24" w:name="_GoBack"/>
      <w:bookmarkEnd w:id="24"/>
    </w:p>
    <w:p>
      <w:pPr>
        <w:pStyle w:val="8"/>
        <w:ind w:firstLine="0"/>
      </w:pPr>
    </w:p>
    <w:p>
      <w:pPr>
        <w:pStyle w:val="8"/>
        <w:ind w:firstLine="0"/>
      </w:pPr>
    </w:p>
    <w:sectPr>
      <w:footerReference r:id="rId8" w:type="default"/>
      <w:pgSz w:w="16838" w:h="11906" w:orient="landscape"/>
      <w:pgMar w:top="720" w:right="720" w:bottom="720" w:left="72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E479617-AD95-4CA6-BF23-532CBD1A001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797F9AF4-AF1D-4530-B460-10A603F31A7D}"/>
  </w:font>
  <w:font w:name="方正小标宋_GBK">
    <w:panose1 w:val="02000000000000000000"/>
    <w:charset w:val="86"/>
    <w:family w:val="auto"/>
    <w:pitch w:val="default"/>
    <w:sig w:usb0="A00002BF" w:usb1="38CF7CFA" w:usb2="00082016" w:usb3="00000000" w:csb0="00040001" w:csb1="00000000"/>
    <w:embedRegular r:id="rId3" w:fontKey="{AA7A7092-DAEC-4C11-9933-0FEEB1AD6226}"/>
  </w:font>
  <w:font w:name="楷体_GB2312">
    <w:panose1 w:val="02010609030101010101"/>
    <w:charset w:val="86"/>
    <w:family w:val="modern"/>
    <w:pitch w:val="default"/>
    <w:sig w:usb0="00000001" w:usb1="080E0000" w:usb2="00000000" w:usb3="00000000" w:csb0="00040000" w:csb1="00000000"/>
    <w:embedRegular r:id="rId4" w:fontKey="{917025C9-1EB1-494E-B997-9AAADEF9ED3D}"/>
  </w:font>
  <w:font w:name="华文仿宋">
    <w:panose1 w:val="02010600040101010101"/>
    <w:charset w:val="86"/>
    <w:family w:val="auto"/>
    <w:pitch w:val="default"/>
    <w:sig w:usb0="00000287" w:usb1="080F0000" w:usb2="00000000" w:usb3="00000000" w:csb0="0004009F" w:csb1="DFD70000"/>
    <w:embedRegular r:id="rId5" w:fontKey="{EA2DF94C-7B02-4854-8EE3-C39465B17897}"/>
  </w:font>
  <w:font w:name="仿宋">
    <w:panose1 w:val="02010609060101010101"/>
    <w:charset w:val="86"/>
    <w:family w:val="auto"/>
    <w:pitch w:val="default"/>
    <w:sig w:usb0="800002BF" w:usb1="38CF7CFA" w:usb2="00000016" w:usb3="00000000" w:csb0="00040001" w:csb1="00000000"/>
    <w:embedRegular r:id="rId6" w:fontKey="{3959E222-9686-44FF-AB9E-AB84F962BF63}"/>
  </w:font>
  <w:font w:name="Wingdings 2">
    <w:panose1 w:val="05020102010507070707"/>
    <w:charset w:val="02"/>
    <w:family w:val="roman"/>
    <w:pitch w:val="default"/>
    <w:sig w:usb0="00000000" w:usb1="00000000" w:usb2="00000000" w:usb3="00000000" w:csb0="80000000" w:csb1="00000000"/>
    <w:embedRegular r:id="rId7" w:fontKey="{04C1C49A-FAC2-41A1-B690-E2DD716E58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7"/>
      </w:rPr>
    </w:pPr>
    <w:r>
      <w:fldChar w:fldCharType="begin"/>
    </w:r>
    <w:r>
      <w:rPr>
        <w:rStyle w:val="27"/>
      </w:rPr>
      <w:instrText xml:space="preserve">PAGE  </w:instrText>
    </w:r>
    <w:r>
      <w:fldChar w:fldCharType="end"/>
    </w:r>
  </w:p>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x9Sg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E8fUoKwIAAFcEAAAOAAAAAAAAAAEAIAAAAB8BAABkcnMvZTJvRG9jLnhtbFBLBQYAAAAABgAG&#10;AFkBAAC8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fTTA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tfTTA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88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20AB0B"/>
    <w:multiLevelType w:val="singleLevel"/>
    <w:tmpl w:val="8A20AB0B"/>
    <w:lvl w:ilvl="0" w:tentative="0">
      <w:start w:val="1"/>
      <w:numFmt w:val="decimal"/>
      <w:suff w:val="nothing"/>
      <w:lvlText w:val="%1．"/>
      <w:lvlJc w:val="left"/>
    </w:lvl>
  </w:abstractNum>
  <w:abstractNum w:abstractNumId="1">
    <w:nsid w:val="B09E026B"/>
    <w:multiLevelType w:val="singleLevel"/>
    <w:tmpl w:val="B09E026B"/>
    <w:lvl w:ilvl="0" w:tentative="0">
      <w:start w:val="1"/>
      <w:numFmt w:val="decimal"/>
      <w:suff w:val="nothing"/>
      <w:lvlText w:val="（%1）"/>
      <w:lvlJc w:val="left"/>
    </w:lvl>
  </w:abstractNum>
  <w:abstractNum w:abstractNumId="2">
    <w:nsid w:val="17DAF601"/>
    <w:multiLevelType w:val="singleLevel"/>
    <w:tmpl w:val="17DAF601"/>
    <w:lvl w:ilvl="0" w:tentative="0">
      <w:start w:val="1"/>
      <w:numFmt w:val="decimal"/>
      <w:suff w:val="nothing"/>
      <w:lvlText w:val="（%1）"/>
      <w:lvlJc w:val="left"/>
    </w:lvl>
  </w:abstractNum>
  <w:abstractNum w:abstractNumId="3">
    <w:nsid w:val="18B7888C"/>
    <w:multiLevelType w:val="singleLevel"/>
    <w:tmpl w:val="18B7888C"/>
    <w:lvl w:ilvl="0" w:tentative="0">
      <w:start w:val="1"/>
      <w:numFmt w:val="decimal"/>
      <w:suff w:val="nothing"/>
      <w:lvlText w:val="（%1）"/>
      <w:lvlJc w:val="left"/>
    </w:lvl>
  </w:abstractNum>
  <w:abstractNum w:abstractNumId="4">
    <w:nsid w:val="252DEB70"/>
    <w:multiLevelType w:val="singleLevel"/>
    <w:tmpl w:val="252DEB70"/>
    <w:lvl w:ilvl="0" w:tentative="0">
      <w:start w:val="1"/>
      <w:numFmt w:val="decimal"/>
      <w:suff w:val="nothing"/>
      <w:lvlText w:val="（%1）"/>
      <w:lvlJc w:val="left"/>
    </w:lvl>
  </w:abstractNum>
  <w:abstractNum w:abstractNumId="5">
    <w:nsid w:val="3299E9E2"/>
    <w:multiLevelType w:val="singleLevel"/>
    <w:tmpl w:val="3299E9E2"/>
    <w:lvl w:ilvl="0" w:tentative="0">
      <w:start w:val="1"/>
      <w:numFmt w:val="decimal"/>
      <w:suff w:val="nothing"/>
      <w:lvlText w:val="（%1）"/>
      <w:lvlJc w:val="left"/>
      <w:pPr>
        <w:ind w:left="-62"/>
      </w:pPr>
    </w:lvl>
  </w:abstractNum>
  <w:abstractNum w:abstractNumId="6">
    <w:nsid w:val="3530703B"/>
    <w:multiLevelType w:val="singleLevel"/>
    <w:tmpl w:val="3530703B"/>
    <w:lvl w:ilvl="0" w:tentative="0">
      <w:start w:val="1"/>
      <w:numFmt w:val="decimal"/>
      <w:suff w:val="nothing"/>
      <w:lvlText w:val="%1、"/>
      <w:lvlJc w:val="left"/>
    </w:lvl>
  </w:abstractNum>
  <w:abstractNum w:abstractNumId="7">
    <w:nsid w:val="58A55536"/>
    <w:multiLevelType w:val="multilevel"/>
    <w:tmpl w:val="58A55536"/>
    <w:lvl w:ilvl="0" w:tentative="0">
      <w:start w:val="1"/>
      <w:numFmt w:val="chineseCounting"/>
      <w:suff w:val="space"/>
      <w:lvlText w:val="第%1章"/>
      <w:lvlJc w:val="left"/>
      <w:pPr>
        <w:tabs>
          <w:tab w:val="left" w:pos="420"/>
        </w:tabs>
        <w:ind w:left="0" w:firstLine="0"/>
      </w:pPr>
      <w:rPr>
        <w:rFonts w:hint="eastAsia" w:ascii="Times New Roman" w:hAnsi="Times New Roman" w:eastAsia="黑体" w:cs="宋体"/>
        <w:sz w:val="30"/>
      </w:rPr>
    </w:lvl>
    <w:lvl w:ilvl="1" w:tentative="0">
      <w:start w:val="1"/>
      <w:numFmt w:val="decimal"/>
      <w:isLgl/>
      <w:suff w:val="space"/>
      <w:lvlText w:val="%1.%2"/>
      <w:lvlJc w:val="left"/>
      <w:pPr>
        <w:tabs>
          <w:tab w:val="left" w:pos="0"/>
        </w:tabs>
        <w:ind w:left="0" w:firstLine="0"/>
      </w:pPr>
      <w:rPr>
        <w:rFonts w:hint="eastAsia" w:ascii="Times New Roman" w:hAnsi="Times New Roman" w:eastAsia="黑体" w:cs="宋体"/>
        <w:sz w:val="28"/>
      </w:rPr>
    </w:lvl>
    <w:lvl w:ilvl="2" w:tentative="0">
      <w:start w:val="1"/>
      <w:numFmt w:val="decimal"/>
      <w:isLgl/>
      <w:suff w:val="space"/>
      <w:lvlText w:val="%1.%2.%3"/>
      <w:lvlJc w:val="left"/>
      <w:pPr>
        <w:tabs>
          <w:tab w:val="left" w:pos="1837"/>
        </w:tabs>
        <w:ind w:left="1417" w:firstLine="0"/>
      </w:pPr>
      <w:rPr>
        <w:rFonts w:hint="eastAsia" w:ascii="Times New Roman" w:hAnsi="Times New Roman" w:eastAsia="黑体" w:cs="宋体"/>
        <w:sz w:val="24"/>
      </w:rPr>
    </w:lvl>
    <w:lvl w:ilvl="3" w:tentative="0">
      <w:start w:val="1"/>
      <w:numFmt w:val="decimal"/>
      <w:suff w:val="nothing"/>
      <w:lvlText w:val="（%4）"/>
      <w:lvlJc w:val="left"/>
      <w:pPr>
        <w:tabs>
          <w:tab w:val="left" w:pos="1129"/>
        </w:tabs>
        <w:ind w:left="1559" w:hanging="850"/>
      </w:pPr>
      <w:rPr>
        <w:rFonts w:hint="eastAsia" w:ascii="宋体" w:hAnsi="宋体" w:eastAsia="宋体" w:cs="宋体"/>
        <w:lang w:val="en-US"/>
      </w:rPr>
    </w:lvl>
    <w:lvl w:ilvl="4" w:tentative="0">
      <w:start w:val="1"/>
      <w:numFmt w:val="decimal"/>
      <w:lvlText w:val="%5"/>
      <w:lvlJc w:val="left"/>
      <w:pPr>
        <w:tabs>
          <w:tab w:val="left" w:pos="420"/>
        </w:tabs>
        <w:ind w:left="991" w:hanging="991"/>
      </w:pPr>
      <w:rPr>
        <w:rFonts w:hint="eastAsia" w:ascii="宋体" w:hAnsi="宋体" w:eastAsia="宋体" w:cs="宋体"/>
      </w:rPr>
    </w:lvl>
    <w:lvl w:ilvl="5" w:tentative="0">
      <w:start w:val="1"/>
      <w:numFmt w:val="decimal"/>
      <w:lvlRestart w:val="1"/>
      <w:isLgl/>
      <w:suff w:val="space"/>
      <w:lvlText w:val="图%1-%6 "/>
      <w:lvlJc w:val="center"/>
      <w:pPr>
        <w:tabs>
          <w:tab w:val="left" w:pos="420"/>
        </w:tabs>
        <w:ind w:left="1134" w:hanging="1134"/>
      </w:pPr>
      <w:rPr>
        <w:rFonts w:hint="eastAsia" w:ascii="宋体" w:hAnsi="宋体" w:eastAsia="宋体" w:cs="宋体"/>
        <w:sz w:val="21"/>
      </w:rPr>
    </w:lvl>
    <w:lvl w:ilvl="6" w:tentative="0">
      <w:start w:val="1"/>
      <w:numFmt w:val="decimal"/>
      <w:lvlRestart w:val="1"/>
      <w:pStyle w:val="56"/>
      <w:isLgl/>
      <w:suff w:val="space"/>
      <w:lvlText w:val="表%1-%7 "/>
      <w:lvlJc w:val="center"/>
      <w:pPr>
        <w:tabs>
          <w:tab w:val="left" w:pos="0"/>
        </w:tabs>
        <w:ind w:left="0" w:firstLine="0"/>
      </w:pPr>
      <w:rPr>
        <w:rFonts w:hint="eastAsia" w:ascii="宋体" w:hAnsi="宋体" w:eastAsia="宋体" w:cs="宋体"/>
        <w:sz w:val="21"/>
      </w:rPr>
    </w:lvl>
    <w:lvl w:ilvl="7" w:tentative="0">
      <w:start w:val="1"/>
      <w:numFmt w:val="decimal"/>
      <w:lvlText w:val="%1.%2.%3.%4.%5.%6.%7.%8."/>
      <w:lvlJc w:val="left"/>
      <w:pPr>
        <w:tabs>
          <w:tab w:val="left" w:pos="420"/>
        </w:tabs>
        <w:ind w:left="1418" w:hanging="1418"/>
      </w:pPr>
      <w:rPr>
        <w:rFonts w:hint="eastAsia" w:ascii="宋体" w:hAnsi="宋体" w:eastAsia="宋体" w:cs="宋体"/>
      </w:rPr>
    </w:lvl>
    <w:lvl w:ilvl="8" w:tentative="0">
      <w:start w:val="1"/>
      <w:numFmt w:val="decimal"/>
      <w:lvlText w:val="%1.%2.%3.%4.%5.%6.%7.%8.%9."/>
      <w:lvlJc w:val="left"/>
      <w:pPr>
        <w:ind w:left="1558" w:hanging="1558"/>
      </w:pPr>
      <w:rPr>
        <w:rFonts w:hint="eastAsia"/>
      </w:rPr>
    </w:lvl>
  </w:abstractNum>
  <w:abstractNum w:abstractNumId="8">
    <w:nsid w:val="5A73CF9E"/>
    <w:multiLevelType w:val="singleLevel"/>
    <w:tmpl w:val="5A73CF9E"/>
    <w:lvl w:ilvl="0" w:tentative="0">
      <w:start w:val="1"/>
      <w:numFmt w:val="decimal"/>
      <w:suff w:val="nothing"/>
      <w:lvlText w:val="%1）"/>
      <w:lvlJc w:val="left"/>
    </w:lvl>
  </w:abstractNum>
  <w:num w:numId="1">
    <w:abstractNumId w:val="7"/>
  </w:num>
  <w:num w:numId="2">
    <w:abstractNumId w:val="8"/>
  </w:num>
  <w:num w:numId="3">
    <w:abstractNumId w:val="6"/>
  </w:num>
  <w:num w:numId="4">
    <w:abstractNumId w:val="5"/>
  </w:num>
  <w:num w:numId="5">
    <w:abstractNumId w:val="0"/>
  </w:num>
  <w:num w:numId="6">
    <w:abstractNumId w:val="1"/>
  </w:num>
  <w:num w:numId="7">
    <w:abstractNumId w:val="4"/>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NotTrackMoves/>
  <w:attachedTemplate r:id="rId1"/>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0MDZmYjI1ODZhZmRiNjU0NDRjYjcwMDM2YTFjOWEifQ=="/>
  </w:docVars>
  <w:rsids>
    <w:rsidRoot w:val="00A14947"/>
    <w:rsid w:val="000060B3"/>
    <w:rsid w:val="0004364B"/>
    <w:rsid w:val="00061B1F"/>
    <w:rsid w:val="00072C34"/>
    <w:rsid w:val="000733C4"/>
    <w:rsid w:val="00074783"/>
    <w:rsid w:val="0008070B"/>
    <w:rsid w:val="000810AC"/>
    <w:rsid w:val="00081A02"/>
    <w:rsid w:val="00082231"/>
    <w:rsid w:val="00092D38"/>
    <w:rsid w:val="0009377B"/>
    <w:rsid w:val="000A20C9"/>
    <w:rsid w:val="000B058F"/>
    <w:rsid w:val="000B4467"/>
    <w:rsid w:val="000B4DB9"/>
    <w:rsid w:val="000C09AC"/>
    <w:rsid w:val="000C5EEB"/>
    <w:rsid w:val="000C767F"/>
    <w:rsid w:val="000D5A44"/>
    <w:rsid w:val="000D5ADD"/>
    <w:rsid w:val="000E3ED2"/>
    <w:rsid w:val="000E5D71"/>
    <w:rsid w:val="000F4563"/>
    <w:rsid w:val="00131F42"/>
    <w:rsid w:val="001357F1"/>
    <w:rsid w:val="00140FA8"/>
    <w:rsid w:val="00142FEB"/>
    <w:rsid w:val="00143A2D"/>
    <w:rsid w:val="00145A41"/>
    <w:rsid w:val="00151675"/>
    <w:rsid w:val="00157435"/>
    <w:rsid w:val="00163B23"/>
    <w:rsid w:val="00164C26"/>
    <w:rsid w:val="0017504D"/>
    <w:rsid w:val="0017671A"/>
    <w:rsid w:val="00177422"/>
    <w:rsid w:val="00184590"/>
    <w:rsid w:val="001870D1"/>
    <w:rsid w:val="0018781E"/>
    <w:rsid w:val="0019262D"/>
    <w:rsid w:val="001A1B35"/>
    <w:rsid w:val="001A48A2"/>
    <w:rsid w:val="001A6F61"/>
    <w:rsid w:val="001B0845"/>
    <w:rsid w:val="001B72B8"/>
    <w:rsid w:val="001C69B3"/>
    <w:rsid w:val="001D5595"/>
    <w:rsid w:val="001D7874"/>
    <w:rsid w:val="001D7F22"/>
    <w:rsid w:val="001F0F17"/>
    <w:rsid w:val="001F3347"/>
    <w:rsid w:val="001F69E4"/>
    <w:rsid w:val="002125B4"/>
    <w:rsid w:val="002155B8"/>
    <w:rsid w:val="002235CA"/>
    <w:rsid w:val="00224839"/>
    <w:rsid w:val="002249B2"/>
    <w:rsid w:val="00224E93"/>
    <w:rsid w:val="00226574"/>
    <w:rsid w:val="002278EC"/>
    <w:rsid w:val="00231B5B"/>
    <w:rsid w:val="0023280E"/>
    <w:rsid w:val="002377D1"/>
    <w:rsid w:val="002506BC"/>
    <w:rsid w:val="00254345"/>
    <w:rsid w:val="00264557"/>
    <w:rsid w:val="00270BE1"/>
    <w:rsid w:val="002805AB"/>
    <w:rsid w:val="00280C11"/>
    <w:rsid w:val="00284204"/>
    <w:rsid w:val="00285085"/>
    <w:rsid w:val="00291773"/>
    <w:rsid w:val="002A168C"/>
    <w:rsid w:val="002A3DC7"/>
    <w:rsid w:val="002B0323"/>
    <w:rsid w:val="002B49E2"/>
    <w:rsid w:val="002B7B00"/>
    <w:rsid w:val="002B7C44"/>
    <w:rsid w:val="002C2B17"/>
    <w:rsid w:val="002D3DD0"/>
    <w:rsid w:val="002E1F3A"/>
    <w:rsid w:val="002E298A"/>
    <w:rsid w:val="00301978"/>
    <w:rsid w:val="0030332C"/>
    <w:rsid w:val="003051C2"/>
    <w:rsid w:val="00305CE7"/>
    <w:rsid w:val="00312296"/>
    <w:rsid w:val="00314F0E"/>
    <w:rsid w:val="00321D8E"/>
    <w:rsid w:val="00325928"/>
    <w:rsid w:val="00327908"/>
    <w:rsid w:val="00332863"/>
    <w:rsid w:val="0033684D"/>
    <w:rsid w:val="00337B42"/>
    <w:rsid w:val="00341B42"/>
    <w:rsid w:val="0034348F"/>
    <w:rsid w:val="00356653"/>
    <w:rsid w:val="0035743F"/>
    <w:rsid w:val="00357BE2"/>
    <w:rsid w:val="0036170C"/>
    <w:rsid w:val="00366E0F"/>
    <w:rsid w:val="00381A72"/>
    <w:rsid w:val="00384676"/>
    <w:rsid w:val="00390857"/>
    <w:rsid w:val="00397C1D"/>
    <w:rsid w:val="003A4BF3"/>
    <w:rsid w:val="003B420D"/>
    <w:rsid w:val="003C6C16"/>
    <w:rsid w:val="003D794D"/>
    <w:rsid w:val="003E3058"/>
    <w:rsid w:val="003E76A9"/>
    <w:rsid w:val="003F0809"/>
    <w:rsid w:val="003F4216"/>
    <w:rsid w:val="003F64AF"/>
    <w:rsid w:val="003F6A8C"/>
    <w:rsid w:val="003F755C"/>
    <w:rsid w:val="00406F01"/>
    <w:rsid w:val="00416D50"/>
    <w:rsid w:val="00416FD5"/>
    <w:rsid w:val="00417772"/>
    <w:rsid w:val="004205FC"/>
    <w:rsid w:val="00420E6A"/>
    <w:rsid w:val="00425A9E"/>
    <w:rsid w:val="00426D6B"/>
    <w:rsid w:val="00431E6C"/>
    <w:rsid w:val="00433CE7"/>
    <w:rsid w:val="0043677F"/>
    <w:rsid w:val="00452738"/>
    <w:rsid w:val="0045394D"/>
    <w:rsid w:val="00456091"/>
    <w:rsid w:val="00466321"/>
    <w:rsid w:val="004825F2"/>
    <w:rsid w:val="00484B9B"/>
    <w:rsid w:val="004855F6"/>
    <w:rsid w:val="0048661E"/>
    <w:rsid w:val="00494670"/>
    <w:rsid w:val="004A3823"/>
    <w:rsid w:val="004B248A"/>
    <w:rsid w:val="004E6946"/>
    <w:rsid w:val="004F1AD8"/>
    <w:rsid w:val="00501EE6"/>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97766"/>
    <w:rsid w:val="005A06B7"/>
    <w:rsid w:val="005A1759"/>
    <w:rsid w:val="005A68A7"/>
    <w:rsid w:val="005B357E"/>
    <w:rsid w:val="005D36AB"/>
    <w:rsid w:val="00606285"/>
    <w:rsid w:val="00617CC3"/>
    <w:rsid w:val="00636A3A"/>
    <w:rsid w:val="006377A6"/>
    <w:rsid w:val="00637A3D"/>
    <w:rsid w:val="006411EF"/>
    <w:rsid w:val="0064595E"/>
    <w:rsid w:val="00650CEF"/>
    <w:rsid w:val="00655ACC"/>
    <w:rsid w:val="006748B8"/>
    <w:rsid w:val="006775C3"/>
    <w:rsid w:val="006836D3"/>
    <w:rsid w:val="006911F9"/>
    <w:rsid w:val="0069290A"/>
    <w:rsid w:val="0069775A"/>
    <w:rsid w:val="00697813"/>
    <w:rsid w:val="006A3EE8"/>
    <w:rsid w:val="006A72BF"/>
    <w:rsid w:val="006B03F2"/>
    <w:rsid w:val="006B118C"/>
    <w:rsid w:val="006B37DC"/>
    <w:rsid w:val="006B4F68"/>
    <w:rsid w:val="006C0592"/>
    <w:rsid w:val="006C272E"/>
    <w:rsid w:val="006C5479"/>
    <w:rsid w:val="006D13B5"/>
    <w:rsid w:val="006E12FF"/>
    <w:rsid w:val="006E607E"/>
    <w:rsid w:val="00706C5D"/>
    <w:rsid w:val="00717198"/>
    <w:rsid w:val="00732922"/>
    <w:rsid w:val="0075162E"/>
    <w:rsid w:val="00754034"/>
    <w:rsid w:val="00756556"/>
    <w:rsid w:val="007618C4"/>
    <w:rsid w:val="00767980"/>
    <w:rsid w:val="00770B19"/>
    <w:rsid w:val="0077463F"/>
    <w:rsid w:val="007836EA"/>
    <w:rsid w:val="00784CDA"/>
    <w:rsid w:val="007863AD"/>
    <w:rsid w:val="007906C4"/>
    <w:rsid w:val="007940EA"/>
    <w:rsid w:val="007967E8"/>
    <w:rsid w:val="007A2170"/>
    <w:rsid w:val="007A22BF"/>
    <w:rsid w:val="007A3323"/>
    <w:rsid w:val="007B2265"/>
    <w:rsid w:val="007B72B8"/>
    <w:rsid w:val="007B7A58"/>
    <w:rsid w:val="007C21B5"/>
    <w:rsid w:val="007C32FD"/>
    <w:rsid w:val="007C717F"/>
    <w:rsid w:val="007E4BD2"/>
    <w:rsid w:val="00801393"/>
    <w:rsid w:val="00802F88"/>
    <w:rsid w:val="0081293E"/>
    <w:rsid w:val="00815465"/>
    <w:rsid w:val="00817E9A"/>
    <w:rsid w:val="008306BD"/>
    <w:rsid w:val="00831A80"/>
    <w:rsid w:val="00833743"/>
    <w:rsid w:val="008340A4"/>
    <w:rsid w:val="00843218"/>
    <w:rsid w:val="0087081B"/>
    <w:rsid w:val="0087135F"/>
    <w:rsid w:val="00872D94"/>
    <w:rsid w:val="00880364"/>
    <w:rsid w:val="00891592"/>
    <w:rsid w:val="00891E9E"/>
    <w:rsid w:val="008A2F68"/>
    <w:rsid w:val="008B4FA6"/>
    <w:rsid w:val="008B5282"/>
    <w:rsid w:val="008B7C17"/>
    <w:rsid w:val="008C2D01"/>
    <w:rsid w:val="008C40E6"/>
    <w:rsid w:val="008D0F7A"/>
    <w:rsid w:val="008D313A"/>
    <w:rsid w:val="008D68E4"/>
    <w:rsid w:val="008E0506"/>
    <w:rsid w:val="008E0CFF"/>
    <w:rsid w:val="008E5D6B"/>
    <w:rsid w:val="008E76F0"/>
    <w:rsid w:val="008F15FE"/>
    <w:rsid w:val="008F2D29"/>
    <w:rsid w:val="008F5187"/>
    <w:rsid w:val="008F60D8"/>
    <w:rsid w:val="00902727"/>
    <w:rsid w:val="0090312B"/>
    <w:rsid w:val="0091736D"/>
    <w:rsid w:val="00920750"/>
    <w:rsid w:val="0093037A"/>
    <w:rsid w:val="0094154D"/>
    <w:rsid w:val="0095155F"/>
    <w:rsid w:val="00954429"/>
    <w:rsid w:val="009563CE"/>
    <w:rsid w:val="00976328"/>
    <w:rsid w:val="0097680D"/>
    <w:rsid w:val="00982438"/>
    <w:rsid w:val="0098404C"/>
    <w:rsid w:val="00985283"/>
    <w:rsid w:val="00994765"/>
    <w:rsid w:val="00995992"/>
    <w:rsid w:val="009A03E5"/>
    <w:rsid w:val="009A0F3B"/>
    <w:rsid w:val="009A1BB4"/>
    <w:rsid w:val="009A2628"/>
    <w:rsid w:val="009A3200"/>
    <w:rsid w:val="009B0897"/>
    <w:rsid w:val="009B7BD9"/>
    <w:rsid w:val="009C532A"/>
    <w:rsid w:val="009C7DD5"/>
    <w:rsid w:val="009D5E28"/>
    <w:rsid w:val="009E227D"/>
    <w:rsid w:val="009E5019"/>
    <w:rsid w:val="00A04F1B"/>
    <w:rsid w:val="00A0501B"/>
    <w:rsid w:val="00A14947"/>
    <w:rsid w:val="00A32A83"/>
    <w:rsid w:val="00A368DB"/>
    <w:rsid w:val="00A423AA"/>
    <w:rsid w:val="00A53EC6"/>
    <w:rsid w:val="00A55C0F"/>
    <w:rsid w:val="00A67E95"/>
    <w:rsid w:val="00A8713F"/>
    <w:rsid w:val="00A90BA1"/>
    <w:rsid w:val="00A97A9A"/>
    <w:rsid w:val="00AA0671"/>
    <w:rsid w:val="00AA2531"/>
    <w:rsid w:val="00AA544D"/>
    <w:rsid w:val="00AA5A06"/>
    <w:rsid w:val="00AB1E09"/>
    <w:rsid w:val="00AB5330"/>
    <w:rsid w:val="00AB7747"/>
    <w:rsid w:val="00AC14CE"/>
    <w:rsid w:val="00AC2A56"/>
    <w:rsid w:val="00AD055E"/>
    <w:rsid w:val="00AD47A7"/>
    <w:rsid w:val="00AF0CBF"/>
    <w:rsid w:val="00AF1302"/>
    <w:rsid w:val="00AF257F"/>
    <w:rsid w:val="00AF33CF"/>
    <w:rsid w:val="00AF4D50"/>
    <w:rsid w:val="00AF6179"/>
    <w:rsid w:val="00B1295A"/>
    <w:rsid w:val="00B20A45"/>
    <w:rsid w:val="00B22C5C"/>
    <w:rsid w:val="00B24F30"/>
    <w:rsid w:val="00B31ABF"/>
    <w:rsid w:val="00B33BE3"/>
    <w:rsid w:val="00B53B5D"/>
    <w:rsid w:val="00B5443F"/>
    <w:rsid w:val="00B6055E"/>
    <w:rsid w:val="00B6317D"/>
    <w:rsid w:val="00B7723F"/>
    <w:rsid w:val="00B80534"/>
    <w:rsid w:val="00B8433C"/>
    <w:rsid w:val="00B87491"/>
    <w:rsid w:val="00BA29E9"/>
    <w:rsid w:val="00BA48CE"/>
    <w:rsid w:val="00BA5F57"/>
    <w:rsid w:val="00BA7142"/>
    <w:rsid w:val="00BB237C"/>
    <w:rsid w:val="00BB41A3"/>
    <w:rsid w:val="00BC32DC"/>
    <w:rsid w:val="00BC35B6"/>
    <w:rsid w:val="00BD1B51"/>
    <w:rsid w:val="00BD4596"/>
    <w:rsid w:val="00BE1405"/>
    <w:rsid w:val="00BE312D"/>
    <w:rsid w:val="00BE32F3"/>
    <w:rsid w:val="00BE7797"/>
    <w:rsid w:val="00BF1C20"/>
    <w:rsid w:val="00BF706B"/>
    <w:rsid w:val="00C10578"/>
    <w:rsid w:val="00C135BC"/>
    <w:rsid w:val="00C15C95"/>
    <w:rsid w:val="00C2596A"/>
    <w:rsid w:val="00C27048"/>
    <w:rsid w:val="00C27537"/>
    <w:rsid w:val="00C328FE"/>
    <w:rsid w:val="00C33507"/>
    <w:rsid w:val="00C4409D"/>
    <w:rsid w:val="00C44E72"/>
    <w:rsid w:val="00C45A06"/>
    <w:rsid w:val="00C47E5B"/>
    <w:rsid w:val="00C5519D"/>
    <w:rsid w:val="00C61E4B"/>
    <w:rsid w:val="00C64BFF"/>
    <w:rsid w:val="00C64DF0"/>
    <w:rsid w:val="00C704E9"/>
    <w:rsid w:val="00C763C9"/>
    <w:rsid w:val="00C80057"/>
    <w:rsid w:val="00C82232"/>
    <w:rsid w:val="00C82913"/>
    <w:rsid w:val="00C90B8B"/>
    <w:rsid w:val="00C972B1"/>
    <w:rsid w:val="00CA2CCE"/>
    <w:rsid w:val="00CA43FD"/>
    <w:rsid w:val="00CA7EF8"/>
    <w:rsid w:val="00CC489B"/>
    <w:rsid w:val="00CD2BCD"/>
    <w:rsid w:val="00CD3A4C"/>
    <w:rsid w:val="00CD5D63"/>
    <w:rsid w:val="00CE10E9"/>
    <w:rsid w:val="00CE2910"/>
    <w:rsid w:val="00CE5393"/>
    <w:rsid w:val="00CF24E3"/>
    <w:rsid w:val="00CF36BE"/>
    <w:rsid w:val="00CF6000"/>
    <w:rsid w:val="00D003F3"/>
    <w:rsid w:val="00D0364F"/>
    <w:rsid w:val="00D06834"/>
    <w:rsid w:val="00D308ED"/>
    <w:rsid w:val="00D36D86"/>
    <w:rsid w:val="00D428AA"/>
    <w:rsid w:val="00D42B17"/>
    <w:rsid w:val="00D43EFE"/>
    <w:rsid w:val="00D47ECB"/>
    <w:rsid w:val="00D50A34"/>
    <w:rsid w:val="00D53EFA"/>
    <w:rsid w:val="00D94A7C"/>
    <w:rsid w:val="00D95896"/>
    <w:rsid w:val="00DA7739"/>
    <w:rsid w:val="00DB20F7"/>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3108"/>
    <w:rsid w:val="00EF4755"/>
    <w:rsid w:val="00EF7135"/>
    <w:rsid w:val="00F027DB"/>
    <w:rsid w:val="00F14A7A"/>
    <w:rsid w:val="00F22985"/>
    <w:rsid w:val="00F3383E"/>
    <w:rsid w:val="00F465A7"/>
    <w:rsid w:val="00F50B7C"/>
    <w:rsid w:val="00F550E6"/>
    <w:rsid w:val="00F61678"/>
    <w:rsid w:val="00F63347"/>
    <w:rsid w:val="00F66F31"/>
    <w:rsid w:val="00F74345"/>
    <w:rsid w:val="00F80A0A"/>
    <w:rsid w:val="00F82B19"/>
    <w:rsid w:val="00F9212D"/>
    <w:rsid w:val="00F965DA"/>
    <w:rsid w:val="00FA406A"/>
    <w:rsid w:val="00FB503A"/>
    <w:rsid w:val="00FB516C"/>
    <w:rsid w:val="00FD0236"/>
    <w:rsid w:val="00FD18F4"/>
    <w:rsid w:val="00FD54DB"/>
    <w:rsid w:val="00FD619F"/>
    <w:rsid w:val="0101005B"/>
    <w:rsid w:val="01062EEC"/>
    <w:rsid w:val="0106368A"/>
    <w:rsid w:val="01145609"/>
    <w:rsid w:val="01161381"/>
    <w:rsid w:val="01204937"/>
    <w:rsid w:val="01243479"/>
    <w:rsid w:val="0127533C"/>
    <w:rsid w:val="01290F7E"/>
    <w:rsid w:val="0129298D"/>
    <w:rsid w:val="01293592"/>
    <w:rsid w:val="012E09E8"/>
    <w:rsid w:val="01304A2F"/>
    <w:rsid w:val="013159AB"/>
    <w:rsid w:val="01317F69"/>
    <w:rsid w:val="01320996"/>
    <w:rsid w:val="0136557F"/>
    <w:rsid w:val="01423EBD"/>
    <w:rsid w:val="01441E44"/>
    <w:rsid w:val="01451228"/>
    <w:rsid w:val="0148643E"/>
    <w:rsid w:val="014C20EE"/>
    <w:rsid w:val="01563F22"/>
    <w:rsid w:val="015D1E09"/>
    <w:rsid w:val="015E6237"/>
    <w:rsid w:val="0160563C"/>
    <w:rsid w:val="0168325F"/>
    <w:rsid w:val="016E2F6B"/>
    <w:rsid w:val="01814321"/>
    <w:rsid w:val="01853E11"/>
    <w:rsid w:val="018560F7"/>
    <w:rsid w:val="01981D96"/>
    <w:rsid w:val="01987FE8"/>
    <w:rsid w:val="01A7022B"/>
    <w:rsid w:val="01B0282E"/>
    <w:rsid w:val="01B841E6"/>
    <w:rsid w:val="01BB5A85"/>
    <w:rsid w:val="01BB7833"/>
    <w:rsid w:val="01BD17FD"/>
    <w:rsid w:val="01C62CC1"/>
    <w:rsid w:val="01C6662B"/>
    <w:rsid w:val="01CC1A40"/>
    <w:rsid w:val="01D12601"/>
    <w:rsid w:val="01D165C0"/>
    <w:rsid w:val="01D46B46"/>
    <w:rsid w:val="01DB2302"/>
    <w:rsid w:val="01E6630D"/>
    <w:rsid w:val="01EB45BC"/>
    <w:rsid w:val="01F01BD2"/>
    <w:rsid w:val="01F42D45"/>
    <w:rsid w:val="01F90AE9"/>
    <w:rsid w:val="01FB51D5"/>
    <w:rsid w:val="02005B8D"/>
    <w:rsid w:val="020866C9"/>
    <w:rsid w:val="020972B7"/>
    <w:rsid w:val="020C4532"/>
    <w:rsid w:val="02181129"/>
    <w:rsid w:val="0219517A"/>
    <w:rsid w:val="02281EFA"/>
    <w:rsid w:val="022B08F7"/>
    <w:rsid w:val="02310BFA"/>
    <w:rsid w:val="023A720F"/>
    <w:rsid w:val="023C675D"/>
    <w:rsid w:val="023F66B6"/>
    <w:rsid w:val="023F6A87"/>
    <w:rsid w:val="0241242E"/>
    <w:rsid w:val="024261A6"/>
    <w:rsid w:val="0246777B"/>
    <w:rsid w:val="02511F45"/>
    <w:rsid w:val="02533F0F"/>
    <w:rsid w:val="025832D3"/>
    <w:rsid w:val="025D6B3C"/>
    <w:rsid w:val="02633A08"/>
    <w:rsid w:val="02697903"/>
    <w:rsid w:val="02704AC1"/>
    <w:rsid w:val="02712AFC"/>
    <w:rsid w:val="02846ED2"/>
    <w:rsid w:val="028D2B2E"/>
    <w:rsid w:val="028D7421"/>
    <w:rsid w:val="02A209F3"/>
    <w:rsid w:val="02A4476B"/>
    <w:rsid w:val="02A71278"/>
    <w:rsid w:val="02A824AD"/>
    <w:rsid w:val="02B56978"/>
    <w:rsid w:val="02B8660C"/>
    <w:rsid w:val="02C10646"/>
    <w:rsid w:val="02C72207"/>
    <w:rsid w:val="02CE3596"/>
    <w:rsid w:val="02D3783C"/>
    <w:rsid w:val="02D662BE"/>
    <w:rsid w:val="02DA63DE"/>
    <w:rsid w:val="02E07BF0"/>
    <w:rsid w:val="02E66B31"/>
    <w:rsid w:val="02E84657"/>
    <w:rsid w:val="02E96621"/>
    <w:rsid w:val="02EE382D"/>
    <w:rsid w:val="02EE60DC"/>
    <w:rsid w:val="02F90C67"/>
    <w:rsid w:val="02F96569"/>
    <w:rsid w:val="02FA25DD"/>
    <w:rsid w:val="02FB3BCF"/>
    <w:rsid w:val="02FC0103"/>
    <w:rsid w:val="02FC7536"/>
    <w:rsid w:val="02FE3B72"/>
    <w:rsid w:val="02FF47B2"/>
    <w:rsid w:val="03015719"/>
    <w:rsid w:val="03086AA8"/>
    <w:rsid w:val="03092820"/>
    <w:rsid w:val="03184ADD"/>
    <w:rsid w:val="031C2553"/>
    <w:rsid w:val="031F25A3"/>
    <w:rsid w:val="03217B69"/>
    <w:rsid w:val="03266551"/>
    <w:rsid w:val="03280EF8"/>
    <w:rsid w:val="032A4C70"/>
    <w:rsid w:val="03352916"/>
    <w:rsid w:val="03363F92"/>
    <w:rsid w:val="03391357"/>
    <w:rsid w:val="033B6E7D"/>
    <w:rsid w:val="033E071B"/>
    <w:rsid w:val="034675D0"/>
    <w:rsid w:val="03483348"/>
    <w:rsid w:val="034A102A"/>
    <w:rsid w:val="035148F2"/>
    <w:rsid w:val="03546191"/>
    <w:rsid w:val="0359140E"/>
    <w:rsid w:val="035D10D5"/>
    <w:rsid w:val="035E700F"/>
    <w:rsid w:val="036F4D79"/>
    <w:rsid w:val="03716D43"/>
    <w:rsid w:val="03726617"/>
    <w:rsid w:val="037577B2"/>
    <w:rsid w:val="03766107"/>
    <w:rsid w:val="03827E38"/>
    <w:rsid w:val="03833427"/>
    <w:rsid w:val="038D3451"/>
    <w:rsid w:val="039532DB"/>
    <w:rsid w:val="039C5442"/>
    <w:rsid w:val="039D7B38"/>
    <w:rsid w:val="039E11BA"/>
    <w:rsid w:val="03A762C0"/>
    <w:rsid w:val="03AA7B5F"/>
    <w:rsid w:val="03AC38D7"/>
    <w:rsid w:val="03B114CA"/>
    <w:rsid w:val="03B15391"/>
    <w:rsid w:val="03B1713F"/>
    <w:rsid w:val="03B71A91"/>
    <w:rsid w:val="03B804CE"/>
    <w:rsid w:val="03BC1522"/>
    <w:rsid w:val="03BC7892"/>
    <w:rsid w:val="03C03826"/>
    <w:rsid w:val="03C31B21"/>
    <w:rsid w:val="03C52BEB"/>
    <w:rsid w:val="03D33559"/>
    <w:rsid w:val="03D87186"/>
    <w:rsid w:val="03E56DE9"/>
    <w:rsid w:val="03E94B2B"/>
    <w:rsid w:val="03EA7B21"/>
    <w:rsid w:val="03EB2D67"/>
    <w:rsid w:val="03FD7BAC"/>
    <w:rsid w:val="04090D29"/>
    <w:rsid w:val="04126B28"/>
    <w:rsid w:val="04153B68"/>
    <w:rsid w:val="04155E33"/>
    <w:rsid w:val="0418128A"/>
    <w:rsid w:val="041F054D"/>
    <w:rsid w:val="04200E08"/>
    <w:rsid w:val="04211444"/>
    <w:rsid w:val="04221DEB"/>
    <w:rsid w:val="042D643D"/>
    <w:rsid w:val="04390FBB"/>
    <w:rsid w:val="043B44D5"/>
    <w:rsid w:val="043B4C5B"/>
    <w:rsid w:val="0442248D"/>
    <w:rsid w:val="04425FE9"/>
    <w:rsid w:val="04461F7D"/>
    <w:rsid w:val="044955CA"/>
    <w:rsid w:val="044A7086"/>
    <w:rsid w:val="044F0706"/>
    <w:rsid w:val="045F4DED"/>
    <w:rsid w:val="046046C1"/>
    <w:rsid w:val="04777ACE"/>
    <w:rsid w:val="047D0B10"/>
    <w:rsid w:val="047F0072"/>
    <w:rsid w:val="048519F3"/>
    <w:rsid w:val="04893C18"/>
    <w:rsid w:val="04910D1F"/>
    <w:rsid w:val="049820AD"/>
    <w:rsid w:val="04A450D5"/>
    <w:rsid w:val="04A845B3"/>
    <w:rsid w:val="04AD56EA"/>
    <w:rsid w:val="04AE7B23"/>
    <w:rsid w:val="04B15521"/>
    <w:rsid w:val="04B74C29"/>
    <w:rsid w:val="04BC3E0C"/>
    <w:rsid w:val="04C133B2"/>
    <w:rsid w:val="04C335CE"/>
    <w:rsid w:val="04D51B30"/>
    <w:rsid w:val="04DE7109"/>
    <w:rsid w:val="04DF7CDC"/>
    <w:rsid w:val="04E53FB2"/>
    <w:rsid w:val="04E60A4D"/>
    <w:rsid w:val="04F03C97"/>
    <w:rsid w:val="04F25C61"/>
    <w:rsid w:val="04F5434F"/>
    <w:rsid w:val="04F574FF"/>
    <w:rsid w:val="04F73278"/>
    <w:rsid w:val="04F75026"/>
    <w:rsid w:val="04F94843"/>
    <w:rsid w:val="04FF212C"/>
    <w:rsid w:val="050065E8"/>
    <w:rsid w:val="05025778"/>
    <w:rsid w:val="050634BB"/>
    <w:rsid w:val="051060E7"/>
    <w:rsid w:val="0514107E"/>
    <w:rsid w:val="051E0804"/>
    <w:rsid w:val="052E47BF"/>
    <w:rsid w:val="053134F6"/>
    <w:rsid w:val="05377B18"/>
    <w:rsid w:val="0539563E"/>
    <w:rsid w:val="053C0C8A"/>
    <w:rsid w:val="05467D5B"/>
    <w:rsid w:val="05604AA2"/>
    <w:rsid w:val="056818F4"/>
    <w:rsid w:val="056819F9"/>
    <w:rsid w:val="056A14E6"/>
    <w:rsid w:val="056A1C9B"/>
    <w:rsid w:val="056F6B5F"/>
    <w:rsid w:val="0575419C"/>
    <w:rsid w:val="05785EAD"/>
    <w:rsid w:val="057904EC"/>
    <w:rsid w:val="05792961"/>
    <w:rsid w:val="057C68B8"/>
    <w:rsid w:val="05834B0B"/>
    <w:rsid w:val="05856AD5"/>
    <w:rsid w:val="05860AE5"/>
    <w:rsid w:val="058D14E6"/>
    <w:rsid w:val="05910197"/>
    <w:rsid w:val="05942874"/>
    <w:rsid w:val="059565ED"/>
    <w:rsid w:val="05992E9A"/>
    <w:rsid w:val="059938F6"/>
    <w:rsid w:val="059B24B4"/>
    <w:rsid w:val="059B771D"/>
    <w:rsid w:val="05A01219"/>
    <w:rsid w:val="05A1433B"/>
    <w:rsid w:val="05A14F91"/>
    <w:rsid w:val="05A2089C"/>
    <w:rsid w:val="05AF2540"/>
    <w:rsid w:val="05AF76AE"/>
    <w:rsid w:val="05B64EE1"/>
    <w:rsid w:val="05B95512"/>
    <w:rsid w:val="05CD5FF1"/>
    <w:rsid w:val="05D15877"/>
    <w:rsid w:val="05D435B9"/>
    <w:rsid w:val="05D914DD"/>
    <w:rsid w:val="05D94426"/>
    <w:rsid w:val="05D94B16"/>
    <w:rsid w:val="05DB6E78"/>
    <w:rsid w:val="05DC23E5"/>
    <w:rsid w:val="05DC40E6"/>
    <w:rsid w:val="05E339B1"/>
    <w:rsid w:val="05E64439"/>
    <w:rsid w:val="05F81055"/>
    <w:rsid w:val="05F83EAE"/>
    <w:rsid w:val="05F872A7"/>
    <w:rsid w:val="06035C4C"/>
    <w:rsid w:val="060C3071"/>
    <w:rsid w:val="06190FCC"/>
    <w:rsid w:val="06233BF8"/>
    <w:rsid w:val="06253E14"/>
    <w:rsid w:val="06262C5E"/>
    <w:rsid w:val="06312975"/>
    <w:rsid w:val="06344057"/>
    <w:rsid w:val="063A4913"/>
    <w:rsid w:val="063D4CBA"/>
    <w:rsid w:val="063E7D85"/>
    <w:rsid w:val="06451DC1"/>
    <w:rsid w:val="06471FDD"/>
    <w:rsid w:val="064C13A1"/>
    <w:rsid w:val="06517D8F"/>
    <w:rsid w:val="065B7836"/>
    <w:rsid w:val="065E2E82"/>
    <w:rsid w:val="065E5B4F"/>
    <w:rsid w:val="065F76C6"/>
    <w:rsid w:val="06615B6D"/>
    <w:rsid w:val="06620BC5"/>
    <w:rsid w:val="066D0761"/>
    <w:rsid w:val="067952DF"/>
    <w:rsid w:val="067F6A97"/>
    <w:rsid w:val="06804FC1"/>
    <w:rsid w:val="06835B14"/>
    <w:rsid w:val="068428E9"/>
    <w:rsid w:val="06873E8D"/>
    <w:rsid w:val="068B011B"/>
    <w:rsid w:val="068E7B23"/>
    <w:rsid w:val="069A7E22"/>
    <w:rsid w:val="069D7E4F"/>
    <w:rsid w:val="06A27213"/>
    <w:rsid w:val="06A8451B"/>
    <w:rsid w:val="06A967F3"/>
    <w:rsid w:val="06AA6352"/>
    <w:rsid w:val="06AB4186"/>
    <w:rsid w:val="06B7012A"/>
    <w:rsid w:val="06BB2083"/>
    <w:rsid w:val="06BC6527"/>
    <w:rsid w:val="06C57799"/>
    <w:rsid w:val="06C62F02"/>
    <w:rsid w:val="06C86CE6"/>
    <w:rsid w:val="06CB0518"/>
    <w:rsid w:val="06D51307"/>
    <w:rsid w:val="06DA20E0"/>
    <w:rsid w:val="06DF0467"/>
    <w:rsid w:val="06EF79AB"/>
    <w:rsid w:val="06F11838"/>
    <w:rsid w:val="06F3181D"/>
    <w:rsid w:val="06FE6B3F"/>
    <w:rsid w:val="070954E4"/>
    <w:rsid w:val="071E5B52"/>
    <w:rsid w:val="07204D71"/>
    <w:rsid w:val="07293586"/>
    <w:rsid w:val="0729363E"/>
    <w:rsid w:val="07295285"/>
    <w:rsid w:val="074A1D85"/>
    <w:rsid w:val="074B78AB"/>
    <w:rsid w:val="07583BD1"/>
    <w:rsid w:val="075A189C"/>
    <w:rsid w:val="075C3866"/>
    <w:rsid w:val="075C73C2"/>
    <w:rsid w:val="07630750"/>
    <w:rsid w:val="07636392"/>
    <w:rsid w:val="076646E5"/>
    <w:rsid w:val="076662BF"/>
    <w:rsid w:val="076D7BF2"/>
    <w:rsid w:val="076E3D56"/>
    <w:rsid w:val="07706573"/>
    <w:rsid w:val="07707311"/>
    <w:rsid w:val="07770C56"/>
    <w:rsid w:val="0777638D"/>
    <w:rsid w:val="078801B7"/>
    <w:rsid w:val="078A3BFF"/>
    <w:rsid w:val="078D598D"/>
    <w:rsid w:val="079052BE"/>
    <w:rsid w:val="079456C0"/>
    <w:rsid w:val="079A1F61"/>
    <w:rsid w:val="079C1EB4"/>
    <w:rsid w:val="07A15C29"/>
    <w:rsid w:val="07A27ED1"/>
    <w:rsid w:val="07A34FF1"/>
    <w:rsid w:val="07AF1BE8"/>
    <w:rsid w:val="07AF3996"/>
    <w:rsid w:val="07B54D24"/>
    <w:rsid w:val="07BC2556"/>
    <w:rsid w:val="07BE5E74"/>
    <w:rsid w:val="07C0465D"/>
    <w:rsid w:val="07C134B6"/>
    <w:rsid w:val="07CD02C0"/>
    <w:rsid w:val="07CD7D4C"/>
    <w:rsid w:val="07D17DB0"/>
    <w:rsid w:val="07EC6998"/>
    <w:rsid w:val="07EF3B23"/>
    <w:rsid w:val="07F42534"/>
    <w:rsid w:val="07FB307F"/>
    <w:rsid w:val="08065580"/>
    <w:rsid w:val="081411E8"/>
    <w:rsid w:val="08191524"/>
    <w:rsid w:val="081C6BFB"/>
    <w:rsid w:val="081E4FBF"/>
    <w:rsid w:val="082C3238"/>
    <w:rsid w:val="08317749"/>
    <w:rsid w:val="08411F3B"/>
    <w:rsid w:val="08423123"/>
    <w:rsid w:val="084B123D"/>
    <w:rsid w:val="08510EF1"/>
    <w:rsid w:val="085209AC"/>
    <w:rsid w:val="085378CF"/>
    <w:rsid w:val="085D5AE7"/>
    <w:rsid w:val="08744BDF"/>
    <w:rsid w:val="08760957"/>
    <w:rsid w:val="08793FA4"/>
    <w:rsid w:val="08795965"/>
    <w:rsid w:val="087C22E4"/>
    <w:rsid w:val="087F5A5E"/>
    <w:rsid w:val="08843074"/>
    <w:rsid w:val="08852018"/>
    <w:rsid w:val="0889068B"/>
    <w:rsid w:val="08892439"/>
    <w:rsid w:val="0889710A"/>
    <w:rsid w:val="088E41B0"/>
    <w:rsid w:val="088E41DB"/>
    <w:rsid w:val="0890799C"/>
    <w:rsid w:val="089112ED"/>
    <w:rsid w:val="08935065"/>
    <w:rsid w:val="089F1C5C"/>
    <w:rsid w:val="08A22B86"/>
    <w:rsid w:val="08A6123D"/>
    <w:rsid w:val="08A70B11"/>
    <w:rsid w:val="08AB6853"/>
    <w:rsid w:val="08BA6A96"/>
    <w:rsid w:val="08BF22FE"/>
    <w:rsid w:val="08BF5E5A"/>
    <w:rsid w:val="08BF67E4"/>
    <w:rsid w:val="08C37D6D"/>
    <w:rsid w:val="08C43471"/>
    <w:rsid w:val="08C435BA"/>
    <w:rsid w:val="08CC4A1B"/>
    <w:rsid w:val="08D37B58"/>
    <w:rsid w:val="08E04023"/>
    <w:rsid w:val="08E25FED"/>
    <w:rsid w:val="08E7446F"/>
    <w:rsid w:val="08E9663F"/>
    <w:rsid w:val="08E9737B"/>
    <w:rsid w:val="08EA40C5"/>
    <w:rsid w:val="08EC29C7"/>
    <w:rsid w:val="08EC3A81"/>
    <w:rsid w:val="08EE5E26"/>
    <w:rsid w:val="09061CDB"/>
    <w:rsid w:val="09063A89"/>
    <w:rsid w:val="09065191"/>
    <w:rsid w:val="09067F2D"/>
    <w:rsid w:val="090715AF"/>
    <w:rsid w:val="09151F1E"/>
    <w:rsid w:val="09187C60"/>
    <w:rsid w:val="091E5277"/>
    <w:rsid w:val="091F0FEF"/>
    <w:rsid w:val="092217DD"/>
    <w:rsid w:val="092D370C"/>
    <w:rsid w:val="092F5E6C"/>
    <w:rsid w:val="09306D58"/>
    <w:rsid w:val="09322A6F"/>
    <w:rsid w:val="09325AAF"/>
    <w:rsid w:val="09371E95"/>
    <w:rsid w:val="093A7294"/>
    <w:rsid w:val="09443A8C"/>
    <w:rsid w:val="0957731D"/>
    <w:rsid w:val="09584726"/>
    <w:rsid w:val="095E1B17"/>
    <w:rsid w:val="095F13EB"/>
    <w:rsid w:val="09631F69"/>
    <w:rsid w:val="096609CC"/>
    <w:rsid w:val="096668D7"/>
    <w:rsid w:val="096E162E"/>
    <w:rsid w:val="09756C09"/>
    <w:rsid w:val="097A23A4"/>
    <w:rsid w:val="0980632C"/>
    <w:rsid w:val="098B25CE"/>
    <w:rsid w:val="098C43CA"/>
    <w:rsid w:val="09977092"/>
    <w:rsid w:val="09992324"/>
    <w:rsid w:val="09A304E8"/>
    <w:rsid w:val="09A514F4"/>
    <w:rsid w:val="09A552C3"/>
    <w:rsid w:val="09AC118D"/>
    <w:rsid w:val="09B40FC2"/>
    <w:rsid w:val="09B554AF"/>
    <w:rsid w:val="09B96D4E"/>
    <w:rsid w:val="09BC54DC"/>
    <w:rsid w:val="09BD2B15"/>
    <w:rsid w:val="09C21A44"/>
    <w:rsid w:val="09C545F1"/>
    <w:rsid w:val="09D67BBD"/>
    <w:rsid w:val="09D74093"/>
    <w:rsid w:val="09DC2A3C"/>
    <w:rsid w:val="09E0252C"/>
    <w:rsid w:val="09E602CD"/>
    <w:rsid w:val="09E65C3C"/>
    <w:rsid w:val="09E87633"/>
    <w:rsid w:val="09E96D94"/>
    <w:rsid w:val="09EA5159"/>
    <w:rsid w:val="09F11898"/>
    <w:rsid w:val="09F60635"/>
    <w:rsid w:val="09F85A1C"/>
    <w:rsid w:val="09FC4E8C"/>
    <w:rsid w:val="09FE7125"/>
    <w:rsid w:val="0A0106F5"/>
    <w:rsid w:val="0A0754BD"/>
    <w:rsid w:val="0A0C1573"/>
    <w:rsid w:val="0A0F2E11"/>
    <w:rsid w:val="0A1026E6"/>
    <w:rsid w:val="0A110346"/>
    <w:rsid w:val="0A140428"/>
    <w:rsid w:val="0A14667A"/>
    <w:rsid w:val="0A15540C"/>
    <w:rsid w:val="0A195A3E"/>
    <w:rsid w:val="0A263993"/>
    <w:rsid w:val="0A263BF7"/>
    <w:rsid w:val="0A283ED3"/>
    <w:rsid w:val="0A287A2F"/>
    <w:rsid w:val="0A2D3AC2"/>
    <w:rsid w:val="0A3208AE"/>
    <w:rsid w:val="0A352B5D"/>
    <w:rsid w:val="0A383E93"/>
    <w:rsid w:val="0A3C34DB"/>
    <w:rsid w:val="0A3D72FF"/>
    <w:rsid w:val="0A4800D1"/>
    <w:rsid w:val="0A522CFE"/>
    <w:rsid w:val="0A524F82"/>
    <w:rsid w:val="0A595E3B"/>
    <w:rsid w:val="0A65156E"/>
    <w:rsid w:val="0A6771B4"/>
    <w:rsid w:val="0A681E19"/>
    <w:rsid w:val="0A6E5277"/>
    <w:rsid w:val="0A6F0EAA"/>
    <w:rsid w:val="0A71587A"/>
    <w:rsid w:val="0A7B4003"/>
    <w:rsid w:val="0A7D5FCD"/>
    <w:rsid w:val="0A876E4C"/>
    <w:rsid w:val="0AA01CBB"/>
    <w:rsid w:val="0AA6137B"/>
    <w:rsid w:val="0AA755DF"/>
    <w:rsid w:val="0AA76205"/>
    <w:rsid w:val="0AAE4593"/>
    <w:rsid w:val="0AB55489"/>
    <w:rsid w:val="0AC77632"/>
    <w:rsid w:val="0ACB36FA"/>
    <w:rsid w:val="0ACB4F8A"/>
    <w:rsid w:val="0ACF434F"/>
    <w:rsid w:val="0AD11E75"/>
    <w:rsid w:val="0AE94082"/>
    <w:rsid w:val="0AF0147D"/>
    <w:rsid w:val="0AF3628F"/>
    <w:rsid w:val="0AFA3217"/>
    <w:rsid w:val="0AFE70B8"/>
    <w:rsid w:val="0AFF69E2"/>
    <w:rsid w:val="0B022976"/>
    <w:rsid w:val="0B057D70"/>
    <w:rsid w:val="0B0D4930"/>
    <w:rsid w:val="0B1014F1"/>
    <w:rsid w:val="0B120D44"/>
    <w:rsid w:val="0B281C17"/>
    <w:rsid w:val="0B2C2AD0"/>
    <w:rsid w:val="0B2F6265"/>
    <w:rsid w:val="0B30303F"/>
    <w:rsid w:val="0B326A5B"/>
    <w:rsid w:val="0B354AB4"/>
    <w:rsid w:val="0B3B3792"/>
    <w:rsid w:val="0B420FC5"/>
    <w:rsid w:val="0B436A06"/>
    <w:rsid w:val="0B4C7AA3"/>
    <w:rsid w:val="0B4D3BF1"/>
    <w:rsid w:val="0B505490"/>
    <w:rsid w:val="0B5306C6"/>
    <w:rsid w:val="0B536FB3"/>
    <w:rsid w:val="0B557268"/>
    <w:rsid w:val="0B5E56DE"/>
    <w:rsid w:val="0B5F6DD3"/>
    <w:rsid w:val="0B6251C3"/>
    <w:rsid w:val="0B671B1F"/>
    <w:rsid w:val="0B6A74E8"/>
    <w:rsid w:val="0B7168F3"/>
    <w:rsid w:val="0B772CFF"/>
    <w:rsid w:val="0B7D1FFD"/>
    <w:rsid w:val="0B7F5D75"/>
    <w:rsid w:val="0B821632"/>
    <w:rsid w:val="0B8D0492"/>
    <w:rsid w:val="0B9C06D5"/>
    <w:rsid w:val="0B9F01C5"/>
    <w:rsid w:val="0BA021A6"/>
    <w:rsid w:val="0BA061D0"/>
    <w:rsid w:val="0BA26B01"/>
    <w:rsid w:val="0BB43C70"/>
    <w:rsid w:val="0BBC2B25"/>
    <w:rsid w:val="0BBF0438"/>
    <w:rsid w:val="0BBF43C3"/>
    <w:rsid w:val="0BC348DB"/>
    <w:rsid w:val="0BC374DF"/>
    <w:rsid w:val="0BC7291B"/>
    <w:rsid w:val="0BC85633"/>
    <w:rsid w:val="0BD27BF6"/>
    <w:rsid w:val="0BD6238C"/>
    <w:rsid w:val="0BE856C8"/>
    <w:rsid w:val="0BF91683"/>
    <w:rsid w:val="0C0137D8"/>
    <w:rsid w:val="0C0458EB"/>
    <w:rsid w:val="0C0B7609"/>
    <w:rsid w:val="0C0D0195"/>
    <w:rsid w:val="0C1110C3"/>
    <w:rsid w:val="0C1708EE"/>
    <w:rsid w:val="0C1C35C4"/>
    <w:rsid w:val="0C1C7A68"/>
    <w:rsid w:val="0C252478"/>
    <w:rsid w:val="0C2F32F7"/>
    <w:rsid w:val="0C3216F9"/>
    <w:rsid w:val="0C364685"/>
    <w:rsid w:val="0C3B2421"/>
    <w:rsid w:val="0C3B3C7D"/>
    <w:rsid w:val="0C401F09"/>
    <w:rsid w:val="0C407C08"/>
    <w:rsid w:val="0C4548C9"/>
    <w:rsid w:val="0C4627A3"/>
    <w:rsid w:val="0C50326D"/>
    <w:rsid w:val="0C525237"/>
    <w:rsid w:val="0C6236CC"/>
    <w:rsid w:val="0C673C16"/>
    <w:rsid w:val="0C6D5854"/>
    <w:rsid w:val="0C6F1945"/>
    <w:rsid w:val="0C736C94"/>
    <w:rsid w:val="0C7B478E"/>
    <w:rsid w:val="0C8F1D97"/>
    <w:rsid w:val="0C8F2634"/>
    <w:rsid w:val="0C917085"/>
    <w:rsid w:val="0CA041F5"/>
    <w:rsid w:val="0CA0532C"/>
    <w:rsid w:val="0CAB2EAE"/>
    <w:rsid w:val="0CAD246E"/>
    <w:rsid w:val="0CB014AE"/>
    <w:rsid w:val="0CB16402"/>
    <w:rsid w:val="0CB25DA6"/>
    <w:rsid w:val="0CB54611"/>
    <w:rsid w:val="0CB54BF3"/>
    <w:rsid w:val="0CB832EC"/>
    <w:rsid w:val="0CC51EAD"/>
    <w:rsid w:val="0CCF0636"/>
    <w:rsid w:val="0CCF63F2"/>
    <w:rsid w:val="0CD873D0"/>
    <w:rsid w:val="0CE9189A"/>
    <w:rsid w:val="0CEA5470"/>
    <w:rsid w:val="0CEB4895"/>
    <w:rsid w:val="0CEF5F4F"/>
    <w:rsid w:val="0CF131E1"/>
    <w:rsid w:val="0CF25865"/>
    <w:rsid w:val="0D0156D9"/>
    <w:rsid w:val="0D0266CB"/>
    <w:rsid w:val="0D055192"/>
    <w:rsid w:val="0D103128"/>
    <w:rsid w:val="0D1129FD"/>
    <w:rsid w:val="0D1349EC"/>
    <w:rsid w:val="0D166265"/>
    <w:rsid w:val="0D1A3FA7"/>
    <w:rsid w:val="0D1D3A97"/>
    <w:rsid w:val="0D216C26"/>
    <w:rsid w:val="0D266793"/>
    <w:rsid w:val="0D26763F"/>
    <w:rsid w:val="0D272220"/>
    <w:rsid w:val="0D2724FD"/>
    <w:rsid w:val="0D2E1801"/>
    <w:rsid w:val="0D2E35AF"/>
    <w:rsid w:val="0D38442D"/>
    <w:rsid w:val="0D3D766C"/>
    <w:rsid w:val="0D3E0955"/>
    <w:rsid w:val="0D4032E2"/>
    <w:rsid w:val="0D4728C2"/>
    <w:rsid w:val="0D47548D"/>
    <w:rsid w:val="0D58687D"/>
    <w:rsid w:val="0D621C7D"/>
    <w:rsid w:val="0D68232B"/>
    <w:rsid w:val="0D6D2D1B"/>
    <w:rsid w:val="0D6E7E4F"/>
    <w:rsid w:val="0D703BC7"/>
    <w:rsid w:val="0D705975"/>
    <w:rsid w:val="0D784D23"/>
    <w:rsid w:val="0D7A2C98"/>
    <w:rsid w:val="0D7B2500"/>
    <w:rsid w:val="0D852623"/>
    <w:rsid w:val="0D9A42BD"/>
    <w:rsid w:val="0D9C676A"/>
    <w:rsid w:val="0DA47D15"/>
    <w:rsid w:val="0DB8707D"/>
    <w:rsid w:val="0DBC0763"/>
    <w:rsid w:val="0DBC0F94"/>
    <w:rsid w:val="0DCA4E97"/>
    <w:rsid w:val="0DD203DE"/>
    <w:rsid w:val="0DE40111"/>
    <w:rsid w:val="0DF02531"/>
    <w:rsid w:val="0DF2282E"/>
    <w:rsid w:val="0DF30354"/>
    <w:rsid w:val="0DF447F8"/>
    <w:rsid w:val="0DF61125"/>
    <w:rsid w:val="0DFD36A2"/>
    <w:rsid w:val="0E07732B"/>
    <w:rsid w:val="0E0D58BA"/>
    <w:rsid w:val="0E140230"/>
    <w:rsid w:val="0E250E55"/>
    <w:rsid w:val="0E26697C"/>
    <w:rsid w:val="0E3209C1"/>
    <w:rsid w:val="0E3E5A73"/>
    <w:rsid w:val="0E442E52"/>
    <w:rsid w:val="0E4A266A"/>
    <w:rsid w:val="0E552DBD"/>
    <w:rsid w:val="0E5A6600"/>
    <w:rsid w:val="0E601E8E"/>
    <w:rsid w:val="0E6521EF"/>
    <w:rsid w:val="0E666D78"/>
    <w:rsid w:val="0E6D45AA"/>
    <w:rsid w:val="0E6F20D1"/>
    <w:rsid w:val="0E73034D"/>
    <w:rsid w:val="0E777A35"/>
    <w:rsid w:val="0E883192"/>
    <w:rsid w:val="0E8E1971"/>
    <w:rsid w:val="0E967CDA"/>
    <w:rsid w:val="0E9C066F"/>
    <w:rsid w:val="0E9D0684"/>
    <w:rsid w:val="0EA0672E"/>
    <w:rsid w:val="0EA56945"/>
    <w:rsid w:val="0EA7186A"/>
    <w:rsid w:val="0EAD2BF9"/>
    <w:rsid w:val="0EB16245"/>
    <w:rsid w:val="0EB94E27"/>
    <w:rsid w:val="0EC57F43"/>
    <w:rsid w:val="0EC73CBB"/>
    <w:rsid w:val="0ED2440E"/>
    <w:rsid w:val="0ED62150"/>
    <w:rsid w:val="0EDB7766"/>
    <w:rsid w:val="0EEA79A9"/>
    <w:rsid w:val="0EED67CB"/>
    <w:rsid w:val="0EF06192"/>
    <w:rsid w:val="0EFB5712"/>
    <w:rsid w:val="0F004EE9"/>
    <w:rsid w:val="0F0740B7"/>
    <w:rsid w:val="0F0A1DF9"/>
    <w:rsid w:val="0F0D05A7"/>
    <w:rsid w:val="0F126E8B"/>
    <w:rsid w:val="0F13775A"/>
    <w:rsid w:val="0F152C78"/>
    <w:rsid w:val="0F1E6072"/>
    <w:rsid w:val="0F286E3D"/>
    <w:rsid w:val="0F2B694D"/>
    <w:rsid w:val="0F3155D8"/>
    <w:rsid w:val="0F352913"/>
    <w:rsid w:val="0F3B2CC7"/>
    <w:rsid w:val="0F3D3F7D"/>
    <w:rsid w:val="0F3F3E2C"/>
    <w:rsid w:val="0F4239F6"/>
    <w:rsid w:val="0F44530B"/>
    <w:rsid w:val="0F451DFB"/>
    <w:rsid w:val="0F470AF8"/>
    <w:rsid w:val="0F4D0AF0"/>
    <w:rsid w:val="0F5372FC"/>
    <w:rsid w:val="0F5660FF"/>
    <w:rsid w:val="0F580DB7"/>
    <w:rsid w:val="0F587009"/>
    <w:rsid w:val="0F5F45FE"/>
    <w:rsid w:val="0F611DA8"/>
    <w:rsid w:val="0F6459AD"/>
    <w:rsid w:val="0F6C03BE"/>
    <w:rsid w:val="0F6C3505"/>
    <w:rsid w:val="0F713C26"/>
    <w:rsid w:val="0F7E5502"/>
    <w:rsid w:val="0F805605"/>
    <w:rsid w:val="0F8960E6"/>
    <w:rsid w:val="0F954391"/>
    <w:rsid w:val="0F961468"/>
    <w:rsid w:val="0F9A112B"/>
    <w:rsid w:val="0F9C6EF5"/>
    <w:rsid w:val="0F9D0EBF"/>
    <w:rsid w:val="0F9F1332"/>
    <w:rsid w:val="0F9F5716"/>
    <w:rsid w:val="0FA22B53"/>
    <w:rsid w:val="0FB104C7"/>
    <w:rsid w:val="0FBD304A"/>
    <w:rsid w:val="0FBF2BE4"/>
    <w:rsid w:val="0FC1070A"/>
    <w:rsid w:val="0FC43855"/>
    <w:rsid w:val="0FCA2F28"/>
    <w:rsid w:val="0FD81673"/>
    <w:rsid w:val="0FD87F17"/>
    <w:rsid w:val="0FDB26AC"/>
    <w:rsid w:val="0FDC5544"/>
    <w:rsid w:val="0FDE4B98"/>
    <w:rsid w:val="0FE428B4"/>
    <w:rsid w:val="0FE961EB"/>
    <w:rsid w:val="0FEE69C7"/>
    <w:rsid w:val="0FF02E93"/>
    <w:rsid w:val="10086339"/>
    <w:rsid w:val="100917CE"/>
    <w:rsid w:val="100D7CE3"/>
    <w:rsid w:val="10120451"/>
    <w:rsid w:val="101E3DAE"/>
    <w:rsid w:val="101F397D"/>
    <w:rsid w:val="10213C41"/>
    <w:rsid w:val="10262C63"/>
    <w:rsid w:val="103510F8"/>
    <w:rsid w:val="103C2486"/>
    <w:rsid w:val="104833E2"/>
    <w:rsid w:val="104D6F0A"/>
    <w:rsid w:val="104F3F68"/>
    <w:rsid w:val="10537F76"/>
    <w:rsid w:val="105942FA"/>
    <w:rsid w:val="105C48D7"/>
    <w:rsid w:val="10600986"/>
    <w:rsid w:val="10607C17"/>
    <w:rsid w:val="10632164"/>
    <w:rsid w:val="106D2F64"/>
    <w:rsid w:val="106E1F3E"/>
    <w:rsid w:val="10752E9B"/>
    <w:rsid w:val="10757576"/>
    <w:rsid w:val="10785B49"/>
    <w:rsid w:val="10811D72"/>
    <w:rsid w:val="10832E6B"/>
    <w:rsid w:val="10887E87"/>
    <w:rsid w:val="10923E54"/>
    <w:rsid w:val="10997B75"/>
    <w:rsid w:val="10A047C3"/>
    <w:rsid w:val="10A87B1C"/>
    <w:rsid w:val="10AC13BA"/>
    <w:rsid w:val="10AE11F7"/>
    <w:rsid w:val="10AF790B"/>
    <w:rsid w:val="10B63710"/>
    <w:rsid w:val="10B70A79"/>
    <w:rsid w:val="10C35DA2"/>
    <w:rsid w:val="10D0497D"/>
    <w:rsid w:val="10D1431A"/>
    <w:rsid w:val="10D17073"/>
    <w:rsid w:val="10D64689"/>
    <w:rsid w:val="10D82D36"/>
    <w:rsid w:val="10DB57FB"/>
    <w:rsid w:val="10DD6E6A"/>
    <w:rsid w:val="10DE674D"/>
    <w:rsid w:val="10E46C84"/>
    <w:rsid w:val="10E70644"/>
    <w:rsid w:val="10E715F1"/>
    <w:rsid w:val="10E8616A"/>
    <w:rsid w:val="10F10820"/>
    <w:rsid w:val="10F1692E"/>
    <w:rsid w:val="10F772D4"/>
    <w:rsid w:val="10FD7E68"/>
    <w:rsid w:val="10FE4578"/>
    <w:rsid w:val="11067F96"/>
    <w:rsid w:val="11185B46"/>
    <w:rsid w:val="11187DB8"/>
    <w:rsid w:val="11194576"/>
    <w:rsid w:val="111C2F7A"/>
    <w:rsid w:val="11226BD6"/>
    <w:rsid w:val="11276A77"/>
    <w:rsid w:val="112847B9"/>
    <w:rsid w:val="1129219D"/>
    <w:rsid w:val="112A4705"/>
    <w:rsid w:val="11423ACC"/>
    <w:rsid w:val="11496C09"/>
    <w:rsid w:val="114C69A9"/>
    <w:rsid w:val="114D0720"/>
    <w:rsid w:val="114F713C"/>
    <w:rsid w:val="11520E7F"/>
    <w:rsid w:val="115C25E1"/>
    <w:rsid w:val="115E01DA"/>
    <w:rsid w:val="116422AD"/>
    <w:rsid w:val="11665CA1"/>
    <w:rsid w:val="116B706D"/>
    <w:rsid w:val="116E5B10"/>
    <w:rsid w:val="11707F33"/>
    <w:rsid w:val="11715ED8"/>
    <w:rsid w:val="11716742"/>
    <w:rsid w:val="117A3266"/>
    <w:rsid w:val="1187489F"/>
    <w:rsid w:val="118E0AC0"/>
    <w:rsid w:val="119D26F5"/>
    <w:rsid w:val="119E129F"/>
    <w:rsid w:val="119F0F1F"/>
    <w:rsid w:val="11A26319"/>
    <w:rsid w:val="11A55E09"/>
    <w:rsid w:val="11A976A8"/>
    <w:rsid w:val="11AB1672"/>
    <w:rsid w:val="11AC4DF6"/>
    <w:rsid w:val="11B91666"/>
    <w:rsid w:val="11BD7EE7"/>
    <w:rsid w:val="11C84205"/>
    <w:rsid w:val="11C91AF8"/>
    <w:rsid w:val="11D84431"/>
    <w:rsid w:val="11E21A2E"/>
    <w:rsid w:val="11EB64C5"/>
    <w:rsid w:val="11F3162F"/>
    <w:rsid w:val="11F76665"/>
    <w:rsid w:val="120538FB"/>
    <w:rsid w:val="12057550"/>
    <w:rsid w:val="120945EA"/>
    <w:rsid w:val="120F5609"/>
    <w:rsid w:val="12133839"/>
    <w:rsid w:val="12135469"/>
    <w:rsid w:val="1216778C"/>
    <w:rsid w:val="121708CA"/>
    <w:rsid w:val="12170AB5"/>
    <w:rsid w:val="121A53C9"/>
    <w:rsid w:val="12244F80"/>
    <w:rsid w:val="122907E8"/>
    <w:rsid w:val="122C70BC"/>
    <w:rsid w:val="122E3047"/>
    <w:rsid w:val="12301B77"/>
    <w:rsid w:val="1230601B"/>
    <w:rsid w:val="12320C6D"/>
    <w:rsid w:val="12343086"/>
    <w:rsid w:val="1239627B"/>
    <w:rsid w:val="123E43FF"/>
    <w:rsid w:val="123F2F87"/>
    <w:rsid w:val="1246558B"/>
    <w:rsid w:val="124835D6"/>
    <w:rsid w:val="124D097B"/>
    <w:rsid w:val="124F46F3"/>
    <w:rsid w:val="12575356"/>
    <w:rsid w:val="125D0B1A"/>
    <w:rsid w:val="1262090D"/>
    <w:rsid w:val="12631F4C"/>
    <w:rsid w:val="12641821"/>
    <w:rsid w:val="12653BCD"/>
    <w:rsid w:val="12675F48"/>
    <w:rsid w:val="12712190"/>
    <w:rsid w:val="12722637"/>
    <w:rsid w:val="12753A2E"/>
    <w:rsid w:val="12777130"/>
    <w:rsid w:val="128169C8"/>
    <w:rsid w:val="12893209"/>
    <w:rsid w:val="12916D88"/>
    <w:rsid w:val="129245E0"/>
    <w:rsid w:val="12940358"/>
    <w:rsid w:val="12A22F6F"/>
    <w:rsid w:val="12A56E0D"/>
    <w:rsid w:val="12AE23B2"/>
    <w:rsid w:val="12AF449B"/>
    <w:rsid w:val="12AF6F40"/>
    <w:rsid w:val="12B02A58"/>
    <w:rsid w:val="12B3777F"/>
    <w:rsid w:val="12B45C75"/>
    <w:rsid w:val="12B64397"/>
    <w:rsid w:val="12BC78AF"/>
    <w:rsid w:val="12BE0C9F"/>
    <w:rsid w:val="12C7072D"/>
    <w:rsid w:val="12CC7AF2"/>
    <w:rsid w:val="12D64CE5"/>
    <w:rsid w:val="12D90460"/>
    <w:rsid w:val="12E31CC9"/>
    <w:rsid w:val="12EB3CF0"/>
    <w:rsid w:val="12EC1654"/>
    <w:rsid w:val="12ED4716"/>
    <w:rsid w:val="12EF1A32"/>
    <w:rsid w:val="12F64B6E"/>
    <w:rsid w:val="12FA1C7E"/>
    <w:rsid w:val="12FA59B3"/>
    <w:rsid w:val="12FE6A2D"/>
    <w:rsid w:val="1300779B"/>
    <w:rsid w:val="1301347E"/>
    <w:rsid w:val="13024F2E"/>
    <w:rsid w:val="13054DB2"/>
    <w:rsid w:val="130F7710"/>
    <w:rsid w:val="13126A9A"/>
    <w:rsid w:val="13130C3B"/>
    <w:rsid w:val="131436A5"/>
    <w:rsid w:val="131B6383"/>
    <w:rsid w:val="131C694E"/>
    <w:rsid w:val="131D659F"/>
    <w:rsid w:val="131E7134"/>
    <w:rsid w:val="13230BF6"/>
    <w:rsid w:val="1331784B"/>
    <w:rsid w:val="13342C88"/>
    <w:rsid w:val="13375822"/>
    <w:rsid w:val="133A33C8"/>
    <w:rsid w:val="1340228E"/>
    <w:rsid w:val="13474D18"/>
    <w:rsid w:val="134A6C68"/>
    <w:rsid w:val="13525B1D"/>
    <w:rsid w:val="13527F6D"/>
    <w:rsid w:val="1354112C"/>
    <w:rsid w:val="13615FCC"/>
    <w:rsid w:val="13655850"/>
    <w:rsid w:val="13680A9C"/>
    <w:rsid w:val="136F4DFF"/>
    <w:rsid w:val="136F50B2"/>
    <w:rsid w:val="13702B73"/>
    <w:rsid w:val="138C7281"/>
    <w:rsid w:val="138E11B8"/>
    <w:rsid w:val="138F28CD"/>
    <w:rsid w:val="13906D71"/>
    <w:rsid w:val="139323BD"/>
    <w:rsid w:val="13951726"/>
    <w:rsid w:val="139D6BC0"/>
    <w:rsid w:val="13A7735D"/>
    <w:rsid w:val="13B77602"/>
    <w:rsid w:val="13BB1914"/>
    <w:rsid w:val="13C1565D"/>
    <w:rsid w:val="13C7475D"/>
    <w:rsid w:val="13CD6AF0"/>
    <w:rsid w:val="13D33102"/>
    <w:rsid w:val="13D968F0"/>
    <w:rsid w:val="13DA7FEC"/>
    <w:rsid w:val="13DE2D01"/>
    <w:rsid w:val="13E1796C"/>
    <w:rsid w:val="13E26419"/>
    <w:rsid w:val="13E40E6B"/>
    <w:rsid w:val="13E56991"/>
    <w:rsid w:val="13EE1CEA"/>
    <w:rsid w:val="13F05A62"/>
    <w:rsid w:val="13F06E4B"/>
    <w:rsid w:val="13F70FC7"/>
    <w:rsid w:val="13F875C7"/>
    <w:rsid w:val="14011A1D"/>
    <w:rsid w:val="1404150D"/>
    <w:rsid w:val="1406325D"/>
    <w:rsid w:val="140D1364"/>
    <w:rsid w:val="14151024"/>
    <w:rsid w:val="142238F7"/>
    <w:rsid w:val="14253B8C"/>
    <w:rsid w:val="14263961"/>
    <w:rsid w:val="14375352"/>
    <w:rsid w:val="14396509"/>
    <w:rsid w:val="143D554E"/>
    <w:rsid w:val="14404CA5"/>
    <w:rsid w:val="14467430"/>
    <w:rsid w:val="144C1066"/>
    <w:rsid w:val="144E4BC4"/>
    <w:rsid w:val="144E561B"/>
    <w:rsid w:val="144E7BFE"/>
    <w:rsid w:val="14517685"/>
    <w:rsid w:val="14551D69"/>
    <w:rsid w:val="14565AC5"/>
    <w:rsid w:val="145C30F7"/>
    <w:rsid w:val="14607150"/>
    <w:rsid w:val="14661880"/>
    <w:rsid w:val="146D70B2"/>
    <w:rsid w:val="146E6986"/>
    <w:rsid w:val="14740441"/>
    <w:rsid w:val="1477322A"/>
    <w:rsid w:val="14784DFC"/>
    <w:rsid w:val="147B61BB"/>
    <w:rsid w:val="147F2942"/>
    <w:rsid w:val="148254BE"/>
    <w:rsid w:val="148A2405"/>
    <w:rsid w:val="148B12E6"/>
    <w:rsid w:val="148C6E6B"/>
    <w:rsid w:val="148E0DD7"/>
    <w:rsid w:val="14902DA1"/>
    <w:rsid w:val="14952165"/>
    <w:rsid w:val="149A59CD"/>
    <w:rsid w:val="14A30D26"/>
    <w:rsid w:val="14A45268"/>
    <w:rsid w:val="14A75417"/>
    <w:rsid w:val="14B7657F"/>
    <w:rsid w:val="14BB2AFF"/>
    <w:rsid w:val="14C57575"/>
    <w:rsid w:val="14CC7383"/>
    <w:rsid w:val="14DD0E6B"/>
    <w:rsid w:val="14DD2C3C"/>
    <w:rsid w:val="14DD3E92"/>
    <w:rsid w:val="14E069AE"/>
    <w:rsid w:val="14E8498B"/>
    <w:rsid w:val="14E86739"/>
    <w:rsid w:val="14EA0703"/>
    <w:rsid w:val="14EC4911"/>
    <w:rsid w:val="14F055ED"/>
    <w:rsid w:val="14F72E20"/>
    <w:rsid w:val="14FB646C"/>
    <w:rsid w:val="15080B89"/>
    <w:rsid w:val="150D2643"/>
    <w:rsid w:val="1517281B"/>
    <w:rsid w:val="15185E44"/>
    <w:rsid w:val="15211C4B"/>
    <w:rsid w:val="15284D87"/>
    <w:rsid w:val="152B4878"/>
    <w:rsid w:val="152D0E46"/>
    <w:rsid w:val="15325C06"/>
    <w:rsid w:val="153674A4"/>
    <w:rsid w:val="15392139"/>
    <w:rsid w:val="153B4ABB"/>
    <w:rsid w:val="153C6A85"/>
    <w:rsid w:val="1543189B"/>
    <w:rsid w:val="155622B4"/>
    <w:rsid w:val="15574BF9"/>
    <w:rsid w:val="1567301F"/>
    <w:rsid w:val="156758B0"/>
    <w:rsid w:val="156A1844"/>
    <w:rsid w:val="15703044"/>
    <w:rsid w:val="15707D12"/>
    <w:rsid w:val="15754931"/>
    <w:rsid w:val="157D1577"/>
    <w:rsid w:val="157E709D"/>
    <w:rsid w:val="15853F88"/>
    <w:rsid w:val="158741A4"/>
    <w:rsid w:val="158C221B"/>
    <w:rsid w:val="15932B49"/>
    <w:rsid w:val="159764DF"/>
    <w:rsid w:val="15990E70"/>
    <w:rsid w:val="159D7523"/>
    <w:rsid w:val="159E1E2C"/>
    <w:rsid w:val="15A040F7"/>
    <w:rsid w:val="15B42ABF"/>
    <w:rsid w:val="15B437D9"/>
    <w:rsid w:val="15B50D11"/>
    <w:rsid w:val="15C05D79"/>
    <w:rsid w:val="15C42D58"/>
    <w:rsid w:val="15C45620"/>
    <w:rsid w:val="15C56A7A"/>
    <w:rsid w:val="15CE7129"/>
    <w:rsid w:val="15CF3257"/>
    <w:rsid w:val="15D40405"/>
    <w:rsid w:val="15DD2016"/>
    <w:rsid w:val="15E21042"/>
    <w:rsid w:val="15E80F61"/>
    <w:rsid w:val="15EC2259"/>
    <w:rsid w:val="15F754FA"/>
    <w:rsid w:val="15FC6940"/>
    <w:rsid w:val="15FF6B6C"/>
    <w:rsid w:val="16041D66"/>
    <w:rsid w:val="1605332A"/>
    <w:rsid w:val="16087E1D"/>
    <w:rsid w:val="160E0CA6"/>
    <w:rsid w:val="16103BB9"/>
    <w:rsid w:val="161517B0"/>
    <w:rsid w:val="161D68B6"/>
    <w:rsid w:val="16214F4C"/>
    <w:rsid w:val="16250BEE"/>
    <w:rsid w:val="1626576B"/>
    <w:rsid w:val="162963DC"/>
    <w:rsid w:val="162B2D81"/>
    <w:rsid w:val="162C57A0"/>
    <w:rsid w:val="162E2871"/>
    <w:rsid w:val="163F2DDC"/>
    <w:rsid w:val="164B51D1"/>
    <w:rsid w:val="164E081E"/>
    <w:rsid w:val="165A4E99"/>
    <w:rsid w:val="166F17E6"/>
    <w:rsid w:val="168129A1"/>
    <w:rsid w:val="168179D0"/>
    <w:rsid w:val="16832BBD"/>
    <w:rsid w:val="16846935"/>
    <w:rsid w:val="16923D0D"/>
    <w:rsid w:val="16A843D2"/>
    <w:rsid w:val="16AE18BE"/>
    <w:rsid w:val="16B32D77"/>
    <w:rsid w:val="16BC3EE5"/>
    <w:rsid w:val="16BC42FD"/>
    <w:rsid w:val="16BD2A38"/>
    <w:rsid w:val="16C44F84"/>
    <w:rsid w:val="16C60F0E"/>
    <w:rsid w:val="16C65768"/>
    <w:rsid w:val="16C701C1"/>
    <w:rsid w:val="16C86DE8"/>
    <w:rsid w:val="16D276A1"/>
    <w:rsid w:val="16D5230D"/>
    <w:rsid w:val="16D57B7C"/>
    <w:rsid w:val="16D61540"/>
    <w:rsid w:val="16DA045E"/>
    <w:rsid w:val="16DA56F8"/>
    <w:rsid w:val="16DE6045"/>
    <w:rsid w:val="16E341D5"/>
    <w:rsid w:val="16E475A4"/>
    <w:rsid w:val="16E51F7C"/>
    <w:rsid w:val="16E62092"/>
    <w:rsid w:val="16E86EC4"/>
    <w:rsid w:val="16EB72C3"/>
    <w:rsid w:val="16FA09A5"/>
    <w:rsid w:val="17011D34"/>
    <w:rsid w:val="17013AE2"/>
    <w:rsid w:val="17053A00"/>
    <w:rsid w:val="170B2BB3"/>
    <w:rsid w:val="170B4961"/>
    <w:rsid w:val="170D06D9"/>
    <w:rsid w:val="170F26A3"/>
    <w:rsid w:val="17115D29"/>
    <w:rsid w:val="17184304"/>
    <w:rsid w:val="171C091C"/>
    <w:rsid w:val="17237EFC"/>
    <w:rsid w:val="172577D0"/>
    <w:rsid w:val="172A212E"/>
    <w:rsid w:val="172A4DE7"/>
    <w:rsid w:val="172D0D7B"/>
    <w:rsid w:val="172E2672"/>
    <w:rsid w:val="172F4AF3"/>
    <w:rsid w:val="173043C7"/>
    <w:rsid w:val="17342109"/>
    <w:rsid w:val="173619DD"/>
    <w:rsid w:val="173739A8"/>
    <w:rsid w:val="173C52C7"/>
    <w:rsid w:val="173E0E11"/>
    <w:rsid w:val="174340FA"/>
    <w:rsid w:val="17452CDD"/>
    <w:rsid w:val="174C1201"/>
    <w:rsid w:val="1752433D"/>
    <w:rsid w:val="1759342B"/>
    <w:rsid w:val="175B1321"/>
    <w:rsid w:val="176302F9"/>
    <w:rsid w:val="1767428D"/>
    <w:rsid w:val="17680005"/>
    <w:rsid w:val="176B795D"/>
    <w:rsid w:val="176C53FF"/>
    <w:rsid w:val="17701D14"/>
    <w:rsid w:val="1772678E"/>
    <w:rsid w:val="17735226"/>
    <w:rsid w:val="17762AEA"/>
    <w:rsid w:val="17771FF6"/>
    <w:rsid w:val="177B7D38"/>
    <w:rsid w:val="178070FD"/>
    <w:rsid w:val="17846C0C"/>
    <w:rsid w:val="1787048B"/>
    <w:rsid w:val="1793695B"/>
    <w:rsid w:val="17984446"/>
    <w:rsid w:val="179C2944"/>
    <w:rsid w:val="179E3FD0"/>
    <w:rsid w:val="17A54DB5"/>
    <w:rsid w:val="17A74689"/>
    <w:rsid w:val="17A7793D"/>
    <w:rsid w:val="17A80401"/>
    <w:rsid w:val="17A85E76"/>
    <w:rsid w:val="17AD7D73"/>
    <w:rsid w:val="17AF0E82"/>
    <w:rsid w:val="17B06904"/>
    <w:rsid w:val="17B40B54"/>
    <w:rsid w:val="17B60D70"/>
    <w:rsid w:val="17B9616B"/>
    <w:rsid w:val="17BB682C"/>
    <w:rsid w:val="17C92852"/>
    <w:rsid w:val="17CA65CA"/>
    <w:rsid w:val="17CA7993"/>
    <w:rsid w:val="17D3547E"/>
    <w:rsid w:val="17DE3E23"/>
    <w:rsid w:val="17DF7A5D"/>
    <w:rsid w:val="17E529E4"/>
    <w:rsid w:val="17E70F2A"/>
    <w:rsid w:val="17F34327"/>
    <w:rsid w:val="17F37BCA"/>
    <w:rsid w:val="17F83137"/>
    <w:rsid w:val="18041ADC"/>
    <w:rsid w:val="18075231"/>
    <w:rsid w:val="180E39DE"/>
    <w:rsid w:val="181141F9"/>
    <w:rsid w:val="181D0DEF"/>
    <w:rsid w:val="182060C7"/>
    <w:rsid w:val="18273A1C"/>
    <w:rsid w:val="182E0907"/>
    <w:rsid w:val="18491BE4"/>
    <w:rsid w:val="184F5FF1"/>
    <w:rsid w:val="18535BD0"/>
    <w:rsid w:val="185A275C"/>
    <w:rsid w:val="185C7097"/>
    <w:rsid w:val="185D2F9A"/>
    <w:rsid w:val="186502A8"/>
    <w:rsid w:val="186554F3"/>
    <w:rsid w:val="187C3D68"/>
    <w:rsid w:val="18812017"/>
    <w:rsid w:val="18822A00"/>
    <w:rsid w:val="188350F6"/>
    <w:rsid w:val="18847327"/>
    <w:rsid w:val="18856452"/>
    <w:rsid w:val="1890336F"/>
    <w:rsid w:val="189920E7"/>
    <w:rsid w:val="189E26ED"/>
    <w:rsid w:val="189F624C"/>
    <w:rsid w:val="18A24E51"/>
    <w:rsid w:val="18AC2B85"/>
    <w:rsid w:val="18AC2D27"/>
    <w:rsid w:val="18B43F14"/>
    <w:rsid w:val="18BA23D1"/>
    <w:rsid w:val="18BA663E"/>
    <w:rsid w:val="18C35497"/>
    <w:rsid w:val="18C37EF5"/>
    <w:rsid w:val="18C4126B"/>
    <w:rsid w:val="18D23988"/>
    <w:rsid w:val="18DB5458"/>
    <w:rsid w:val="18DC1E7D"/>
    <w:rsid w:val="18E01EB7"/>
    <w:rsid w:val="18E15979"/>
    <w:rsid w:val="18EA6F23"/>
    <w:rsid w:val="18EB2C9C"/>
    <w:rsid w:val="18F02060"/>
    <w:rsid w:val="18F16C54"/>
    <w:rsid w:val="18F50A20"/>
    <w:rsid w:val="18F55B1A"/>
    <w:rsid w:val="18F67178"/>
    <w:rsid w:val="18F87056"/>
    <w:rsid w:val="18FA2EDF"/>
    <w:rsid w:val="19023E8D"/>
    <w:rsid w:val="19067AD5"/>
    <w:rsid w:val="190A1374"/>
    <w:rsid w:val="19161B44"/>
    <w:rsid w:val="19183D03"/>
    <w:rsid w:val="19202945"/>
    <w:rsid w:val="192807B7"/>
    <w:rsid w:val="192B4E46"/>
    <w:rsid w:val="192C0E14"/>
    <w:rsid w:val="192D5062"/>
    <w:rsid w:val="192F0041"/>
    <w:rsid w:val="193463F1"/>
    <w:rsid w:val="19353F17"/>
    <w:rsid w:val="19371A3D"/>
    <w:rsid w:val="19397AAF"/>
    <w:rsid w:val="193C34F7"/>
    <w:rsid w:val="19417445"/>
    <w:rsid w:val="19425131"/>
    <w:rsid w:val="19474F18"/>
    <w:rsid w:val="194D2DC1"/>
    <w:rsid w:val="194F4FD8"/>
    <w:rsid w:val="194F7E45"/>
    <w:rsid w:val="19526F10"/>
    <w:rsid w:val="195720DF"/>
    <w:rsid w:val="1957712C"/>
    <w:rsid w:val="195919B3"/>
    <w:rsid w:val="195C51D8"/>
    <w:rsid w:val="196A257B"/>
    <w:rsid w:val="19717E9B"/>
    <w:rsid w:val="19742C91"/>
    <w:rsid w:val="19760F6C"/>
    <w:rsid w:val="1977008B"/>
    <w:rsid w:val="197902A7"/>
    <w:rsid w:val="19793288"/>
    <w:rsid w:val="19793E03"/>
    <w:rsid w:val="197B4DCB"/>
    <w:rsid w:val="197C2955"/>
    <w:rsid w:val="198243F3"/>
    <w:rsid w:val="1985203E"/>
    <w:rsid w:val="198A4E11"/>
    <w:rsid w:val="198B7ED4"/>
    <w:rsid w:val="198C7FDB"/>
    <w:rsid w:val="198D24B2"/>
    <w:rsid w:val="198D45F0"/>
    <w:rsid w:val="198F1879"/>
    <w:rsid w:val="19962C07"/>
    <w:rsid w:val="1998697F"/>
    <w:rsid w:val="19A277FE"/>
    <w:rsid w:val="19B60BB4"/>
    <w:rsid w:val="19BA5D04"/>
    <w:rsid w:val="19C02EA8"/>
    <w:rsid w:val="19C538BE"/>
    <w:rsid w:val="19D410E7"/>
    <w:rsid w:val="19DF1D5E"/>
    <w:rsid w:val="19E43F01"/>
    <w:rsid w:val="19E80F89"/>
    <w:rsid w:val="19EA1D92"/>
    <w:rsid w:val="19EE1020"/>
    <w:rsid w:val="19F33759"/>
    <w:rsid w:val="19FB2A79"/>
    <w:rsid w:val="19FB69EE"/>
    <w:rsid w:val="1A027489"/>
    <w:rsid w:val="1A073CDE"/>
    <w:rsid w:val="1A0A5686"/>
    <w:rsid w:val="1A0D279E"/>
    <w:rsid w:val="1A0E6C42"/>
    <w:rsid w:val="1A10235E"/>
    <w:rsid w:val="1A1A692A"/>
    <w:rsid w:val="1A1C66C0"/>
    <w:rsid w:val="1A1F6619"/>
    <w:rsid w:val="1A2030E7"/>
    <w:rsid w:val="1A207345"/>
    <w:rsid w:val="1A246465"/>
    <w:rsid w:val="1A29298B"/>
    <w:rsid w:val="1A2C356C"/>
    <w:rsid w:val="1A2E3FBD"/>
    <w:rsid w:val="1A3A4EC6"/>
    <w:rsid w:val="1A42393B"/>
    <w:rsid w:val="1A497C7A"/>
    <w:rsid w:val="1A4B611B"/>
    <w:rsid w:val="1A51244B"/>
    <w:rsid w:val="1A53060B"/>
    <w:rsid w:val="1A554FB9"/>
    <w:rsid w:val="1A5A1E87"/>
    <w:rsid w:val="1A5E55C4"/>
    <w:rsid w:val="1A607BD9"/>
    <w:rsid w:val="1A6157EB"/>
    <w:rsid w:val="1A687B4D"/>
    <w:rsid w:val="1A6932D9"/>
    <w:rsid w:val="1A6B4094"/>
    <w:rsid w:val="1A786471"/>
    <w:rsid w:val="1A840CB2"/>
    <w:rsid w:val="1A872550"/>
    <w:rsid w:val="1A89276C"/>
    <w:rsid w:val="1A8B502C"/>
    <w:rsid w:val="1A8D5D37"/>
    <w:rsid w:val="1A8E5E7E"/>
    <w:rsid w:val="1A9D1D74"/>
    <w:rsid w:val="1A9E04C6"/>
    <w:rsid w:val="1AA50C28"/>
    <w:rsid w:val="1AAD45DE"/>
    <w:rsid w:val="1AAE5D2F"/>
    <w:rsid w:val="1ABE141E"/>
    <w:rsid w:val="1AD4587E"/>
    <w:rsid w:val="1AE259D8"/>
    <w:rsid w:val="1AE5773E"/>
    <w:rsid w:val="1AF773C2"/>
    <w:rsid w:val="1AFC055D"/>
    <w:rsid w:val="1B046F80"/>
    <w:rsid w:val="1B083195"/>
    <w:rsid w:val="1B0911B7"/>
    <w:rsid w:val="1B0B68F3"/>
    <w:rsid w:val="1B100049"/>
    <w:rsid w:val="1B122762"/>
    <w:rsid w:val="1B1A6816"/>
    <w:rsid w:val="1B1C0318"/>
    <w:rsid w:val="1B2B3823"/>
    <w:rsid w:val="1B3267B5"/>
    <w:rsid w:val="1B356531"/>
    <w:rsid w:val="1B3B1CB8"/>
    <w:rsid w:val="1B40161D"/>
    <w:rsid w:val="1B414DF5"/>
    <w:rsid w:val="1B441859"/>
    <w:rsid w:val="1B4B7BAE"/>
    <w:rsid w:val="1B4E306E"/>
    <w:rsid w:val="1B544B28"/>
    <w:rsid w:val="1B551CA6"/>
    <w:rsid w:val="1B6606B1"/>
    <w:rsid w:val="1B6805D3"/>
    <w:rsid w:val="1B6B77BE"/>
    <w:rsid w:val="1B713895"/>
    <w:rsid w:val="1B7D02C8"/>
    <w:rsid w:val="1B805FF3"/>
    <w:rsid w:val="1B852F33"/>
    <w:rsid w:val="1B910BFE"/>
    <w:rsid w:val="1B9238FD"/>
    <w:rsid w:val="1B9413C8"/>
    <w:rsid w:val="1B9901E4"/>
    <w:rsid w:val="1B9C4600"/>
    <w:rsid w:val="1B9F0957"/>
    <w:rsid w:val="1BA62EAA"/>
    <w:rsid w:val="1BB0728D"/>
    <w:rsid w:val="1BB12FEE"/>
    <w:rsid w:val="1BBA1AE9"/>
    <w:rsid w:val="1BC502CB"/>
    <w:rsid w:val="1BCD309D"/>
    <w:rsid w:val="1BD161A9"/>
    <w:rsid w:val="1BEA177B"/>
    <w:rsid w:val="1BF43C15"/>
    <w:rsid w:val="1BF522B5"/>
    <w:rsid w:val="1BF9747E"/>
    <w:rsid w:val="1BFC0380"/>
    <w:rsid w:val="1C063B37"/>
    <w:rsid w:val="1C073948"/>
    <w:rsid w:val="1C07706F"/>
    <w:rsid w:val="1C0B4C5D"/>
    <w:rsid w:val="1C0C05AF"/>
    <w:rsid w:val="1C167971"/>
    <w:rsid w:val="1C1A5BB7"/>
    <w:rsid w:val="1C220468"/>
    <w:rsid w:val="1C273FEB"/>
    <w:rsid w:val="1C2C7853"/>
    <w:rsid w:val="1C3B1844"/>
    <w:rsid w:val="1C3C70AE"/>
    <w:rsid w:val="1C406E5A"/>
    <w:rsid w:val="1C420E24"/>
    <w:rsid w:val="1C431BE4"/>
    <w:rsid w:val="1C446B02"/>
    <w:rsid w:val="1C4922C8"/>
    <w:rsid w:val="1C4E0B38"/>
    <w:rsid w:val="1C54023B"/>
    <w:rsid w:val="1C574FD5"/>
    <w:rsid w:val="1C5B5B23"/>
    <w:rsid w:val="1C5D12C5"/>
    <w:rsid w:val="1C5E7925"/>
    <w:rsid w:val="1C6011F3"/>
    <w:rsid w:val="1C744D56"/>
    <w:rsid w:val="1C76287C"/>
    <w:rsid w:val="1C76613C"/>
    <w:rsid w:val="1C7D008C"/>
    <w:rsid w:val="1C7F4A30"/>
    <w:rsid w:val="1C80194D"/>
    <w:rsid w:val="1C8D5B45"/>
    <w:rsid w:val="1C987B51"/>
    <w:rsid w:val="1CA65383"/>
    <w:rsid w:val="1CAC48A5"/>
    <w:rsid w:val="1CC43471"/>
    <w:rsid w:val="1CC96E50"/>
    <w:rsid w:val="1CCB6424"/>
    <w:rsid w:val="1CD04682"/>
    <w:rsid w:val="1CD14918"/>
    <w:rsid w:val="1CDC7B54"/>
    <w:rsid w:val="1CE65C54"/>
    <w:rsid w:val="1CEE78E5"/>
    <w:rsid w:val="1CF44915"/>
    <w:rsid w:val="1CFA734D"/>
    <w:rsid w:val="1CFD070F"/>
    <w:rsid w:val="1CFF2872"/>
    <w:rsid w:val="1D23220F"/>
    <w:rsid w:val="1D271DC8"/>
    <w:rsid w:val="1D2904A3"/>
    <w:rsid w:val="1D291FE4"/>
    <w:rsid w:val="1D2B18B9"/>
    <w:rsid w:val="1D2E13A9"/>
    <w:rsid w:val="1D306ECF"/>
    <w:rsid w:val="1D3707A7"/>
    <w:rsid w:val="1D494184"/>
    <w:rsid w:val="1D4C3787"/>
    <w:rsid w:val="1D523A9B"/>
    <w:rsid w:val="1D5F6196"/>
    <w:rsid w:val="1D6132A5"/>
    <w:rsid w:val="1D6E3295"/>
    <w:rsid w:val="1D6E5E8E"/>
    <w:rsid w:val="1D6E79F7"/>
    <w:rsid w:val="1D7019C1"/>
    <w:rsid w:val="1D70376F"/>
    <w:rsid w:val="1D8042A3"/>
    <w:rsid w:val="1D835251"/>
    <w:rsid w:val="1D8B2E06"/>
    <w:rsid w:val="1D8E44F1"/>
    <w:rsid w:val="1D8E56D5"/>
    <w:rsid w:val="1D9040BF"/>
    <w:rsid w:val="1D920A05"/>
    <w:rsid w:val="1D942652"/>
    <w:rsid w:val="1D9E02DC"/>
    <w:rsid w:val="1DA43419"/>
    <w:rsid w:val="1DAB6F5C"/>
    <w:rsid w:val="1DAC5ED1"/>
    <w:rsid w:val="1DBB0448"/>
    <w:rsid w:val="1DBF375A"/>
    <w:rsid w:val="1DC06D1D"/>
    <w:rsid w:val="1DDA007C"/>
    <w:rsid w:val="1DDC3A3A"/>
    <w:rsid w:val="1DE303E5"/>
    <w:rsid w:val="1DE57CB9"/>
    <w:rsid w:val="1DEB4EA1"/>
    <w:rsid w:val="1DF05690"/>
    <w:rsid w:val="1DF14414"/>
    <w:rsid w:val="1DF24184"/>
    <w:rsid w:val="1DF40B31"/>
    <w:rsid w:val="1DF550AD"/>
    <w:rsid w:val="1DF60118"/>
    <w:rsid w:val="1DF63C75"/>
    <w:rsid w:val="1DF779ED"/>
    <w:rsid w:val="1DFB128B"/>
    <w:rsid w:val="1E021B0D"/>
    <w:rsid w:val="1E041E2B"/>
    <w:rsid w:val="1E042D61"/>
    <w:rsid w:val="1E091C79"/>
    <w:rsid w:val="1E0A252F"/>
    <w:rsid w:val="1E1D56A5"/>
    <w:rsid w:val="1E285DF8"/>
    <w:rsid w:val="1E2B7834"/>
    <w:rsid w:val="1E300BC9"/>
    <w:rsid w:val="1E417B2A"/>
    <w:rsid w:val="1E4470D6"/>
    <w:rsid w:val="1E450758"/>
    <w:rsid w:val="1E46432B"/>
    <w:rsid w:val="1E4C7D38"/>
    <w:rsid w:val="1E522E75"/>
    <w:rsid w:val="1E526342"/>
    <w:rsid w:val="1E5310C7"/>
    <w:rsid w:val="1E5B441F"/>
    <w:rsid w:val="1E605592"/>
    <w:rsid w:val="1E614014"/>
    <w:rsid w:val="1E63248D"/>
    <w:rsid w:val="1E634270"/>
    <w:rsid w:val="1E6457FD"/>
    <w:rsid w:val="1E645D04"/>
    <w:rsid w:val="1E653D4D"/>
    <w:rsid w:val="1E6A0ADD"/>
    <w:rsid w:val="1E6E5D90"/>
    <w:rsid w:val="1E6E609B"/>
    <w:rsid w:val="1E776956"/>
    <w:rsid w:val="1E7A43DA"/>
    <w:rsid w:val="1E7B23CC"/>
    <w:rsid w:val="1E7E2DE1"/>
    <w:rsid w:val="1E82444D"/>
    <w:rsid w:val="1E863E28"/>
    <w:rsid w:val="1E8E65A3"/>
    <w:rsid w:val="1E94348E"/>
    <w:rsid w:val="1E9808A3"/>
    <w:rsid w:val="1E984D2C"/>
    <w:rsid w:val="1E990AA4"/>
    <w:rsid w:val="1E9B2A6E"/>
    <w:rsid w:val="1E9C5B42"/>
    <w:rsid w:val="1EA25BAA"/>
    <w:rsid w:val="1EAA34BF"/>
    <w:rsid w:val="1ECC11EB"/>
    <w:rsid w:val="1ECD2A6D"/>
    <w:rsid w:val="1ECD64C0"/>
    <w:rsid w:val="1ED1023E"/>
    <w:rsid w:val="1ED146E7"/>
    <w:rsid w:val="1ED16490"/>
    <w:rsid w:val="1ED43DFB"/>
    <w:rsid w:val="1ED94728"/>
    <w:rsid w:val="1EDB6127"/>
    <w:rsid w:val="1EDD6BE3"/>
    <w:rsid w:val="1EE461C3"/>
    <w:rsid w:val="1EE951E5"/>
    <w:rsid w:val="1EEA5241"/>
    <w:rsid w:val="1EEC5078"/>
    <w:rsid w:val="1EEE013D"/>
    <w:rsid w:val="1EF108E0"/>
    <w:rsid w:val="1EF455FD"/>
    <w:rsid w:val="1EF5217E"/>
    <w:rsid w:val="1F066139"/>
    <w:rsid w:val="1F070103"/>
    <w:rsid w:val="1F0E4FEE"/>
    <w:rsid w:val="1F100D66"/>
    <w:rsid w:val="1F152820"/>
    <w:rsid w:val="1F153795"/>
    <w:rsid w:val="1F16144E"/>
    <w:rsid w:val="1F1617FC"/>
    <w:rsid w:val="1F173186"/>
    <w:rsid w:val="1F1C3BAF"/>
    <w:rsid w:val="1F204D21"/>
    <w:rsid w:val="1F29007A"/>
    <w:rsid w:val="1F2C1AAA"/>
    <w:rsid w:val="1F2E0BBF"/>
    <w:rsid w:val="1F3031B6"/>
    <w:rsid w:val="1F30765A"/>
    <w:rsid w:val="1F342DCC"/>
    <w:rsid w:val="1F3F2CFB"/>
    <w:rsid w:val="1F412FC3"/>
    <w:rsid w:val="1F422EEA"/>
    <w:rsid w:val="1F443106"/>
    <w:rsid w:val="1F444EB4"/>
    <w:rsid w:val="1F4B2D47"/>
    <w:rsid w:val="1F4D1FBA"/>
    <w:rsid w:val="1F4D5B49"/>
    <w:rsid w:val="1F4E188E"/>
    <w:rsid w:val="1F5C21FD"/>
    <w:rsid w:val="1F673524"/>
    <w:rsid w:val="1F6D61B8"/>
    <w:rsid w:val="1F6E3EAE"/>
    <w:rsid w:val="1F6E7116"/>
    <w:rsid w:val="1F700D9D"/>
    <w:rsid w:val="1F737547"/>
    <w:rsid w:val="1F745799"/>
    <w:rsid w:val="1F751511"/>
    <w:rsid w:val="1F7532C8"/>
    <w:rsid w:val="1F802E49"/>
    <w:rsid w:val="1F816CE7"/>
    <w:rsid w:val="1F86369D"/>
    <w:rsid w:val="1F943352"/>
    <w:rsid w:val="1F9434FC"/>
    <w:rsid w:val="1F995DC6"/>
    <w:rsid w:val="1F9A4AD4"/>
    <w:rsid w:val="1FA3733D"/>
    <w:rsid w:val="1FA45952"/>
    <w:rsid w:val="1FA47700"/>
    <w:rsid w:val="1FA677DC"/>
    <w:rsid w:val="1FA96AD4"/>
    <w:rsid w:val="1FAB3519"/>
    <w:rsid w:val="1FB060A5"/>
    <w:rsid w:val="1FC14756"/>
    <w:rsid w:val="1FC544E6"/>
    <w:rsid w:val="1FD70E9E"/>
    <w:rsid w:val="1FE71778"/>
    <w:rsid w:val="1FE7539E"/>
    <w:rsid w:val="1FEA38DF"/>
    <w:rsid w:val="1FEB55EF"/>
    <w:rsid w:val="1FF02946"/>
    <w:rsid w:val="1FF72672"/>
    <w:rsid w:val="1FF95C9E"/>
    <w:rsid w:val="1FFC3C84"/>
    <w:rsid w:val="200148EF"/>
    <w:rsid w:val="20094B25"/>
    <w:rsid w:val="200D12EE"/>
    <w:rsid w:val="201523AC"/>
    <w:rsid w:val="2017589C"/>
    <w:rsid w:val="20191E9C"/>
    <w:rsid w:val="201941F8"/>
    <w:rsid w:val="201C7BDE"/>
    <w:rsid w:val="202076CF"/>
    <w:rsid w:val="20236EF7"/>
    <w:rsid w:val="20254CE5"/>
    <w:rsid w:val="202A40A9"/>
    <w:rsid w:val="202D76F6"/>
    <w:rsid w:val="203C122B"/>
    <w:rsid w:val="203D63DC"/>
    <w:rsid w:val="20474F28"/>
    <w:rsid w:val="20475C52"/>
    <w:rsid w:val="204F1D62"/>
    <w:rsid w:val="20542ED4"/>
    <w:rsid w:val="205729C5"/>
    <w:rsid w:val="20582A63"/>
    <w:rsid w:val="20583FC6"/>
    <w:rsid w:val="205E01F7"/>
    <w:rsid w:val="20671BE0"/>
    <w:rsid w:val="206A6B9C"/>
    <w:rsid w:val="206F41B2"/>
    <w:rsid w:val="20783067"/>
    <w:rsid w:val="207C5519"/>
    <w:rsid w:val="20823D49"/>
    <w:rsid w:val="20825C93"/>
    <w:rsid w:val="20846AAF"/>
    <w:rsid w:val="208520D7"/>
    <w:rsid w:val="20915AEF"/>
    <w:rsid w:val="20963CB8"/>
    <w:rsid w:val="20967991"/>
    <w:rsid w:val="20994D8B"/>
    <w:rsid w:val="209E05F3"/>
    <w:rsid w:val="209F3E12"/>
    <w:rsid w:val="20A527BE"/>
    <w:rsid w:val="20A81A1B"/>
    <w:rsid w:val="20A97641"/>
    <w:rsid w:val="20AB25C5"/>
    <w:rsid w:val="20AB5A82"/>
    <w:rsid w:val="20AD375F"/>
    <w:rsid w:val="20B07FB6"/>
    <w:rsid w:val="20B124E2"/>
    <w:rsid w:val="20B646FB"/>
    <w:rsid w:val="20BD316F"/>
    <w:rsid w:val="20C462AC"/>
    <w:rsid w:val="20C51EAD"/>
    <w:rsid w:val="20D41538"/>
    <w:rsid w:val="20D83315"/>
    <w:rsid w:val="20F92368"/>
    <w:rsid w:val="20FD356C"/>
    <w:rsid w:val="21020B82"/>
    <w:rsid w:val="21034FD8"/>
    <w:rsid w:val="21117017"/>
    <w:rsid w:val="211A5A75"/>
    <w:rsid w:val="211B1575"/>
    <w:rsid w:val="211C60E8"/>
    <w:rsid w:val="21205240"/>
    <w:rsid w:val="21262AC3"/>
    <w:rsid w:val="212705E9"/>
    <w:rsid w:val="212A1E87"/>
    <w:rsid w:val="212A5EFD"/>
    <w:rsid w:val="212E7BC9"/>
    <w:rsid w:val="21325C72"/>
    <w:rsid w:val="213A031C"/>
    <w:rsid w:val="213B74B1"/>
    <w:rsid w:val="213D08FC"/>
    <w:rsid w:val="213D2E6C"/>
    <w:rsid w:val="21433D70"/>
    <w:rsid w:val="2144119B"/>
    <w:rsid w:val="21464F13"/>
    <w:rsid w:val="21466CC1"/>
    <w:rsid w:val="214C20D9"/>
    <w:rsid w:val="214D36F4"/>
    <w:rsid w:val="215A2310"/>
    <w:rsid w:val="215A5024"/>
    <w:rsid w:val="215F4227"/>
    <w:rsid w:val="21611D4D"/>
    <w:rsid w:val="216A53A0"/>
    <w:rsid w:val="216F2939"/>
    <w:rsid w:val="21764626"/>
    <w:rsid w:val="217A2E0F"/>
    <w:rsid w:val="218872DA"/>
    <w:rsid w:val="218B4A65"/>
    <w:rsid w:val="218E2416"/>
    <w:rsid w:val="21933C67"/>
    <w:rsid w:val="219A700D"/>
    <w:rsid w:val="219F35BF"/>
    <w:rsid w:val="21AD0AEE"/>
    <w:rsid w:val="21B34338"/>
    <w:rsid w:val="21B93937"/>
    <w:rsid w:val="21BA320B"/>
    <w:rsid w:val="21BB26E9"/>
    <w:rsid w:val="21BC3427"/>
    <w:rsid w:val="21BE2D70"/>
    <w:rsid w:val="21BF7B30"/>
    <w:rsid w:val="21C40072"/>
    <w:rsid w:val="21C42963"/>
    <w:rsid w:val="21C5052E"/>
    <w:rsid w:val="21C85928"/>
    <w:rsid w:val="21C86A9F"/>
    <w:rsid w:val="21CB366A"/>
    <w:rsid w:val="21CB58FC"/>
    <w:rsid w:val="21D56297"/>
    <w:rsid w:val="21D97B35"/>
    <w:rsid w:val="21DE318A"/>
    <w:rsid w:val="21E33AFE"/>
    <w:rsid w:val="21E40288"/>
    <w:rsid w:val="21E85FCA"/>
    <w:rsid w:val="21EA7F94"/>
    <w:rsid w:val="21EB1616"/>
    <w:rsid w:val="21EC4888"/>
    <w:rsid w:val="21ED48B5"/>
    <w:rsid w:val="21EF5B80"/>
    <w:rsid w:val="21F42BC1"/>
    <w:rsid w:val="21F726B1"/>
    <w:rsid w:val="21F7445F"/>
    <w:rsid w:val="21FF5A11"/>
    <w:rsid w:val="22102E5E"/>
    <w:rsid w:val="221159FA"/>
    <w:rsid w:val="22140B6D"/>
    <w:rsid w:val="221C5C74"/>
    <w:rsid w:val="221E7C3E"/>
    <w:rsid w:val="22236BB9"/>
    <w:rsid w:val="22283C2C"/>
    <w:rsid w:val="222A0391"/>
    <w:rsid w:val="222B2451"/>
    <w:rsid w:val="22301E93"/>
    <w:rsid w:val="22317971"/>
    <w:rsid w:val="223368C3"/>
    <w:rsid w:val="22370D00"/>
    <w:rsid w:val="22380478"/>
    <w:rsid w:val="224B0307"/>
    <w:rsid w:val="224C5325"/>
    <w:rsid w:val="2250591D"/>
    <w:rsid w:val="22576990"/>
    <w:rsid w:val="22576CAC"/>
    <w:rsid w:val="225B2C40"/>
    <w:rsid w:val="225C42C2"/>
    <w:rsid w:val="22695653"/>
    <w:rsid w:val="226A422E"/>
    <w:rsid w:val="22711D00"/>
    <w:rsid w:val="227C4964"/>
    <w:rsid w:val="22827DD9"/>
    <w:rsid w:val="228655D5"/>
    <w:rsid w:val="22877591"/>
    <w:rsid w:val="22881DB8"/>
    <w:rsid w:val="228850B7"/>
    <w:rsid w:val="228D64D7"/>
    <w:rsid w:val="22921974"/>
    <w:rsid w:val="229677D4"/>
    <w:rsid w:val="22973ACF"/>
    <w:rsid w:val="2297765A"/>
    <w:rsid w:val="229962F7"/>
    <w:rsid w:val="229B128E"/>
    <w:rsid w:val="22A31EF1"/>
    <w:rsid w:val="22A6463F"/>
    <w:rsid w:val="22A743DD"/>
    <w:rsid w:val="22A85759"/>
    <w:rsid w:val="22AA14D2"/>
    <w:rsid w:val="22AA24BF"/>
    <w:rsid w:val="22AD71BA"/>
    <w:rsid w:val="22C07F82"/>
    <w:rsid w:val="22CA1B74"/>
    <w:rsid w:val="22CF1FCC"/>
    <w:rsid w:val="22D60519"/>
    <w:rsid w:val="22DF73CD"/>
    <w:rsid w:val="22E36792"/>
    <w:rsid w:val="22F01E21"/>
    <w:rsid w:val="22F314EC"/>
    <w:rsid w:val="22F47480"/>
    <w:rsid w:val="2302130E"/>
    <w:rsid w:val="231402A1"/>
    <w:rsid w:val="231D7EF5"/>
    <w:rsid w:val="232B0864"/>
    <w:rsid w:val="232C061D"/>
    <w:rsid w:val="232F70D8"/>
    <w:rsid w:val="234C07DB"/>
    <w:rsid w:val="234D0086"/>
    <w:rsid w:val="235356C5"/>
    <w:rsid w:val="23544F52"/>
    <w:rsid w:val="23563407"/>
    <w:rsid w:val="235F050E"/>
    <w:rsid w:val="236C2A53"/>
    <w:rsid w:val="236F6869"/>
    <w:rsid w:val="23700025"/>
    <w:rsid w:val="23732D21"/>
    <w:rsid w:val="23735D67"/>
    <w:rsid w:val="23775858"/>
    <w:rsid w:val="23813BD0"/>
    <w:rsid w:val="238166D6"/>
    <w:rsid w:val="238954CB"/>
    <w:rsid w:val="238A10B4"/>
    <w:rsid w:val="238D3B05"/>
    <w:rsid w:val="2393433C"/>
    <w:rsid w:val="239C52BE"/>
    <w:rsid w:val="239D2DE4"/>
    <w:rsid w:val="23A44FAC"/>
    <w:rsid w:val="23B40BE0"/>
    <w:rsid w:val="23C25726"/>
    <w:rsid w:val="23C3591D"/>
    <w:rsid w:val="23CE2F9E"/>
    <w:rsid w:val="23D32912"/>
    <w:rsid w:val="23D700A4"/>
    <w:rsid w:val="23D91930"/>
    <w:rsid w:val="23DE1C48"/>
    <w:rsid w:val="23E20868"/>
    <w:rsid w:val="23E46C65"/>
    <w:rsid w:val="23E9602A"/>
    <w:rsid w:val="23EC5AD3"/>
    <w:rsid w:val="23F549CE"/>
    <w:rsid w:val="23F576E6"/>
    <w:rsid w:val="23FA061B"/>
    <w:rsid w:val="240210CD"/>
    <w:rsid w:val="240476A1"/>
    <w:rsid w:val="2409047A"/>
    <w:rsid w:val="240A0EBD"/>
    <w:rsid w:val="240B56C0"/>
    <w:rsid w:val="240D1D18"/>
    <w:rsid w:val="2412732E"/>
    <w:rsid w:val="24131063"/>
    <w:rsid w:val="24151E4A"/>
    <w:rsid w:val="24174945"/>
    <w:rsid w:val="241906BD"/>
    <w:rsid w:val="2419234B"/>
    <w:rsid w:val="241A61E3"/>
    <w:rsid w:val="241F1EEB"/>
    <w:rsid w:val="24212D64"/>
    <w:rsid w:val="242515DF"/>
    <w:rsid w:val="242629C1"/>
    <w:rsid w:val="242D3786"/>
    <w:rsid w:val="242E3D50"/>
    <w:rsid w:val="242E44B6"/>
    <w:rsid w:val="243555FD"/>
    <w:rsid w:val="24373239"/>
    <w:rsid w:val="244177B7"/>
    <w:rsid w:val="24456A19"/>
    <w:rsid w:val="24462965"/>
    <w:rsid w:val="24472FA1"/>
    <w:rsid w:val="24476728"/>
    <w:rsid w:val="244B2840"/>
    <w:rsid w:val="24550D2D"/>
    <w:rsid w:val="24600539"/>
    <w:rsid w:val="24613E12"/>
    <w:rsid w:val="24661428"/>
    <w:rsid w:val="246758CC"/>
    <w:rsid w:val="24765B0F"/>
    <w:rsid w:val="247A15B0"/>
    <w:rsid w:val="248A3369"/>
    <w:rsid w:val="24912949"/>
    <w:rsid w:val="249935AC"/>
    <w:rsid w:val="249D627D"/>
    <w:rsid w:val="249F50FA"/>
    <w:rsid w:val="24A73F1B"/>
    <w:rsid w:val="24B454D2"/>
    <w:rsid w:val="24B86264"/>
    <w:rsid w:val="24BD373E"/>
    <w:rsid w:val="24BE1264"/>
    <w:rsid w:val="24BF09F7"/>
    <w:rsid w:val="24CD14A7"/>
    <w:rsid w:val="24D34D10"/>
    <w:rsid w:val="24DF634A"/>
    <w:rsid w:val="24E76A0D"/>
    <w:rsid w:val="24FD4AC9"/>
    <w:rsid w:val="24FF3D57"/>
    <w:rsid w:val="25207225"/>
    <w:rsid w:val="252A2A5F"/>
    <w:rsid w:val="252D53FE"/>
    <w:rsid w:val="252E176E"/>
    <w:rsid w:val="253165C9"/>
    <w:rsid w:val="25381017"/>
    <w:rsid w:val="25381FB1"/>
    <w:rsid w:val="253908EB"/>
    <w:rsid w:val="253A3C8C"/>
    <w:rsid w:val="25457290"/>
    <w:rsid w:val="254C6870"/>
    <w:rsid w:val="25546684"/>
    <w:rsid w:val="255D74B0"/>
    <w:rsid w:val="258129BE"/>
    <w:rsid w:val="258A0D97"/>
    <w:rsid w:val="258B4548"/>
    <w:rsid w:val="258B6C27"/>
    <w:rsid w:val="258E2EC9"/>
    <w:rsid w:val="25921E92"/>
    <w:rsid w:val="2593045E"/>
    <w:rsid w:val="2593449F"/>
    <w:rsid w:val="259A3C06"/>
    <w:rsid w:val="25A14E0E"/>
    <w:rsid w:val="25A16BBC"/>
    <w:rsid w:val="25A56EDF"/>
    <w:rsid w:val="25AB17E9"/>
    <w:rsid w:val="25AB3597"/>
    <w:rsid w:val="25AE12D9"/>
    <w:rsid w:val="25AE752B"/>
    <w:rsid w:val="25B14925"/>
    <w:rsid w:val="25B763DF"/>
    <w:rsid w:val="25B82157"/>
    <w:rsid w:val="25B95264"/>
    <w:rsid w:val="25BB1EE5"/>
    <w:rsid w:val="25C64874"/>
    <w:rsid w:val="25CD5EAD"/>
    <w:rsid w:val="25CF1133"/>
    <w:rsid w:val="25CF5631"/>
    <w:rsid w:val="25D270EE"/>
    <w:rsid w:val="25D728C0"/>
    <w:rsid w:val="25DA6E03"/>
    <w:rsid w:val="25E22CCE"/>
    <w:rsid w:val="25EB7E37"/>
    <w:rsid w:val="25EC2D81"/>
    <w:rsid w:val="25F2539B"/>
    <w:rsid w:val="25F27417"/>
    <w:rsid w:val="25F46932"/>
    <w:rsid w:val="25FD4A81"/>
    <w:rsid w:val="26123616"/>
    <w:rsid w:val="261C6242"/>
    <w:rsid w:val="26284BE7"/>
    <w:rsid w:val="26296BB1"/>
    <w:rsid w:val="26312B63"/>
    <w:rsid w:val="264439EB"/>
    <w:rsid w:val="264771CB"/>
    <w:rsid w:val="26485289"/>
    <w:rsid w:val="264A1001"/>
    <w:rsid w:val="265F439A"/>
    <w:rsid w:val="266100F9"/>
    <w:rsid w:val="26612C0D"/>
    <w:rsid w:val="26655E3B"/>
    <w:rsid w:val="26663961"/>
    <w:rsid w:val="266F2816"/>
    <w:rsid w:val="26720558"/>
    <w:rsid w:val="26761C23"/>
    <w:rsid w:val="267C3185"/>
    <w:rsid w:val="267E3F6F"/>
    <w:rsid w:val="26802C75"/>
    <w:rsid w:val="268564DD"/>
    <w:rsid w:val="269B185D"/>
    <w:rsid w:val="269C46A8"/>
    <w:rsid w:val="269F537C"/>
    <w:rsid w:val="26A60202"/>
    <w:rsid w:val="26AF5308"/>
    <w:rsid w:val="26B33634"/>
    <w:rsid w:val="26B40B71"/>
    <w:rsid w:val="26BC5C80"/>
    <w:rsid w:val="26BE245F"/>
    <w:rsid w:val="26C97AD1"/>
    <w:rsid w:val="26D11723"/>
    <w:rsid w:val="26D25A62"/>
    <w:rsid w:val="26D7485F"/>
    <w:rsid w:val="26DB7EAB"/>
    <w:rsid w:val="26E34FB2"/>
    <w:rsid w:val="26E74F5B"/>
    <w:rsid w:val="26EE4BC1"/>
    <w:rsid w:val="26F1147D"/>
    <w:rsid w:val="26F62F37"/>
    <w:rsid w:val="26FE0533"/>
    <w:rsid w:val="26FE57F5"/>
    <w:rsid w:val="27065ABE"/>
    <w:rsid w:val="27084A19"/>
    <w:rsid w:val="27086AFF"/>
    <w:rsid w:val="27090EBD"/>
    <w:rsid w:val="27157AC4"/>
    <w:rsid w:val="271B3621"/>
    <w:rsid w:val="27240D95"/>
    <w:rsid w:val="27260318"/>
    <w:rsid w:val="27343A60"/>
    <w:rsid w:val="27381994"/>
    <w:rsid w:val="273D2914"/>
    <w:rsid w:val="27490742"/>
    <w:rsid w:val="27564F1D"/>
    <w:rsid w:val="275A06CA"/>
    <w:rsid w:val="275F3D7D"/>
    <w:rsid w:val="27606603"/>
    <w:rsid w:val="276854B7"/>
    <w:rsid w:val="277057A2"/>
    <w:rsid w:val="27746E2C"/>
    <w:rsid w:val="2779116B"/>
    <w:rsid w:val="277F74C4"/>
    <w:rsid w:val="27840543"/>
    <w:rsid w:val="278C5301"/>
    <w:rsid w:val="278E47FC"/>
    <w:rsid w:val="27930786"/>
    <w:rsid w:val="279E3DEE"/>
    <w:rsid w:val="27A02EA3"/>
    <w:rsid w:val="27AF1AC7"/>
    <w:rsid w:val="27B63715"/>
    <w:rsid w:val="27C43E56"/>
    <w:rsid w:val="27C6290A"/>
    <w:rsid w:val="27D15B65"/>
    <w:rsid w:val="27DC4B7F"/>
    <w:rsid w:val="27E46B39"/>
    <w:rsid w:val="27EB1EB1"/>
    <w:rsid w:val="27F82CDF"/>
    <w:rsid w:val="280840E4"/>
    <w:rsid w:val="281713B7"/>
    <w:rsid w:val="2818512F"/>
    <w:rsid w:val="281C07C0"/>
    <w:rsid w:val="281D7865"/>
    <w:rsid w:val="2826784C"/>
    <w:rsid w:val="282921C3"/>
    <w:rsid w:val="283160CB"/>
    <w:rsid w:val="28333D17"/>
    <w:rsid w:val="28372507"/>
    <w:rsid w:val="283E3E5C"/>
    <w:rsid w:val="28506677"/>
    <w:rsid w:val="28591897"/>
    <w:rsid w:val="28595263"/>
    <w:rsid w:val="2859765A"/>
    <w:rsid w:val="285A74F6"/>
    <w:rsid w:val="285C501C"/>
    <w:rsid w:val="285D2B42"/>
    <w:rsid w:val="285F2D5E"/>
    <w:rsid w:val="28633873"/>
    <w:rsid w:val="28663C8C"/>
    <w:rsid w:val="28676DA1"/>
    <w:rsid w:val="28754330"/>
    <w:rsid w:val="2881311D"/>
    <w:rsid w:val="28885E11"/>
    <w:rsid w:val="288F4298"/>
    <w:rsid w:val="28942A08"/>
    <w:rsid w:val="28943227"/>
    <w:rsid w:val="289E5635"/>
    <w:rsid w:val="28B74948"/>
    <w:rsid w:val="28BA7F95"/>
    <w:rsid w:val="28BB7108"/>
    <w:rsid w:val="28C30E68"/>
    <w:rsid w:val="28C3509B"/>
    <w:rsid w:val="28CA642A"/>
    <w:rsid w:val="28CF3A40"/>
    <w:rsid w:val="28D177B8"/>
    <w:rsid w:val="28DA31F3"/>
    <w:rsid w:val="28DE3C83"/>
    <w:rsid w:val="28E5085B"/>
    <w:rsid w:val="28EC750C"/>
    <w:rsid w:val="28F039B6"/>
    <w:rsid w:val="28F434A6"/>
    <w:rsid w:val="28F96D0F"/>
    <w:rsid w:val="28FB5499"/>
    <w:rsid w:val="28FB65E3"/>
    <w:rsid w:val="2914220C"/>
    <w:rsid w:val="2915383D"/>
    <w:rsid w:val="291807B8"/>
    <w:rsid w:val="29183639"/>
    <w:rsid w:val="29206EB8"/>
    <w:rsid w:val="29212838"/>
    <w:rsid w:val="29235B3A"/>
    <w:rsid w:val="29253660"/>
    <w:rsid w:val="292738E2"/>
    <w:rsid w:val="292E1166"/>
    <w:rsid w:val="293145B7"/>
    <w:rsid w:val="29314F66"/>
    <w:rsid w:val="293D6BFB"/>
    <w:rsid w:val="293E0BC6"/>
    <w:rsid w:val="29425830"/>
    <w:rsid w:val="29453D02"/>
    <w:rsid w:val="29583A35"/>
    <w:rsid w:val="29595666"/>
    <w:rsid w:val="295B7E82"/>
    <w:rsid w:val="295F349E"/>
    <w:rsid w:val="295F5A35"/>
    <w:rsid w:val="296028EA"/>
    <w:rsid w:val="29660A85"/>
    <w:rsid w:val="296F27FB"/>
    <w:rsid w:val="297505A6"/>
    <w:rsid w:val="297900C9"/>
    <w:rsid w:val="2980627D"/>
    <w:rsid w:val="29820AB2"/>
    <w:rsid w:val="298403F3"/>
    <w:rsid w:val="29874881"/>
    <w:rsid w:val="298832A7"/>
    <w:rsid w:val="298E56A9"/>
    <w:rsid w:val="298F1421"/>
    <w:rsid w:val="29A30A29"/>
    <w:rsid w:val="29A4069D"/>
    <w:rsid w:val="29AE4979"/>
    <w:rsid w:val="29AF73CD"/>
    <w:rsid w:val="29AF7B32"/>
    <w:rsid w:val="29B16081"/>
    <w:rsid w:val="29B76C96"/>
    <w:rsid w:val="29BA1DFE"/>
    <w:rsid w:val="29C53046"/>
    <w:rsid w:val="29C77893"/>
    <w:rsid w:val="29D4694B"/>
    <w:rsid w:val="29D97CF9"/>
    <w:rsid w:val="29E11D6A"/>
    <w:rsid w:val="29E325E0"/>
    <w:rsid w:val="29E54815"/>
    <w:rsid w:val="29EC6282"/>
    <w:rsid w:val="29EE38AF"/>
    <w:rsid w:val="29F76205"/>
    <w:rsid w:val="29FF7BAB"/>
    <w:rsid w:val="2A0329F7"/>
    <w:rsid w:val="2A04596B"/>
    <w:rsid w:val="2A063491"/>
    <w:rsid w:val="2A0936B7"/>
    <w:rsid w:val="2A102562"/>
    <w:rsid w:val="2A202079"/>
    <w:rsid w:val="2A2B2EF8"/>
    <w:rsid w:val="2A2B739C"/>
    <w:rsid w:val="2A3049B2"/>
    <w:rsid w:val="2A345EFF"/>
    <w:rsid w:val="2A3F3084"/>
    <w:rsid w:val="2A452503"/>
    <w:rsid w:val="2A472FCB"/>
    <w:rsid w:val="2A4971D6"/>
    <w:rsid w:val="2A4C2E6E"/>
    <w:rsid w:val="2A506E02"/>
    <w:rsid w:val="2A570191"/>
    <w:rsid w:val="2A597CBF"/>
    <w:rsid w:val="2A5E1E5B"/>
    <w:rsid w:val="2A6669AD"/>
    <w:rsid w:val="2A6B1717"/>
    <w:rsid w:val="2A6E2051"/>
    <w:rsid w:val="2A6E7289"/>
    <w:rsid w:val="2A703001"/>
    <w:rsid w:val="2A79367A"/>
    <w:rsid w:val="2A956BAE"/>
    <w:rsid w:val="2A992557"/>
    <w:rsid w:val="2AA35184"/>
    <w:rsid w:val="2AAF1D7B"/>
    <w:rsid w:val="2AB621E2"/>
    <w:rsid w:val="2AB82F27"/>
    <w:rsid w:val="2AB90ADD"/>
    <w:rsid w:val="2ABC7FF4"/>
    <w:rsid w:val="2AC33130"/>
    <w:rsid w:val="2AD31C4D"/>
    <w:rsid w:val="2ADB12BB"/>
    <w:rsid w:val="2AE13EFE"/>
    <w:rsid w:val="2AE8528D"/>
    <w:rsid w:val="2AFC6642"/>
    <w:rsid w:val="2AFE685E"/>
    <w:rsid w:val="2B0A5203"/>
    <w:rsid w:val="2B0A6F32"/>
    <w:rsid w:val="2B0B5CF6"/>
    <w:rsid w:val="2B113FC7"/>
    <w:rsid w:val="2B17347C"/>
    <w:rsid w:val="2B2133CD"/>
    <w:rsid w:val="2B261911"/>
    <w:rsid w:val="2B3A62A1"/>
    <w:rsid w:val="2B3B62FD"/>
    <w:rsid w:val="2B3B716B"/>
    <w:rsid w:val="2B3F7A70"/>
    <w:rsid w:val="2B4B3405"/>
    <w:rsid w:val="2B4F557A"/>
    <w:rsid w:val="2B6A5CA2"/>
    <w:rsid w:val="2B74267D"/>
    <w:rsid w:val="2B804E5C"/>
    <w:rsid w:val="2B8239F0"/>
    <w:rsid w:val="2B8D408C"/>
    <w:rsid w:val="2B8F48AC"/>
    <w:rsid w:val="2B9845BD"/>
    <w:rsid w:val="2BA556A4"/>
    <w:rsid w:val="2BA936A8"/>
    <w:rsid w:val="2BBC4F3C"/>
    <w:rsid w:val="2BC74EA2"/>
    <w:rsid w:val="2BC82075"/>
    <w:rsid w:val="2BCF7133"/>
    <w:rsid w:val="2BD31A99"/>
    <w:rsid w:val="2BD75E9C"/>
    <w:rsid w:val="2BDD0222"/>
    <w:rsid w:val="2BEB72C1"/>
    <w:rsid w:val="2BF11F1F"/>
    <w:rsid w:val="2BF65788"/>
    <w:rsid w:val="2BF67536"/>
    <w:rsid w:val="2BFB7FD4"/>
    <w:rsid w:val="2BFD6B16"/>
    <w:rsid w:val="2BFE44B4"/>
    <w:rsid w:val="2C0A2E19"/>
    <w:rsid w:val="2C0B7ED0"/>
    <w:rsid w:val="2C0E2F64"/>
    <w:rsid w:val="2C15074D"/>
    <w:rsid w:val="2C1F6A8C"/>
    <w:rsid w:val="2C216596"/>
    <w:rsid w:val="2C2D5A76"/>
    <w:rsid w:val="2C2D6D7E"/>
    <w:rsid w:val="2C315A5A"/>
    <w:rsid w:val="2C3C763E"/>
    <w:rsid w:val="2C411594"/>
    <w:rsid w:val="2C4402A1"/>
    <w:rsid w:val="2C4604BD"/>
    <w:rsid w:val="2C462C92"/>
    <w:rsid w:val="2C4958B7"/>
    <w:rsid w:val="2C4A4B03"/>
    <w:rsid w:val="2C4B1C25"/>
    <w:rsid w:val="2C4F7809"/>
    <w:rsid w:val="2C5B55EB"/>
    <w:rsid w:val="2C620D1D"/>
    <w:rsid w:val="2C635455"/>
    <w:rsid w:val="2C636C83"/>
    <w:rsid w:val="2C680433"/>
    <w:rsid w:val="2C6E4775"/>
    <w:rsid w:val="2C7156F5"/>
    <w:rsid w:val="2C73502A"/>
    <w:rsid w:val="2C837321"/>
    <w:rsid w:val="2C876C5E"/>
    <w:rsid w:val="2C882884"/>
    <w:rsid w:val="2C8D18A5"/>
    <w:rsid w:val="2CA9162A"/>
    <w:rsid w:val="2CAD5E46"/>
    <w:rsid w:val="2CB140B2"/>
    <w:rsid w:val="2CC2694A"/>
    <w:rsid w:val="2CCE21C1"/>
    <w:rsid w:val="2CCE32A4"/>
    <w:rsid w:val="2CE73556"/>
    <w:rsid w:val="2CE96B72"/>
    <w:rsid w:val="2CED0503"/>
    <w:rsid w:val="2CED607E"/>
    <w:rsid w:val="2CF0363F"/>
    <w:rsid w:val="2CF21CA8"/>
    <w:rsid w:val="2CF819F1"/>
    <w:rsid w:val="2CF972DD"/>
    <w:rsid w:val="2CFE071A"/>
    <w:rsid w:val="2D037E50"/>
    <w:rsid w:val="2D0401BB"/>
    <w:rsid w:val="2D0637A8"/>
    <w:rsid w:val="2D0D0953"/>
    <w:rsid w:val="2D102879"/>
    <w:rsid w:val="2D1063D5"/>
    <w:rsid w:val="2D1D0DB6"/>
    <w:rsid w:val="2D1E755B"/>
    <w:rsid w:val="2D200D0E"/>
    <w:rsid w:val="2D256324"/>
    <w:rsid w:val="2D285E15"/>
    <w:rsid w:val="2D32728C"/>
    <w:rsid w:val="2D4367AA"/>
    <w:rsid w:val="2D463A8E"/>
    <w:rsid w:val="2D4A0B33"/>
    <w:rsid w:val="2D522E91"/>
    <w:rsid w:val="2D595BE6"/>
    <w:rsid w:val="2D5B3A91"/>
    <w:rsid w:val="2D681C32"/>
    <w:rsid w:val="2D6B3F5D"/>
    <w:rsid w:val="2D831E43"/>
    <w:rsid w:val="2D850B71"/>
    <w:rsid w:val="2D880661"/>
    <w:rsid w:val="2D8B37F1"/>
    <w:rsid w:val="2D8C63A3"/>
    <w:rsid w:val="2D8D7A26"/>
    <w:rsid w:val="2D917516"/>
    <w:rsid w:val="2D9278AF"/>
    <w:rsid w:val="2D990AC0"/>
    <w:rsid w:val="2D9B6998"/>
    <w:rsid w:val="2D9E56F5"/>
    <w:rsid w:val="2DA27975"/>
    <w:rsid w:val="2DB766E1"/>
    <w:rsid w:val="2DBA7522"/>
    <w:rsid w:val="2DBB19D6"/>
    <w:rsid w:val="2DC41EB4"/>
    <w:rsid w:val="2DC54F92"/>
    <w:rsid w:val="2DC63F23"/>
    <w:rsid w:val="2DCC3BFB"/>
    <w:rsid w:val="2DCF2F7A"/>
    <w:rsid w:val="2DCF6290"/>
    <w:rsid w:val="2DD90EBD"/>
    <w:rsid w:val="2DDA099F"/>
    <w:rsid w:val="2DDB4C35"/>
    <w:rsid w:val="2DDF2977"/>
    <w:rsid w:val="2DE47F8D"/>
    <w:rsid w:val="2DE51610"/>
    <w:rsid w:val="2DF45CF7"/>
    <w:rsid w:val="2DF6342E"/>
    <w:rsid w:val="2DFA3CCF"/>
    <w:rsid w:val="2DFE0923"/>
    <w:rsid w:val="2E036741"/>
    <w:rsid w:val="2E100D83"/>
    <w:rsid w:val="2E14796A"/>
    <w:rsid w:val="2E1A575D"/>
    <w:rsid w:val="2E1D349F"/>
    <w:rsid w:val="2E293925"/>
    <w:rsid w:val="2E2B0E5E"/>
    <w:rsid w:val="2E2F3CF8"/>
    <w:rsid w:val="2E313F96"/>
    <w:rsid w:val="2E3A0657"/>
    <w:rsid w:val="2E3D76E0"/>
    <w:rsid w:val="2E440A2C"/>
    <w:rsid w:val="2E530C6F"/>
    <w:rsid w:val="2E546894"/>
    <w:rsid w:val="2E560FCC"/>
    <w:rsid w:val="2E561889"/>
    <w:rsid w:val="2E570434"/>
    <w:rsid w:val="2E5C5D76"/>
    <w:rsid w:val="2E667F96"/>
    <w:rsid w:val="2E750FC7"/>
    <w:rsid w:val="2E7813FC"/>
    <w:rsid w:val="2E7C28D5"/>
    <w:rsid w:val="2E8226AB"/>
    <w:rsid w:val="2E884DBD"/>
    <w:rsid w:val="2E8E1B40"/>
    <w:rsid w:val="2E8E7EF9"/>
    <w:rsid w:val="2E905942"/>
    <w:rsid w:val="2E9372BE"/>
    <w:rsid w:val="2E9E0F5A"/>
    <w:rsid w:val="2EA339A5"/>
    <w:rsid w:val="2EA414CB"/>
    <w:rsid w:val="2EB2227F"/>
    <w:rsid w:val="2EB71367"/>
    <w:rsid w:val="2EBA3BC1"/>
    <w:rsid w:val="2EBB1ADA"/>
    <w:rsid w:val="2EC5717E"/>
    <w:rsid w:val="2EC70374"/>
    <w:rsid w:val="2EC82C8C"/>
    <w:rsid w:val="2EC92CDF"/>
    <w:rsid w:val="2ECD6C74"/>
    <w:rsid w:val="2ECF6B10"/>
    <w:rsid w:val="2ED33B5E"/>
    <w:rsid w:val="2EDB72F1"/>
    <w:rsid w:val="2EE713B8"/>
    <w:rsid w:val="2EF04710"/>
    <w:rsid w:val="2EF7440A"/>
    <w:rsid w:val="2F0C78AB"/>
    <w:rsid w:val="2F191EB9"/>
    <w:rsid w:val="2F2148C9"/>
    <w:rsid w:val="2F21661C"/>
    <w:rsid w:val="2F236C64"/>
    <w:rsid w:val="2F285C58"/>
    <w:rsid w:val="2F2B1BEC"/>
    <w:rsid w:val="2F2D14C0"/>
    <w:rsid w:val="2F3152EB"/>
    <w:rsid w:val="2F34284F"/>
    <w:rsid w:val="2F343395"/>
    <w:rsid w:val="2F370591"/>
    <w:rsid w:val="2F37233F"/>
    <w:rsid w:val="2F383227"/>
    <w:rsid w:val="2F3A3BDD"/>
    <w:rsid w:val="2F3D7554"/>
    <w:rsid w:val="2F427E43"/>
    <w:rsid w:val="2F5332D9"/>
    <w:rsid w:val="2F544C9F"/>
    <w:rsid w:val="2F566C69"/>
    <w:rsid w:val="2F58593E"/>
    <w:rsid w:val="2F5876BD"/>
    <w:rsid w:val="2F5A28D8"/>
    <w:rsid w:val="2F5A7DDB"/>
    <w:rsid w:val="2F621F70"/>
    <w:rsid w:val="2F6550C0"/>
    <w:rsid w:val="2F671CE5"/>
    <w:rsid w:val="2F6824F8"/>
    <w:rsid w:val="2F6951BC"/>
    <w:rsid w:val="2F6A2714"/>
    <w:rsid w:val="2F6C002B"/>
    <w:rsid w:val="2F6C023B"/>
    <w:rsid w:val="2F6D7B0F"/>
    <w:rsid w:val="2F725125"/>
    <w:rsid w:val="2F740D3E"/>
    <w:rsid w:val="2F746469"/>
    <w:rsid w:val="2F750D05"/>
    <w:rsid w:val="2F7722EC"/>
    <w:rsid w:val="2F7A1EFC"/>
    <w:rsid w:val="2F7B047E"/>
    <w:rsid w:val="2F7E1D1C"/>
    <w:rsid w:val="2F882B9B"/>
    <w:rsid w:val="2F923FCD"/>
    <w:rsid w:val="2F930294"/>
    <w:rsid w:val="2F936BBF"/>
    <w:rsid w:val="2F947791"/>
    <w:rsid w:val="2F961DD2"/>
    <w:rsid w:val="2F9B0B20"/>
    <w:rsid w:val="2F9B28CE"/>
    <w:rsid w:val="2F9B467C"/>
    <w:rsid w:val="2F9E36DF"/>
    <w:rsid w:val="2FA12BA4"/>
    <w:rsid w:val="2FA71DA6"/>
    <w:rsid w:val="2FB31B3E"/>
    <w:rsid w:val="2FB72A2A"/>
    <w:rsid w:val="2FBD2DB5"/>
    <w:rsid w:val="2FBE5E02"/>
    <w:rsid w:val="2FBF569F"/>
    <w:rsid w:val="2FC040E2"/>
    <w:rsid w:val="2FCB4655"/>
    <w:rsid w:val="2FCC431A"/>
    <w:rsid w:val="2FD065E6"/>
    <w:rsid w:val="2FD14541"/>
    <w:rsid w:val="2FD96870"/>
    <w:rsid w:val="2FDB53C0"/>
    <w:rsid w:val="2FDC6A42"/>
    <w:rsid w:val="2FDE0A0C"/>
    <w:rsid w:val="2FE04BDD"/>
    <w:rsid w:val="2FE35EE7"/>
    <w:rsid w:val="2FE70C36"/>
    <w:rsid w:val="2FE778C1"/>
    <w:rsid w:val="2FEB751E"/>
    <w:rsid w:val="2FF10740"/>
    <w:rsid w:val="2FF16992"/>
    <w:rsid w:val="2FF173F7"/>
    <w:rsid w:val="2FF73F0C"/>
    <w:rsid w:val="2FFE2E5D"/>
    <w:rsid w:val="30010362"/>
    <w:rsid w:val="30022057"/>
    <w:rsid w:val="3005243D"/>
    <w:rsid w:val="300A35B0"/>
    <w:rsid w:val="30115311"/>
    <w:rsid w:val="301304BE"/>
    <w:rsid w:val="30142680"/>
    <w:rsid w:val="301461DC"/>
    <w:rsid w:val="30147F19"/>
    <w:rsid w:val="302A3C52"/>
    <w:rsid w:val="302F7B8D"/>
    <w:rsid w:val="30314FE0"/>
    <w:rsid w:val="30354AD0"/>
    <w:rsid w:val="30442F65"/>
    <w:rsid w:val="304B42F4"/>
    <w:rsid w:val="30564A47"/>
    <w:rsid w:val="30580BC9"/>
    <w:rsid w:val="305A14E1"/>
    <w:rsid w:val="305B205D"/>
    <w:rsid w:val="305B3BBD"/>
    <w:rsid w:val="305C3331"/>
    <w:rsid w:val="306929CC"/>
    <w:rsid w:val="30770777"/>
    <w:rsid w:val="307A0735"/>
    <w:rsid w:val="30806AFC"/>
    <w:rsid w:val="308471EB"/>
    <w:rsid w:val="308570DA"/>
    <w:rsid w:val="30877C3E"/>
    <w:rsid w:val="30896BCA"/>
    <w:rsid w:val="3095454C"/>
    <w:rsid w:val="309657DE"/>
    <w:rsid w:val="3098505F"/>
    <w:rsid w:val="309D4424"/>
    <w:rsid w:val="309F560C"/>
    <w:rsid w:val="30A12166"/>
    <w:rsid w:val="30B359F5"/>
    <w:rsid w:val="30B8125D"/>
    <w:rsid w:val="30C776F3"/>
    <w:rsid w:val="30CE404F"/>
    <w:rsid w:val="30CF3545"/>
    <w:rsid w:val="30D00355"/>
    <w:rsid w:val="30DA76A0"/>
    <w:rsid w:val="30E16A06"/>
    <w:rsid w:val="30E262DA"/>
    <w:rsid w:val="30E958BB"/>
    <w:rsid w:val="30EA32AA"/>
    <w:rsid w:val="30ED2B9B"/>
    <w:rsid w:val="30F027A5"/>
    <w:rsid w:val="30F524B2"/>
    <w:rsid w:val="30F54260"/>
    <w:rsid w:val="31000B90"/>
    <w:rsid w:val="3103697D"/>
    <w:rsid w:val="310A2DDF"/>
    <w:rsid w:val="311C258D"/>
    <w:rsid w:val="311E2ED7"/>
    <w:rsid w:val="311E5564"/>
    <w:rsid w:val="311F7C0E"/>
    <w:rsid w:val="3122274C"/>
    <w:rsid w:val="3124445F"/>
    <w:rsid w:val="312671A8"/>
    <w:rsid w:val="31280191"/>
    <w:rsid w:val="312F620E"/>
    <w:rsid w:val="313119BC"/>
    <w:rsid w:val="3141008C"/>
    <w:rsid w:val="31462D0D"/>
    <w:rsid w:val="31487FF4"/>
    <w:rsid w:val="315216B2"/>
    <w:rsid w:val="315619EE"/>
    <w:rsid w:val="31570E28"/>
    <w:rsid w:val="315C449C"/>
    <w:rsid w:val="3160723B"/>
    <w:rsid w:val="31644F41"/>
    <w:rsid w:val="316724A2"/>
    <w:rsid w:val="31682C84"/>
    <w:rsid w:val="317844FC"/>
    <w:rsid w:val="317B22E0"/>
    <w:rsid w:val="31851584"/>
    <w:rsid w:val="318D26EA"/>
    <w:rsid w:val="3197135A"/>
    <w:rsid w:val="319D4F00"/>
    <w:rsid w:val="319E6243"/>
    <w:rsid w:val="31B00187"/>
    <w:rsid w:val="31B45EC9"/>
    <w:rsid w:val="31B82709"/>
    <w:rsid w:val="31B9703B"/>
    <w:rsid w:val="31BF1E92"/>
    <w:rsid w:val="31C43270"/>
    <w:rsid w:val="31CD698B"/>
    <w:rsid w:val="31CF2D03"/>
    <w:rsid w:val="31D03157"/>
    <w:rsid w:val="31D05482"/>
    <w:rsid w:val="31D420C7"/>
    <w:rsid w:val="31D733BD"/>
    <w:rsid w:val="31DB16A7"/>
    <w:rsid w:val="31DF73D4"/>
    <w:rsid w:val="31E13B10"/>
    <w:rsid w:val="31E57251"/>
    <w:rsid w:val="31E87C5A"/>
    <w:rsid w:val="31ED4F37"/>
    <w:rsid w:val="31F35C74"/>
    <w:rsid w:val="31FA45F8"/>
    <w:rsid w:val="3201451E"/>
    <w:rsid w:val="32075FF9"/>
    <w:rsid w:val="320F30FF"/>
    <w:rsid w:val="32123F1D"/>
    <w:rsid w:val="32124FE3"/>
    <w:rsid w:val="32142AFE"/>
    <w:rsid w:val="321B27F0"/>
    <w:rsid w:val="32236BAB"/>
    <w:rsid w:val="32252923"/>
    <w:rsid w:val="322A6129"/>
    <w:rsid w:val="322F37A1"/>
    <w:rsid w:val="32400B34"/>
    <w:rsid w:val="32582CF8"/>
    <w:rsid w:val="325C0D35"/>
    <w:rsid w:val="325E5DF0"/>
    <w:rsid w:val="32600419"/>
    <w:rsid w:val="32626920"/>
    <w:rsid w:val="326276D3"/>
    <w:rsid w:val="32673AEF"/>
    <w:rsid w:val="326B4FAC"/>
    <w:rsid w:val="327301CC"/>
    <w:rsid w:val="32764F2C"/>
    <w:rsid w:val="32794A1C"/>
    <w:rsid w:val="327D7287"/>
    <w:rsid w:val="32847649"/>
    <w:rsid w:val="3285258B"/>
    <w:rsid w:val="32976211"/>
    <w:rsid w:val="32986770"/>
    <w:rsid w:val="329B4993"/>
    <w:rsid w:val="329E6876"/>
    <w:rsid w:val="329F26D5"/>
    <w:rsid w:val="32A01FA9"/>
    <w:rsid w:val="32A370F4"/>
    <w:rsid w:val="32A93083"/>
    <w:rsid w:val="32AA5062"/>
    <w:rsid w:val="32B1557B"/>
    <w:rsid w:val="32C51A10"/>
    <w:rsid w:val="32D15BEA"/>
    <w:rsid w:val="32D16607"/>
    <w:rsid w:val="32DC64F2"/>
    <w:rsid w:val="32DD02FC"/>
    <w:rsid w:val="32DD373B"/>
    <w:rsid w:val="32E75E2A"/>
    <w:rsid w:val="32EB2C4E"/>
    <w:rsid w:val="32F347CF"/>
    <w:rsid w:val="32F72511"/>
    <w:rsid w:val="32F84F40"/>
    <w:rsid w:val="32FD41BB"/>
    <w:rsid w:val="32FE570E"/>
    <w:rsid w:val="3301726D"/>
    <w:rsid w:val="330C6B07"/>
    <w:rsid w:val="3310657F"/>
    <w:rsid w:val="33134E71"/>
    <w:rsid w:val="331E109C"/>
    <w:rsid w:val="33204932"/>
    <w:rsid w:val="333015F2"/>
    <w:rsid w:val="33366171"/>
    <w:rsid w:val="33370B5F"/>
    <w:rsid w:val="333C7F24"/>
    <w:rsid w:val="33490893"/>
    <w:rsid w:val="334B6320"/>
    <w:rsid w:val="334D791B"/>
    <w:rsid w:val="334E7C57"/>
    <w:rsid w:val="335214F5"/>
    <w:rsid w:val="33550153"/>
    <w:rsid w:val="335E4F9D"/>
    <w:rsid w:val="337121D3"/>
    <w:rsid w:val="33742629"/>
    <w:rsid w:val="337B4EF0"/>
    <w:rsid w:val="337E22EA"/>
    <w:rsid w:val="337F5726"/>
    <w:rsid w:val="3381002D"/>
    <w:rsid w:val="33890C8F"/>
    <w:rsid w:val="338942C5"/>
    <w:rsid w:val="338F274A"/>
    <w:rsid w:val="3392553F"/>
    <w:rsid w:val="3394135A"/>
    <w:rsid w:val="33995376"/>
    <w:rsid w:val="33996415"/>
    <w:rsid w:val="339A76E1"/>
    <w:rsid w:val="33A1422B"/>
    <w:rsid w:val="33A31D51"/>
    <w:rsid w:val="33A65CE5"/>
    <w:rsid w:val="33AF0601"/>
    <w:rsid w:val="33AF6948"/>
    <w:rsid w:val="33B642E1"/>
    <w:rsid w:val="33B71CA0"/>
    <w:rsid w:val="33BA0A75"/>
    <w:rsid w:val="33BC72B7"/>
    <w:rsid w:val="33C543BD"/>
    <w:rsid w:val="33C65CC3"/>
    <w:rsid w:val="33C86348"/>
    <w:rsid w:val="33C87A09"/>
    <w:rsid w:val="33C959FF"/>
    <w:rsid w:val="33D26ADA"/>
    <w:rsid w:val="33D463AE"/>
    <w:rsid w:val="33D934D4"/>
    <w:rsid w:val="33E16D1D"/>
    <w:rsid w:val="33E61880"/>
    <w:rsid w:val="33EC7B9C"/>
    <w:rsid w:val="33EF2A92"/>
    <w:rsid w:val="33F46A50"/>
    <w:rsid w:val="33F94067"/>
    <w:rsid w:val="33FA3352"/>
    <w:rsid w:val="33FB393B"/>
    <w:rsid w:val="33FE2F6A"/>
    <w:rsid w:val="340071A3"/>
    <w:rsid w:val="34015BA1"/>
    <w:rsid w:val="34027037"/>
    <w:rsid w:val="340547BA"/>
    <w:rsid w:val="340E07E5"/>
    <w:rsid w:val="341669C7"/>
    <w:rsid w:val="341B38A7"/>
    <w:rsid w:val="341C7156"/>
    <w:rsid w:val="34225749"/>
    <w:rsid w:val="34235BF7"/>
    <w:rsid w:val="34244738"/>
    <w:rsid w:val="342A38B9"/>
    <w:rsid w:val="342D0896"/>
    <w:rsid w:val="342D5ABF"/>
    <w:rsid w:val="343E5F1E"/>
    <w:rsid w:val="344352E2"/>
    <w:rsid w:val="344C23E9"/>
    <w:rsid w:val="3451224B"/>
    <w:rsid w:val="34592D57"/>
    <w:rsid w:val="345E7359"/>
    <w:rsid w:val="34607C42"/>
    <w:rsid w:val="34611B0D"/>
    <w:rsid w:val="346A25A1"/>
    <w:rsid w:val="346F6C02"/>
    <w:rsid w:val="347D07F4"/>
    <w:rsid w:val="347D42B6"/>
    <w:rsid w:val="347E631A"/>
    <w:rsid w:val="34833930"/>
    <w:rsid w:val="348A04C8"/>
    <w:rsid w:val="348A1163"/>
    <w:rsid w:val="348C6C89"/>
    <w:rsid w:val="348E0C53"/>
    <w:rsid w:val="348F22D5"/>
    <w:rsid w:val="349B3370"/>
    <w:rsid w:val="34A246FE"/>
    <w:rsid w:val="34AC2A1E"/>
    <w:rsid w:val="34AF11BB"/>
    <w:rsid w:val="34B63068"/>
    <w:rsid w:val="34BA37F6"/>
    <w:rsid w:val="34BD50C3"/>
    <w:rsid w:val="34C226AB"/>
    <w:rsid w:val="34C40CDE"/>
    <w:rsid w:val="34E002AF"/>
    <w:rsid w:val="34E34B58"/>
    <w:rsid w:val="34E40873"/>
    <w:rsid w:val="34EA69B4"/>
    <w:rsid w:val="34F60C78"/>
    <w:rsid w:val="34F62354"/>
    <w:rsid w:val="34FB796B"/>
    <w:rsid w:val="34FC399A"/>
    <w:rsid w:val="34FD6C50"/>
    <w:rsid w:val="350E769E"/>
    <w:rsid w:val="351F3659"/>
    <w:rsid w:val="35246EC1"/>
    <w:rsid w:val="352C4811"/>
    <w:rsid w:val="352C5D76"/>
    <w:rsid w:val="354457B6"/>
    <w:rsid w:val="354539F7"/>
    <w:rsid w:val="354C275A"/>
    <w:rsid w:val="35586B6B"/>
    <w:rsid w:val="3564176B"/>
    <w:rsid w:val="35777939"/>
    <w:rsid w:val="357C401A"/>
    <w:rsid w:val="357F7A0D"/>
    <w:rsid w:val="358410F1"/>
    <w:rsid w:val="358C2B79"/>
    <w:rsid w:val="358C5FA8"/>
    <w:rsid w:val="358E1D1C"/>
    <w:rsid w:val="35A60FB7"/>
    <w:rsid w:val="35B069A7"/>
    <w:rsid w:val="35B407B0"/>
    <w:rsid w:val="35B65EFF"/>
    <w:rsid w:val="35B829F9"/>
    <w:rsid w:val="35BA21E7"/>
    <w:rsid w:val="35BF6BEA"/>
    <w:rsid w:val="35C12962"/>
    <w:rsid w:val="35C15DF1"/>
    <w:rsid w:val="35C30488"/>
    <w:rsid w:val="35C83CF1"/>
    <w:rsid w:val="35D54660"/>
    <w:rsid w:val="35DB7EC8"/>
    <w:rsid w:val="35E24882"/>
    <w:rsid w:val="35E254AC"/>
    <w:rsid w:val="35E42DBE"/>
    <w:rsid w:val="35E92ABC"/>
    <w:rsid w:val="35EF5721"/>
    <w:rsid w:val="35F03248"/>
    <w:rsid w:val="3600792F"/>
    <w:rsid w:val="36064819"/>
    <w:rsid w:val="36070CBD"/>
    <w:rsid w:val="36074A7F"/>
    <w:rsid w:val="36085658"/>
    <w:rsid w:val="360C4139"/>
    <w:rsid w:val="360C4A3D"/>
    <w:rsid w:val="361063EE"/>
    <w:rsid w:val="3613134A"/>
    <w:rsid w:val="36165869"/>
    <w:rsid w:val="361D4F01"/>
    <w:rsid w:val="362658B3"/>
    <w:rsid w:val="362728AA"/>
    <w:rsid w:val="36295031"/>
    <w:rsid w:val="363470C6"/>
    <w:rsid w:val="3636737A"/>
    <w:rsid w:val="36384FAA"/>
    <w:rsid w:val="36395329"/>
    <w:rsid w:val="36402451"/>
    <w:rsid w:val="36405BA6"/>
    <w:rsid w:val="3647586B"/>
    <w:rsid w:val="36484E32"/>
    <w:rsid w:val="364C2B74"/>
    <w:rsid w:val="36542BF9"/>
    <w:rsid w:val="36653BF7"/>
    <w:rsid w:val="36673F0B"/>
    <w:rsid w:val="36687282"/>
    <w:rsid w:val="36704FB1"/>
    <w:rsid w:val="367125DA"/>
    <w:rsid w:val="367354F1"/>
    <w:rsid w:val="36772D3D"/>
    <w:rsid w:val="36782EA8"/>
    <w:rsid w:val="367F31AF"/>
    <w:rsid w:val="367F34CD"/>
    <w:rsid w:val="3684230E"/>
    <w:rsid w:val="36851BE2"/>
    <w:rsid w:val="368B3464"/>
    <w:rsid w:val="368D466C"/>
    <w:rsid w:val="368D6CE8"/>
    <w:rsid w:val="36923549"/>
    <w:rsid w:val="36985DB9"/>
    <w:rsid w:val="369B2FE3"/>
    <w:rsid w:val="369D12D4"/>
    <w:rsid w:val="36A66E27"/>
    <w:rsid w:val="36AE1139"/>
    <w:rsid w:val="36B75FBF"/>
    <w:rsid w:val="36B9188B"/>
    <w:rsid w:val="36BD0C45"/>
    <w:rsid w:val="36C66D6E"/>
    <w:rsid w:val="36DA1F2E"/>
    <w:rsid w:val="36E37F45"/>
    <w:rsid w:val="36E84085"/>
    <w:rsid w:val="36E87945"/>
    <w:rsid w:val="36FA25FB"/>
    <w:rsid w:val="36FF1994"/>
    <w:rsid w:val="36FF47C1"/>
    <w:rsid w:val="37033122"/>
    <w:rsid w:val="37040D59"/>
    <w:rsid w:val="370730B7"/>
    <w:rsid w:val="37094512"/>
    <w:rsid w:val="37182A56"/>
    <w:rsid w:val="37195227"/>
    <w:rsid w:val="371C2E27"/>
    <w:rsid w:val="371D36BB"/>
    <w:rsid w:val="37294C63"/>
    <w:rsid w:val="372A05A6"/>
    <w:rsid w:val="37313B18"/>
    <w:rsid w:val="37335AE2"/>
    <w:rsid w:val="373B350A"/>
    <w:rsid w:val="373B4019"/>
    <w:rsid w:val="373B5423"/>
    <w:rsid w:val="373D441A"/>
    <w:rsid w:val="373E7CBB"/>
    <w:rsid w:val="37403D5B"/>
    <w:rsid w:val="37440B85"/>
    <w:rsid w:val="37441841"/>
    <w:rsid w:val="37533A8E"/>
    <w:rsid w:val="375515B4"/>
    <w:rsid w:val="37555A58"/>
    <w:rsid w:val="375A5B73"/>
    <w:rsid w:val="375B6455"/>
    <w:rsid w:val="376B527C"/>
    <w:rsid w:val="376E6B1A"/>
    <w:rsid w:val="37702892"/>
    <w:rsid w:val="37865C12"/>
    <w:rsid w:val="378C3928"/>
    <w:rsid w:val="378C567A"/>
    <w:rsid w:val="379412E7"/>
    <w:rsid w:val="3795023E"/>
    <w:rsid w:val="379A346B"/>
    <w:rsid w:val="379B63A7"/>
    <w:rsid w:val="379C5435"/>
    <w:rsid w:val="379F2CED"/>
    <w:rsid w:val="37A326E4"/>
    <w:rsid w:val="37A442EA"/>
    <w:rsid w:val="37A8268A"/>
    <w:rsid w:val="37AB37A9"/>
    <w:rsid w:val="37B502A5"/>
    <w:rsid w:val="37BD47A0"/>
    <w:rsid w:val="37C30C14"/>
    <w:rsid w:val="37C60704"/>
    <w:rsid w:val="37C91FA2"/>
    <w:rsid w:val="37DE3C9F"/>
    <w:rsid w:val="37E00298"/>
    <w:rsid w:val="37E71C33"/>
    <w:rsid w:val="37E868CC"/>
    <w:rsid w:val="37ED55F8"/>
    <w:rsid w:val="37EE20F3"/>
    <w:rsid w:val="37EE38B8"/>
    <w:rsid w:val="37F07337"/>
    <w:rsid w:val="37F232A7"/>
    <w:rsid w:val="37F54758"/>
    <w:rsid w:val="37FC4126"/>
    <w:rsid w:val="37FC5ED4"/>
    <w:rsid w:val="38037262"/>
    <w:rsid w:val="3804412B"/>
    <w:rsid w:val="381551E7"/>
    <w:rsid w:val="38204131"/>
    <w:rsid w:val="3821593A"/>
    <w:rsid w:val="38286BF6"/>
    <w:rsid w:val="38294D3D"/>
    <w:rsid w:val="382A4476"/>
    <w:rsid w:val="382B0567"/>
    <w:rsid w:val="382B67B9"/>
    <w:rsid w:val="38322F98"/>
    <w:rsid w:val="3833597E"/>
    <w:rsid w:val="38353194"/>
    <w:rsid w:val="3836588A"/>
    <w:rsid w:val="384024AF"/>
    <w:rsid w:val="38425B0B"/>
    <w:rsid w:val="384B10C7"/>
    <w:rsid w:val="384F4255"/>
    <w:rsid w:val="38570304"/>
    <w:rsid w:val="38653A79"/>
    <w:rsid w:val="38654C63"/>
    <w:rsid w:val="387168C2"/>
    <w:rsid w:val="3872273A"/>
    <w:rsid w:val="387463B2"/>
    <w:rsid w:val="387719FE"/>
    <w:rsid w:val="38795776"/>
    <w:rsid w:val="387F6B81"/>
    <w:rsid w:val="38842964"/>
    <w:rsid w:val="38903D84"/>
    <w:rsid w:val="38934A8A"/>
    <w:rsid w:val="38997BC6"/>
    <w:rsid w:val="389D1465"/>
    <w:rsid w:val="389F003B"/>
    <w:rsid w:val="38A26135"/>
    <w:rsid w:val="38A9615A"/>
    <w:rsid w:val="38AC16A8"/>
    <w:rsid w:val="38AD6EAA"/>
    <w:rsid w:val="38AF78F1"/>
    <w:rsid w:val="38B302F9"/>
    <w:rsid w:val="38BD5663"/>
    <w:rsid w:val="38D02EDF"/>
    <w:rsid w:val="38D30D48"/>
    <w:rsid w:val="38D42CFB"/>
    <w:rsid w:val="38D6223B"/>
    <w:rsid w:val="38D66725"/>
    <w:rsid w:val="38DB4241"/>
    <w:rsid w:val="38DD5D05"/>
    <w:rsid w:val="38DE5E5B"/>
    <w:rsid w:val="38E76B84"/>
    <w:rsid w:val="38EA6674"/>
    <w:rsid w:val="38ED4238"/>
    <w:rsid w:val="38F12CD3"/>
    <w:rsid w:val="38F512A1"/>
    <w:rsid w:val="38F62DAA"/>
    <w:rsid w:val="38F90665"/>
    <w:rsid w:val="38F94775"/>
    <w:rsid w:val="38FB262F"/>
    <w:rsid w:val="38FD0155"/>
    <w:rsid w:val="390560C8"/>
    <w:rsid w:val="39073754"/>
    <w:rsid w:val="390908A8"/>
    <w:rsid w:val="390D370A"/>
    <w:rsid w:val="391058CD"/>
    <w:rsid w:val="391060DB"/>
    <w:rsid w:val="39276F80"/>
    <w:rsid w:val="392971ED"/>
    <w:rsid w:val="392C6D82"/>
    <w:rsid w:val="393022D9"/>
    <w:rsid w:val="39325651"/>
    <w:rsid w:val="39333247"/>
    <w:rsid w:val="393578EF"/>
    <w:rsid w:val="393C083D"/>
    <w:rsid w:val="393D3428"/>
    <w:rsid w:val="394704B1"/>
    <w:rsid w:val="394A48AE"/>
    <w:rsid w:val="3951224F"/>
    <w:rsid w:val="39537AB3"/>
    <w:rsid w:val="395960C9"/>
    <w:rsid w:val="39613653"/>
    <w:rsid w:val="39665CFB"/>
    <w:rsid w:val="3971469F"/>
    <w:rsid w:val="397A17A6"/>
    <w:rsid w:val="397C58D7"/>
    <w:rsid w:val="398E27F0"/>
    <w:rsid w:val="399028AB"/>
    <w:rsid w:val="39922F2D"/>
    <w:rsid w:val="39932868"/>
    <w:rsid w:val="39970F49"/>
    <w:rsid w:val="399A59A4"/>
    <w:rsid w:val="39A16D33"/>
    <w:rsid w:val="39A75640"/>
    <w:rsid w:val="39C07EB5"/>
    <w:rsid w:val="39C80763"/>
    <w:rsid w:val="39D07618"/>
    <w:rsid w:val="39D93F64"/>
    <w:rsid w:val="39DC420F"/>
    <w:rsid w:val="39E45DB0"/>
    <w:rsid w:val="39E66E3B"/>
    <w:rsid w:val="39EC600A"/>
    <w:rsid w:val="39F257E0"/>
    <w:rsid w:val="39FA76FB"/>
    <w:rsid w:val="3A0E0140"/>
    <w:rsid w:val="3A10210A"/>
    <w:rsid w:val="3A1514CF"/>
    <w:rsid w:val="3A161251"/>
    <w:rsid w:val="3A1E65D5"/>
    <w:rsid w:val="3A281202"/>
    <w:rsid w:val="3A2B6F44"/>
    <w:rsid w:val="3A3951BD"/>
    <w:rsid w:val="3A3B208F"/>
    <w:rsid w:val="3A402ADC"/>
    <w:rsid w:val="3A445910"/>
    <w:rsid w:val="3A453839"/>
    <w:rsid w:val="3A485400"/>
    <w:rsid w:val="3A4B50E4"/>
    <w:rsid w:val="3A500759"/>
    <w:rsid w:val="3A540249"/>
    <w:rsid w:val="3A5A51DD"/>
    <w:rsid w:val="3A5D15F6"/>
    <w:rsid w:val="3A636C19"/>
    <w:rsid w:val="3A683559"/>
    <w:rsid w:val="3A716D86"/>
    <w:rsid w:val="3A753B68"/>
    <w:rsid w:val="3A872856"/>
    <w:rsid w:val="3A8B00CE"/>
    <w:rsid w:val="3A932DF2"/>
    <w:rsid w:val="3A940645"/>
    <w:rsid w:val="3A9F5844"/>
    <w:rsid w:val="3AA343C9"/>
    <w:rsid w:val="3AA36ADA"/>
    <w:rsid w:val="3AA3797C"/>
    <w:rsid w:val="3AA82343"/>
    <w:rsid w:val="3AAC3BE1"/>
    <w:rsid w:val="3AC56A51"/>
    <w:rsid w:val="3AD44EE6"/>
    <w:rsid w:val="3AD62A0C"/>
    <w:rsid w:val="3AD81FD1"/>
    <w:rsid w:val="3AE6155A"/>
    <w:rsid w:val="3AE80991"/>
    <w:rsid w:val="3AEF3ACE"/>
    <w:rsid w:val="3AF13A86"/>
    <w:rsid w:val="3AF272C6"/>
    <w:rsid w:val="3AF345E7"/>
    <w:rsid w:val="3AFB2240"/>
    <w:rsid w:val="3AFB6916"/>
    <w:rsid w:val="3B057795"/>
    <w:rsid w:val="3B07350D"/>
    <w:rsid w:val="3B1721C0"/>
    <w:rsid w:val="3B195423"/>
    <w:rsid w:val="3B1A1758"/>
    <w:rsid w:val="3B1B30D7"/>
    <w:rsid w:val="3B2144F4"/>
    <w:rsid w:val="3B3763D1"/>
    <w:rsid w:val="3B3A7D1D"/>
    <w:rsid w:val="3B455DE4"/>
    <w:rsid w:val="3B4B164C"/>
    <w:rsid w:val="3B4D154E"/>
    <w:rsid w:val="3B531D3E"/>
    <w:rsid w:val="3B5A6316"/>
    <w:rsid w:val="3B5C762B"/>
    <w:rsid w:val="3B651FE2"/>
    <w:rsid w:val="3B660234"/>
    <w:rsid w:val="3B672905"/>
    <w:rsid w:val="3B6B3A9C"/>
    <w:rsid w:val="3B702E61"/>
    <w:rsid w:val="3B742225"/>
    <w:rsid w:val="3B914B85"/>
    <w:rsid w:val="3B950B19"/>
    <w:rsid w:val="3B9B7FE9"/>
    <w:rsid w:val="3B9D0AFF"/>
    <w:rsid w:val="3BA564DD"/>
    <w:rsid w:val="3BB52F69"/>
    <w:rsid w:val="3BB6350A"/>
    <w:rsid w:val="3BBC42F8"/>
    <w:rsid w:val="3BBD2756"/>
    <w:rsid w:val="3BC27434"/>
    <w:rsid w:val="3BD322AF"/>
    <w:rsid w:val="3BD97F8A"/>
    <w:rsid w:val="3BE12E93"/>
    <w:rsid w:val="3BE13D5E"/>
    <w:rsid w:val="3BE178BA"/>
    <w:rsid w:val="3BE41159"/>
    <w:rsid w:val="3BE63C0C"/>
    <w:rsid w:val="3BEE0D20"/>
    <w:rsid w:val="3BF172B6"/>
    <w:rsid w:val="3BF24E65"/>
    <w:rsid w:val="3BF84B53"/>
    <w:rsid w:val="3BF87B52"/>
    <w:rsid w:val="3BFF5F92"/>
    <w:rsid w:val="3C1518C8"/>
    <w:rsid w:val="3C154AAA"/>
    <w:rsid w:val="3C1A3962"/>
    <w:rsid w:val="3C1C4D96"/>
    <w:rsid w:val="3C291261"/>
    <w:rsid w:val="3C2F6BB9"/>
    <w:rsid w:val="3C2F6E1E"/>
    <w:rsid w:val="3C327638"/>
    <w:rsid w:val="3C3420E0"/>
    <w:rsid w:val="3C395948"/>
    <w:rsid w:val="3C410B97"/>
    <w:rsid w:val="3C4B2DA1"/>
    <w:rsid w:val="3C4B742A"/>
    <w:rsid w:val="3C4F64BA"/>
    <w:rsid w:val="3C5C33E5"/>
    <w:rsid w:val="3C5C5D08"/>
    <w:rsid w:val="3C680F15"/>
    <w:rsid w:val="3C6B7ACC"/>
    <w:rsid w:val="3C700C3E"/>
    <w:rsid w:val="3C740137"/>
    <w:rsid w:val="3C7626F9"/>
    <w:rsid w:val="3C771FCD"/>
    <w:rsid w:val="3C78100C"/>
    <w:rsid w:val="3C79402C"/>
    <w:rsid w:val="3C7A0EB4"/>
    <w:rsid w:val="3C7A7EE9"/>
    <w:rsid w:val="3C8543D2"/>
    <w:rsid w:val="3C8669E9"/>
    <w:rsid w:val="3C8841DA"/>
    <w:rsid w:val="3C8B3CCA"/>
    <w:rsid w:val="3C8C2236"/>
    <w:rsid w:val="3C8E4303"/>
    <w:rsid w:val="3C917532"/>
    <w:rsid w:val="3C94542C"/>
    <w:rsid w:val="3C9B33BB"/>
    <w:rsid w:val="3CA8469F"/>
    <w:rsid w:val="3CBA6648"/>
    <w:rsid w:val="3CBF3FBC"/>
    <w:rsid w:val="3CC558D0"/>
    <w:rsid w:val="3CC835F1"/>
    <w:rsid w:val="3CCC056A"/>
    <w:rsid w:val="3CCE1C69"/>
    <w:rsid w:val="3CD166D1"/>
    <w:rsid w:val="3CDA245A"/>
    <w:rsid w:val="3CDF07A9"/>
    <w:rsid w:val="3CE04016"/>
    <w:rsid w:val="3CE82ECA"/>
    <w:rsid w:val="3CF4186F"/>
    <w:rsid w:val="3CF67629"/>
    <w:rsid w:val="3CFD1A00"/>
    <w:rsid w:val="3CFE5461"/>
    <w:rsid w:val="3D087E91"/>
    <w:rsid w:val="3D09356D"/>
    <w:rsid w:val="3D1141CF"/>
    <w:rsid w:val="3D177D49"/>
    <w:rsid w:val="3D1B397A"/>
    <w:rsid w:val="3D1E06B7"/>
    <w:rsid w:val="3D3319D7"/>
    <w:rsid w:val="3D363C36"/>
    <w:rsid w:val="3D3C4E22"/>
    <w:rsid w:val="3D3E563D"/>
    <w:rsid w:val="3D412BB2"/>
    <w:rsid w:val="3D5A4474"/>
    <w:rsid w:val="3D5C7CE9"/>
    <w:rsid w:val="3D5E4F3B"/>
    <w:rsid w:val="3D851C44"/>
    <w:rsid w:val="3D875233"/>
    <w:rsid w:val="3D8F5426"/>
    <w:rsid w:val="3D9F7A2D"/>
    <w:rsid w:val="3DA25F23"/>
    <w:rsid w:val="3DAE325F"/>
    <w:rsid w:val="3DBD5809"/>
    <w:rsid w:val="3DC47494"/>
    <w:rsid w:val="3DC6700B"/>
    <w:rsid w:val="3DCC6348"/>
    <w:rsid w:val="3DCE20C0"/>
    <w:rsid w:val="3DCE45AA"/>
    <w:rsid w:val="3DD35929"/>
    <w:rsid w:val="3DD5344F"/>
    <w:rsid w:val="3DDA6CB7"/>
    <w:rsid w:val="3DE13E4D"/>
    <w:rsid w:val="3DE418E4"/>
    <w:rsid w:val="3DF41ED7"/>
    <w:rsid w:val="3DFF671E"/>
    <w:rsid w:val="3E0626EB"/>
    <w:rsid w:val="3E0B6E71"/>
    <w:rsid w:val="3E1A2D79"/>
    <w:rsid w:val="3E1C2E2C"/>
    <w:rsid w:val="3E1C4A13"/>
    <w:rsid w:val="3E257C00"/>
    <w:rsid w:val="3E2A4D3B"/>
    <w:rsid w:val="3E2B0B41"/>
    <w:rsid w:val="3E2D4B16"/>
    <w:rsid w:val="3E315F15"/>
    <w:rsid w:val="3E320130"/>
    <w:rsid w:val="3E3514F4"/>
    <w:rsid w:val="3E3A0D01"/>
    <w:rsid w:val="3E3A69E4"/>
    <w:rsid w:val="3E5527E2"/>
    <w:rsid w:val="3E573E64"/>
    <w:rsid w:val="3E5A3954"/>
    <w:rsid w:val="3E5A7DF8"/>
    <w:rsid w:val="3E5C670C"/>
    <w:rsid w:val="3E5D51F2"/>
    <w:rsid w:val="3E614CE2"/>
    <w:rsid w:val="3E642A25"/>
    <w:rsid w:val="3E693B97"/>
    <w:rsid w:val="3E6C7F23"/>
    <w:rsid w:val="3E79027E"/>
    <w:rsid w:val="3E7964D0"/>
    <w:rsid w:val="3E7D63D7"/>
    <w:rsid w:val="3E840AA9"/>
    <w:rsid w:val="3E8E5DFF"/>
    <w:rsid w:val="3E97003F"/>
    <w:rsid w:val="3E98141F"/>
    <w:rsid w:val="3E9C5D1B"/>
    <w:rsid w:val="3EA006FC"/>
    <w:rsid w:val="3EA177D5"/>
    <w:rsid w:val="3EB857CC"/>
    <w:rsid w:val="3EB92D70"/>
    <w:rsid w:val="3EB968CD"/>
    <w:rsid w:val="3EC02E1E"/>
    <w:rsid w:val="3EC46C2D"/>
    <w:rsid w:val="3EC6723B"/>
    <w:rsid w:val="3ED100BA"/>
    <w:rsid w:val="3ED90D1D"/>
    <w:rsid w:val="3EDA0523"/>
    <w:rsid w:val="3EDF0D1D"/>
    <w:rsid w:val="3EF142B8"/>
    <w:rsid w:val="3EFE4C27"/>
    <w:rsid w:val="3F0538C0"/>
    <w:rsid w:val="3F0833B0"/>
    <w:rsid w:val="3F1D63BC"/>
    <w:rsid w:val="3F204B9E"/>
    <w:rsid w:val="3F283A52"/>
    <w:rsid w:val="3F291C83"/>
    <w:rsid w:val="3F2C3542"/>
    <w:rsid w:val="3F2C5E1C"/>
    <w:rsid w:val="3F2E292F"/>
    <w:rsid w:val="3F3474E7"/>
    <w:rsid w:val="3F356C25"/>
    <w:rsid w:val="3F3B3785"/>
    <w:rsid w:val="3F3E5024"/>
    <w:rsid w:val="3F45737D"/>
    <w:rsid w:val="3F4F129A"/>
    <w:rsid w:val="3F5605BF"/>
    <w:rsid w:val="3F5966B3"/>
    <w:rsid w:val="3F5E1598"/>
    <w:rsid w:val="3F656A54"/>
    <w:rsid w:val="3F666DF4"/>
    <w:rsid w:val="3F6C7DE3"/>
    <w:rsid w:val="3F730317"/>
    <w:rsid w:val="3F7917C1"/>
    <w:rsid w:val="3F830C89"/>
    <w:rsid w:val="3F8658B0"/>
    <w:rsid w:val="3F870779"/>
    <w:rsid w:val="3F874C1D"/>
    <w:rsid w:val="3F8C2233"/>
    <w:rsid w:val="3F982986"/>
    <w:rsid w:val="3F996DE1"/>
    <w:rsid w:val="3FA56E51"/>
    <w:rsid w:val="3FB05F21"/>
    <w:rsid w:val="3FB06ECB"/>
    <w:rsid w:val="3FB13A48"/>
    <w:rsid w:val="3FB23B56"/>
    <w:rsid w:val="3FC714BD"/>
    <w:rsid w:val="3FCA3875"/>
    <w:rsid w:val="3FD317D1"/>
    <w:rsid w:val="3FD37E62"/>
    <w:rsid w:val="3FD668A7"/>
    <w:rsid w:val="3FDB2873"/>
    <w:rsid w:val="3FE07E89"/>
    <w:rsid w:val="3FE47979"/>
    <w:rsid w:val="3FE8403A"/>
    <w:rsid w:val="3FEA4B8F"/>
    <w:rsid w:val="3FEE7E70"/>
    <w:rsid w:val="3FEE7F03"/>
    <w:rsid w:val="3FF12096"/>
    <w:rsid w:val="400022D9"/>
    <w:rsid w:val="4004050D"/>
    <w:rsid w:val="4006550C"/>
    <w:rsid w:val="40081B4B"/>
    <w:rsid w:val="400849D8"/>
    <w:rsid w:val="401069C0"/>
    <w:rsid w:val="401A5433"/>
    <w:rsid w:val="401C35B7"/>
    <w:rsid w:val="402C1320"/>
    <w:rsid w:val="40302BBE"/>
    <w:rsid w:val="403830B2"/>
    <w:rsid w:val="403B6859"/>
    <w:rsid w:val="403C105A"/>
    <w:rsid w:val="403D352D"/>
    <w:rsid w:val="4041130F"/>
    <w:rsid w:val="404228F2"/>
    <w:rsid w:val="404C0A10"/>
    <w:rsid w:val="40557EB5"/>
    <w:rsid w:val="40564F35"/>
    <w:rsid w:val="405B0252"/>
    <w:rsid w:val="40644F5E"/>
    <w:rsid w:val="406800A0"/>
    <w:rsid w:val="406E36E7"/>
    <w:rsid w:val="40763B37"/>
    <w:rsid w:val="4077262F"/>
    <w:rsid w:val="407A6407"/>
    <w:rsid w:val="407C22A8"/>
    <w:rsid w:val="408A49C4"/>
    <w:rsid w:val="409929F8"/>
    <w:rsid w:val="40994C08"/>
    <w:rsid w:val="40A70AD1"/>
    <w:rsid w:val="40AD06B3"/>
    <w:rsid w:val="40B0442F"/>
    <w:rsid w:val="40B530C4"/>
    <w:rsid w:val="40B557B9"/>
    <w:rsid w:val="40BE108E"/>
    <w:rsid w:val="40C813CB"/>
    <w:rsid w:val="40C96B6F"/>
    <w:rsid w:val="40CA0E10"/>
    <w:rsid w:val="40D27C92"/>
    <w:rsid w:val="40D4373D"/>
    <w:rsid w:val="40DB42CB"/>
    <w:rsid w:val="40DE261A"/>
    <w:rsid w:val="40DE53CE"/>
    <w:rsid w:val="40E12FDD"/>
    <w:rsid w:val="40E63CA3"/>
    <w:rsid w:val="40E97E37"/>
    <w:rsid w:val="40F0234E"/>
    <w:rsid w:val="40F112A6"/>
    <w:rsid w:val="40F30D18"/>
    <w:rsid w:val="40F94425"/>
    <w:rsid w:val="40FC5196"/>
    <w:rsid w:val="410D1152"/>
    <w:rsid w:val="411648C6"/>
    <w:rsid w:val="41175B2C"/>
    <w:rsid w:val="411A73CB"/>
    <w:rsid w:val="41202C33"/>
    <w:rsid w:val="412333AC"/>
    <w:rsid w:val="41235477"/>
    <w:rsid w:val="41254704"/>
    <w:rsid w:val="41280A8B"/>
    <w:rsid w:val="412F10C8"/>
    <w:rsid w:val="41306BEE"/>
    <w:rsid w:val="41320BB8"/>
    <w:rsid w:val="413C37E5"/>
    <w:rsid w:val="4153125A"/>
    <w:rsid w:val="41581B97"/>
    <w:rsid w:val="41597EF3"/>
    <w:rsid w:val="415C609A"/>
    <w:rsid w:val="415E19AD"/>
    <w:rsid w:val="416F3BBA"/>
    <w:rsid w:val="416F5968"/>
    <w:rsid w:val="4176051C"/>
    <w:rsid w:val="41853637"/>
    <w:rsid w:val="41856F3A"/>
    <w:rsid w:val="4189001E"/>
    <w:rsid w:val="41891B15"/>
    <w:rsid w:val="418A27A2"/>
    <w:rsid w:val="41931657"/>
    <w:rsid w:val="41955191"/>
    <w:rsid w:val="419A11CC"/>
    <w:rsid w:val="419B675D"/>
    <w:rsid w:val="419E1DAA"/>
    <w:rsid w:val="41A904EC"/>
    <w:rsid w:val="41AD023F"/>
    <w:rsid w:val="41AE2328"/>
    <w:rsid w:val="41B4781F"/>
    <w:rsid w:val="41B712D3"/>
    <w:rsid w:val="41CC6917"/>
    <w:rsid w:val="41D103D1"/>
    <w:rsid w:val="41D167D0"/>
    <w:rsid w:val="41D43A1D"/>
    <w:rsid w:val="41D81175"/>
    <w:rsid w:val="41D8350E"/>
    <w:rsid w:val="41F0288A"/>
    <w:rsid w:val="41F83BB0"/>
    <w:rsid w:val="41F92C7C"/>
    <w:rsid w:val="41FF6CEC"/>
    <w:rsid w:val="4200449D"/>
    <w:rsid w:val="42134546"/>
    <w:rsid w:val="42164036"/>
    <w:rsid w:val="42250FE1"/>
    <w:rsid w:val="42313691"/>
    <w:rsid w:val="423A3BCC"/>
    <w:rsid w:val="423B3A9C"/>
    <w:rsid w:val="423D7815"/>
    <w:rsid w:val="4242307D"/>
    <w:rsid w:val="42440BA3"/>
    <w:rsid w:val="4245158B"/>
    <w:rsid w:val="42472C9F"/>
    <w:rsid w:val="4249440B"/>
    <w:rsid w:val="42497F67"/>
    <w:rsid w:val="424C4913"/>
    <w:rsid w:val="424C6D83"/>
    <w:rsid w:val="424E57D2"/>
    <w:rsid w:val="424F43A0"/>
    <w:rsid w:val="425374FC"/>
    <w:rsid w:val="425467D7"/>
    <w:rsid w:val="4258197C"/>
    <w:rsid w:val="425F3C2F"/>
    <w:rsid w:val="426052B1"/>
    <w:rsid w:val="42693271"/>
    <w:rsid w:val="426C6036"/>
    <w:rsid w:val="426D634C"/>
    <w:rsid w:val="426E4ECB"/>
    <w:rsid w:val="42721B0F"/>
    <w:rsid w:val="42727338"/>
    <w:rsid w:val="427420BB"/>
    <w:rsid w:val="427B6081"/>
    <w:rsid w:val="427D40B5"/>
    <w:rsid w:val="427F24D0"/>
    <w:rsid w:val="428216CB"/>
    <w:rsid w:val="428B0943"/>
    <w:rsid w:val="428E1A75"/>
    <w:rsid w:val="428F2D4C"/>
    <w:rsid w:val="42905B96"/>
    <w:rsid w:val="429101F2"/>
    <w:rsid w:val="42925DB2"/>
    <w:rsid w:val="42935686"/>
    <w:rsid w:val="429E0EC5"/>
    <w:rsid w:val="42A5754D"/>
    <w:rsid w:val="42A6668C"/>
    <w:rsid w:val="42B26C49"/>
    <w:rsid w:val="42B64197"/>
    <w:rsid w:val="42B850ED"/>
    <w:rsid w:val="42B85710"/>
    <w:rsid w:val="42B90A74"/>
    <w:rsid w:val="42BA0E65"/>
    <w:rsid w:val="42BD5D38"/>
    <w:rsid w:val="42C56F2E"/>
    <w:rsid w:val="42CD6DEA"/>
    <w:rsid w:val="42D047FA"/>
    <w:rsid w:val="42D60511"/>
    <w:rsid w:val="42D64601"/>
    <w:rsid w:val="42DC702D"/>
    <w:rsid w:val="42DD110E"/>
    <w:rsid w:val="42EB101F"/>
    <w:rsid w:val="42EE0B0F"/>
    <w:rsid w:val="42EF4FB3"/>
    <w:rsid w:val="42F11EE3"/>
    <w:rsid w:val="43011515"/>
    <w:rsid w:val="430345BA"/>
    <w:rsid w:val="43040332"/>
    <w:rsid w:val="430622FC"/>
    <w:rsid w:val="43072734"/>
    <w:rsid w:val="430C2999"/>
    <w:rsid w:val="43171EBC"/>
    <w:rsid w:val="43182E84"/>
    <w:rsid w:val="431C1133"/>
    <w:rsid w:val="43274B4D"/>
    <w:rsid w:val="432C19CB"/>
    <w:rsid w:val="43302ED5"/>
    <w:rsid w:val="43317379"/>
    <w:rsid w:val="43360651"/>
    <w:rsid w:val="433A6FE6"/>
    <w:rsid w:val="433E55F2"/>
    <w:rsid w:val="43413CD0"/>
    <w:rsid w:val="43421586"/>
    <w:rsid w:val="43480868"/>
    <w:rsid w:val="434A21E9"/>
    <w:rsid w:val="4350713C"/>
    <w:rsid w:val="435E3EE6"/>
    <w:rsid w:val="435E5C94"/>
    <w:rsid w:val="435F4307"/>
    <w:rsid w:val="43635059"/>
    <w:rsid w:val="43642A19"/>
    <w:rsid w:val="4366488F"/>
    <w:rsid w:val="436653E0"/>
    <w:rsid w:val="43686B13"/>
    <w:rsid w:val="43697616"/>
    <w:rsid w:val="43723CFB"/>
    <w:rsid w:val="437D4D6D"/>
    <w:rsid w:val="438B5C0E"/>
    <w:rsid w:val="438D768E"/>
    <w:rsid w:val="43910CF8"/>
    <w:rsid w:val="43953F18"/>
    <w:rsid w:val="439673DC"/>
    <w:rsid w:val="43973EC2"/>
    <w:rsid w:val="43A044FF"/>
    <w:rsid w:val="43A124D4"/>
    <w:rsid w:val="43A318F9"/>
    <w:rsid w:val="43AA6148"/>
    <w:rsid w:val="43B109D0"/>
    <w:rsid w:val="43B12268"/>
    <w:rsid w:val="43B34177"/>
    <w:rsid w:val="43B6162D"/>
    <w:rsid w:val="43BB3DEB"/>
    <w:rsid w:val="43C4431A"/>
    <w:rsid w:val="43C55D14"/>
    <w:rsid w:val="43C64643"/>
    <w:rsid w:val="43C95804"/>
    <w:rsid w:val="43CB7FA4"/>
    <w:rsid w:val="43CC374D"/>
    <w:rsid w:val="43D146B8"/>
    <w:rsid w:val="43D9734A"/>
    <w:rsid w:val="43DD12AF"/>
    <w:rsid w:val="43DE0B83"/>
    <w:rsid w:val="43DE6DD5"/>
    <w:rsid w:val="43E33365"/>
    <w:rsid w:val="43E91A02"/>
    <w:rsid w:val="43E97C54"/>
    <w:rsid w:val="43F65ECD"/>
    <w:rsid w:val="43FB1735"/>
    <w:rsid w:val="43FB7987"/>
    <w:rsid w:val="440347A7"/>
    <w:rsid w:val="440A1FDA"/>
    <w:rsid w:val="440D7267"/>
    <w:rsid w:val="4413082D"/>
    <w:rsid w:val="44182D17"/>
    <w:rsid w:val="441852C7"/>
    <w:rsid w:val="441C2057"/>
    <w:rsid w:val="44240868"/>
    <w:rsid w:val="44242A3A"/>
    <w:rsid w:val="442742D8"/>
    <w:rsid w:val="442F5243"/>
    <w:rsid w:val="44390FF5"/>
    <w:rsid w:val="443F5AC6"/>
    <w:rsid w:val="44415DD4"/>
    <w:rsid w:val="44420F54"/>
    <w:rsid w:val="44421112"/>
    <w:rsid w:val="444529B0"/>
    <w:rsid w:val="44484690"/>
    <w:rsid w:val="44496945"/>
    <w:rsid w:val="444A6219"/>
    <w:rsid w:val="444A644B"/>
    <w:rsid w:val="445A46AE"/>
    <w:rsid w:val="445C6678"/>
    <w:rsid w:val="44664AEF"/>
    <w:rsid w:val="446C618F"/>
    <w:rsid w:val="44753296"/>
    <w:rsid w:val="44773E82"/>
    <w:rsid w:val="447A2AD1"/>
    <w:rsid w:val="448325FE"/>
    <w:rsid w:val="448D568B"/>
    <w:rsid w:val="4494751B"/>
    <w:rsid w:val="44953E0D"/>
    <w:rsid w:val="44964FD9"/>
    <w:rsid w:val="449A71A0"/>
    <w:rsid w:val="449C4C69"/>
    <w:rsid w:val="449E202C"/>
    <w:rsid w:val="449E24B7"/>
    <w:rsid w:val="44A1408B"/>
    <w:rsid w:val="44A678F3"/>
    <w:rsid w:val="44B02520"/>
    <w:rsid w:val="44B55D88"/>
    <w:rsid w:val="44B64436"/>
    <w:rsid w:val="44B738AE"/>
    <w:rsid w:val="44B951CC"/>
    <w:rsid w:val="44C25C4F"/>
    <w:rsid w:val="44C631BF"/>
    <w:rsid w:val="44CD14E0"/>
    <w:rsid w:val="44DC08E5"/>
    <w:rsid w:val="44E03EDD"/>
    <w:rsid w:val="44E30995"/>
    <w:rsid w:val="44E93466"/>
    <w:rsid w:val="44EB68B1"/>
    <w:rsid w:val="44F113EF"/>
    <w:rsid w:val="44F20B0B"/>
    <w:rsid w:val="44FB3403"/>
    <w:rsid w:val="44FC536A"/>
    <w:rsid w:val="44FF331D"/>
    <w:rsid w:val="45010FCD"/>
    <w:rsid w:val="45014B29"/>
    <w:rsid w:val="450D63FF"/>
    <w:rsid w:val="450F25B5"/>
    <w:rsid w:val="45124F88"/>
    <w:rsid w:val="45143CE1"/>
    <w:rsid w:val="45156827"/>
    <w:rsid w:val="45181E73"/>
    <w:rsid w:val="45196317"/>
    <w:rsid w:val="451A208F"/>
    <w:rsid w:val="451C1963"/>
    <w:rsid w:val="451E56DB"/>
    <w:rsid w:val="452166F0"/>
    <w:rsid w:val="4522647B"/>
    <w:rsid w:val="452627E2"/>
    <w:rsid w:val="45264590"/>
    <w:rsid w:val="45294080"/>
    <w:rsid w:val="452E5F4C"/>
    <w:rsid w:val="452F508E"/>
    <w:rsid w:val="45347D95"/>
    <w:rsid w:val="453A628D"/>
    <w:rsid w:val="45401AF6"/>
    <w:rsid w:val="454F7F8B"/>
    <w:rsid w:val="45544EED"/>
    <w:rsid w:val="4555389F"/>
    <w:rsid w:val="4556120A"/>
    <w:rsid w:val="45576E3F"/>
    <w:rsid w:val="455951E4"/>
    <w:rsid w:val="45612018"/>
    <w:rsid w:val="45787D0B"/>
    <w:rsid w:val="45800144"/>
    <w:rsid w:val="458539AC"/>
    <w:rsid w:val="4587113E"/>
    <w:rsid w:val="45880741"/>
    <w:rsid w:val="458869EB"/>
    <w:rsid w:val="458946E9"/>
    <w:rsid w:val="458C0451"/>
    <w:rsid w:val="458C2505"/>
    <w:rsid w:val="459336D9"/>
    <w:rsid w:val="4594599D"/>
    <w:rsid w:val="45960CED"/>
    <w:rsid w:val="4597723C"/>
    <w:rsid w:val="45A06F61"/>
    <w:rsid w:val="45A2455E"/>
    <w:rsid w:val="45A32084"/>
    <w:rsid w:val="45A47C0E"/>
    <w:rsid w:val="45A57BAB"/>
    <w:rsid w:val="45A75A8E"/>
    <w:rsid w:val="45AB2CE7"/>
    <w:rsid w:val="45AF27D7"/>
    <w:rsid w:val="45B0600B"/>
    <w:rsid w:val="45BD3E94"/>
    <w:rsid w:val="45BE2A1A"/>
    <w:rsid w:val="45C01841"/>
    <w:rsid w:val="45C26A0C"/>
    <w:rsid w:val="45C85647"/>
    <w:rsid w:val="45C862BC"/>
    <w:rsid w:val="45CE0D0A"/>
    <w:rsid w:val="45D858CD"/>
    <w:rsid w:val="45EF45C4"/>
    <w:rsid w:val="45FD3BE0"/>
    <w:rsid w:val="46033AD5"/>
    <w:rsid w:val="46035E4B"/>
    <w:rsid w:val="46051FB3"/>
    <w:rsid w:val="460A5C60"/>
    <w:rsid w:val="461F70EF"/>
    <w:rsid w:val="462B55DA"/>
    <w:rsid w:val="463431DD"/>
    <w:rsid w:val="463A408D"/>
    <w:rsid w:val="464A1C59"/>
    <w:rsid w:val="464C0026"/>
    <w:rsid w:val="46535859"/>
    <w:rsid w:val="465644F0"/>
    <w:rsid w:val="46577FD6"/>
    <w:rsid w:val="466C691A"/>
    <w:rsid w:val="466F3682"/>
    <w:rsid w:val="46737180"/>
    <w:rsid w:val="46744E0E"/>
    <w:rsid w:val="467632F5"/>
    <w:rsid w:val="4677113D"/>
    <w:rsid w:val="468D4D4B"/>
    <w:rsid w:val="46916EDC"/>
    <w:rsid w:val="46917CAC"/>
    <w:rsid w:val="46967289"/>
    <w:rsid w:val="469D6AD4"/>
    <w:rsid w:val="46AE6F33"/>
    <w:rsid w:val="46AF6FFC"/>
    <w:rsid w:val="46B07A04"/>
    <w:rsid w:val="46B6308A"/>
    <w:rsid w:val="46BD3A3D"/>
    <w:rsid w:val="46CA7C8B"/>
    <w:rsid w:val="46CE4098"/>
    <w:rsid w:val="46CE645F"/>
    <w:rsid w:val="46D60436"/>
    <w:rsid w:val="46D955A7"/>
    <w:rsid w:val="46DC2190"/>
    <w:rsid w:val="46DC3AA0"/>
    <w:rsid w:val="46E91D19"/>
    <w:rsid w:val="4703102D"/>
    <w:rsid w:val="470D5A07"/>
    <w:rsid w:val="47133957"/>
    <w:rsid w:val="471C3E9C"/>
    <w:rsid w:val="471F2982"/>
    <w:rsid w:val="47254C00"/>
    <w:rsid w:val="472D42FC"/>
    <w:rsid w:val="472E3BD0"/>
    <w:rsid w:val="47301A2F"/>
    <w:rsid w:val="4738452A"/>
    <w:rsid w:val="47413903"/>
    <w:rsid w:val="474156B1"/>
    <w:rsid w:val="474433F3"/>
    <w:rsid w:val="474440A9"/>
    <w:rsid w:val="474D22A8"/>
    <w:rsid w:val="47526C95"/>
    <w:rsid w:val="475573AE"/>
    <w:rsid w:val="47574D43"/>
    <w:rsid w:val="475C1953"/>
    <w:rsid w:val="475F022D"/>
    <w:rsid w:val="47631ACB"/>
    <w:rsid w:val="476B0980"/>
    <w:rsid w:val="476C1737"/>
    <w:rsid w:val="4770243A"/>
    <w:rsid w:val="477074A8"/>
    <w:rsid w:val="477534BF"/>
    <w:rsid w:val="47754EFB"/>
    <w:rsid w:val="477B4F66"/>
    <w:rsid w:val="477D39BA"/>
    <w:rsid w:val="477D4661"/>
    <w:rsid w:val="47887784"/>
    <w:rsid w:val="478A52AA"/>
    <w:rsid w:val="47953D14"/>
    <w:rsid w:val="479712F4"/>
    <w:rsid w:val="47A07E0C"/>
    <w:rsid w:val="47A71A55"/>
    <w:rsid w:val="47AE0CB5"/>
    <w:rsid w:val="47BF173E"/>
    <w:rsid w:val="47C00DCE"/>
    <w:rsid w:val="47C7393D"/>
    <w:rsid w:val="47CF14F8"/>
    <w:rsid w:val="47CF3B52"/>
    <w:rsid w:val="47D21F81"/>
    <w:rsid w:val="47DA3BEB"/>
    <w:rsid w:val="47DC05E5"/>
    <w:rsid w:val="47DE55F6"/>
    <w:rsid w:val="47E240D6"/>
    <w:rsid w:val="47E30FB0"/>
    <w:rsid w:val="47EA5D49"/>
    <w:rsid w:val="47EF7803"/>
    <w:rsid w:val="47F72214"/>
    <w:rsid w:val="47F95F8C"/>
    <w:rsid w:val="48025817"/>
    <w:rsid w:val="48036E0A"/>
    <w:rsid w:val="48052B82"/>
    <w:rsid w:val="480F27EF"/>
    <w:rsid w:val="480F3A01"/>
    <w:rsid w:val="4814136D"/>
    <w:rsid w:val="48166313"/>
    <w:rsid w:val="48221986"/>
    <w:rsid w:val="482374AD"/>
    <w:rsid w:val="48256D81"/>
    <w:rsid w:val="48295FC9"/>
    <w:rsid w:val="482E0775"/>
    <w:rsid w:val="483376F0"/>
    <w:rsid w:val="483B65A4"/>
    <w:rsid w:val="48401E0D"/>
    <w:rsid w:val="484A4A39"/>
    <w:rsid w:val="484A5A63"/>
    <w:rsid w:val="484B0D25"/>
    <w:rsid w:val="484F3DFE"/>
    <w:rsid w:val="4851401A"/>
    <w:rsid w:val="48547666"/>
    <w:rsid w:val="48580F04"/>
    <w:rsid w:val="485D2DEA"/>
    <w:rsid w:val="485F6737"/>
    <w:rsid w:val="4870272E"/>
    <w:rsid w:val="48702FE2"/>
    <w:rsid w:val="48782915"/>
    <w:rsid w:val="487970CD"/>
    <w:rsid w:val="487A7B83"/>
    <w:rsid w:val="487D0210"/>
    <w:rsid w:val="488639D8"/>
    <w:rsid w:val="488D3920"/>
    <w:rsid w:val="488F68F0"/>
    <w:rsid w:val="48952158"/>
    <w:rsid w:val="48A47F31"/>
    <w:rsid w:val="48A64365"/>
    <w:rsid w:val="48AC2FFE"/>
    <w:rsid w:val="48B12D0A"/>
    <w:rsid w:val="48BA396D"/>
    <w:rsid w:val="48C12F4D"/>
    <w:rsid w:val="48C41631"/>
    <w:rsid w:val="48D25ED1"/>
    <w:rsid w:val="48D36D60"/>
    <w:rsid w:val="48D52555"/>
    <w:rsid w:val="48D61789"/>
    <w:rsid w:val="48DF59F4"/>
    <w:rsid w:val="48E163EA"/>
    <w:rsid w:val="48E8291E"/>
    <w:rsid w:val="48ED2C62"/>
    <w:rsid w:val="48EE1869"/>
    <w:rsid w:val="48EE3617"/>
    <w:rsid w:val="48F13107"/>
    <w:rsid w:val="48F14EB5"/>
    <w:rsid w:val="48F20492"/>
    <w:rsid w:val="48F21359"/>
    <w:rsid w:val="48F36E7F"/>
    <w:rsid w:val="48F54DDE"/>
    <w:rsid w:val="48FB0953"/>
    <w:rsid w:val="48FD0C60"/>
    <w:rsid w:val="49064E04"/>
    <w:rsid w:val="4907292A"/>
    <w:rsid w:val="49143FE3"/>
    <w:rsid w:val="492029CB"/>
    <w:rsid w:val="492139EC"/>
    <w:rsid w:val="49240302"/>
    <w:rsid w:val="492672B9"/>
    <w:rsid w:val="492C413F"/>
    <w:rsid w:val="4933371F"/>
    <w:rsid w:val="49431BB4"/>
    <w:rsid w:val="4944592C"/>
    <w:rsid w:val="49465201"/>
    <w:rsid w:val="49477898"/>
    <w:rsid w:val="495B79FC"/>
    <w:rsid w:val="496D4E83"/>
    <w:rsid w:val="496E28BD"/>
    <w:rsid w:val="49754339"/>
    <w:rsid w:val="497B34B6"/>
    <w:rsid w:val="497C624A"/>
    <w:rsid w:val="49811CE1"/>
    <w:rsid w:val="49867CF3"/>
    <w:rsid w:val="498E1FE9"/>
    <w:rsid w:val="49937592"/>
    <w:rsid w:val="49A117B0"/>
    <w:rsid w:val="49A44E86"/>
    <w:rsid w:val="49A738C0"/>
    <w:rsid w:val="49B303BC"/>
    <w:rsid w:val="49B51FB4"/>
    <w:rsid w:val="49B764FC"/>
    <w:rsid w:val="49BB000A"/>
    <w:rsid w:val="49BC1967"/>
    <w:rsid w:val="49C425C9"/>
    <w:rsid w:val="49C8156E"/>
    <w:rsid w:val="49C81AE9"/>
    <w:rsid w:val="49CC7DFC"/>
    <w:rsid w:val="49CE2472"/>
    <w:rsid w:val="49DB48E8"/>
    <w:rsid w:val="49DC7715"/>
    <w:rsid w:val="49DE79B3"/>
    <w:rsid w:val="49DE7B2F"/>
    <w:rsid w:val="49E113CD"/>
    <w:rsid w:val="49F46D6C"/>
    <w:rsid w:val="49F927B7"/>
    <w:rsid w:val="49FE2776"/>
    <w:rsid w:val="4A023139"/>
    <w:rsid w:val="4A050C18"/>
    <w:rsid w:val="4A0A0924"/>
    <w:rsid w:val="4A0B01F8"/>
    <w:rsid w:val="4A143551"/>
    <w:rsid w:val="4A150F77"/>
    <w:rsid w:val="4A183041"/>
    <w:rsid w:val="4A1A2613"/>
    <w:rsid w:val="4A1A6458"/>
    <w:rsid w:val="4A1D1CE5"/>
    <w:rsid w:val="4A282B58"/>
    <w:rsid w:val="4A286FA0"/>
    <w:rsid w:val="4A2A68D0"/>
    <w:rsid w:val="4A314103"/>
    <w:rsid w:val="4A376EA8"/>
    <w:rsid w:val="4A3B288C"/>
    <w:rsid w:val="4A407EA2"/>
    <w:rsid w:val="4A466758"/>
    <w:rsid w:val="4A5120AF"/>
    <w:rsid w:val="4A532C0A"/>
    <w:rsid w:val="4A6F2395"/>
    <w:rsid w:val="4A7333CA"/>
    <w:rsid w:val="4A7B576F"/>
    <w:rsid w:val="4A835D12"/>
    <w:rsid w:val="4A852FC4"/>
    <w:rsid w:val="4A8C0235"/>
    <w:rsid w:val="4A8E5235"/>
    <w:rsid w:val="4A905A64"/>
    <w:rsid w:val="4A935236"/>
    <w:rsid w:val="4A94051B"/>
    <w:rsid w:val="4A95653D"/>
    <w:rsid w:val="4A991FCF"/>
    <w:rsid w:val="4A9D52F4"/>
    <w:rsid w:val="4AA91F5E"/>
    <w:rsid w:val="4AAA7A11"/>
    <w:rsid w:val="4AAC19DB"/>
    <w:rsid w:val="4AB2404B"/>
    <w:rsid w:val="4AB64608"/>
    <w:rsid w:val="4ABB1C1E"/>
    <w:rsid w:val="4AC2119E"/>
    <w:rsid w:val="4AD131F0"/>
    <w:rsid w:val="4AD833F0"/>
    <w:rsid w:val="4ADB5E1D"/>
    <w:rsid w:val="4ADF590D"/>
    <w:rsid w:val="4AE7656F"/>
    <w:rsid w:val="4AF4055F"/>
    <w:rsid w:val="4AF561A9"/>
    <w:rsid w:val="4AF80F6C"/>
    <w:rsid w:val="4B0C4228"/>
    <w:rsid w:val="4B0D5073"/>
    <w:rsid w:val="4B1A6945"/>
    <w:rsid w:val="4B201B58"/>
    <w:rsid w:val="4B2404E9"/>
    <w:rsid w:val="4B253827"/>
    <w:rsid w:val="4B2652EA"/>
    <w:rsid w:val="4B272E10"/>
    <w:rsid w:val="4B2B2900"/>
    <w:rsid w:val="4B2B6DA4"/>
    <w:rsid w:val="4B3337B7"/>
    <w:rsid w:val="4B395B43"/>
    <w:rsid w:val="4B401A03"/>
    <w:rsid w:val="4B417D35"/>
    <w:rsid w:val="4B4202B4"/>
    <w:rsid w:val="4B4439C2"/>
    <w:rsid w:val="4B4D4C9F"/>
    <w:rsid w:val="4B50680B"/>
    <w:rsid w:val="4B52370F"/>
    <w:rsid w:val="4B5D2CD5"/>
    <w:rsid w:val="4B5F5534"/>
    <w:rsid w:val="4B6127C6"/>
    <w:rsid w:val="4B613FD8"/>
    <w:rsid w:val="4B614574"/>
    <w:rsid w:val="4B6776B0"/>
    <w:rsid w:val="4B802700"/>
    <w:rsid w:val="4B83109D"/>
    <w:rsid w:val="4B842010"/>
    <w:rsid w:val="4B86222C"/>
    <w:rsid w:val="4B886636"/>
    <w:rsid w:val="4B897627"/>
    <w:rsid w:val="4B907CAA"/>
    <w:rsid w:val="4B92581B"/>
    <w:rsid w:val="4B966386"/>
    <w:rsid w:val="4B9B4365"/>
    <w:rsid w:val="4B9B57C1"/>
    <w:rsid w:val="4B9C2D87"/>
    <w:rsid w:val="4B9C55AC"/>
    <w:rsid w:val="4B9D30D2"/>
    <w:rsid w:val="4B9F6E4A"/>
    <w:rsid w:val="4BA3693A"/>
    <w:rsid w:val="4BB548C0"/>
    <w:rsid w:val="4BB87F0C"/>
    <w:rsid w:val="4BBC6B25"/>
    <w:rsid w:val="4BE3142D"/>
    <w:rsid w:val="4BE34F89"/>
    <w:rsid w:val="4BE96757"/>
    <w:rsid w:val="4BED0FA2"/>
    <w:rsid w:val="4BED7E3C"/>
    <w:rsid w:val="4BF453E8"/>
    <w:rsid w:val="4BF80858"/>
    <w:rsid w:val="4BFC0773"/>
    <w:rsid w:val="4BFE0015"/>
    <w:rsid w:val="4C03387D"/>
    <w:rsid w:val="4C043151"/>
    <w:rsid w:val="4C1415E6"/>
    <w:rsid w:val="4C1C3D28"/>
    <w:rsid w:val="4C237A7B"/>
    <w:rsid w:val="4C244217"/>
    <w:rsid w:val="4C2A705C"/>
    <w:rsid w:val="4C2D399D"/>
    <w:rsid w:val="4C32648A"/>
    <w:rsid w:val="4C341C88"/>
    <w:rsid w:val="4C39729F"/>
    <w:rsid w:val="4C4023DB"/>
    <w:rsid w:val="4C4A0649"/>
    <w:rsid w:val="4C4D68C2"/>
    <w:rsid w:val="4C536297"/>
    <w:rsid w:val="4C537DB5"/>
    <w:rsid w:val="4C545E87"/>
    <w:rsid w:val="4C5C4D3B"/>
    <w:rsid w:val="4C5E4611"/>
    <w:rsid w:val="4C613484"/>
    <w:rsid w:val="4C63256E"/>
    <w:rsid w:val="4C6360CA"/>
    <w:rsid w:val="4C68042F"/>
    <w:rsid w:val="4C7327B1"/>
    <w:rsid w:val="4C746529"/>
    <w:rsid w:val="4C771B75"/>
    <w:rsid w:val="4C7C00F9"/>
    <w:rsid w:val="4C7E5ECA"/>
    <w:rsid w:val="4C8229F4"/>
    <w:rsid w:val="4C83051A"/>
    <w:rsid w:val="4C876AA5"/>
    <w:rsid w:val="4C91592D"/>
    <w:rsid w:val="4C916F88"/>
    <w:rsid w:val="4C9170DB"/>
    <w:rsid w:val="4C933814"/>
    <w:rsid w:val="4C963E87"/>
    <w:rsid w:val="4C9646F1"/>
    <w:rsid w:val="4C9E5C65"/>
    <w:rsid w:val="4CA7245A"/>
    <w:rsid w:val="4CA7281C"/>
    <w:rsid w:val="4CAA019C"/>
    <w:rsid w:val="4CB41F1D"/>
    <w:rsid w:val="4CB66B41"/>
    <w:rsid w:val="4CC315C1"/>
    <w:rsid w:val="4CC564C3"/>
    <w:rsid w:val="4CCA7EF7"/>
    <w:rsid w:val="4CD82614"/>
    <w:rsid w:val="4CD90639"/>
    <w:rsid w:val="4CDB5323"/>
    <w:rsid w:val="4CE216E4"/>
    <w:rsid w:val="4CE73C6F"/>
    <w:rsid w:val="4CEE62DB"/>
    <w:rsid w:val="4CF3569F"/>
    <w:rsid w:val="4CF65AFE"/>
    <w:rsid w:val="4CF85F6B"/>
    <w:rsid w:val="4CFA2DD6"/>
    <w:rsid w:val="4D023067"/>
    <w:rsid w:val="4D023B34"/>
    <w:rsid w:val="4D0326E6"/>
    <w:rsid w:val="4D070556"/>
    <w:rsid w:val="4D096C71"/>
    <w:rsid w:val="4D0E00FB"/>
    <w:rsid w:val="4D106856"/>
    <w:rsid w:val="4D115B26"/>
    <w:rsid w:val="4D13189E"/>
    <w:rsid w:val="4D1446F9"/>
    <w:rsid w:val="4D176606"/>
    <w:rsid w:val="4D1A2C2C"/>
    <w:rsid w:val="4D1C106F"/>
    <w:rsid w:val="4D217537"/>
    <w:rsid w:val="4D24707B"/>
    <w:rsid w:val="4D260253"/>
    <w:rsid w:val="4D313E13"/>
    <w:rsid w:val="4D371A30"/>
    <w:rsid w:val="4D3D2DBF"/>
    <w:rsid w:val="4D3F2693"/>
    <w:rsid w:val="4D40782A"/>
    <w:rsid w:val="4D462320"/>
    <w:rsid w:val="4D4E65F2"/>
    <w:rsid w:val="4D5132AD"/>
    <w:rsid w:val="4D550108"/>
    <w:rsid w:val="4D5A0F06"/>
    <w:rsid w:val="4D6245D3"/>
    <w:rsid w:val="4D7762D0"/>
    <w:rsid w:val="4D7F18E7"/>
    <w:rsid w:val="4D8E4E1F"/>
    <w:rsid w:val="4D9619E1"/>
    <w:rsid w:val="4D9C0A17"/>
    <w:rsid w:val="4DA370C6"/>
    <w:rsid w:val="4DA81CAE"/>
    <w:rsid w:val="4DAE6CA3"/>
    <w:rsid w:val="4DBA7F6B"/>
    <w:rsid w:val="4DC25072"/>
    <w:rsid w:val="4DC42B98"/>
    <w:rsid w:val="4DCB2178"/>
    <w:rsid w:val="4DCD6AB9"/>
    <w:rsid w:val="4DD23507"/>
    <w:rsid w:val="4DD92AE7"/>
    <w:rsid w:val="4DDC4386"/>
    <w:rsid w:val="4DE87911"/>
    <w:rsid w:val="4DEC4FB0"/>
    <w:rsid w:val="4DEC7CEF"/>
    <w:rsid w:val="4DED6593"/>
    <w:rsid w:val="4DF16560"/>
    <w:rsid w:val="4DF26752"/>
    <w:rsid w:val="4DF53699"/>
    <w:rsid w:val="4DF7006A"/>
    <w:rsid w:val="4DF75DD0"/>
    <w:rsid w:val="4E075D8A"/>
    <w:rsid w:val="4E0A01D5"/>
    <w:rsid w:val="4E0A084D"/>
    <w:rsid w:val="4E0B0F74"/>
    <w:rsid w:val="4E131ACC"/>
    <w:rsid w:val="4E1A6C5C"/>
    <w:rsid w:val="4E1C29D4"/>
    <w:rsid w:val="4E2F0959"/>
    <w:rsid w:val="4E331399"/>
    <w:rsid w:val="4E354A3E"/>
    <w:rsid w:val="4E3C6BD2"/>
    <w:rsid w:val="4E41135B"/>
    <w:rsid w:val="4E4A5793"/>
    <w:rsid w:val="4E517BEB"/>
    <w:rsid w:val="4E5317A1"/>
    <w:rsid w:val="4E5414A0"/>
    <w:rsid w:val="4E546612"/>
    <w:rsid w:val="4E5959D6"/>
    <w:rsid w:val="4E5A3056"/>
    <w:rsid w:val="4E606D65"/>
    <w:rsid w:val="4E644A00"/>
    <w:rsid w:val="4E647909"/>
    <w:rsid w:val="4E785384"/>
    <w:rsid w:val="4E791BD4"/>
    <w:rsid w:val="4E7F7F71"/>
    <w:rsid w:val="4E884812"/>
    <w:rsid w:val="4E8A5B90"/>
    <w:rsid w:val="4E901822"/>
    <w:rsid w:val="4E924F42"/>
    <w:rsid w:val="4E9866AC"/>
    <w:rsid w:val="4E9B1B4B"/>
    <w:rsid w:val="4EA6669E"/>
    <w:rsid w:val="4EA84268"/>
    <w:rsid w:val="4EB11CE1"/>
    <w:rsid w:val="4EB671E4"/>
    <w:rsid w:val="4EB8094F"/>
    <w:rsid w:val="4EB83770"/>
    <w:rsid w:val="4EC00FAD"/>
    <w:rsid w:val="4EC15329"/>
    <w:rsid w:val="4EC372F3"/>
    <w:rsid w:val="4EC45545"/>
    <w:rsid w:val="4EC5306C"/>
    <w:rsid w:val="4ECC386B"/>
    <w:rsid w:val="4ECC7F56"/>
    <w:rsid w:val="4ED11A10"/>
    <w:rsid w:val="4EDD3F7D"/>
    <w:rsid w:val="4EDF237F"/>
    <w:rsid w:val="4EF16300"/>
    <w:rsid w:val="4EF516AC"/>
    <w:rsid w:val="4EF76A9E"/>
    <w:rsid w:val="4EFD0A57"/>
    <w:rsid w:val="4F0040A4"/>
    <w:rsid w:val="4F15400F"/>
    <w:rsid w:val="4F155DA1"/>
    <w:rsid w:val="4F1638C7"/>
    <w:rsid w:val="4F190FD9"/>
    <w:rsid w:val="4F1A1801"/>
    <w:rsid w:val="4F1A433D"/>
    <w:rsid w:val="4F23121F"/>
    <w:rsid w:val="4F245FE4"/>
    <w:rsid w:val="4F253B0A"/>
    <w:rsid w:val="4F2E7F70"/>
    <w:rsid w:val="4F3053DD"/>
    <w:rsid w:val="4F343D4D"/>
    <w:rsid w:val="4F3D7FBF"/>
    <w:rsid w:val="4F485C4E"/>
    <w:rsid w:val="4F497E9C"/>
    <w:rsid w:val="4F5021A7"/>
    <w:rsid w:val="4F5346D7"/>
    <w:rsid w:val="4F587A3C"/>
    <w:rsid w:val="4F5A1A06"/>
    <w:rsid w:val="4F5F526E"/>
    <w:rsid w:val="4F6465BC"/>
    <w:rsid w:val="4F6D10C1"/>
    <w:rsid w:val="4F6D7B1C"/>
    <w:rsid w:val="4F7409B5"/>
    <w:rsid w:val="4F775E8B"/>
    <w:rsid w:val="4F7B197C"/>
    <w:rsid w:val="4F7E481F"/>
    <w:rsid w:val="4F8C5EB6"/>
    <w:rsid w:val="4F8D08BF"/>
    <w:rsid w:val="4F902F66"/>
    <w:rsid w:val="4F905428"/>
    <w:rsid w:val="4F983C1B"/>
    <w:rsid w:val="4F9842DC"/>
    <w:rsid w:val="4F9843DC"/>
    <w:rsid w:val="4F9D18F3"/>
    <w:rsid w:val="4F9D5D96"/>
    <w:rsid w:val="4FA40ED3"/>
    <w:rsid w:val="4FA964E9"/>
    <w:rsid w:val="4FAC7D88"/>
    <w:rsid w:val="4FAF418F"/>
    <w:rsid w:val="4FB10591"/>
    <w:rsid w:val="4FBF0E26"/>
    <w:rsid w:val="4FBF56CF"/>
    <w:rsid w:val="4FC450D1"/>
    <w:rsid w:val="4FC62A8C"/>
    <w:rsid w:val="4FCE7CFE"/>
    <w:rsid w:val="4FD01CC8"/>
    <w:rsid w:val="4FD07F1A"/>
    <w:rsid w:val="4FD1749B"/>
    <w:rsid w:val="4FD317B8"/>
    <w:rsid w:val="4FD8605A"/>
    <w:rsid w:val="4FD86DCF"/>
    <w:rsid w:val="4FD874AA"/>
    <w:rsid w:val="4FD95020"/>
    <w:rsid w:val="4FE20F0D"/>
    <w:rsid w:val="4FE51552"/>
    <w:rsid w:val="4FE56014"/>
    <w:rsid w:val="4FEC7833"/>
    <w:rsid w:val="4FF0236A"/>
    <w:rsid w:val="4FF260E2"/>
    <w:rsid w:val="4FF3543B"/>
    <w:rsid w:val="4FFC2ABD"/>
    <w:rsid w:val="4FFE6835"/>
    <w:rsid w:val="50017FBF"/>
    <w:rsid w:val="50033E4B"/>
    <w:rsid w:val="500A1253"/>
    <w:rsid w:val="500D6A78"/>
    <w:rsid w:val="501341DA"/>
    <w:rsid w:val="50151DD1"/>
    <w:rsid w:val="5022013B"/>
    <w:rsid w:val="502838B2"/>
    <w:rsid w:val="50306632"/>
    <w:rsid w:val="50373AF5"/>
    <w:rsid w:val="50410E37"/>
    <w:rsid w:val="504400B3"/>
    <w:rsid w:val="50447FC0"/>
    <w:rsid w:val="50454825"/>
    <w:rsid w:val="50493828"/>
    <w:rsid w:val="50504C4B"/>
    <w:rsid w:val="50512AF9"/>
    <w:rsid w:val="50514276"/>
    <w:rsid w:val="505212AD"/>
    <w:rsid w:val="505A5A36"/>
    <w:rsid w:val="506722C9"/>
    <w:rsid w:val="506A0F52"/>
    <w:rsid w:val="507475ED"/>
    <w:rsid w:val="5076676F"/>
    <w:rsid w:val="507C59AC"/>
    <w:rsid w:val="50816CB4"/>
    <w:rsid w:val="50877E73"/>
    <w:rsid w:val="5095081C"/>
    <w:rsid w:val="50964CC0"/>
    <w:rsid w:val="5096694D"/>
    <w:rsid w:val="509C6E7C"/>
    <w:rsid w:val="50A867A1"/>
    <w:rsid w:val="50B55F12"/>
    <w:rsid w:val="50B60EBE"/>
    <w:rsid w:val="50BB7BEB"/>
    <w:rsid w:val="50C15A73"/>
    <w:rsid w:val="50D832C7"/>
    <w:rsid w:val="50D86F9C"/>
    <w:rsid w:val="50DF1E9B"/>
    <w:rsid w:val="50E54D5A"/>
    <w:rsid w:val="50E84DEF"/>
    <w:rsid w:val="50EB65D3"/>
    <w:rsid w:val="50F51F01"/>
    <w:rsid w:val="50F74B58"/>
    <w:rsid w:val="50F934A0"/>
    <w:rsid w:val="50F96FFC"/>
    <w:rsid w:val="50FD4D3F"/>
    <w:rsid w:val="510065DD"/>
    <w:rsid w:val="51014EE0"/>
    <w:rsid w:val="510734C7"/>
    <w:rsid w:val="51103C82"/>
    <w:rsid w:val="51155D78"/>
    <w:rsid w:val="511948A0"/>
    <w:rsid w:val="51200A2D"/>
    <w:rsid w:val="5124051D"/>
    <w:rsid w:val="512628D1"/>
    <w:rsid w:val="512F6EC2"/>
    <w:rsid w:val="513242BC"/>
    <w:rsid w:val="51330C53"/>
    <w:rsid w:val="51334B22"/>
    <w:rsid w:val="51380B46"/>
    <w:rsid w:val="51493AE0"/>
    <w:rsid w:val="514A139F"/>
    <w:rsid w:val="514A3364"/>
    <w:rsid w:val="514C1822"/>
    <w:rsid w:val="514C537E"/>
    <w:rsid w:val="51510BE7"/>
    <w:rsid w:val="5153670D"/>
    <w:rsid w:val="515A470B"/>
    <w:rsid w:val="515D04E8"/>
    <w:rsid w:val="5162104E"/>
    <w:rsid w:val="51644DBE"/>
    <w:rsid w:val="51681BCB"/>
    <w:rsid w:val="516C2F1C"/>
    <w:rsid w:val="516C77CE"/>
    <w:rsid w:val="51706FD5"/>
    <w:rsid w:val="51711289"/>
    <w:rsid w:val="51723555"/>
    <w:rsid w:val="51762A51"/>
    <w:rsid w:val="51763634"/>
    <w:rsid w:val="517A2338"/>
    <w:rsid w:val="517C60EC"/>
    <w:rsid w:val="517D5E7F"/>
    <w:rsid w:val="518014CC"/>
    <w:rsid w:val="51826FF2"/>
    <w:rsid w:val="51837B5F"/>
    <w:rsid w:val="51842D6A"/>
    <w:rsid w:val="518E3BE9"/>
    <w:rsid w:val="518F6760"/>
    <w:rsid w:val="519525CB"/>
    <w:rsid w:val="519D6B66"/>
    <w:rsid w:val="51A727E9"/>
    <w:rsid w:val="51AF44D6"/>
    <w:rsid w:val="51B3364F"/>
    <w:rsid w:val="51B55619"/>
    <w:rsid w:val="51B82A14"/>
    <w:rsid w:val="51C2175F"/>
    <w:rsid w:val="51C4585C"/>
    <w:rsid w:val="51C50A1A"/>
    <w:rsid w:val="51D03497"/>
    <w:rsid w:val="51D535C6"/>
    <w:rsid w:val="51DD691E"/>
    <w:rsid w:val="51E05AA8"/>
    <w:rsid w:val="51E16ECC"/>
    <w:rsid w:val="51E46FDF"/>
    <w:rsid w:val="51EE51EC"/>
    <w:rsid w:val="51F25194"/>
    <w:rsid w:val="51FA302C"/>
    <w:rsid w:val="5201048D"/>
    <w:rsid w:val="52020133"/>
    <w:rsid w:val="520B3C6B"/>
    <w:rsid w:val="520D730D"/>
    <w:rsid w:val="52156B5D"/>
    <w:rsid w:val="52187956"/>
    <w:rsid w:val="521C4DB0"/>
    <w:rsid w:val="521C5DB3"/>
    <w:rsid w:val="521C7446"/>
    <w:rsid w:val="521F112F"/>
    <w:rsid w:val="5221680B"/>
    <w:rsid w:val="52317E52"/>
    <w:rsid w:val="5232558C"/>
    <w:rsid w:val="52377DDC"/>
    <w:rsid w:val="52391DA6"/>
    <w:rsid w:val="523A78CD"/>
    <w:rsid w:val="52421035"/>
    <w:rsid w:val="52455AC6"/>
    <w:rsid w:val="52524C16"/>
    <w:rsid w:val="525A1D1D"/>
    <w:rsid w:val="526E600F"/>
    <w:rsid w:val="52727066"/>
    <w:rsid w:val="52855D9E"/>
    <w:rsid w:val="52860D64"/>
    <w:rsid w:val="528B1ED6"/>
    <w:rsid w:val="52903990"/>
    <w:rsid w:val="52910A55"/>
    <w:rsid w:val="529C40E3"/>
    <w:rsid w:val="529E60AD"/>
    <w:rsid w:val="52A80CDA"/>
    <w:rsid w:val="52AB4326"/>
    <w:rsid w:val="52AF3E17"/>
    <w:rsid w:val="52AF5230"/>
    <w:rsid w:val="52B23907"/>
    <w:rsid w:val="52B256B5"/>
    <w:rsid w:val="52B72CCB"/>
    <w:rsid w:val="52B8091F"/>
    <w:rsid w:val="52B83BB6"/>
    <w:rsid w:val="52BA5BD2"/>
    <w:rsid w:val="52BC29D7"/>
    <w:rsid w:val="52C315D7"/>
    <w:rsid w:val="52C360E1"/>
    <w:rsid w:val="52C930D8"/>
    <w:rsid w:val="52CA6EA2"/>
    <w:rsid w:val="52CD5231"/>
    <w:rsid w:val="52CF44B9"/>
    <w:rsid w:val="52D01FDF"/>
    <w:rsid w:val="52D27B05"/>
    <w:rsid w:val="52E066C6"/>
    <w:rsid w:val="52E33AC0"/>
    <w:rsid w:val="52E83736"/>
    <w:rsid w:val="52F201A7"/>
    <w:rsid w:val="52F919CE"/>
    <w:rsid w:val="52FD48D7"/>
    <w:rsid w:val="530458E8"/>
    <w:rsid w:val="530D6D8F"/>
    <w:rsid w:val="531B76FE"/>
    <w:rsid w:val="531D33F3"/>
    <w:rsid w:val="531E71EE"/>
    <w:rsid w:val="532A0CDB"/>
    <w:rsid w:val="532A19F7"/>
    <w:rsid w:val="532B759A"/>
    <w:rsid w:val="532D11DF"/>
    <w:rsid w:val="532E1C4F"/>
    <w:rsid w:val="53310CD0"/>
    <w:rsid w:val="533C1422"/>
    <w:rsid w:val="53400F13"/>
    <w:rsid w:val="53420F93"/>
    <w:rsid w:val="535624E4"/>
    <w:rsid w:val="53571A35"/>
    <w:rsid w:val="53584AD8"/>
    <w:rsid w:val="535B025D"/>
    <w:rsid w:val="535B5BD5"/>
    <w:rsid w:val="53607148"/>
    <w:rsid w:val="5362532D"/>
    <w:rsid w:val="536746F1"/>
    <w:rsid w:val="536C40B1"/>
    <w:rsid w:val="536C61AC"/>
    <w:rsid w:val="536F3DE2"/>
    <w:rsid w:val="536F5798"/>
    <w:rsid w:val="536F5F7E"/>
    <w:rsid w:val="53715B02"/>
    <w:rsid w:val="53846B1C"/>
    <w:rsid w:val="538977D0"/>
    <w:rsid w:val="538F0F3E"/>
    <w:rsid w:val="5394300C"/>
    <w:rsid w:val="539618B2"/>
    <w:rsid w:val="53971D3B"/>
    <w:rsid w:val="539B439B"/>
    <w:rsid w:val="53A039CC"/>
    <w:rsid w:val="53A136CE"/>
    <w:rsid w:val="53A1505A"/>
    <w:rsid w:val="53AC0356"/>
    <w:rsid w:val="53AE08E1"/>
    <w:rsid w:val="53BB4A3D"/>
    <w:rsid w:val="53C01C5E"/>
    <w:rsid w:val="53C257EA"/>
    <w:rsid w:val="53CA4C80"/>
    <w:rsid w:val="53CE29C2"/>
    <w:rsid w:val="53CE2D30"/>
    <w:rsid w:val="53CF0126"/>
    <w:rsid w:val="53D54D42"/>
    <w:rsid w:val="53E161BB"/>
    <w:rsid w:val="53E24875"/>
    <w:rsid w:val="53EB70D0"/>
    <w:rsid w:val="53EC109A"/>
    <w:rsid w:val="53F1131C"/>
    <w:rsid w:val="53FA37B7"/>
    <w:rsid w:val="54047DE6"/>
    <w:rsid w:val="54063E08"/>
    <w:rsid w:val="540C6F37"/>
    <w:rsid w:val="540D34EB"/>
    <w:rsid w:val="541212F7"/>
    <w:rsid w:val="541505F1"/>
    <w:rsid w:val="54156A3E"/>
    <w:rsid w:val="5418636F"/>
    <w:rsid w:val="54232D0E"/>
    <w:rsid w:val="54264BC2"/>
    <w:rsid w:val="5426635A"/>
    <w:rsid w:val="542B00C0"/>
    <w:rsid w:val="543071D9"/>
    <w:rsid w:val="543437E8"/>
    <w:rsid w:val="54352A41"/>
    <w:rsid w:val="543D6BFA"/>
    <w:rsid w:val="543D7869"/>
    <w:rsid w:val="543F151A"/>
    <w:rsid w:val="543F741C"/>
    <w:rsid w:val="544408F5"/>
    <w:rsid w:val="544D3AD8"/>
    <w:rsid w:val="544E765F"/>
    <w:rsid w:val="5455279C"/>
    <w:rsid w:val="54592455"/>
    <w:rsid w:val="545A6B19"/>
    <w:rsid w:val="545D2763"/>
    <w:rsid w:val="54606896"/>
    <w:rsid w:val="5463135D"/>
    <w:rsid w:val="547277F2"/>
    <w:rsid w:val="54784522"/>
    <w:rsid w:val="54791EB6"/>
    <w:rsid w:val="547F3CBD"/>
    <w:rsid w:val="54881DD1"/>
    <w:rsid w:val="548E5B3A"/>
    <w:rsid w:val="549239F0"/>
    <w:rsid w:val="54930741"/>
    <w:rsid w:val="549733F7"/>
    <w:rsid w:val="549C03CB"/>
    <w:rsid w:val="54A823D9"/>
    <w:rsid w:val="54AC4C48"/>
    <w:rsid w:val="54AE433B"/>
    <w:rsid w:val="54B03E76"/>
    <w:rsid w:val="54B30D94"/>
    <w:rsid w:val="54B94226"/>
    <w:rsid w:val="54BA6AA3"/>
    <w:rsid w:val="54BB1210"/>
    <w:rsid w:val="54BB2E9F"/>
    <w:rsid w:val="54C13B9E"/>
    <w:rsid w:val="54C32879"/>
    <w:rsid w:val="54C6369A"/>
    <w:rsid w:val="54CA13DC"/>
    <w:rsid w:val="54CE5430"/>
    <w:rsid w:val="54D45DB6"/>
    <w:rsid w:val="54D50855"/>
    <w:rsid w:val="54D650B1"/>
    <w:rsid w:val="54DD5E61"/>
    <w:rsid w:val="54E454B8"/>
    <w:rsid w:val="54E5748F"/>
    <w:rsid w:val="54E83179"/>
    <w:rsid w:val="54E8569C"/>
    <w:rsid w:val="54ED50CA"/>
    <w:rsid w:val="54F51581"/>
    <w:rsid w:val="54F73313"/>
    <w:rsid w:val="54F80955"/>
    <w:rsid w:val="54F83FD0"/>
    <w:rsid w:val="55067F3A"/>
    <w:rsid w:val="5508363F"/>
    <w:rsid w:val="550D751A"/>
    <w:rsid w:val="5511326C"/>
    <w:rsid w:val="55202DAA"/>
    <w:rsid w:val="55253188"/>
    <w:rsid w:val="55287EB0"/>
    <w:rsid w:val="552C5BF2"/>
    <w:rsid w:val="553D7E00"/>
    <w:rsid w:val="55425416"/>
    <w:rsid w:val="554A215F"/>
    <w:rsid w:val="55512CC8"/>
    <w:rsid w:val="555170A7"/>
    <w:rsid w:val="55560474"/>
    <w:rsid w:val="555C095E"/>
    <w:rsid w:val="555E1B24"/>
    <w:rsid w:val="5563174F"/>
    <w:rsid w:val="55641DD2"/>
    <w:rsid w:val="556A187F"/>
    <w:rsid w:val="55766EAF"/>
    <w:rsid w:val="558042A7"/>
    <w:rsid w:val="55852490"/>
    <w:rsid w:val="5587231F"/>
    <w:rsid w:val="5587536D"/>
    <w:rsid w:val="558E5D80"/>
    <w:rsid w:val="558E7E70"/>
    <w:rsid w:val="55986DE4"/>
    <w:rsid w:val="559B174B"/>
    <w:rsid w:val="559B2D78"/>
    <w:rsid w:val="559E0172"/>
    <w:rsid w:val="55A559A5"/>
    <w:rsid w:val="55A7171D"/>
    <w:rsid w:val="55AE1623"/>
    <w:rsid w:val="55AE6607"/>
    <w:rsid w:val="55AF4D54"/>
    <w:rsid w:val="55B856D8"/>
    <w:rsid w:val="55C73B6D"/>
    <w:rsid w:val="55CA1562"/>
    <w:rsid w:val="55CA64BA"/>
    <w:rsid w:val="55CE071D"/>
    <w:rsid w:val="55CE0CF4"/>
    <w:rsid w:val="55D87B28"/>
    <w:rsid w:val="55DE5FA6"/>
    <w:rsid w:val="55E4027B"/>
    <w:rsid w:val="55EE10FA"/>
    <w:rsid w:val="55EE5045"/>
    <w:rsid w:val="55EF61FF"/>
    <w:rsid w:val="55F14E79"/>
    <w:rsid w:val="55F54236"/>
    <w:rsid w:val="55F6278E"/>
    <w:rsid w:val="55FF3307"/>
    <w:rsid w:val="55FF50B5"/>
    <w:rsid w:val="5604091D"/>
    <w:rsid w:val="560D6C08"/>
    <w:rsid w:val="560E70A6"/>
    <w:rsid w:val="56137B2C"/>
    <w:rsid w:val="56236298"/>
    <w:rsid w:val="562A35E0"/>
    <w:rsid w:val="562B74B0"/>
    <w:rsid w:val="562C7C17"/>
    <w:rsid w:val="56313DB8"/>
    <w:rsid w:val="56372AA1"/>
    <w:rsid w:val="56373843"/>
    <w:rsid w:val="564038F6"/>
    <w:rsid w:val="564B02FA"/>
    <w:rsid w:val="564D4072"/>
    <w:rsid w:val="5652233A"/>
    <w:rsid w:val="56582839"/>
    <w:rsid w:val="565C42B5"/>
    <w:rsid w:val="565D1DDC"/>
    <w:rsid w:val="565F5B54"/>
    <w:rsid w:val="56674E27"/>
    <w:rsid w:val="566F0F18"/>
    <w:rsid w:val="5684380C"/>
    <w:rsid w:val="56844431"/>
    <w:rsid w:val="568832FC"/>
    <w:rsid w:val="56903F5F"/>
    <w:rsid w:val="56925F29"/>
    <w:rsid w:val="56945326"/>
    <w:rsid w:val="5697479B"/>
    <w:rsid w:val="56992DAE"/>
    <w:rsid w:val="569C0B56"/>
    <w:rsid w:val="569F23F4"/>
    <w:rsid w:val="56A525E7"/>
    <w:rsid w:val="56AA7631"/>
    <w:rsid w:val="56AC4C42"/>
    <w:rsid w:val="56AD0D2A"/>
    <w:rsid w:val="56AD50FC"/>
    <w:rsid w:val="56B02FE4"/>
    <w:rsid w:val="56B22A9C"/>
    <w:rsid w:val="56BA722E"/>
    <w:rsid w:val="56CC2E89"/>
    <w:rsid w:val="56CD0D0F"/>
    <w:rsid w:val="56D27196"/>
    <w:rsid w:val="56D54068"/>
    <w:rsid w:val="56EA616F"/>
    <w:rsid w:val="56ED7603"/>
    <w:rsid w:val="56F72C39"/>
    <w:rsid w:val="56FD3503"/>
    <w:rsid w:val="5706625C"/>
    <w:rsid w:val="57160908"/>
    <w:rsid w:val="571C1C97"/>
    <w:rsid w:val="572A7F10"/>
    <w:rsid w:val="572C53C8"/>
    <w:rsid w:val="57301886"/>
    <w:rsid w:val="57361F4F"/>
    <w:rsid w:val="57370002"/>
    <w:rsid w:val="5738554C"/>
    <w:rsid w:val="57396AF8"/>
    <w:rsid w:val="573E3B93"/>
    <w:rsid w:val="57425FB4"/>
    <w:rsid w:val="574B60D8"/>
    <w:rsid w:val="574C432A"/>
    <w:rsid w:val="574D1E50"/>
    <w:rsid w:val="57503D5E"/>
    <w:rsid w:val="575B456D"/>
    <w:rsid w:val="575E0CDC"/>
    <w:rsid w:val="575E502E"/>
    <w:rsid w:val="57610B0A"/>
    <w:rsid w:val="5763552F"/>
    <w:rsid w:val="57664AF0"/>
    <w:rsid w:val="57676018"/>
    <w:rsid w:val="57721870"/>
    <w:rsid w:val="577C46A4"/>
    <w:rsid w:val="577E025B"/>
    <w:rsid w:val="577F7B18"/>
    <w:rsid w:val="57835872"/>
    <w:rsid w:val="57853398"/>
    <w:rsid w:val="578C2978"/>
    <w:rsid w:val="578E4942"/>
    <w:rsid w:val="57954FFD"/>
    <w:rsid w:val="579F3F38"/>
    <w:rsid w:val="57A41AF8"/>
    <w:rsid w:val="57A55787"/>
    <w:rsid w:val="57AE5B48"/>
    <w:rsid w:val="57B10631"/>
    <w:rsid w:val="57B618F9"/>
    <w:rsid w:val="57B72A76"/>
    <w:rsid w:val="57C3426C"/>
    <w:rsid w:val="57C632A2"/>
    <w:rsid w:val="57CC7EAD"/>
    <w:rsid w:val="57CE1F93"/>
    <w:rsid w:val="57D04F5B"/>
    <w:rsid w:val="57D65736"/>
    <w:rsid w:val="57D80D43"/>
    <w:rsid w:val="57D936E4"/>
    <w:rsid w:val="57E24C8E"/>
    <w:rsid w:val="57EC1669"/>
    <w:rsid w:val="580A7D41"/>
    <w:rsid w:val="580F7106"/>
    <w:rsid w:val="58134CE7"/>
    <w:rsid w:val="58163C94"/>
    <w:rsid w:val="581B5AAA"/>
    <w:rsid w:val="58224182"/>
    <w:rsid w:val="582E2C08"/>
    <w:rsid w:val="58387191"/>
    <w:rsid w:val="583E52D1"/>
    <w:rsid w:val="58406E4B"/>
    <w:rsid w:val="58501BF8"/>
    <w:rsid w:val="58564D34"/>
    <w:rsid w:val="585A65D3"/>
    <w:rsid w:val="586204F3"/>
    <w:rsid w:val="5862202C"/>
    <w:rsid w:val="58687548"/>
    <w:rsid w:val="586B72E0"/>
    <w:rsid w:val="586C6A02"/>
    <w:rsid w:val="587D6765"/>
    <w:rsid w:val="587E1AB2"/>
    <w:rsid w:val="587E3BBA"/>
    <w:rsid w:val="587F072F"/>
    <w:rsid w:val="588743D1"/>
    <w:rsid w:val="5887701A"/>
    <w:rsid w:val="588834A9"/>
    <w:rsid w:val="5889335C"/>
    <w:rsid w:val="58896F04"/>
    <w:rsid w:val="588B4158"/>
    <w:rsid w:val="588C74DF"/>
    <w:rsid w:val="58975A79"/>
    <w:rsid w:val="5899342B"/>
    <w:rsid w:val="58A83551"/>
    <w:rsid w:val="58B260CF"/>
    <w:rsid w:val="58B76B96"/>
    <w:rsid w:val="58C47EF0"/>
    <w:rsid w:val="58C51F24"/>
    <w:rsid w:val="58CB2168"/>
    <w:rsid w:val="58D5034F"/>
    <w:rsid w:val="58D97E3F"/>
    <w:rsid w:val="58DE2E5D"/>
    <w:rsid w:val="58E5772A"/>
    <w:rsid w:val="58E80082"/>
    <w:rsid w:val="58EB7B73"/>
    <w:rsid w:val="58EC3109"/>
    <w:rsid w:val="590B5354"/>
    <w:rsid w:val="590D0C24"/>
    <w:rsid w:val="591160EE"/>
    <w:rsid w:val="591342FE"/>
    <w:rsid w:val="591621C5"/>
    <w:rsid w:val="5919648E"/>
    <w:rsid w:val="591B0CB2"/>
    <w:rsid w:val="591D32C4"/>
    <w:rsid w:val="59246BE1"/>
    <w:rsid w:val="592537E8"/>
    <w:rsid w:val="592632C5"/>
    <w:rsid w:val="59266DFD"/>
    <w:rsid w:val="592941F7"/>
    <w:rsid w:val="59297046"/>
    <w:rsid w:val="592B25E7"/>
    <w:rsid w:val="592F3F03"/>
    <w:rsid w:val="593D6EE9"/>
    <w:rsid w:val="594E2548"/>
    <w:rsid w:val="59514213"/>
    <w:rsid w:val="5952257E"/>
    <w:rsid w:val="595A1D33"/>
    <w:rsid w:val="5962099E"/>
    <w:rsid w:val="59664231"/>
    <w:rsid w:val="5966544B"/>
    <w:rsid w:val="596A0A97"/>
    <w:rsid w:val="596C2A61"/>
    <w:rsid w:val="596C75D7"/>
    <w:rsid w:val="596D2336"/>
    <w:rsid w:val="59745DBA"/>
    <w:rsid w:val="59771406"/>
    <w:rsid w:val="59771D33"/>
    <w:rsid w:val="597933D0"/>
    <w:rsid w:val="597B2C23"/>
    <w:rsid w:val="597C07CB"/>
    <w:rsid w:val="59814033"/>
    <w:rsid w:val="599E4BE5"/>
    <w:rsid w:val="59A10231"/>
    <w:rsid w:val="59A2557C"/>
    <w:rsid w:val="59A321FB"/>
    <w:rsid w:val="59B30690"/>
    <w:rsid w:val="59BD16B0"/>
    <w:rsid w:val="59C0439F"/>
    <w:rsid w:val="59C10925"/>
    <w:rsid w:val="59C3464B"/>
    <w:rsid w:val="59C822FE"/>
    <w:rsid w:val="59CD27FC"/>
    <w:rsid w:val="59D6612D"/>
    <w:rsid w:val="59D93E6F"/>
    <w:rsid w:val="59E30AA1"/>
    <w:rsid w:val="59E720E8"/>
    <w:rsid w:val="59EF3692"/>
    <w:rsid w:val="59F06EA0"/>
    <w:rsid w:val="59F42A57"/>
    <w:rsid w:val="59F451B9"/>
    <w:rsid w:val="59F52451"/>
    <w:rsid w:val="59F65137"/>
    <w:rsid w:val="5A0233C6"/>
    <w:rsid w:val="5A0507C0"/>
    <w:rsid w:val="5A096502"/>
    <w:rsid w:val="5A0A5DD6"/>
    <w:rsid w:val="5A0C194B"/>
    <w:rsid w:val="5A0C7DA1"/>
    <w:rsid w:val="5A13112F"/>
    <w:rsid w:val="5A224A68"/>
    <w:rsid w:val="5A24333C"/>
    <w:rsid w:val="5A26599E"/>
    <w:rsid w:val="5A285C51"/>
    <w:rsid w:val="5A2A0227"/>
    <w:rsid w:val="5A2C0443"/>
    <w:rsid w:val="5A2E5F69"/>
    <w:rsid w:val="5A2E62BF"/>
    <w:rsid w:val="5A3B68D8"/>
    <w:rsid w:val="5A3D43FE"/>
    <w:rsid w:val="5A403EEE"/>
    <w:rsid w:val="5A421A14"/>
    <w:rsid w:val="5A4237C2"/>
    <w:rsid w:val="5A5338E2"/>
    <w:rsid w:val="5A5F4374"/>
    <w:rsid w:val="5A5F6122"/>
    <w:rsid w:val="5A623E64"/>
    <w:rsid w:val="5A625C12"/>
    <w:rsid w:val="5A6B4659"/>
    <w:rsid w:val="5A753B98"/>
    <w:rsid w:val="5A7C3A65"/>
    <w:rsid w:val="5A867B53"/>
    <w:rsid w:val="5A8D625A"/>
    <w:rsid w:val="5A911F48"/>
    <w:rsid w:val="5A9F220F"/>
    <w:rsid w:val="5AA02A87"/>
    <w:rsid w:val="5AA21673"/>
    <w:rsid w:val="5AA4447D"/>
    <w:rsid w:val="5AA4622B"/>
    <w:rsid w:val="5AA77AC9"/>
    <w:rsid w:val="5AA847F3"/>
    <w:rsid w:val="5AAB5703"/>
    <w:rsid w:val="5AB835A7"/>
    <w:rsid w:val="5ABE2233"/>
    <w:rsid w:val="5AC67856"/>
    <w:rsid w:val="5AC95C92"/>
    <w:rsid w:val="5ACA32E5"/>
    <w:rsid w:val="5ACB7C5C"/>
    <w:rsid w:val="5ACE4E7E"/>
    <w:rsid w:val="5AD72F75"/>
    <w:rsid w:val="5AD73454"/>
    <w:rsid w:val="5AE2706D"/>
    <w:rsid w:val="5AE34FA5"/>
    <w:rsid w:val="5AE74111"/>
    <w:rsid w:val="5AEE78EA"/>
    <w:rsid w:val="5AF01B66"/>
    <w:rsid w:val="5AF53447"/>
    <w:rsid w:val="5AF53FF6"/>
    <w:rsid w:val="5AF96A82"/>
    <w:rsid w:val="5B0664B5"/>
    <w:rsid w:val="5B0D3DD0"/>
    <w:rsid w:val="5B1119DE"/>
    <w:rsid w:val="5B16699E"/>
    <w:rsid w:val="5B172EA1"/>
    <w:rsid w:val="5B1F3934"/>
    <w:rsid w:val="5B243623"/>
    <w:rsid w:val="5B2B06FA"/>
    <w:rsid w:val="5B2D4472"/>
    <w:rsid w:val="5B37685D"/>
    <w:rsid w:val="5B493723"/>
    <w:rsid w:val="5B514F19"/>
    <w:rsid w:val="5B526E2A"/>
    <w:rsid w:val="5B5F2F14"/>
    <w:rsid w:val="5B622E70"/>
    <w:rsid w:val="5B653C0C"/>
    <w:rsid w:val="5B694D7F"/>
    <w:rsid w:val="5B6B0AF7"/>
    <w:rsid w:val="5B7A43C4"/>
    <w:rsid w:val="5B8A6AF8"/>
    <w:rsid w:val="5B90055D"/>
    <w:rsid w:val="5B91549B"/>
    <w:rsid w:val="5B991B08"/>
    <w:rsid w:val="5BA5225B"/>
    <w:rsid w:val="5BA65FD3"/>
    <w:rsid w:val="5BAD47CE"/>
    <w:rsid w:val="5BB406F0"/>
    <w:rsid w:val="5BB46942"/>
    <w:rsid w:val="5BBA4759"/>
    <w:rsid w:val="5BBC3F26"/>
    <w:rsid w:val="5BC23E7D"/>
    <w:rsid w:val="5BC25827"/>
    <w:rsid w:val="5BC538FE"/>
    <w:rsid w:val="5BC927E5"/>
    <w:rsid w:val="5BCA1CC1"/>
    <w:rsid w:val="5BD41586"/>
    <w:rsid w:val="5BDB09B2"/>
    <w:rsid w:val="5BDF5D95"/>
    <w:rsid w:val="5BE10DB9"/>
    <w:rsid w:val="5BE663CF"/>
    <w:rsid w:val="5BEE2895"/>
    <w:rsid w:val="5BF42C80"/>
    <w:rsid w:val="5BFD19ED"/>
    <w:rsid w:val="5BFE7528"/>
    <w:rsid w:val="5C003935"/>
    <w:rsid w:val="5C0F3F95"/>
    <w:rsid w:val="5C1A3C8F"/>
    <w:rsid w:val="5C1D0043"/>
    <w:rsid w:val="5C207B33"/>
    <w:rsid w:val="5C264901"/>
    <w:rsid w:val="5C2869E8"/>
    <w:rsid w:val="5C2D1D13"/>
    <w:rsid w:val="5C303DF3"/>
    <w:rsid w:val="5C353B44"/>
    <w:rsid w:val="5C380688"/>
    <w:rsid w:val="5C391356"/>
    <w:rsid w:val="5C3E1079"/>
    <w:rsid w:val="5C5619C5"/>
    <w:rsid w:val="5C625604"/>
    <w:rsid w:val="5C645C72"/>
    <w:rsid w:val="5C651F02"/>
    <w:rsid w:val="5C69547B"/>
    <w:rsid w:val="5C6A49FB"/>
    <w:rsid w:val="5C751238"/>
    <w:rsid w:val="5C757E7F"/>
    <w:rsid w:val="5C7612E3"/>
    <w:rsid w:val="5C784E40"/>
    <w:rsid w:val="5C7B0DDA"/>
    <w:rsid w:val="5C7B7457"/>
    <w:rsid w:val="5C936557"/>
    <w:rsid w:val="5C943043"/>
    <w:rsid w:val="5C950521"/>
    <w:rsid w:val="5C983B6D"/>
    <w:rsid w:val="5C9946BE"/>
    <w:rsid w:val="5C9B1010"/>
    <w:rsid w:val="5CA80B84"/>
    <w:rsid w:val="5CB0535B"/>
    <w:rsid w:val="5CB149B1"/>
    <w:rsid w:val="5CB309A7"/>
    <w:rsid w:val="5CB766BC"/>
    <w:rsid w:val="5CBD5382"/>
    <w:rsid w:val="5CC74453"/>
    <w:rsid w:val="5CCE2780"/>
    <w:rsid w:val="5CCE4FF7"/>
    <w:rsid w:val="5CD61CAE"/>
    <w:rsid w:val="5CDD77D2"/>
    <w:rsid w:val="5CEE6205"/>
    <w:rsid w:val="5CF7587D"/>
    <w:rsid w:val="5CFB5F34"/>
    <w:rsid w:val="5CFE392D"/>
    <w:rsid w:val="5D041203"/>
    <w:rsid w:val="5D094619"/>
    <w:rsid w:val="5D106D05"/>
    <w:rsid w:val="5D192F00"/>
    <w:rsid w:val="5D1D22C5"/>
    <w:rsid w:val="5D20226D"/>
    <w:rsid w:val="5D210BA0"/>
    <w:rsid w:val="5D252F8E"/>
    <w:rsid w:val="5D261179"/>
    <w:rsid w:val="5D2D35D9"/>
    <w:rsid w:val="5D301FF8"/>
    <w:rsid w:val="5D344FD1"/>
    <w:rsid w:val="5D3D64C3"/>
    <w:rsid w:val="5D3F048D"/>
    <w:rsid w:val="5D455B6F"/>
    <w:rsid w:val="5D485594"/>
    <w:rsid w:val="5D4D7483"/>
    <w:rsid w:val="5D4E2409"/>
    <w:rsid w:val="5D59154F"/>
    <w:rsid w:val="5D5D33BF"/>
    <w:rsid w:val="5D624281"/>
    <w:rsid w:val="5D69179A"/>
    <w:rsid w:val="5D752101"/>
    <w:rsid w:val="5D753EAF"/>
    <w:rsid w:val="5D7C523D"/>
    <w:rsid w:val="5D7C6FEB"/>
    <w:rsid w:val="5D7E0FB5"/>
    <w:rsid w:val="5D845EA0"/>
    <w:rsid w:val="5D8724AD"/>
    <w:rsid w:val="5D92680F"/>
    <w:rsid w:val="5D937F4F"/>
    <w:rsid w:val="5D9D6633"/>
    <w:rsid w:val="5D9E0975"/>
    <w:rsid w:val="5D9E3405"/>
    <w:rsid w:val="5DA42BF3"/>
    <w:rsid w:val="5DA95364"/>
    <w:rsid w:val="5DAB167E"/>
    <w:rsid w:val="5DAD53F7"/>
    <w:rsid w:val="5DBC1ADE"/>
    <w:rsid w:val="5DBC388C"/>
    <w:rsid w:val="5DC015CE"/>
    <w:rsid w:val="5DC46AD5"/>
    <w:rsid w:val="5DC55A3D"/>
    <w:rsid w:val="5DCB1A1B"/>
    <w:rsid w:val="5DCC065C"/>
    <w:rsid w:val="5DD010E5"/>
    <w:rsid w:val="5DD10CC5"/>
    <w:rsid w:val="5DD83227"/>
    <w:rsid w:val="5DE1576C"/>
    <w:rsid w:val="5DE30E18"/>
    <w:rsid w:val="5DE52DE2"/>
    <w:rsid w:val="5DE54B90"/>
    <w:rsid w:val="5DEC306F"/>
    <w:rsid w:val="5DF67222"/>
    <w:rsid w:val="5DF9688E"/>
    <w:rsid w:val="5DFC1EDA"/>
    <w:rsid w:val="5E0277C0"/>
    <w:rsid w:val="5E054FAB"/>
    <w:rsid w:val="5E0B036F"/>
    <w:rsid w:val="5E1F6A37"/>
    <w:rsid w:val="5E2356B9"/>
    <w:rsid w:val="5E2467F1"/>
    <w:rsid w:val="5E280F21"/>
    <w:rsid w:val="5E2825BC"/>
    <w:rsid w:val="5E2D6537"/>
    <w:rsid w:val="5E31138B"/>
    <w:rsid w:val="5E345B18"/>
    <w:rsid w:val="5E36363E"/>
    <w:rsid w:val="5E3646E2"/>
    <w:rsid w:val="5E39608E"/>
    <w:rsid w:val="5E3A6431"/>
    <w:rsid w:val="5E3E0745"/>
    <w:rsid w:val="5E3E7098"/>
    <w:rsid w:val="5E40626B"/>
    <w:rsid w:val="5E4549AB"/>
    <w:rsid w:val="5E4853B5"/>
    <w:rsid w:val="5E4A6FA6"/>
    <w:rsid w:val="5E4C1F41"/>
    <w:rsid w:val="5E4E4E2C"/>
    <w:rsid w:val="5E5341F0"/>
    <w:rsid w:val="5E574CEC"/>
    <w:rsid w:val="5E583C85"/>
    <w:rsid w:val="5E5B1CC2"/>
    <w:rsid w:val="5E5B7E40"/>
    <w:rsid w:val="5E5F4871"/>
    <w:rsid w:val="5E6D7040"/>
    <w:rsid w:val="5E761C8C"/>
    <w:rsid w:val="5E7A79CF"/>
    <w:rsid w:val="5E8A398A"/>
    <w:rsid w:val="5E8F0FA0"/>
    <w:rsid w:val="5E914D18"/>
    <w:rsid w:val="5E930A90"/>
    <w:rsid w:val="5E9359DF"/>
    <w:rsid w:val="5E96232F"/>
    <w:rsid w:val="5EA64BE0"/>
    <w:rsid w:val="5EAB402C"/>
    <w:rsid w:val="5EAB7E52"/>
    <w:rsid w:val="5EB153BA"/>
    <w:rsid w:val="5EB34C8F"/>
    <w:rsid w:val="5EB97DCB"/>
    <w:rsid w:val="5EBB3B43"/>
    <w:rsid w:val="5EBD2DD5"/>
    <w:rsid w:val="5EBD3E5F"/>
    <w:rsid w:val="5EBE53E1"/>
    <w:rsid w:val="5EC36819"/>
    <w:rsid w:val="5ECD4618"/>
    <w:rsid w:val="5ED158A5"/>
    <w:rsid w:val="5ED2276F"/>
    <w:rsid w:val="5EDB5F93"/>
    <w:rsid w:val="5EE33573"/>
    <w:rsid w:val="5EE41BD1"/>
    <w:rsid w:val="5EF61933"/>
    <w:rsid w:val="5EFF0078"/>
    <w:rsid w:val="5F0218E6"/>
    <w:rsid w:val="5F04373C"/>
    <w:rsid w:val="5F087A5B"/>
    <w:rsid w:val="5F096FA4"/>
    <w:rsid w:val="5F100333"/>
    <w:rsid w:val="5F131BD1"/>
    <w:rsid w:val="5F15293E"/>
    <w:rsid w:val="5F1A2B43"/>
    <w:rsid w:val="5F261904"/>
    <w:rsid w:val="5F27742B"/>
    <w:rsid w:val="5F3131CD"/>
    <w:rsid w:val="5F315886"/>
    <w:rsid w:val="5F351B48"/>
    <w:rsid w:val="5F382BA7"/>
    <w:rsid w:val="5F3A53B0"/>
    <w:rsid w:val="5F3D4EF9"/>
    <w:rsid w:val="5F3D5545"/>
    <w:rsid w:val="5F406208"/>
    <w:rsid w:val="5F4B136B"/>
    <w:rsid w:val="5F4E650A"/>
    <w:rsid w:val="5F5101AF"/>
    <w:rsid w:val="5F531FCE"/>
    <w:rsid w:val="5F557AF4"/>
    <w:rsid w:val="5F5952A6"/>
    <w:rsid w:val="5F730181"/>
    <w:rsid w:val="5F781A34"/>
    <w:rsid w:val="5F8959EF"/>
    <w:rsid w:val="5F8F4324"/>
    <w:rsid w:val="5F906D7E"/>
    <w:rsid w:val="5F926F9A"/>
    <w:rsid w:val="5F95058B"/>
    <w:rsid w:val="5F995183"/>
    <w:rsid w:val="5FA016B7"/>
    <w:rsid w:val="5FA56CCD"/>
    <w:rsid w:val="5FA8056B"/>
    <w:rsid w:val="5FAA42E4"/>
    <w:rsid w:val="5FAA6092"/>
    <w:rsid w:val="5FB40CBE"/>
    <w:rsid w:val="5FB52C88"/>
    <w:rsid w:val="5FB837BB"/>
    <w:rsid w:val="5FBE38EB"/>
    <w:rsid w:val="5FC33DA6"/>
    <w:rsid w:val="5FC37153"/>
    <w:rsid w:val="5FCA04E2"/>
    <w:rsid w:val="5FD621A4"/>
    <w:rsid w:val="5FED7084"/>
    <w:rsid w:val="5FEE7268"/>
    <w:rsid w:val="5FEF1CF6"/>
    <w:rsid w:val="5FF4730D"/>
    <w:rsid w:val="5FF4776B"/>
    <w:rsid w:val="5FF62379"/>
    <w:rsid w:val="5FF94923"/>
    <w:rsid w:val="60017C7C"/>
    <w:rsid w:val="600532C8"/>
    <w:rsid w:val="600657A8"/>
    <w:rsid w:val="60085BF5"/>
    <w:rsid w:val="600A4D82"/>
    <w:rsid w:val="60123C37"/>
    <w:rsid w:val="60124413"/>
    <w:rsid w:val="60213E7A"/>
    <w:rsid w:val="602816AC"/>
    <w:rsid w:val="6035232D"/>
    <w:rsid w:val="603718EF"/>
    <w:rsid w:val="60392E2E"/>
    <w:rsid w:val="603D4677"/>
    <w:rsid w:val="603E7279"/>
    <w:rsid w:val="60402552"/>
    <w:rsid w:val="6045400C"/>
    <w:rsid w:val="60470EFE"/>
    <w:rsid w:val="60471B32"/>
    <w:rsid w:val="604C0EF7"/>
    <w:rsid w:val="605129B1"/>
    <w:rsid w:val="605579B0"/>
    <w:rsid w:val="60575AEE"/>
    <w:rsid w:val="605C7C00"/>
    <w:rsid w:val="60600615"/>
    <w:rsid w:val="60664F4D"/>
    <w:rsid w:val="60736CB6"/>
    <w:rsid w:val="6074044E"/>
    <w:rsid w:val="60786190"/>
    <w:rsid w:val="607A7A3D"/>
    <w:rsid w:val="608D02D4"/>
    <w:rsid w:val="608E1541"/>
    <w:rsid w:val="608E59B3"/>
    <w:rsid w:val="609014D8"/>
    <w:rsid w:val="6098413C"/>
    <w:rsid w:val="609E371C"/>
    <w:rsid w:val="609F196E"/>
    <w:rsid w:val="60A17B22"/>
    <w:rsid w:val="60A370D9"/>
    <w:rsid w:val="60A94B57"/>
    <w:rsid w:val="60AA3C1A"/>
    <w:rsid w:val="60AE7E03"/>
    <w:rsid w:val="60B14ECE"/>
    <w:rsid w:val="60B151FE"/>
    <w:rsid w:val="60B656F6"/>
    <w:rsid w:val="60B92304"/>
    <w:rsid w:val="60CB2763"/>
    <w:rsid w:val="60CC405A"/>
    <w:rsid w:val="60CD3BCF"/>
    <w:rsid w:val="60D14BE6"/>
    <w:rsid w:val="60D62EB6"/>
    <w:rsid w:val="60D84E80"/>
    <w:rsid w:val="60D92BB7"/>
    <w:rsid w:val="60E87758"/>
    <w:rsid w:val="60EB4BB4"/>
    <w:rsid w:val="60F11A9E"/>
    <w:rsid w:val="60F229B1"/>
    <w:rsid w:val="60F73AA6"/>
    <w:rsid w:val="60F90953"/>
    <w:rsid w:val="60FD6695"/>
    <w:rsid w:val="60FE2644"/>
    <w:rsid w:val="61030474"/>
    <w:rsid w:val="61077514"/>
    <w:rsid w:val="6118527D"/>
    <w:rsid w:val="611A2DA3"/>
    <w:rsid w:val="611D6D37"/>
    <w:rsid w:val="612E2CF2"/>
    <w:rsid w:val="613025C6"/>
    <w:rsid w:val="61314591"/>
    <w:rsid w:val="613D6D1D"/>
    <w:rsid w:val="613F6CAD"/>
    <w:rsid w:val="61446072"/>
    <w:rsid w:val="614672EA"/>
    <w:rsid w:val="61475B62"/>
    <w:rsid w:val="61497B2C"/>
    <w:rsid w:val="614E689C"/>
    <w:rsid w:val="615C785F"/>
    <w:rsid w:val="61615EED"/>
    <w:rsid w:val="61642270"/>
    <w:rsid w:val="61790BF4"/>
    <w:rsid w:val="617B7A74"/>
    <w:rsid w:val="617C1CB0"/>
    <w:rsid w:val="6186668A"/>
    <w:rsid w:val="61907509"/>
    <w:rsid w:val="619A3114"/>
    <w:rsid w:val="619C512C"/>
    <w:rsid w:val="61A46B11"/>
    <w:rsid w:val="61A74BDA"/>
    <w:rsid w:val="61AD3C17"/>
    <w:rsid w:val="61AE798F"/>
    <w:rsid w:val="61AF4555"/>
    <w:rsid w:val="61B04C7F"/>
    <w:rsid w:val="61B61DB9"/>
    <w:rsid w:val="61BA6334"/>
    <w:rsid w:val="61BD36B9"/>
    <w:rsid w:val="61C5024A"/>
    <w:rsid w:val="61C96577"/>
    <w:rsid w:val="61E215D8"/>
    <w:rsid w:val="61E37639"/>
    <w:rsid w:val="61EA05F7"/>
    <w:rsid w:val="61EE5AB9"/>
    <w:rsid w:val="61EF2482"/>
    <w:rsid w:val="61F22039"/>
    <w:rsid w:val="61F335F4"/>
    <w:rsid w:val="61F64F7B"/>
    <w:rsid w:val="61F71336"/>
    <w:rsid w:val="620147DB"/>
    <w:rsid w:val="62081649"/>
    <w:rsid w:val="62196ECE"/>
    <w:rsid w:val="621B3775"/>
    <w:rsid w:val="621C2B4B"/>
    <w:rsid w:val="621F0DBA"/>
    <w:rsid w:val="622D6B06"/>
    <w:rsid w:val="62326812"/>
    <w:rsid w:val="62364782"/>
    <w:rsid w:val="6236783E"/>
    <w:rsid w:val="62375BD7"/>
    <w:rsid w:val="62385F85"/>
    <w:rsid w:val="623E324E"/>
    <w:rsid w:val="62410803"/>
    <w:rsid w:val="62445648"/>
    <w:rsid w:val="62464A53"/>
    <w:rsid w:val="62481A07"/>
    <w:rsid w:val="625702B8"/>
    <w:rsid w:val="625832B3"/>
    <w:rsid w:val="62600C89"/>
    <w:rsid w:val="62606EDB"/>
    <w:rsid w:val="62640B3A"/>
    <w:rsid w:val="6264175C"/>
    <w:rsid w:val="62690BCA"/>
    <w:rsid w:val="626D102B"/>
    <w:rsid w:val="626D15F8"/>
    <w:rsid w:val="627333F5"/>
    <w:rsid w:val="62821026"/>
    <w:rsid w:val="628345AD"/>
    <w:rsid w:val="62840052"/>
    <w:rsid w:val="62886432"/>
    <w:rsid w:val="628C5F22"/>
    <w:rsid w:val="628D6025"/>
    <w:rsid w:val="629372B1"/>
    <w:rsid w:val="62966DA1"/>
    <w:rsid w:val="629B7F14"/>
    <w:rsid w:val="629D3C8C"/>
    <w:rsid w:val="629E17B2"/>
    <w:rsid w:val="62A274F4"/>
    <w:rsid w:val="62A72D5C"/>
    <w:rsid w:val="62AE5E99"/>
    <w:rsid w:val="62BB6808"/>
    <w:rsid w:val="62BD2580"/>
    <w:rsid w:val="62CA6A4B"/>
    <w:rsid w:val="62CD2DA2"/>
    <w:rsid w:val="62D23CD8"/>
    <w:rsid w:val="62D561CB"/>
    <w:rsid w:val="62DA5925"/>
    <w:rsid w:val="62DB47B4"/>
    <w:rsid w:val="62DE58E1"/>
    <w:rsid w:val="62DF2173"/>
    <w:rsid w:val="62E01DCA"/>
    <w:rsid w:val="62E37734"/>
    <w:rsid w:val="62E418BB"/>
    <w:rsid w:val="62EA51EA"/>
    <w:rsid w:val="62EA5DDD"/>
    <w:rsid w:val="62F16524"/>
    <w:rsid w:val="62FA0E4E"/>
    <w:rsid w:val="630957EB"/>
    <w:rsid w:val="630B32EB"/>
    <w:rsid w:val="630B48AF"/>
    <w:rsid w:val="6314164B"/>
    <w:rsid w:val="631657EC"/>
    <w:rsid w:val="63181564"/>
    <w:rsid w:val="631D6B7A"/>
    <w:rsid w:val="63220635"/>
    <w:rsid w:val="63275C4B"/>
    <w:rsid w:val="634E142A"/>
    <w:rsid w:val="63560E52"/>
    <w:rsid w:val="635C5F44"/>
    <w:rsid w:val="637013A0"/>
    <w:rsid w:val="637349EC"/>
    <w:rsid w:val="637569B7"/>
    <w:rsid w:val="638D2790"/>
    <w:rsid w:val="638E56DB"/>
    <w:rsid w:val="6394356A"/>
    <w:rsid w:val="639C7ED5"/>
    <w:rsid w:val="639F31A5"/>
    <w:rsid w:val="63A64DC2"/>
    <w:rsid w:val="63AD43A2"/>
    <w:rsid w:val="63AD5C13"/>
    <w:rsid w:val="63AE3252"/>
    <w:rsid w:val="63B44690"/>
    <w:rsid w:val="63B868A3"/>
    <w:rsid w:val="63BA261B"/>
    <w:rsid w:val="63BA7BE8"/>
    <w:rsid w:val="63C17E4E"/>
    <w:rsid w:val="63C61B2C"/>
    <w:rsid w:val="63CA5B49"/>
    <w:rsid w:val="63D01E3F"/>
    <w:rsid w:val="63D40BE9"/>
    <w:rsid w:val="63DA0F0F"/>
    <w:rsid w:val="63DE35A5"/>
    <w:rsid w:val="63E5158B"/>
    <w:rsid w:val="63E8362C"/>
    <w:rsid w:val="63E853DA"/>
    <w:rsid w:val="63F24A31"/>
    <w:rsid w:val="63F43D7F"/>
    <w:rsid w:val="640118F5"/>
    <w:rsid w:val="6402223B"/>
    <w:rsid w:val="640417FE"/>
    <w:rsid w:val="64085A7D"/>
    <w:rsid w:val="6409128B"/>
    <w:rsid w:val="640B2E77"/>
    <w:rsid w:val="64102431"/>
    <w:rsid w:val="641F6922"/>
    <w:rsid w:val="64240A78"/>
    <w:rsid w:val="64243F39"/>
    <w:rsid w:val="64283A29"/>
    <w:rsid w:val="643244FA"/>
    <w:rsid w:val="64335A6C"/>
    <w:rsid w:val="643E7B5B"/>
    <w:rsid w:val="64484DB7"/>
    <w:rsid w:val="64487C27"/>
    <w:rsid w:val="64504D2E"/>
    <w:rsid w:val="64542A70"/>
    <w:rsid w:val="6457430E"/>
    <w:rsid w:val="64575C95"/>
    <w:rsid w:val="64586689"/>
    <w:rsid w:val="646802C9"/>
    <w:rsid w:val="646A5DEF"/>
    <w:rsid w:val="646D1D84"/>
    <w:rsid w:val="646F1658"/>
    <w:rsid w:val="646F3406"/>
    <w:rsid w:val="64743AE4"/>
    <w:rsid w:val="64793BF3"/>
    <w:rsid w:val="647C5B23"/>
    <w:rsid w:val="647E7AED"/>
    <w:rsid w:val="64852C29"/>
    <w:rsid w:val="648E0584"/>
    <w:rsid w:val="648F1CFA"/>
    <w:rsid w:val="6497295D"/>
    <w:rsid w:val="64A01811"/>
    <w:rsid w:val="64A5243A"/>
    <w:rsid w:val="64A84B6A"/>
    <w:rsid w:val="64AF5EF8"/>
    <w:rsid w:val="64B67287"/>
    <w:rsid w:val="64B90B25"/>
    <w:rsid w:val="64BC00D8"/>
    <w:rsid w:val="64D15E6F"/>
    <w:rsid w:val="64D51ED9"/>
    <w:rsid w:val="64D911C7"/>
    <w:rsid w:val="64DF599F"/>
    <w:rsid w:val="64DF6D0B"/>
    <w:rsid w:val="64E21E2A"/>
    <w:rsid w:val="64E322E6"/>
    <w:rsid w:val="64E73C7C"/>
    <w:rsid w:val="64EB560C"/>
    <w:rsid w:val="64F531DE"/>
    <w:rsid w:val="64F92EB5"/>
    <w:rsid w:val="64FD1902"/>
    <w:rsid w:val="64FD3107"/>
    <w:rsid w:val="64FE478A"/>
    <w:rsid w:val="65046244"/>
    <w:rsid w:val="6509385A"/>
    <w:rsid w:val="6510024E"/>
    <w:rsid w:val="65103770"/>
    <w:rsid w:val="651346D9"/>
    <w:rsid w:val="651563EF"/>
    <w:rsid w:val="65176B41"/>
    <w:rsid w:val="651B60C2"/>
    <w:rsid w:val="6525440C"/>
    <w:rsid w:val="652E32C1"/>
    <w:rsid w:val="65300864"/>
    <w:rsid w:val="65314B5F"/>
    <w:rsid w:val="653463FD"/>
    <w:rsid w:val="65373578"/>
    <w:rsid w:val="654E74BF"/>
    <w:rsid w:val="654F09A9"/>
    <w:rsid w:val="6557369D"/>
    <w:rsid w:val="6558033E"/>
    <w:rsid w:val="655C3533"/>
    <w:rsid w:val="656B62F5"/>
    <w:rsid w:val="656C3DE9"/>
    <w:rsid w:val="656F7435"/>
    <w:rsid w:val="65711400"/>
    <w:rsid w:val="657F1D6E"/>
    <w:rsid w:val="658013E0"/>
    <w:rsid w:val="6582360D"/>
    <w:rsid w:val="65842EE1"/>
    <w:rsid w:val="658C225D"/>
    <w:rsid w:val="658D448B"/>
    <w:rsid w:val="65907AD8"/>
    <w:rsid w:val="6592215B"/>
    <w:rsid w:val="659B022A"/>
    <w:rsid w:val="659C46CE"/>
    <w:rsid w:val="659D30F6"/>
    <w:rsid w:val="65A55629"/>
    <w:rsid w:val="65A76BCF"/>
    <w:rsid w:val="65B83A74"/>
    <w:rsid w:val="65BE0031"/>
    <w:rsid w:val="65BF2344"/>
    <w:rsid w:val="65C43C25"/>
    <w:rsid w:val="65C44D40"/>
    <w:rsid w:val="65C85CFA"/>
    <w:rsid w:val="65CF322C"/>
    <w:rsid w:val="65D26342"/>
    <w:rsid w:val="65DD0843"/>
    <w:rsid w:val="65E16585"/>
    <w:rsid w:val="65E55EB8"/>
    <w:rsid w:val="65E73619"/>
    <w:rsid w:val="65ED4622"/>
    <w:rsid w:val="65EF6369"/>
    <w:rsid w:val="65F04A1A"/>
    <w:rsid w:val="65F44BEA"/>
    <w:rsid w:val="65FA7647"/>
    <w:rsid w:val="65FD4FF8"/>
    <w:rsid w:val="66007D1F"/>
    <w:rsid w:val="660337F3"/>
    <w:rsid w:val="66091638"/>
    <w:rsid w:val="660B1854"/>
    <w:rsid w:val="660C53C1"/>
    <w:rsid w:val="66136E8B"/>
    <w:rsid w:val="661518C1"/>
    <w:rsid w:val="661E14D0"/>
    <w:rsid w:val="661F0572"/>
    <w:rsid w:val="66246472"/>
    <w:rsid w:val="66285F62"/>
    <w:rsid w:val="662B5A52"/>
    <w:rsid w:val="662E6860"/>
    <w:rsid w:val="66342B59"/>
    <w:rsid w:val="663B13AC"/>
    <w:rsid w:val="663C7C5F"/>
    <w:rsid w:val="66413B09"/>
    <w:rsid w:val="66415276"/>
    <w:rsid w:val="66444C45"/>
    <w:rsid w:val="66495ED8"/>
    <w:rsid w:val="664F1DC4"/>
    <w:rsid w:val="665723A3"/>
    <w:rsid w:val="665E7BD6"/>
    <w:rsid w:val="666D1BC7"/>
    <w:rsid w:val="666F1DE3"/>
    <w:rsid w:val="66703A64"/>
    <w:rsid w:val="667E4EEB"/>
    <w:rsid w:val="668313EA"/>
    <w:rsid w:val="66945B10"/>
    <w:rsid w:val="669774DA"/>
    <w:rsid w:val="669F1A1E"/>
    <w:rsid w:val="66A567CB"/>
    <w:rsid w:val="66A86398"/>
    <w:rsid w:val="66AB26EF"/>
    <w:rsid w:val="66AF3FED"/>
    <w:rsid w:val="66B21CD0"/>
    <w:rsid w:val="66B43C9A"/>
    <w:rsid w:val="66B43DF1"/>
    <w:rsid w:val="66BF6D0D"/>
    <w:rsid w:val="66C12B94"/>
    <w:rsid w:val="66C57646"/>
    <w:rsid w:val="66C57C55"/>
    <w:rsid w:val="66CF1225"/>
    <w:rsid w:val="66CF63DE"/>
    <w:rsid w:val="66D103A8"/>
    <w:rsid w:val="66D44A87"/>
    <w:rsid w:val="66D71736"/>
    <w:rsid w:val="66DC5708"/>
    <w:rsid w:val="66E120D5"/>
    <w:rsid w:val="66E55C01"/>
    <w:rsid w:val="66E7446A"/>
    <w:rsid w:val="66ED0F5A"/>
    <w:rsid w:val="66F10A4A"/>
    <w:rsid w:val="66F347C2"/>
    <w:rsid w:val="66F6247F"/>
    <w:rsid w:val="66F839E7"/>
    <w:rsid w:val="670752CC"/>
    <w:rsid w:val="670B3089"/>
    <w:rsid w:val="67112CA1"/>
    <w:rsid w:val="67161177"/>
    <w:rsid w:val="671F0205"/>
    <w:rsid w:val="671F124A"/>
    <w:rsid w:val="67220EA5"/>
    <w:rsid w:val="6722525F"/>
    <w:rsid w:val="672647EF"/>
    <w:rsid w:val="67292826"/>
    <w:rsid w:val="672C0C13"/>
    <w:rsid w:val="67311FC6"/>
    <w:rsid w:val="67334BBF"/>
    <w:rsid w:val="67343361"/>
    <w:rsid w:val="67354CC5"/>
    <w:rsid w:val="6740552D"/>
    <w:rsid w:val="67417506"/>
    <w:rsid w:val="674211E0"/>
    <w:rsid w:val="674B0E3E"/>
    <w:rsid w:val="676229A1"/>
    <w:rsid w:val="67750BFD"/>
    <w:rsid w:val="67786A75"/>
    <w:rsid w:val="677A33C6"/>
    <w:rsid w:val="677B47B7"/>
    <w:rsid w:val="6780381F"/>
    <w:rsid w:val="678621C2"/>
    <w:rsid w:val="67874F0A"/>
    <w:rsid w:val="678D3C80"/>
    <w:rsid w:val="678E777F"/>
    <w:rsid w:val="67A816F8"/>
    <w:rsid w:val="67AF01AE"/>
    <w:rsid w:val="67BC1058"/>
    <w:rsid w:val="67BD20F3"/>
    <w:rsid w:val="67BD28D6"/>
    <w:rsid w:val="67C021CA"/>
    <w:rsid w:val="67C82C7D"/>
    <w:rsid w:val="67C9107F"/>
    <w:rsid w:val="67CB129B"/>
    <w:rsid w:val="67CF57FB"/>
    <w:rsid w:val="67D13936"/>
    <w:rsid w:val="67D55C76"/>
    <w:rsid w:val="67DD439B"/>
    <w:rsid w:val="67DE774C"/>
    <w:rsid w:val="67EE4770"/>
    <w:rsid w:val="67F85A01"/>
    <w:rsid w:val="67FA1B80"/>
    <w:rsid w:val="6804655B"/>
    <w:rsid w:val="680622D3"/>
    <w:rsid w:val="68093B71"/>
    <w:rsid w:val="680C78DD"/>
    <w:rsid w:val="680D4FA1"/>
    <w:rsid w:val="68103152"/>
    <w:rsid w:val="6817076A"/>
    <w:rsid w:val="681A09C1"/>
    <w:rsid w:val="681A7B2C"/>
    <w:rsid w:val="681F6961"/>
    <w:rsid w:val="68212C69"/>
    <w:rsid w:val="6822560A"/>
    <w:rsid w:val="68246BFD"/>
    <w:rsid w:val="68274B28"/>
    <w:rsid w:val="68282249"/>
    <w:rsid w:val="682D3309"/>
    <w:rsid w:val="68322E9F"/>
    <w:rsid w:val="683A3D2B"/>
    <w:rsid w:val="683F75E0"/>
    <w:rsid w:val="68442FC0"/>
    <w:rsid w:val="68531ADB"/>
    <w:rsid w:val="685C1EF3"/>
    <w:rsid w:val="685F2787"/>
    <w:rsid w:val="68610A2F"/>
    <w:rsid w:val="68670791"/>
    <w:rsid w:val="68680898"/>
    <w:rsid w:val="686A0AB4"/>
    <w:rsid w:val="68706C4B"/>
    <w:rsid w:val="68727968"/>
    <w:rsid w:val="68763722"/>
    <w:rsid w:val="68784853"/>
    <w:rsid w:val="68805514"/>
    <w:rsid w:val="68850AC9"/>
    <w:rsid w:val="6888718C"/>
    <w:rsid w:val="68945B31"/>
    <w:rsid w:val="68A2273F"/>
    <w:rsid w:val="68B24209"/>
    <w:rsid w:val="68B43ADD"/>
    <w:rsid w:val="68B66E8A"/>
    <w:rsid w:val="68B7537B"/>
    <w:rsid w:val="68BB130F"/>
    <w:rsid w:val="68C06926"/>
    <w:rsid w:val="68C13ED1"/>
    <w:rsid w:val="68C77CB4"/>
    <w:rsid w:val="68C8678E"/>
    <w:rsid w:val="68CA6C9D"/>
    <w:rsid w:val="68D5723F"/>
    <w:rsid w:val="68DA3D30"/>
    <w:rsid w:val="68EF0F74"/>
    <w:rsid w:val="690379FD"/>
    <w:rsid w:val="690C1BB7"/>
    <w:rsid w:val="690D7691"/>
    <w:rsid w:val="690F6F65"/>
    <w:rsid w:val="69196036"/>
    <w:rsid w:val="691A48B4"/>
    <w:rsid w:val="691F0BAC"/>
    <w:rsid w:val="6922138F"/>
    <w:rsid w:val="69286279"/>
    <w:rsid w:val="69297796"/>
    <w:rsid w:val="692D0C83"/>
    <w:rsid w:val="69316E2F"/>
    <w:rsid w:val="693410C2"/>
    <w:rsid w:val="69342E70"/>
    <w:rsid w:val="69382569"/>
    <w:rsid w:val="694E2071"/>
    <w:rsid w:val="694E2184"/>
    <w:rsid w:val="69513A22"/>
    <w:rsid w:val="6951757E"/>
    <w:rsid w:val="695B21AB"/>
    <w:rsid w:val="69670B4F"/>
    <w:rsid w:val="696743EA"/>
    <w:rsid w:val="69766163"/>
    <w:rsid w:val="69766FE4"/>
    <w:rsid w:val="697A3B33"/>
    <w:rsid w:val="698E07D2"/>
    <w:rsid w:val="698F62F8"/>
    <w:rsid w:val="69945348"/>
    <w:rsid w:val="69951B60"/>
    <w:rsid w:val="69A43B52"/>
    <w:rsid w:val="69AF24F6"/>
    <w:rsid w:val="69B64CFD"/>
    <w:rsid w:val="69C441F4"/>
    <w:rsid w:val="69CC140F"/>
    <w:rsid w:val="69D44760"/>
    <w:rsid w:val="69D73F87"/>
    <w:rsid w:val="69D9788E"/>
    <w:rsid w:val="69DA6216"/>
    <w:rsid w:val="69E77EE2"/>
    <w:rsid w:val="69E928AC"/>
    <w:rsid w:val="69EA352F"/>
    <w:rsid w:val="69ED00DF"/>
    <w:rsid w:val="69EE301F"/>
    <w:rsid w:val="69F0323B"/>
    <w:rsid w:val="69F148BD"/>
    <w:rsid w:val="69F543AD"/>
    <w:rsid w:val="69F60125"/>
    <w:rsid w:val="69F76B73"/>
    <w:rsid w:val="69FF347E"/>
    <w:rsid w:val="6A030513"/>
    <w:rsid w:val="6A031308"/>
    <w:rsid w:val="6A0740E0"/>
    <w:rsid w:val="6A116D0D"/>
    <w:rsid w:val="6A1231B1"/>
    <w:rsid w:val="6A1862EE"/>
    <w:rsid w:val="6A202150"/>
    <w:rsid w:val="6A2904FB"/>
    <w:rsid w:val="6A3F333A"/>
    <w:rsid w:val="6A4F2617"/>
    <w:rsid w:val="6A520EC7"/>
    <w:rsid w:val="6A535578"/>
    <w:rsid w:val="6A537326"/>
    <w:rsid w:val="6A5437CA"/>
    <w:rsid w:val="6A5512F0"/>
    <w:rsid w:val="6A5941C3"/>
    <w:rsid w:val="6A633A0D"/>
    <w:rsid w:val="6A64654F"/>
    <w:rsid w:val="6A713913"/>
    <w:rsid w:val="6A753740"/>
    <w:rsid w:val="6A773014"/>
    <w:rsid w:val="6A794FDE"/>
    <w:rsid w:val="6A7E5DF7"/>
    <w:rsid w:val="6A845731"/>
    <w:rsid w:val="6A851524"/>
    <w:rsid w:val="6A9357FD"/>
    <w:rsid w:val="6AA10091"/>
    <w:rsid w:val="6AA21A35"/>
    <w:rsid w:val="6AA4394A"/>
    <w:rsid w:val="6AA4447C"/>
    <w:rsid w:val="6AA47B81"/>
    <w:rsid w:val="6AAB0F10"/>
    <w:rsid w:val="6AAB616C"/>
    <w:rsid w:val="6AAF02F8"/>
    <w:rsid w:val="6AAF6BB4"/>
    <w:rsid w:val="6AB571F7"/>
    <w:rsid w:val="6AC27D3E"/>
    <w:rsid w:val="6AC50223"/>
    <w:rsid w:val="6AC51D0B"/>
    <w:rsid w:val="6AC95471"/>
    <w:rsid w:val="6ACA1723"/>
    <w:rsid w:val="6ACA3A8C"/>
    <w:rsid w:val="6ACD3910"/>
    <w:rsid w:val="6AD213BA"/>
    <w:rsid w:val="6ADD1EE4"/>
    <w:rsid w:val="6AE83F12"/>
    <w:rsid w:val="6AED32D6"/>
    <w:rsid w:val="6AF16E96"/>
    <w:rsid w:val="6AF37A21"/>
    <w:rsid w:val="6AF87E20"/>
    <w:rsid w:val="6AFA59F3"/>
    <w:rsid w:val="6B067241"/>
    <w:rsid w:val="6B0F5943"/>
    <w:rsid w:val="6B1271E1"/>
    <w:rsid w:val="6B1637B6"/>
    <w:rsid w:val="6B220F2F"/>
    <w:rsid w:val="6B245E38"/>
    <w:rsid w:val="6B322639"/>
    <w:rsid w:val="6B32518D"/>
    <w:rsid w:val="6B3B04E6"/>
    <w:rsid w:val="6B3E1B7B"/>
    <w:rsid w:val="6B44325E"/>
    <w:rsid w:val="6B560652"/>
    <w:rsid w:val="6B632144"/>
    <w:rsid w:val="6B6420C3"/>
    <w:rsid w:val="6B657311"/>
    <w:rsid w:val="6B661069"/>
    <w:rsid w:val="6B6B19DF"/>
    <w:rsid w:val="6B6B2EC7"/>
    <w:rsid w:val="6B6D65AF"/>
    <w:rsid w:val="6B7457A6"/>
    <w:rsid w:val="6B7C465A"/>
    <w:rsid w:val="6B802775"/>
    <w:rsid w:val="6B825C38"/>
    <w:rsid w:val="6B897E00"/>
    <w:rsid w:val="6B8D6867"/>
    <w:rsid w:val="6B9218A1"/>
    <w:rsid w:val="6B923E7E"/>
    <w:rsid w:val="6B99520C"/>
    <w:rsid w:val="6BA53BB1"/>
    <w:rsid w:val="6BA92FDE"/>
    <w:rsid w:val="6BAE6F0A"/>
    <w:rsid w:val="6BBC3C61"/>
    <w:rsid w:val="6BC06C3D"/>
    <w:rsid w:val="6BC1795C"/>
    <w:rsid w:val="6BC26511"/>
    <w:rsid w:val="6BC34F43"/>
    <w:rsid w:val="6BC634DA"/>
    <w:rsid w:val="6BD5055C"/>
    <w:rsid w:val="6BD6472C"/>
    <w:rsid w:val="6BE50451"/>
    <w:rsid w:val="6BE902A4"/>
    <w:rsid w:val="6BE90AA1"/>
    <w:rsid w:val="6BEA757F"/>
    <w:rsid w:val="6BF16DF6"/>
    <w:rsid w:val="6BFE5A0D"/>
    <w:rsid w:val="6C026709"/>
    <w:rsid w:val="6C262F44"/>
    <w:rsid w:val="6C266C0A"/>
    <w:rsid w:val="6C2A222E"/>
    <w:rsid w:val="6C303DC2"/>
    <w:rsid w:val="6C315B14"/>
    <w:rsid w:val="6C384A25"/>
    <w:rsid w:val="6C3B7334"/>
    <w:rsid w:val="6C3C2772"/>
    <w:rsid w:val="6C4B7641"/>
    <w:rsid w:val="6C4E249B"/>
    <w:rsid w:val="6C501D6F"/>
    <w:rsid w:val="6C5416DE"/>
    <w:rsid w:val="6C592A82"/>
    <w:rsid w:val="6C636C38"/>
    <w:rsid w:val="6C6562F8"/>
    <w:rsid w:val="6C6B0957"/>
    <w:rsid w:val="6C6E15BB"/>
    <w:rsid w:val="6C733CAF"/>
    <w:rsid w:val="6C745F48"/>
    <w:rsid w:val="6C7C2B64"/>
    <w:rsid w:val="6C7C7008"/>
    <w:rsid w:val="6C823EF2"/>
    <w:rsid w:val="6C830396"/>
    <w:rsid w:val="6C8F6890"/>
    <w:rsid w:val="6C953C26"/>
    <w:rsid w:val="6C962847"/>
    <w:rsid w:val="6C976A2F"/>
    <w:rsid w:val="6C9879E1"/>
    <w:rsid w:val="6C9C6D14"/>
    <w:rsid w:val="6CA65E33"/>
    <w:rsid w:val="6CAD0F6F"/>
    <w:rsid w:val="6CB22A29"/>
    <w:rsid w:val="6CB23185"/>
    <w:rsid w:val="6CB71DEE"/>
    <w:rsid w:val="6CBB409B"/>
    <w:rsid w:val="6CC46057"/>
    <w:rsid w:val="6CCA2719"/>
    <w:rsid w:val="6CCD6583"/>
    <w:rsid w:val="6CCF5389"/>
    <w:rsid w:val="6CDE55CC"/>
    <w:rsid w:val="6CE81FA7"/>
    <w:rsid w:val="6CEC75A3"/>
    <w:rsid w:val="6CED5810"/>
    <w:rsid w:val="6CF44DF0"/>
    <w:rsid w:val="6CF7668E"/>
    <w:rsid w:val="6CF975AC"/>
    <w:rsid w:val="6D042B59"/>
    <w:rsid w:val="6D081938"/>
    <w:rsid w:val="6D0E27E8"/>
    <w:rsid w:val="6D0F39D8"/>
    <w:rsid w:val="6D0F4DA3"/>
    <w:rsid w:val="6D0F5309"/>
    <w:rsid w:val="6D0F6AAA"/>
    <w:rsid w:val="6D13487F"/>
    <w:rsid w:val="6D1348F2"/>
    <w:rsid w:val="6D1879A1"/>
    <w:rsid w:val="6D1C60F5"/>
    <w:rsid w:val="6D21195D"/>
    <w:rsid w:val="6D237483"/>
    <w:rsid w:val="6D262AD0"/>
    <w:rsid w:val="6D3026B2"/>
    <w:rsid w:val="6D3616A8"/>
    <w:rsid w:val="6D374CDD"/>
    <w:rsid w:val="6D397701"/>
    <w:rsid w:val="6D4233CD"/>
    <w:rsid w:val="6D443867"/>
    <w:rsid w:val="6D446305"/>
    <w:rsid w:val="6D4B26B5"/>
    <w:rsid w:val="6D527D69"/>
    <w:rsid w:val="6D594C53"/>
    <w:rsid w:val="6D6A50B2"/>
    <w:rsid w:val="6D755363"/>
    <w:rsid w:val="6D75622B"/>
    <w:rsid w:val="6D762D4E"/>
    <w:rsid w:val="6D7D6164"/>
    <w:rsid w:val="6D87336F"/>
    <w:rsid w:val="6D9000F2"/>
    <w:rsid w:val="6D99717E"/>
    <w:rsid w:val="6D9A7CB2"/>
    <w:rsid w:val="6D9C6F82"/>
    <w:rsid w:val="6DA548A0"/>
    <w:rsid w:val="6DAF0D17"/>
    <w:rsid w:val="6DB34098"/>
    <w:rsid w:val="6DB545B6"/>
    <w:rsid w:val="6DB77BCC"/>
    <w:rsid w:val="6DBC49CD"/>
    <w:rsid w:val="6DC11578"/>
    <w:rsid w:val="6DCE5641"/>
    <w:rsid w:val="6DD23302"/>
    <w:rsid w:val="6DD807E0"/>
    <w:rsid w:val="6DDA7762"/>
    <w:rsid w:val="6DE02FB4"/>
    <w:rsid w:val="6DE22E9A"/>
    <w:rsid w:val="6DE25825"/>
    <w:rsid w:val="6DE36C13"/>
    <w:rsid w:val="6DE83CF6"/>
    <w:rsid w:val="6DEC5AC7"/>
    <w:rsid w:val="6DED24D1"/>
    <w:rsid w:val="6DEF6700"/>
    <w:rsid w:val="6DF42BCE"/>
    <w:rsid w:val="6DF71824"/>
    <w:rsid w:val="6DF826BE"/>
    <w:rsid w:val="6DFA4688"/>
    <w:rsid w:val="6E0338A5"/>
    <w:rsid w:val="6E034D5B"/>
    <w:rsid w:val="6E0472B5"/>
    <w:rsid w:val="6E053FDA"/>
    <w:rsid w:val="6E074436"/>
    <w:rsid w:val="6E0E660B"/>
    <w:rsid w:val="6E1F7C38"/>
    <w:rsid w:val="6E2E52C0"/>
    <w:rsid w:val="6E403B32"/>
    <w:rsid w:val="6E444BAC"/>
    <w:rsid w:val="6E473AAD"/>
    <w:rsid w:val="6E4C0C5C"/>
    <w:rsid w:val="6E4C47B8"/>
    <w:rsid w:val="6E5114E1"/>
    <w:rsid w:val="6E514CED"/>
    <w:rsid w:val="6E540DCA"/>
    <w:rsid w:val="6E552D7C"/>
    <w:rsid w:val="6E5673E4"/>
    <w:rsid w:val="6E567D0D"/>
    <w:rsid w:val="6E5D383C"/>
    <w:rsid w:val="6E664847"/>
    <w:rsid w:val="6E66617D"/>
    <w:rsid w:val="6E682C46"/>
    <w:rsid w:val="6E7640FD"/>
    <w:rsid w:val="6E7729AC"/>
    <w:rsid w:val="6E7837A8"/>
    <w:rsid w:val="6E7925BC"/>
    <w:rsid w:val="6E7C32C0"/>
    <w:rsid w:val="6E7E1982"/>
    <w:rsid w:val="6E83355F"/>
    <w:rsid w:val="6E865F1C"/>
    <w:rsid w:val="6E8C1058"/>
    <w:rsid w:val="6E9817AB"/>
    <w:rsid w:val="6E9A3189"/>
    <w:rsid w:val="6E9F7260"/>
    <w:rsid w:val="6EA941C4"/>
    <w:rsid w:val="6EAF1885"/>
    <w:rsid w:val="6EB02F99"/>
    <w:rsid w:val="6EB365E5"/>
    <w:rsid w:val="6EB563D5"/>
    <w:rsid w:val="6EB77212"/>
    <w:rsid w:val="6EB83BFB"/>
    <w:rsid w:val="6EBD48D1"/>
    <w:rsid w:val="6EC24A7A"/>
    <w:rsid w:val="6EC802E2"/>
    <w:rsid w:val="6EC95E08"/>
    <w:rsid w:val="6ECC3397"/>
    <w:rsid w:val="6ECC3FBF"/>
    <w:rsid w:val="6ECF6865"/>
    <w:rsid w:val="6ED67FE8"/>
    <w:rsid w:val="6ED92677"/>
    <w:rsid w:val="6EDC5B3C"/>
    <w:rsid w:val="6EE113A4"/>
    <w:rsid w:val="6EE13152"/>
    <w:rsid w:val="6EE669BA"/>
    <w:rsid w:val="6EF2710D"/>
    <w:rsid w:val="6EFE1F56"/>
    <w:rsid w:val="6EFE5667"/>
    <w:rsid w:val="6F094457"/>
    <w:rsid w:val="6F0B6421"/>
    <w:rsid w:val="6F0E0F87"/>
    <w:rsid w:val="6F184197"/>
    <w:rsid w:val="6F1928EC"/>
    <w:rsid w:val="6F1B4240"/>
    <w:rsid w:val="6F1B6967"/>
    <w:rsid w:val="6F1F3C7A"/>
    <w:rsid w:val="6F225983"/>
    <w:rsid w:val="6F306298"/>
    <w:rsid w:val="6F3326BD"/>
    <w:rsid w:val="6F341E31"/>
    <w:rsid w:val="6F345978"/>
    <w:rsid w:val="6F377216"/>
    <w:rsid w:val="6F437969"/>
    <w:rsid w:val="6F453DD7"/>
    <w:rsid w:val="6F4815E5"/>
    <w:rsid w:val="6F492366"/>
    <w:rsid w:val="6F4E5301"/>
    <w:rsid w:val="6F5A2F04"/>
    <w:rsid w:val="6F5A4CB2"/>
    <w:rsid w:val="6F5B73A8"/>
    <w:rsid w:val="6F5C62BD"/>
    <w:rsid w:val="6F5E47A3"/>
    <w:rsid w:val="6F65404F"/>
    <w:rsid w:val="6F657A26"/>
    <w:rsid w:val="6F66625A"/>
    <w:rsid w:val="6F6D523F"/>
    <w:rsid w:val="6F72024E"/>
    <w:rsid w:val="6F743FC6"/>
    <w:rsid w:val="6F760EE5"/>
    <w:rsid w:val="6F8166E3"/>
    <w:rsid w:val="6F886322"/>
    <w:rsid w:val="6F96218E"/>
    <w:rsid w:val="6F9F1156"/>
    <w:rsid w:val="6F9F1B8F"/>
    <w:rsid w:val="6FA276B3"/>
    <w:rsid w:val="6FA63973"/>
    <w:rsid w:val="6FA95083"/>
    <w:rsid w:val="6FAD74D8"/>
    <w:rsid w:val="6FB40F01"/>
    <w:rsid w:val="6FC4699E"/>
    <w:rsid w:val="6FCA3006"/>
    <w:rsid w:val="6FD0440A"/>
    <w:rsid w:val="6FD159D2"/>
    <w:rsid w:val="6FD40F09"/>
    <w:rsid w:val="6FD77469"/>
    <w:rsid w:val="6FD827A7"/>
    <w:rsid w:val="6FDC1B6B"/>
    <w:rsid w:val="6FED3D79"/>
    <w:rsid w:val="6FF13F65"/>
    <w:rsid w:val="6FF375E1"/>
    <w:rsid w:val="6FFC5590"/>
    <w:rsid w:val="6FFD220E"/>
    <w:rsid w:val="700049DA"/>
    <w:rsid w:val="70012000"/>
    <w:rsid w:val="700B4BC7"/>
    <w:rsid w:val="700F0193"/>
    <w:rsid w:val="70103888"/>
    <w:rsid w:val="70111815"/>
    <w:rsid w:val="70142050"/>
    <w:rsid w:val="70147557"/>
    <w:rsid w:val="70164562"/>
    <w:rsid w:val="70187047"/>
    <w:rsid w:val="701C3231"/>
    <w:rsid w:val="701F03D6"/>
    <w:rsid w:val="70205EFC"/>
    <w:rsid w:val="702459EC"/>
    <w:rsid w:val="70291255"/>
    <w:rsid w:val="703127C7"/>
    <w:rsid w:val="70346838"/>
    <w:rsid w:val="70384608"/>
    <w:rsid w:val="70460283"/>
    <w:rsid w:val="70461F22"/>
    <w:rsid w:val="704768A3"/>
    <w:rsid w:val="7056027A"/>
    <w:rsid w:val="70626515"/>
    <w:rsid w:val="7064228D"/>
    <w:rsid w:val="70653792"/>
    <w:rsid w:val="70691651"/>
    <w:rsid w:val="706A7177"/>
    <w:rsid w:val="706D1DD0"/>
    <w:rsid w:val="70700FEC"/>
    <w:rsid w:val="70730833"/>
    <w:rsid w:val="707E719A"/>
    <w:rsid w:val="70856B87"/>
    <w:rsid w:val="708B5A6B"/>
    <w:rsid w:val="708D593B"/>
    <w:rsid w:val="708F3705"/>
    <w:rsid w:val="70903082"/>
    <w:rsid w:val="70952479"/>
    <w:rsid w:val="7096180D"/>
    <w:rsid w:val="709A6DBA"/>
    <w:rsid w:val="70A324F8"/>
    <w:rsid w:val="70A46B2D"/>
    <w:rsid w:val="70A711B4"/>
    <w:rsid w:val="70AD3C34"/>
    <w:rsid w:val="70B54896"/>
    <w:rsid w:val="70BF70D4"/>
    <w:rsid w:val="70C16A93"/>
    <w:rsid w:val="70C42D2B"/>
    <w:rsid w:val="70C8281B"/>
    <w:rsid w:val="70C97DDA"/>
    <w:rsid w:val="70CB40BA"/>
    <w:rsid w:val="70CC1BE0"/>
    <w:rsid w:val="70CC398E"/>
    <w:rsid w:val="70CD170E"/>
    <w:rsid w:val="70CD27D1"/>
    <w:rsid w:val="70D06A12"/>
    <w:rsid w:val="70D527EE"/>
    <w:rsid w:val="70D54F38"/>
    <w:rsid w:val="70DB559A"/>
    <w:rsid w:val="70DD5487"/>
    <w:rsid w:val="70E712B0"/>
    <w:rsid w:val="70E92792"/>
    <w:rsid w:val="70E9550C"/>
    <w:rsid w:val="70F21646"/>
    <w:rsid w:val="70F84783"/>
    <w:rsid w:val="70FE448F"/>
    <w:rsid w:val="7101188A"/>
    <w:rsid w:val="710147BF"/>
    <w:rsid w:val="71071D8D"/>
    <w:rsid w:val="71081BEA"/>
    <w:rsid w:val="71125845"/>
    <w:rsid w:val="71147636"/>
    <w:rsid w:val="71182DAB"/>
    <w:rsid w:val="7119660F"/>
    <w:rsid w:val="712026EF"/>
    <w:rsid w:val="712D4759"/>
    <w:rsid w:val="714B0D57"/>
    <w:rsid w:val="714B43C2"/>
    <w:rsid w:val="714E1AB7"/>
    <w:rsid w:val="714F58AA"/>
    <w:rsid w:val="715220E5"/>
    <w:rsid w:val="715A179D"/>
    <w:rsid w:val="715A7E25"/>
    <w:rsid w:val="715B4196"/>
    <w:rsid w:val="715B5300"/>
    <w:rsid w:val="715C0099"/>
    <w:rsid w:val="71716396"/>
    <w:rsid w:val="717402AD"/>
    <w:rsid w:val="717951B5"/>
    <w:rsid w:val="71816E6E"/>
    <w:rsid w:val="71856709"/>
    <w:rsid w:val="71924BD7"/>
    <w:rsid w:val="7192631E"/>
    <w:rsid w:val="719A4166"/>
    <w:rsid w:val="719E1E55"/>
    <w:rsid w:val="71A33AA5"/>
    <w:rsid w:val="71A5490B"/>
    <w:rsid w:val="71AA20F6"/>
    <w:rsid w:val="71AD1A11"/>
    <w:rsid w:val="71B132B0"/>
    <w:rsid w:val="71C11019"/>
    <w:rsid w:val="71C1513C"/>
    <w:rsid w:val="71C707CD"/>
    <w:rsid w:val="71CC2685"/>
    <w:rsid w:val="71D21478"/>
    <w:rsid w:val="71D27F8A"/>
    <w:rsid w:val="71D624CD"/>
    <w:rsid w:val="71DB1B20"/>
    <w:rsid w:val="71DD1D2B"/>
    <w:rsid w:val="71E21E55"/>
    <w:rsid w:val="71E33998"/>
    <w:rsid w:val="71E74F23"/>
    <w:rsid w:val="71E82F52"/>
    <w:rsid w:val="71F31B1A"/>
    <w:rsid w:val="71F773F9"/>
    <w:rsid w:val="71FB452B"/>
    <w:rsid w:val="71FD65FB"/>
    <w:rsid w:val="720A0C12"/>
    <w:rsid w:val="720A29C0"/>
    <w:rsid w:val="720E5E3F"/>
    <w:rsid w:val="720E5F69"/>
    <w:rsid w:val="721203D8"/>
    <w:rsid w:val="72146D87"/>
    <w:rsid w:val="721C37A6"/>
    <w:rsid w:val="72225086"/>
    <w:rsid w:val="7223280F"/>
    <w:rsid w:val="72247F25"/>
    <w:rsid w:val="72275320"/>
    <w:rsid w:val="7232075A"/>
    <w:rsid w:val="7242335B"/>
    <w:rsid w:val="72435833"/>
    <w:rsid w:val="72544CE9"/>
    <w:rsid w:val="72553024"/>
    <w:rsid w:val="7257098D"/>
    <w:rsid w:val="72631C4D"/>
    <w:rsid w:val="726447C6"/>
    <w:rsid w:val="7267720B"/>
    <w:rsid w:val="7269440A"/>
    <w:rsid w:val="727442DD"/>
    <w:rsid w:val="72764398"/>
    <w:rsid w:val="727A7B45"/>
    <w:rsid w:val="727C693D"/>
    <w:rsid w:val="728478B9"/>
    <w:rsid w:val="72850EF0"/>
    <w:rsid w:val="728579A6"/>
    <w:rsid w:val="728803E9"/>
    <w:rsid w:val="7289422C"/>
    <w:rsid w:val="728C146C"/>
    <w:rsid w:val="72952BD1"/>
    <w:rsid w:val="7298446F"/>
    <w:rsid w:val="729D1A86"/>
    <w:rsid w:val="72A24178"/>
    <w:rsid w:val="72A270CD"/>
    <w:rsid w:val="72A74D1D"/>
    <w:rsid w:val="72A81DAB"/>
    <w:rsid w:val="72A86A4E"/>
    <w:rsid w:val="72AB5F51"/>
    <w:rsid w:val="72B353DC"/>
    <w:rsid w:val="72BB227F"/>
    <w:rsid w:val="72BD3ED6"/>
    <w:rsid w:val="72C54B39"/>
    <w:rsid w:val="72C55778"/>
    <w:rsid w:val="72C611CC"/>
    <w:rsid w:val="72C76D18"/>
    <w:rsid w:val="72C963D7"/>
    <w:rsid w:val="72CB3B20"/>
    <w:rsid w:val="72CE47BB"/>
    <w:rsid w:val="72D27981"/>
    <w:rsid w:val="72D82ABE"/>
    <w:rsid w:val="72D84F26"/>
    <w:rsid w:val="72DA05E4"/>
    <w:rsid w:val="72E53C54"/>
    <w:rsid w:val="72EB0490"/>
    <w:rsid w:val="72FC49FE"/>
    <w:rsid w:val="73001740"/>
    <w:rsid w:val="7300573E"/>
    <w:rsid w:val="73025992"/>
    <w:rsid w:val="73027B3B"/>
    <w:rsid w:val="73076EFF"/>
    <w:rsid w:val="730E3C89"/>
    <w:rsid w:val="730F67C9"/>
    <w:rsid w:val="73104876"/>
    <w:rsid w:val="73122968"/>
    <w:rsid w:val="73137F9A"/>
    <w:rsid w:val="73181A62"/>
    <w:rsid w:val="731B31F6"/>
    <w:rsid w:val="731D4975"/>
    <w:rsid w:val="731F06ED"/>
    <w:rsid w:val="731F5D5E"/>
    <w:rsid w:val="73217FC1"/>
    <w:rsid w:val="73247AB1"/>
    <w:rsid w:val="73283670"/>
    <w:rsid w:val="732B0E40"/>
    <w:rsid w:val="73320420"/>
    <w:rsid w:val="73323758"/>
    <w:rsid w:val="73334198"/>
    <w:rsid w:val="733F2B3D"/>
    <w:rsid w:val="73431EEE"/>
    <w:rsid w:val="734819F2"/>
    <w:rsid w:val="734A52F7"/>
    <w:rsid w:val="734C302C"/>
    <w:rsid w:val="73552361"/>
    <w:rsid w:val="7355410F"/>
    <w:rsid w:val="73591E51"/>
    <w:rsid w:val="735C36EF"/>
    <w:rsid w:val="735C549D"/>
    <w:rsid w:val="735D1CA8"/>
    <w:rsid w:val="736369E9"/>
    <w:rsid w:val="736B1B84"/>
    <w:rsid w:val="73721419"/>
    <w:rsid w:val="73736A4E"/>
    <w:rsid w:val="737541C0"/>
    <w:rsid w:val="73797DFD"/>
    <w:rsid w:val="737A4734"/>
    <w:rsid w:val="737C6F31"/>
    <w:rsid w:val="737E1108"/>
    <w:rsid w:val="738B4D85"/>
    <w:rsid w:val="738B5D82"/>
    <w:rsid w:val="73944C37"/>
    <w:rsid w:val="739E1612"/>
    <w:rsid w:val="73AD5CF9"/>
    <w:rsid w:val="73B166FF"/>
    <w:rsid w:val="73B928EF"/>
    <w:rsid w:val="73BC511D"/>
    <w:rsid w:val="73C51AD5"/>
    <w:rsid w:val="73C54095"/>
    <w:rsid w:val="73C6500C"/>
    <w:rsid w:val="73C95F19"/>
    <w:rsid w:val="73CA68AB"/>
    <w:rsid w:val="73D03795"/>
    <w:rsid w:val="73D17C39"/>
    <w:rsid w:val="73DB2866"/>
    <w:rsid w:val="73DE5EB2"/>
    <w:rsid w:val="73E07E7C"/>
    <w:rsid w:val="73EC37FA"/>
    <w:rsid w:val="73F456D6"/>
    <w:rsid w:val="73F5337E"/>
    <w:rsid w:val="73F904D6"/>
    <w:rsid w:val="73F90F3E"/>
    <w:rsid w:val="73FC637F"/>
    <w:rsid w:val="73FF07E0"/>
    <w:rsid w:val="74003100"/>
    <w:rsid w:val="7402599E"/>
    <w:rsid w:val="740530CB"/>
    <w:rsid w:val="740718AD"/>
    <w:rsid w:val="74082F2F"/>
    <w:rsid w:val="740A53C7"/>
    <w:rsid w:val="7411726A"/>
    <w:rsid w:val="741C4C2C"/>
    <w:rsid w:val="741E793C"/>
    <w:rsid w:val="74206642"/>
    <w:rsid w:val="74240D16"/>
    <w:rsid w:val="742835D1"/>
    <w:rsid w:val="742A1D80"/>
    <w:rsid w:val="742E3754"/>
    <w:rsid w:val="743146C8"/>
    <w:rsid w:val="743D52CE"/>
    <w:rsid w:val="74400593"/>
    <w:rsid w:val="74415C8B"/>
    <w:rsid w:val="74461C3E"/>
    <w:rsid w:val="744A1799"/>
    <w:rsid w:val="744F23AE"/>
    <w:rsid w:val="745219D1"/>
    <w:rsid w:val="745E3944"/>
    <w:rsid w:val="745F3497"/>
    <w:rsid w:val="7464023A"/>
    <w:rsid w:val="74654825"/>
    <w:rsid w:val="7467234B"/>
    <w:rsid w:val="746960C4"/>
    <w:rsid w:val="746B1BF9"/>
    <w:rsid w:val="746C7962"/>
    <w:rsid w:val="747607E0"/>
    <w:rsid w:val="74770490"/>
    <w:rsid w:val="747B2914"/>
    <w:rsid w:val="747E20C8"/>
    <w:rsid w:val="74821681"/>
    <w:rsid w:val="7487654A"/>
    <w:rsid w:val="748F53FE"/>
    <w:rsid w:val="7491168D"/>
    <w:rsid w:val="74994C5D"/>
    <w:rsid w:val="74A23383"/>
    <w:rsid w:val="74A45744"/>
    <w:rsid w:val="74A82862"/>
    <w:rsid w:val="74AF3BE2"/>
    <w:rsid w:val="74B310ED"/>
    <w:rsid w:val="74B34124"/>
    <w:rsid w:val="74B75A30"/>
    <w:rsid w:val="74BF5CE3"/>
    <w:rsid w:val="74C655E5"/>
    <w:rsid w:val="74C7103C"/>
    <w:rsid w:val="74CC0400"/>
    <w:rsid w:val="74CE4179"/>
    <w:rsid w:val="74D51552"/>
    <w:rsid w:val="74D6127F"/>
    <w:rsid w:val="74D774D1"/>
    <w:rsid w:val="74DA2B1D"/>
    <w:rsid w:val="74DD616A"/>
    <w:rsid w:val="74E078D2"/>
    <w:rsid w:val="74E14902"/>
    <w:rsid w:val="74E4574A"/>
    <w:rsid w:val="74E53270"/>
    <w:rsid w:val="74E90FB2"/>
    <w:rsid w:val="74EE0377"/>
    <w:rsid w:val="74F3263C"/>
    <w:rsid w:val="74F60F71"/>
    <w:rsid w:val="74F6547D"/>
    <w:rsid w:val="74F73F7C"/>
    <w:rsid w:val="74FB00EA"/>
    <w:rsid w:val="751002ED"/>
    <w:rsid w:val="75181898"/>
    <w:rsid w:val="75192089"/>
    <w:rsid w:val="75274017"/>
    <w:rsid w:val="752B39E0"/>
    <w:rsid w:val="7530687F"/>
    <w:rsid w:val="75381CFD"/>
    <w:rsid w:val="75387844"/>
    <w:rsid w:val="754614EA"/>
    <w:rsid w:val="75517E5D"/>
    <w:rsid w:val="75546532"/>
    <w:rsid w:val="75596138"/>
    <w:rsid w:val="755C3532"/>
    <w:rsid w:val="755E0D22"/>
    <w:rsid w:val="756214A2"/>
    <w:rsid w:val="75652B34"/>
    <w:rsid w:val="756D573F"/>
    <w:rsid w:val="756E770A"/>
    <w:rsid w:val="75764CC9"/>
    <w:rsid w:val="757A7E5C"/>
    <w:rsid w:val="75826D11"/>
    <w:rsid w:val="758331B5"/>
    <w:rsid w:val="75846F2D"/>
    <w:rsid w:val="758744F2"/>
    <w:rsid w:val="758B7112"/>
    <w:rsid w:val="758D7B90"/>
    <w:rsid w:val="75954C96"/>
    <w:rsid w:val="7598244F"/>
    <w:rsid w:val="75A05403"/>
    <w:rsid w:val="75BD2F65"/>
    <w:rsid w:val="75C0596C"/>
    <w:rsid w:val="75C335B1"/>
    <w:rsid w:val="75C37A55"/>
    <w:rsid w:val="75C613A5"/>
    <w:rsid w:val="75C80BC8"/>
    <w:rsid w:val="75CE5495"/>
    <w:rsid w:val="75DC5214"/>
    <w:rsid w:val="75DE663D"/>
    <w:rsid w:val="75E35A02"/>
    <w:rsid w:val="75E72F2B"/>
    <w:rsid w:val="75E83018"/>
    <w:rsid w:val="75FA2D4B"/>
    <w:rsid w:val="75FB0F9D"/>
    <w:rsid w:val="75FB1457"/>
    <w:rsid w:val="75FE283B"/>
    <w:rsid w:val="760612FE"/>
    <w:rsid w:val="760D6F22"/>
    <w:rsid w:val="76125DD7"/>
    <w:rsid w:val="76171B4F"/>
    <w:rsid w:val="761A519B"/>
    <w:rsid w:val="7625038C"/>
    <w:rsid w:val="7625601A"/>
    <w:rsid w:val="76283D5C"/>
    <w:rsid w:val="762A6FDB"/>
    <w:rsid w:val="762E77F6"/>
    <w:rsid w:val="763149BF"/>
    <w:rsid w:val="7635099D"/>
    <w:rsid w:val="76367C7E"/>
    <w:rsid w:val="7642496E"/>
    <w:rsid w:val="76522B87"/>
    <w:rsid w:val="7657019E"/>
    <w:rsid w:val="76571FA5"/>
    <w:rsid w:val="76586652"/>
    <w:rsid w:val="76607832"/>
    <w:rsid w:val="766206AB"/>
    <w:rsid w:val="76641E45"/>
    <w:rsid w:val="766B686E"/>
    <w:rsid w:val="76740D50"/>
    <w:rsid w:val="767825EE"/>
    <w:rsid w:val="767945B8"/>
    <w:rsid w:val="76836A58"/>
    <w:rsid w:val="76854D0B"/>
    <w:rsid w:val="768C6099"/>
    <w:rsid w:val="769119D2"/>
    <w:rsid w:val="76966F18"/>
    <w:rsid w:val="769A4C9C"/>
    <w:rsid w:val="769C74A7"/>
    <w:rsid w:val="769E7B7B"/>
    <w:rsid w:val="76A4354A"/>
    <w:rsid w:val="76B079E4"/>
    <w:rsid w:val="76B26248"/>
    <w:rsid w:val="76C23869"/>
    <w:rsid w:val="76C43A85"/>
    <w:rsid w:val="76C45833"/>
    <w:rsid w:val="76C577FD"/>
    <w:rsid w:val="76C75323"/>
    <w:rsid w:val="76CA0970"/>
    <w:rsid w:val="76CF41D8"/>
    <w:rsid w:val="76D441AC"/>
    <w:rsid w:val="76DD06A3"/>
    <w:rsid w:val="76DD4B47"/>
    <w:rsid w:val="76E27307"/>
    <w:rsid w:val="76E45ED5"/>
    <w:rsid w:val="76ED6663"/>
    <w:rsid w:val="76F35C8E"/>
    <w:rsid w:val="76FB6D7B"/>
    <w:rsid w:val="770609B4"/>
    <w:rsid w:val="77062718"/>
    <w:rsid w:val="7715608F"/>
    <w:rsid w:val="77161E07"/>
    <w:rsid w:val="771A649F"/>
    <w:rsid w:val="771B11CB"/>
    <w:rsid w:val="771B741D"/>
    <w:rsid w:val="771D3195"/>
    <w:rsid w:val="771D677C"/>
    <w:rsid w:val="771D6F5D"/>
    <w:rsid w:val="77237BBD"/>
    <w:rsid w:val="77273E65"/>
    <w:rsid w:val="772E2D7C"/>
    <w:rsid w:val="7731279D"/>
    <w:rsid w:val="77316C41"/>
    <w:rsid w:val="77366005"/>
    <w:rsid w:val="773A064C"/>
    <w:rsid w:val="775748F9"/>
    <w:rsid w:val="77585F7B"/>
    <w:rsid w:val="776963DA"/>
    <w:rsid w:val="776C3C22"/>
    <w:rsid w:val="776C6361"/>
    <w:rsid w:val="77707EB4"/>
    <w:rsid w:val="77762421"/>
    <w:rsid w:val="77770AF7"/>
    <w:rsid w:val="7778661E"/>
    <w:rsid w:val="777A4144"/>
    <w:rsid w:val="77844187"/>
    <w:rsid w:val="778968E2"/>
    <w:rsid w:val="778D031B"/>
    <w:rsid w:val="778D433A"/>
    <w:rsid w:val="779D1A5F"/>
    <w:rsid w:val="779E42D6"/>
    <w:rsid w:val="77A750D1"/>
    <w:rsid w:val="77AD62C7"/>
    <w:rsid w:val="77B21436"/>
    <w:rsid w:val="77B24F21"/>
    <w:rsid w:val="77B56B1F"/>
    <w:rsid w:val="77B91240"/>
    <w:rsid w:val="77BB7A65"/>
    <w:rsid w:val="77C41863"/>
    <w:rsid w:val="77C43BB4"/>
    <w:rsid w:val="77C55B1E"/>
    <w:rsid w:val="77C667FC"/>
    <w:rsid w:val="77C83101"/>
    <w:rsid w:val="77CB0E43"/>
    <w:rsid w:val="77CB499F"/>
    <w:rsid w:val="77D45F4A"/>
    <w:rsid w:val="77D870BC"/>
    <w:rsid w:val="77DC095A"/>
    <w:rsid w:val="77E048EF"/>
    <w:rsid w:val="77E719A2"/>
    <w:rsid w:val="77E732E0"/>
    <w:rsid w:val="77EE068E"/>
    <w:rsid w:val="77EF18BC"/>
    <w:rsid w:val="77F03860"/>
    <w:rsid w:val="77F24622"/>
    <w:rsid w:val="77F92AEE"/>
    <w:rsid w:val="77FA6C53"/>
    <w:rsid w:val="77FC2DAB"/>
    <w:rsid w:val="78056103"/>
    <w:rsid w:val="78073758"/>
    <w:rsid w:val="780A2FE0"/>
    <w:rsid w:val="780F09F4"/>
    <w:rsid w:val="7814075E"/>
    <w:rsid w:val="782642CC"/>
    <w:rsid w:val="782C1CAF"/>
    <w:rsid w:val="783B19BE"/>
    <w:rsid w:val="783C5852"/>
    <w:rsid w:val="78484242"/>
    <w:rsid w:val="784D6A40"/>
    <w:rsid w:val="78504F4D"/>
    <w:rsid w:val="78511348"/>
    <w:rsid w:val="78591FAB"/>
    <w:rsid w:val="78600B26"/>
    <w:rsid w:val="786055C7"/>
    <w:rsid w:val="78654A33"/>
    <w:rsid w:val="786B1CDE"/>
    <w:rsid w:val="787669ED"/>
    <w:rsid w:val="787730AF"/>
    <w:rsid w:val="787B0173"/>
    <w:rsid w:val="788571CC"/>
    <w:rsid w:val="78943619"/>
    <w:rsid w:val="7896619D"/>
    <w:rsid w:val="78985BAD"/>
    <w:rsid w:val="78A0530C"/>
    <w:rsid w:val="78A82F32"/>
    <w:rsid w:val="78A90480"/>
    <w:rsid w:val="78AD0549"/>
    <w:rsid w:val="78B10039"/>
    <w:rsid w:val="78B90C9C"/>
    <w:rsid w:val="78C652DD"/>
    <w:rsid w:val="78C90283"/>
    <w:rsid w:val="78CC6C21"/>
    <w:rsid w:val="78D4183B"/>
    <w:rsid w:val="78DE6954"/>
    <w:rsid w:val="78E25175"/>
    <w:rsid w:val="78E57CC3"/>
    <w:rsid w:val="78E57CE3"/>
    <w:rsid w:val="78EA7D4E"/>
    <w:rsid w:val="78EF290F"/>
    <w:rsid w:val="78FE7D13"/>
    <w:rsid w:val="790A44C1"/>
    <w:rsid w:val="790A7749"/>
    <w:rsid w:val="790C34C1"/>
    <w:rsid w:val="7916765A"/>
    <w:rsid w:val="791736B1"/>
    <w:rsid w:val="791A32A2"/>
    <w:rsid w:val="791D56CF"/>
    <w:rsid w:val="79200D1B"/>
    <w:rsid w:val="79222CE5"/>
    <w:rsid w:val="792238A9"/>
    <w:rsid w:val="79236435"/>
    <w:rsid w:val="792574FE"/>
    <w:rsid w:val="79295E21"/>
    <w:rsid w:val="792A3948"/>
    <w:rsid w:val="792F6AFA"/>
    <w:rsid w:val="79306E99"/>
    <w:rsid w:val="79330A4E"/>
    <w:rsid w:val="7936053E"/>
    <w:rsid w:val="793622EC"/>
    <w:rsid w:val="79396FEC"/>
    <w:rsid w:val="79471303"/>
    <w:rsid w:val="79501600"/>
    <w:rsid w:val="795545C7"/>
    <w:rsid w:val="7957297F"/>
    <w:rsid w:val="796926C2"/>
    <w:rsid w:val="796D4705"/>
    <w:rsid w:val="79701A3D"/>
    <w:rsid w:val="79711576"/>
    <w:rsid w:val="79791CCF"/>
    <w:rsid w:val="797F3F87"/>
    <w:rsid w:val="7980087A"/>
    <w:rsid w:val="79803C62"/>
    <w:rsid w:val="798B088A"/>
    <w:rsid w:val="798E2128"/>
    <w:rsid w:val="799030F4"/>
    <w:rsid w:val="79955265"/>
    <w:rsid w:val="79975481"/>
    <w:rsid w:val="799905C1"/>
    <w:rsid w:val="799B6BDF"/>
    <w:rsid w:val="799F7E92"/>
    <w:rsid w:val="79A91521"/>
    <w:rsid w:val="79AB4A88"/>
    <w:rsid w:val="79AF2FC9"/>
    <w:rsid w:val="79B75195"/>
    <w:rsid w:val="79BF0534"/>
    <w:rsid w:val="79C8156A"/>
    <w:rsid w:val="79C82E87"/>
    <w:rsid w:val="79CE4C1B"/>
    <w:rsid w:val="79CE69C9"/>
    <w:rsid w:val="79D02741"/>
    <w:rsid w:val="79D044EF"/>
    <w:rsid w:val="79DD09BA"/>
    <w:rsid w:val="79E46821"/>
    <w:rsid w:val="79E87A8A"/>
    <w:rsid w:val="79EC05BF"/>
    <w:rsid w:val="79ED7CB3"/>
    <w:rsid w:val="79F86EC5"/>
    <w:rsid w:val="79F94CB9"/>
    <w:rsid w:val="7A094B6F"/>
    <w:rsid w:val="7A0B3779"/>
    <w:rsid w:val="7A1F7224"/>
    <w:rsid w:val="7A2D1941"/>
    <w:rsid w:val="7A2E1215"/>
    <w:rsid w:val="7A344A7E"/>
    <w:rsid w:val="7A364017"/>
    <w:rsid w:val="7A3C7DD6"/>
    <w:rsid w:val="7A474C9A"/>
    <w:rsid w:val="7A514DE8"/>
    <w:rsid w:val="7A540C7C"/>
    <w:rsid w:val="7A550FCC"/>
    <w:rsid w:val="7A5769BE"/>
    <w:rsid w:val="7A635363"/>
    <w:rsid w:val="7A6C646A"/>
    <w:rsid w:val="7A6D182A"/>
    <w:rsid w:val="7A715CD2"/>
    <w:rsid w:val="7A7E219D"/>
    <w:rsid w:val="7A801B3B"/>
    <w:rsid w:val="7A8261C2"/>
    <w:rsid w:val="7A8265E1"/>
    <w:rsid w:val="7A97325F"/>
    <w:rsid w:val="7A9E48AF"/>
    <w:rsid w:val="7AA250FE"/>
    <w:rsid w:val="7AA5772A"/>
    <w:rsid w:val="7AA8721A"/>
    <w:rsid w:val="7AB64546"/>
    <w:rsid w:val="7AB83901"/>
    <w:rsid w:val="7AC2652D"/>
    <w:rsid w:val="7ACA75C6"/>
    <w:rsid w:val="7ACD133D"/>
    <w:rsid w:val="7ACE4ED2"/>
    <w:rsid w:val="7ADD0F40"/>
    <w:rsid w:val="7AE55D78"/>
    <w:rsid w:val="7AEA15E0"/>
    <w:rsid w:val="7AF16E13"/>
    <w:rsid w:val="7AF47B48"/>
    <w:rsid w:val="7AF6253B"/>
    <w:rsid w:val="7AFC2C7F"/>
    <w:rsid w:val="7B002746"/>
    <w:rsid w:val="7B003581"/>
    <w:rsid w:val="7B065E73"/>
    <w:rsid w:val="7B0B4EE3"/>
    <w:rsid w:val="7B0D52CF"/>
    <w:rsid w:val="7B171762"/>
    <w:rsid w:val="7B203254"/>
    <w:rsid w:val="7B217C5D"/>
    <w:rsid w:val="7B23565A"/>
    <w:rsid w:val="7B2A40D3"/>
    <w:rsid w:val="7B2C05FE"/>
    <w:rsid w:val="7B2F1799"/>
    <w:rsid w:val="7B3411CB"/>
    <w:rsid w:val="7B395329"/>
    <w:rsid w:val="7B3960C4"/>
    <w:rsid w:val="7B4151F6"/>
    <w:rsid w:val="7B432044"/>
    <w:rsid w:val="7B4707E1"/>
    <w:rsid w:val="7B5829EE"/>
    <w:rsid w:val="7B586CE6"/>
    <w:rsid w:val="7B686D42"/>
    <w:rsid w:val="7B6C0247"/>
    <w:rsid w:val="7B6C6499"/>
    <w:rsid w:val="7B7B048A"/>
    <w:rsid w:val="7B7C5E5E"/>
    <w:rsid w:val="7B7D1600"/>
    <w:rsid w:val="7B821BED"/>
    <w:rsid w:val="7B841746"/>
    <w:rsid w:val="7B8A691F"/>
    <w:rsid w:val="7B8E4662"/>
    <w:rsid w:val="7B932B68"/>
    <w:rsid w:val="7B997698"/>
    <w:rsid w:val="7BA2010D"/>
    <w:rsid w:val="7BA426C5"/>
    <w:rsid w:val="7BA63759"/>
    <w:rsid w:val="7BB340C8"/>
    <w:rsid w:val="7BB64E23"/>
    <w:rsid w:val="7BBA0FB3"/>
    <w:rsid w:val="7BBA70F7"/>
    <w:rsid w:val="7BBF524B"/>
    <w:rsid w:val="7BC938EC"/>
    <w:rsid w:val="7BCC2177"/>
    <w:rsid w:val="7BD823A4"/>
    <w:rsid w:val="7BD83FE2"/>
    <w:rsid w:val="7BDB55A2"/>
    <w:rsid w:val="7BE05F52"/>
    <w:rsid w:val="7BE20509"/>
    <w:rsid w:val="7BE4044F"/>
    <w:rsid w:val="7BEC3607"/>
    <w:rsid w:val="7BEE6EAE"/>
    <w:rsid w:val="7BF344C5"/>
    <w:rsid w:val="7BF35814"/>
    <w:rsid w:val="7BF60E31"/>
    <w:rsid w:val="7BF872F1"/>
    <w:rsid w:val="7BFC461F"/>
    <w:rsid w:val="7C044924"/>
    <w:rsid w:val="7C044C44"/>
    <w:rsid w:val="7C0E57A2"/>
    <w:rsid w:val="7C17093E"/>
    <w:rsid w:val="7C19006D"/>
    <w:rsid w:val="7C190697"/>
    <w:rsid w:val="7C1D1542"/>
    <w:rsid w:val="7C324FED"/>
    <w:rsid w:val="7C364721"/>
    <w:rsid w:val="7C3A64F7"/>
    <w:rsid w:val="7C3C2310"/>
    <w:rsid w:val="7C3F3BAE"/>
    <w:rsid w:val="7C44683B"/>
    <w:rsid w:val="7C4C0EF6"/>
    <w:rsid w:val="7C4E5B9F"/>
    <w:rsid w:val="7C504C5E"/>
    <w:rsid w:val="7C524C36"/>
    <w:rsid w:val="7C55517F"/>
    <w:rsid w:val="7C584880"/>
    <w:rsid w:val="7C594C70"/>
    <w:rsid w:val="7C5F2722"/>
    <w:rsid w:val="7C604C88"/>
    <w:rsid w:val="7C6158D2"/>
    <w:rsid w:val="7C621D66"/>
    <w:rsid w:val="7C6B04FF"/>
    <w:rsid w:val="7C6C5AC7"/>
    <w:rsid w:val="7C74470E"/>
    <w:rsid w:val="7C75137E"/>
    <w:rsid w:val="7C792C1C"/>
    <w:rsid w:val="7C7E26E8"/>
    <w:rsid w:val="7C8724CE"/>
    <w:rsid w:val="7C8941F5"/>
    <w:rsid w:val="7C914C62"/>
    <w:rsid w:val="7C964821"/>
    <w:rsid w:val="7C9705CD"/>
    <w:rsid w:val="7CA53FD6"/>
    <w:rsid w:val="7CA82BF0"/>
    <w:rsid w:val="7CB0105A"/>
    <w:rsid w:val="7CB52D46"/>
    <w:rsid w:val="7CB9570E"/>
    <w:rsid w:val="7CC03BCA"/>
    <w:rsid w:val="7CC16371"/>
    <w:rsid w:val="7CC6544B"/>
    <w:rsid w:val="7CC77E2B"/>
    <w:rsid w:val="7CC85951"/>
    <w:rsid w:val="7CCA1CB2"/>
    <w:rsid w:val="7CCC3693"/>
    <w:rsid w:val="7CE3278B"/>
    <w:rsid w:val="7CE56503"/>
    <w:rsid w:val="7CE6568D"/>
    <w:rsid w:val="7CEC1640"/>
    <w:rsid w:val="7CED35A7"/>
    <w:rsid w:val="7CF52FF7"/>
    <w:rsid w:val="7CFD1A9F"/>
    <w:rsid w:val="7D0239FF"/>
    <w:rsid w:val="7D050953"/>
    <w:rsid w:val="7D060228"/>
    <w:rsid w:val="7D1110A6"/>
    <w:rsid w:val="7D121F30"/>
    <w:rsid w:val="7D1E06A2"/>
    <w:rsid w:val="7D291C08"/>
    <w:rsid w:val="7D2A2393"/>
    <w:rsid w:val="7D311748"/>
    <w:rsid w:val="7D3966A1"/>
    <w:rsid w:val="7D3A1A54"/>
    <w:rsid w:val="7D3A66E2"/>
    <w:rsid w:val="7D3B2542"/>
    <w:rsid w:val="7D3B25C7"/>
    <w:rsid w:val="7D4724B0"/>
    <w:rsid w:val="7D5E40CD"/>
    <w:rsid w:val="7D6E02A7"/>
    <w:rsid w:val="7D717D97"/>
    <w:rsid w:val="7D744047"/>
    <w:rsid w:val="7D761851"/>
    <w:rsid w:val="7D7E4262"/>
    <w:rsid w:val="7D7F7F3B"/>
    <w:rsid w:val="7D845D1C"/>
    <w:rsid w:val="7D8555F0"/>
    <w:rsid w:val="7D8B227D"/>
    <w:rsid w:val="7D910439"/>
    <w:rsid w:val="7D972197"/>
    <w:rsid w:val="7D9817C8"/>
    <w:rsid w:val="7D985324"/>
    <w:rsid w:val="7DA168CE"/>
    <w:rsid w:val="7DA30B7B"/>
    <w:rsid w:val="7DA63EE4"/>
    <w:rsid w:val="7DA708F4"/>
    <w:rsid w:val="7DAE5058"/>
    <w:rsid w:val="7DAF5591"/>
    <w:rsid w:val="7DB67EA0"/>
    <w:rsid w:val="7DB9054F"/>
    <w:rsid w:val="7DBB7264"/>
    <w:rsid w:val="7DBF389C"/>
    <w:rsid w:val="7DCD56F2"/>
    <w:rsid w:val="7DCE343B"/>
    <w:rsid w:val="7DD17302"/>
    <w:rsid w:val="7DD81BC4"/>
    <w:rsid w:val="7DE21500"/>
    <w:rsid w:val="7DE839BB"/>
    <w:rsid w:val="7DE93453"/>
    <w:rsid w:val="7DF52776"/>
    <w:rsid w:val="7DFF2D75"/>
    <w:rsid w:val="7E074257"/>
    <w:rsid w:val="7E0E5E9C"/>
    <w:rsid w:val="7E1075B0"/>
    <w:rsid w:val="7E157B06"/>
    <w:rsid w:val="7E185760"/>
    <w:rsid w:val="7E215319"/>
    <w:rsid w:val="7E226F1F"/>
    <w:rsid w:val="7E244E09"/>
    <w:rsid w:val="7E253748"/>
    <w:rsid w:val="7E3379ED"/>
    <w:rsid w:val="7E3B0039"/>
    <w:rsid w:val="7E40432D"/>
    <w:rsid w:val="7E4A7151"/>
    <w:rsid w:val="7E5564F4"/>
    <w:rsid w:val="7E5576B9"/>
    <w:rsid w:val="7E6178CF"/>
    <w:rsid w:val="7E663674"/>
    <w:rsid w:val="7E6E2528"/>
    <w:rsid w:val="7E6E3749"/>
    <w:rsid w:val="7E75713F"/>
    <w:rsid w:val="7E7A0ECD"/>
    <w:rsid w:val="7E7C4C45"/>
    <w:rsid w:val="7E885398"/>
    <w:rsid w:val="7E924469"/>
    <w:rsid w:val="7E926217"/>
    <w:rsid w:val="7EA05F99"/>
    <w:rsid w:val="7EA332E8"/>
    <w:rsid w:val="7EA67F14"/>
    <w:rsid w:val="7EA71D2E"/>
    <w:rsid w:val="7EAA16AC"/>
    <w:rsid w:val="7EB048EF"/>
    <w:rsid w:val="7EB3205F"/>
    <w:rsid w:val="7EB663A9"/>
    <w:rsid w:val="7EB77A2B"/>
    <w:rsid w:val="7EBC09D3"/>
    <w:rsid w:val="7EBC5E02"/>
    <w:rsid w:val="7EBE700C"/>
    <w:rsid w:val="7EC219CC"/>
    <w:rsid w:val="7EC250AE"/>
    <w:rsid w:val="7EC32874"/>
    <w:rsid w:val="7EC363D0"/>
    <w:rsid w:val="7EC5243A"/>
    <w:rsid w:val="7EC90FEA"/>
    <w:rsid w:val="7ED2210B"/>
    <w:rsid w:val="7ED2433A"/>
    <w:rsid w:val="7EDC3E2B"/>
    <w:rsid w:val="7EDE7535"/>
    <w:rsid w:val="7EE36ED9"/>
    <w:rsid w:val="7EE60311"/>
    <w:rsid w:val="7EE66563"/>
    <w:rsid w:val="7EEB6286"/>
    <w:rsid w:val="7EEC06BD"/>
    <w:rsid w:val="7EEF18BB"/>
    <w:rsid w:val="7EF7251E"/>
    <w:rsid w:val="7EF81461"/>
    <w:rsid w:val="7EFE565A"/>
    <w:rsid w:val="7F001CE7"/>
    <w:rsid w:val="7F020B28"/>
    <w:rsid w:val="7F081891"/>
    <w:rsid w:val="7F094413"/>
    <w:rsid w:val="7F0A3FFF"/>
    <w:rsid w:val="7F121106"/>
    <w:rsid w:val="7F14627E"/>
    <w:rsid w:val="7F1E7AAB"/>
    <w:rsid w:val="7F271055"/>
    <w:rsid w:val="7F287316"/>
    <w:rsid w:val="7F2B7B4F"/>
    <w:rsid w:val="7F3D2627"/>
    <w:rsid w:val="7F3F29A0"/>
    <w:rsid w:val="7F403EC5"/>
    <w:rsid w:val="7F421416"/>
    <w:rsid w:val="7F4339B5"/>
    <w:rsid w:val="7F464B70"/>
    <w:rsid w:val="7F531E4A"/>
    <w:rsid w:val="7F592169"/>
    <w:rsid w:val="7F6779F6"/>
    <w:rsid w:val="7F69341C"/>
    <w:rsid w:val="7F6F306D"/>
    <w:rsid w:val="7F741DC0"/>
    <w:rsid w:val="7F8260FC"/>
    <w:rsid w:val="7F8738A2"/>
    <w:rsid w:val="7F8D6F44"/>
    <w:rsid w:val="7F93439F"/>
    <w:rsid w:val="7F9E1D90"/>
    <w:rsid w:val="7FA426A6"/>
    <w:rsid w:val="7FA465C9"/>
    <w:rsid w:val="7FAE2FC5"/>
    <w:rsid w:val="7FAF4BA7"/>
    <w:rsid w:val="7FB65F35"/>
    <w:rsid w:val="7FB90F14"/>
    <w:rsid w:val="7FBD5378"/>
    <w:rsid w:val="7FBF128D"/>
    <w:rsid w:val="7FC05006"/>
    <w:rsid w:val="7FC12846"/>
    <w:rsid w:val="7FC5261C"/>
    <w:rsid w:val="7FC90733"/>
    <w:rsid w:val="7FCF6FF7"/>
    <w:rsid w:val="7FD67773"/>
    <w:rsid w:val="7FD722B4"/>
    <w:rsid w:val="7FD91C23"/>
    <w:rsid w:val="7FDF548C"/>
    <w:rsid w:val="7FE47E50"/>
    <w:rsid w:val="7FF37189"/>
    <w:rsid w:val="7FF54CAF"/>
    <w:rsid w:val="7FFE75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3"/>
    <w:basedOn w:val="1"/>
    <w:next w:val="1"/>
    <w:autoRedefine/>
    <w:qFormat/>
    <w:locked/>
    <w:uiPriority w:val="0"/>
    <w:pPr>
      <w:tabs>
        <w:tab w:val="left" w:pos="0"/>
      </w:tabs>
      <w:adjustRightInd w:val="0"/>
      <w:snapToGrid w:val="0"/>
      <w:spacing w:beforeLines="50" w:afterLines="50"/>
      <w:outlineLvl w:val="2"/>
    </w:pPr>
    <w:rPr>
      <w:b/>
      <w:sz w:val="28"/>
      <w:szCs w:val="28"/>
    </w:rPr>
  </w:style>
  <w:style w:type="paragraph" w:styleId="7">
    <w:name w:val="heading 4"/>
    <w:basedOn w:val="1"/>
    <w:next w:val="1"/>
    <w:autoRedefine/>
    <w:qFormat/>
    <w:locked/>
    <w:uiPriority w:val="9"/>
    <w:pPr>
      <w:keepNext/>
      <w:keepLines/>
      <w:outlineLvl w:val="3"/>
    </w:pPr>
    <w:rPr>
      <w:rFonts w:ascii="Calibri" w:hAnsi="Calibri"/>
      <w:b/>
      <w:bCs/>
      <w:iCs/>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customStyle="1" w:styleId="2">
    <w:name w:val="样式 样式 样式 四号 左侧:  1.53 厘米 + 首行缩进:  2 字符 + 居中 左侧:  2 字符 首行缩进:  2..."/>
    <w:basedOn w:val="3"/>
    <w:autoRedefine/>
    <w:qFormat/>
    <w:uiPriority w:val="0"/>
    <w:pPr>
      <w:jc w:val="center"/>
    </w:pPr>
  </w:style>
  <w:style w:type="paragraph" w:customStyle="1" w:styleId="3">
    <w:name w:val="样式 样式 四号 左侧:  1.53 厘米 + 首行缩进:  2 字符"/>
    <w:basedOn w:val="4"/>
    <w:autoRedefine/>
    <w:qFormat/>
    <w:uiPriority w:val="99"/>
    <w:pPr>
      <w:ind w:left="200" w:leftChars="200"/>
    </w:pPr>
    <w:rPr>
      <w:szCs w:val="20"/>
    </w:rPr>
  </w:style>
  <w:style w:type="paragraph" w:customStyle="1" w:styleId="4">
    <w:name w:val="样式 四号 左侧:  1.53 厘米"/>
    <w:basedOn w:val="1"/>
    <w:autoRedefine/>
    <w:qFormat/>
    <w:uiPriority w:val="99"/>
    <w:pPr>
      <w:adjustRightInd w:val="0"/>
    </w:pPr>
    <w:rPr>
      <w:w w:val="90"/>
      <w:sz w:val="28"/>
      <w:szCs w:val="28"/>
    </w:rPr>
  </w:style>
  <w:style w:type="paragraph" w:styleId="8">
    <w:name w:val="Normal Indent"/>
    <w:basedOn w:val="1"/>
    <w:next w:val="9"/>
    <w:autoRedefine/>
    <w:qFormat/>
    <w:locked/>
    <w:uiPriority w:val="0"/>
    <w:pPr>
      <w:ind w:firstLine="420"/>
    </w:pPr>
    <w:rPr>
      <w:kern w:val="0"/>
      <w:sz w:val="20"/>
      <w:szCs w:val="20"/>
    </w:rPr>
  </w:style>
  <w:style w:type="paragraph" w:styleId="9">
    <w:name w:val="toc 1"/>
    <w:basedOn w:val="1"/>
    <w:next w:val="1"/>
    <w:autoRedefine/>
    <w:unhideWhenUsed/>
    <w:qFormat/>
    <w:locked/>
    <w:uiPriority w:val="39"/>
    <w:pPr>
      <w:spacing w:after="100" w:line="259" w:lineRule="auto"/>
    </w:pPr>
    <w:rPr>
      <w:rFonts w:ascii="等线" w:hAnsi="等线" w:eastAsia="等线"/>
      <w:kern w:val="0"/>
      <w:sz w:val="22"/>
      <w:szCs w:val="22"/>
    </w:rPr>
  </w:style>
  <w:style w:type="paragraph" w:styleId="10">
    <w:name w:val="caption"/>
    <w:basedOn w:val="1"/>
    <w:next w:val="11"/>
    <w:autoRedefine/>
    <w:qFormat/>
    <w:locked/>
    <w:uiPriority w:val="35"/>
    <w:pPr>
      <w:adjustRightInd w:val="0"/>
      <w:snapToGrid w:val="0"/>
      <w:spacing w:beforeLines="50" w:line="360" w:lineRule="auto"/>
      <w:jc w:val="center"/>
    </w:pPr>
    <w:rPr>
      <w:rFonts w:hAnsi="Cambria"/>
    </w:rPr>
  </w:style>
  <w:style w:type="paragraph" w:styleId="11">
    <w:name w:val="Body Text"/>
    <w:basedOn w:val="1"/>
    <w:link w:val="33"/>
    <w:autoRedefine/>
    <w:qFormat/>
    <w:uiPriority w:val="0"/>
    <w:pPr>
      <w:widowControl/>
      <w:snapToGrid w:val="0"/>
      <w:spacing w:before="60" w:after="160" w:line="259" w:lineRule="auto"/>
      <w:ind w:right="113"/>
    </w:pPr>
    <w:rPr>
      <w:kern w:val="0"/>
      <w:sz w:val="18"/>
      <w:szCs w:val="20"/>
    </w:rPr>
  </w:style>
  <w:style w:type="paragraph" w:styleId="12">
    <w:name w:val="annotation text"/>
    <w:basedOn w:val="1"/>
    <w:link w:val="32"/>
    <w:autoRedefine/>
    <w:semiHidden/>
    <w:qFormat/>
    <w:uiPriority w:val="0"/>
    <w:pPr>
      <w:jc w:val="left"/>
    </w:pPr>
    <w:rPr>
      <w:kern w:val="0"/>
      <w:sz w:val="24"/>
      <w:szCs w:val="20"/>
    </w:rPr>
  </w:style>
  <w:style w:type="paragraph" w:styleId="13">
    <w:name w:val="Body Text Indent"/>
    <w:basedOn w:val="1"/>
    <w:next w:val="14"/>
    <w:link w:val="34"/>
    <w:autoRedefine/>
    <w:qFormat/>
    <w:uiPriority w:val="0"/>
    <w:pPr>
      <w:spacing w:after="120"/>
      <w:ind w:left="420" w:leftChars="200"/>
    </w:pPr>
    <w:rPr>
      <w:kern w:val="0"/>
      <w:sz w:val="24"/>
      <w:szCs w:val="20"/>
    </w:rPr>
  </w:style>
  <w:style w:type="paragraph" w:styleId="14">
    <w:name w:val="header"/>
    <w:basedOn w:val="1"/>
    <w:link w:val="38"/>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Date"/>
    <w:basedOn w:val="1"/>
    <w:next w:val="1"/>
    <w:link w:val="35"/>
    <w:autoRedefine/>
    <w:qFormat/>
    <w:uiPriority w:val="0"/>
    <w:pPr>
      <w:ind w:left="100" w:leftChars="2500"/>
    </w:pPr>
    <w:rPr>
      <w:kern w:val="0"/>
      <w:sz w:val="24"/>
      <w:szCs w:val="20"/>
    </w:rPr>
  </w:style>
  <w:style w:type="paragraph" w:styleId="16">
    <w:name w:val="Body Text Indent 2"/>
    <w:basedOn w:val="1"/>
    <w:next w:val="1"/>
    <w:autoRedefine/>
    <w:qFormat/>
    <w:locked/>
    <w:uiPriority w:val="0"/>
    <w:pPr>
      <w:spacing w:line="480" w:lineRule="auto"/>
      <w:ind w:left="420" w:leftChars="200"/>
    </w:pPr>
  </w:style>
  <w:style w:type="paragraph" w:styleId="17">
    <w:name w:val="Balloon Text"/>
    <w:basedOn w:val="1"/>
    <w:link w:val="36"/>
    <w:autoRedefine/>
    <w:semiHidden/>
    <w:qFormat/>
    <w:uiPriority w:val="0"/>
    <w:rPr>
      <w:kern w:val="0"/>
      <w:sz w:val="18"/>
      <w:szCs w:val="20"/>
    </w:rPr>
  </w:style>
  <w:style w:type="paragraph" w:styleId="18">
    <w:name w:val="footer"/>
    <w:basedOn w:val="1"/>
    <w:link w:val="37"/>
    <w:autoRedefine/>
    <w:qFormat/>
    <w:uiPriority w:val="99"/>
    <w:pPr>
      <w:tabs>
        <w:tab w:val="center" w:pos="4153"/>
        <w:tab w:val="right" w:pos="8306"/>
      </w:tabs>
      <w:snapToGrid w:val="0"/>
      <w:jc w:val="left"/>
    </w:pPr>
    <w:rPr>
      <w:kern w:val="0"/>
      <w:sz w:val="18"/>
      <w:szCs w:val="20"/>
    </w:rPr>
  </w:style>
  <w:style w:type="paragraph" w:styleId="19">
    <w:name w:val="Body Text 2"/>
    <w:basedOn w:val="1"/>
    <w:autoRedefine/>
    <w:qFormat/>
    <w:locked/>
    <w:uiPriority w:val="0"/>
    <w:pPr>
      <w:jc w:val="center"/>
    </w:pPr>
  </w:style>
  <w:style w:type="paragraph" w:styleId="20">
    <w:name w:val="Normal (Web)"/>
    <w:basedOn w:val="1"/>
    <w:link w:val="39"/>
    <w:autoRedefine/>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12"/>
    <w:next w:val="12"/>
    <w:link w:val="40"/>
    <w:autoRedefine/>
    <w:semiHidden/>
    <w:qFormat/>
    <w:uiPriority w:val="0"/>
    <w:rPr>
      <w:b/>
      <w:kern w:val="2"/>
    </w:rPr>
  </w:style>
  <w:style w:type="paragraph" w:styleId="22">
    <w:name w:val="Body Text First Indent"/>
    <w:basedOn w:val="11"/>
    <w:autoRedefine/>
    <w:qFormat/>
    <w:locked/>
    <w:uiPriority w:val="0"/>
    <w:pPr>
      <w:spacing w:after="120" w:line="240" w:lineRule="auto"/>
      <w:ind w:firstLine="100" w:firstLineChars="100"/>
    </w:pPr>
    <w:rPr>
      <w:sz w:val="28"/>
      <w:szCs w:val="24"/>
    </w:rPr>
  </w:style>
  <w:style w:type="paragraph" w:styleId="23">
    <w:name w:val="Body Text First Indent 2"/>
    <w:basedOn w:val="13"/>
    <w:next w:val="1"/>
    <w:autoRedefine/>
    <w:qFormat/>
    <w:locked/>
    <w:uiPriority w:val="0"/>
    <w:pPr>
      <w:adjustRightInd w:val="0"/>
      <w:snapToGrid w:val="0"/>
      <w:spacing w:line="360" w:lineRule="auto"/>
      <w:ind w:left="0" w:firstLine="200" w:firstLineChars="200"/>
    </w:pPr>
    <w:rPr>
      <w:rFonts w:cs="宋体"/>
      <w:color w:val="000000"/>
      <w:szCs w:val="28"/>
    </w:rPr>
  </w:style>
  <w:style w:type="table" w:styleId="25">
    <w:name w:val="Table Grid"/>
    <w:basedOn w:val="2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basedOn w:val="26"/>
    <w:autoRedefine/>
    <w:qFormat/>
    <w:locked/>
    <w:uiPriority w:val="0"/>
  </w:style>
  <w:style w:type="character" w:styleId="28">
    <w:name w:val="annotation reference"/>
    <w:autoRedefine/>
    <w:semiHidden/>
    <w:qFormat/>
    <w:uiPriority w:val="0"/>
    <w:rPr>
      <w:sz w:val="21"/>
    </w:rPr>
  </w:style>
  <w:style w:type="paragraph" w:customStyle="1" w:styleId="29">
    <w:name w:val="样式5"/>
    <w:basedOn w:val="30"/>
    <w:autoRedefine/>
    <w:qFormat/>
    <w:uiPriority w:val="0"/>
    <w:pPr>
      <w:spacing w:line="360" w:lineRule="auto"/>
      <w:ind w:firstLine="510"/>
    </w:pPr>
  </w:style>
  <w:style w:type="paragraph" w:customStyle="1" w:styleId="30">
    <w:name w:val="正文1"/>
    <w:basedOn w:val="1"/>
    <w:next w:val="1"/>
    <w:autoRedefine/>
    <w:qFormat/>
    <w:uiPriority w:val="0"/>
    <w:pPr>
      <w:adjustRightInd w:val="0"/>
      <w:snapToGrid w:val="0"/>
      <w:spacing w:line="500" w:lineRule="atLeast"/>
      <w:ind w:firstLine="567"/>
    </w:pPr>
    <w:rPr>
      <w:sz w:val="28"/>
      <w:szCs w:val="20"/>
    </w:rPr>
  </w:style>
  <w:style w:type="paragraph" w:customStyle="1" w:styleId="31">
    <w:name w:val="书正文"/>
    <w:basedOn w:val="1"/>
    <w:autoRedefine/>
    <w:qFormat/>
    <w:uiPriority w:val="0"/>
    <w:pPr>
      <w:spacing w:line="500" w:lineRule="exact"/>
      <w:ind w:firstLine="640" w:firstLineChars="200"/>
    </w:pPr>
  </w:style>
  <w:style w:type="character" w:customStyle="1" w:styleId="32">
    <w:name w:val="批注文字 Char"/>
    <w:link w:val="12"/>
    <w:autoRedefine/>
    <w:qFormat/>
    <w:locked/>
    <w:uiPriority w:val="0"/>
    <w:rPr>
      <w:rFonts w:ascii="Times New Roman" w:hAnsi="Times New Roman" w:eastAsia="宋体"/>
      <w:sz w:val="24"/>
    </w:rPr>
  </w:style>
  <w:style w:type="character" w:customStyle="1" w:styleId="33">
    <w:name w:val="正文文本 Char"/>
    <w:link w:val="11"/>
    <w:autoRedefine/>
    <w:qFormat/>
    <w:locked/>
    <w:uiPriority w:val="0"/>
    <w:rPr>
      <w:sz w:val="18"/>
    </w:rPr>
  </w:style>
  <w:style w:type="character" w:customStyle="1" w:styleId="34">
    <w:name w:val="正文文本缩进 Char"/>
    <w:link w:val="13"/>
    <w:autoRedefine/>
    <w:semiHidden/>
    <w:qFormat/>
    <w:locked/>
    <w:uiPriority w:val="0"/>
    <w:rPr>
      <w:rFonts w:ascii="Times New Roman" w:hAnsi="Times New Roman" w:eastAsia="宋体"/>
      <w:sz w:val="24"/>
    </w:rPr>
  </w:style>
  <w:style w:type="character" w:customStyle="1" w:styleId="35">
    <w:name w:val="日期 Char"/>
    <w:link w:val="15"/>
    <w:autoRedefine/>
    <w:qFormat/>
    <w:locked/>
    <w:uiPriority w:val="0"/>
    <w:rPr>
      <w:rFonts w:ascii="Times New Roman" w:hAnsi="Times New Roman" w:eastAsia="宋体"/>
      <w:sz w:val="24"/>
    </w:rPr>
  </w:style>
  <w:style w:type="character" w:customStyle="1" w:styleId="36">
    <w:name w:val="批注框文本 Char"/>
    <w:link w:val="17"/>
    <w:autoRedefine/>
    <w:semiHidden/>
    <w:qFormat/>
    <w:locked/>
    <w:uiPriority w:val="0"/>
    <w:rPr>
      <w:rFonts w:ascii="Times New Roman" w:hAnsi="Times New Roman" w:eastAsia="宋体"/>
      <w:sz w:val="18"/>
    </w:rPr>
  </w:style>
  <w:style w:type="character" w:customStyle="1" w:styleId="37">
    <w:name w:val="页脚 Char"/>
    <w:link w:val="18"/>
    <w:autoRedefine/>
    <w:qFormat/>
    <w:locked/>
    <w:uiPriority w:val="99"/>
    <w:rPr>
      <w:sz w:val="18"/>
    </w:rPr>
  </w:style>
  <w:style w:type="character" w:customStyle="1" w:styleId="38">
    <w:name w:val="页眉 Char"/>
    <w:link w:val="14"/>
    <w:autoRedefine/>
    <w:qFormat/>
    <w:locked/>
    <w:uiPriority w:val="0"/>
    <w:rPr>
      <w:sz w:val="18"/>
    </w:rPr>
  </w:style>
  <w:style w:type="character" w:customStyle="1" w:styleId="39">
    <w:name w:val="普通(网站) Char"/>
    <w:link w:val="20"/>
    <w:autoRedefine/>
    <w:qFormat/>
    <w:locked/>
    <w:uiPriority w:val="0"/>
    <w:rPr>
      <w:rFonts w:ascii="宋体" w:hAnsi="宋体" w:eastAsia="宋体"/>
      <w:sz w:val="24"/>
    </w:rPr>
  </w:style>
  <w:style w:type="character" w:customStyle="1" w:styleId="40">
    <w:name w:val="批注主题 Char"/>
    <w:link w:val="21"/>
    <w:autoRedefine/>
    <w:semiHidden/>
    <w:qFormat/>
    <w:locked/>
    <w:uiPriority w:val="0"/>
    <w:rPr>
      <w:rFonts w:ascii="Times New Roman" w:hAnsi="Times New Roman" w:eastAsia="宋体"/>
      <w:b/>
      <w:kern w:val="2"/>
      <w:sz w:val="24"/>
    </w:rPr>
  </w:style>
  <w:style w:type="paragraph" w:customStyle="1" w:styleId="41">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2">
    <w:name w:val="样式1"/>
    <w:next w:val="1"/>
    <w:autoRedefine/>
    <w:qFormat/>
    <w:uiPriority w:val="0"/>
    <w:pPr>
      <w:widowControl w:val="0"/>
      <w:snapToGrid w:val="0"/>
      <w:jc w:val="center"/>
    </w:pPr>
    <w:rPr>
      <w:rFonts w:ascii="宋体" w:hAnsi="Arial" w:eastAsia="宋体" w:cs="Times New Roman"/>
      <w:b/>
      <w:bCs/>
      <w:kern w:val="2"/>
      <w:sz w:val="21"/>
      <w:lang w:val="en-US" w:eastAsia="zh-CN" w:bidi="ar-SA"/>
    </w:rPr>
  </w:style>
  <w:style w:type="character" w:customStyle="1" w:styleId="43">
    <w:name w:val="正文文本 字符1"/>
    <w:autoRedefine/>
    <w:semiHidden/>
    <w:qFormat/>
    <w:uiPriority w:val="0"/>
    <w:rPr>
      <w:rFonts w:ascii="Times New Roman" w:hAnsi="Times New Roman" w:eastAsia="宋体"/>
      <w:sz w:val="24"/>
    </w:rPr>
  </w:style>
  <w:style w:type="character" w:customStyle="1" w:styleId="44">
    <w:name w:val="表格 Char"/>
    <w:link w:val="45"/>
    <w:autoRedefine/>
    <w:qFormat/>
    <w:locked/>
    <w:uiPriority w:val="0"/>
    <w:rPr>
      <w:rFonts w:ascii="宋体"/>
      <w:sz w:val="21"/>
    </w:rPr>
  </w:style>
  <w:style w:type="paragraph" w:customStyle="1" w:styleId="45">
    <w:name w:val="表格"/>
    <w:basedOn w:val="1"/>
    <w:next w:val="1"/>
    <w:link w:val="44"/>
    <w:autoRedefine/>
    <w:qFormat/>
    <w:uiPriority w:val="0"/>
    <w:pPr>
      <w:adjustRightInd w:val="0"/>
      <w:snapToGrid w:val="0"/>
      <w:spacing w:beforeLines="10" w:afterLines="10" w:line="259" w:lineRule="auto"/>
      <w:jc w:val="center"/>
    </w:pPr>
    <w:rPr>
      <w:rFonts w:ascii="宋体"/>
      <w:kern w:val="0"/>
      <w:szCs w:val="20"/>
    </w:rPr>
  </w:style>
  <w:style w:type="character" w:customStyle="1" w:styleId="46">
    <w:name w:val="日期 字符"/>
    <w:autoRedefine/>
    <w:semiHidden/>
    <w:qFormat/>
    <w:uiPriority w:val="0"/>
    <w:rPr>
      <w:rFonts w:ascii="Times New Roman" w:hAnsi="Times New Roman" w:eastAsia="宋体"/>
      <w:sz w:val="24"/>
    </w:rPr>
  </w:style>
  <w:style w:type="character" w:customStyle="1" w:styleId="47">
    <w:name w:val="页脚 字符"/>
    <w:basedOn w:val="26"/>
    <w:autoRedefine/>
    <w:qFormat/>
    <w:uiPriority w:val="99"/>
  </w:style>
  <w:style w:type="character" w:customStyle="1" w:styleId="48">
    <w:name w:val="16"/>
    <w:autoRedefine/>
    <w:qFormat/>
    <w:uiPriority w:val="0"/>
    <w:rPr>
      <w:b/>
      <w:bCs/>
      <w:sz w:val="21"/>
      <w:szCs w:val="21"/>
    </w:rPr>
  </w:style>
  <w:style w:type="character" w:customStyle="1" w:styleId="49">
    <w:name w:val="批注文字 字符1"/>
    <w:autoRedefine/>
    <w:semiHidden/>
    <w:qFormat/>
    <w:uiPriority w:val="0"/>
    <w:rPr>
      <w:rFonts w:ascii="Times New Roman" w:hAnsi="Times New Roman" w:eastAsia="宋体"/>
      <w:sz w:val="24"/>
    </w:rPr>
  </w:style>
  <w:style w:type="paragraph" w:customStyle="1" w:styleId="50">
    <w:name w:val="郑歆大纲报告书正文"/>
    <w:basedOn w:val="1"/>
    <w:autoRedefine/>
    <w:qFormat/>
    <w:uiPriority w:val="0"/>
    <w:pPr>
      <w:spacing w:line="360" w:lineRule="auto"/>
      <w:ind w:firstLine="200" w:firstLineChars="200"/>
    </w:pPr>
    <w:rPr>
      <w:rFonts w:ascii="Calibri" w:hAnsi="Calibri"/>
    </w:rPr>
  </w:style>
  <w:style w:type="paragraph" w:customStyle="1" w:styleId="51">
    <w:name w:val="郑歆大纲报告书表格内文字"/>
    <w:basedOn w:val="1"/>
    <w:autoRedefine/>
    <w:qFormat/>
    <w:uiPriority w:val="0"/>
    <w:pPr>
      <w:tabs>
        <w:tab w:val="left" w:pos="0"/>
      </w:tabs>
      <w:snapToGrid w:val="0"/>
      <w:jc w:val="center"/>
    </w:pPr>
    <w:rPr>
      <w:rFonts w:ascii="Calibri" w:hAnsi="Calibri"/>
      <w:spacing w:val="-6"/>
      <w:kern w:val="0"/>
      <w:sz w:val="18"/>
    </w:rPr>
  </w:style>
  <w:style w:type="paragraph" w:customStyle="1" w:styleId="52">
    <w:name w:val="Char Char Char Char"/>
    <w:basedOn w:val="1"/>
    <w:autoRedefine/>
    <w:qFormat/>
    <w:uiPriority w:val="0"/>
  </w:style>
  <w:style w:type="paragraph" w:customStyle="1" w:styleId="53">
    <w:name w:val="正文曹"/>
    <w:basedOn w:val="13"/>
    <w:autoRedefine/>
    <w:qFormat/>
    <w:uiPriority w:val="0"/>
    <w:pPr>
      <w:spacing w:after="0" w:line="320" w:lineRule="exact"/>
      <w:ind w:left="0" w:leftChars="0"/>
      <w:jc w:val="center"/>
    </w:pPr>
    <w:rPr>
      <w:rFonts w:ascii="宋体" w:hAnsi="宋体"/>
      <w:szCs w:val="24"/>
    </w:rPr>
  </w:style>
  <w:style w:type="paragraph" w:customStyle="1" w:styleId="54">
    <w:name w:val="Table Paragraph"/>
    <w:basedOn w:val="1"/>
    <w:autoRedefine/>
    <w:qFormat/>
    <w:uiPriority w:val="1"/>
    <w:pPr>
      <w:autoSpaceDE w:val="0"/>
      <w:autoSpaceDN w:val="0"/>
      <w:adjustRightInd w:val="0"/>
      <w:jc w:val="left"/>
    </w:pPr>
    <w:rPr>
      <w:kern w:val="0"/>
    </w:rPr>
  </w:style>
  <w:style w:type="paragraph" w:customStyle="1" w:styleId="55">
    <w:name w:val="表"/>
    <w:basedOn w:val="52"/>
    <w:autoRedefine/>
    <w:qFormat/>
    <w:uiPriority w:val="0"/>
    <w:pPr>
      <w:spacing w:line="440" w:lineRule="exact"/>
      <w:ind w:firstLine="200" w:firstLineChars="200"/>
    </w:pPr>
    <w:rPr>
      <w:kern w:val="0"/>
      <w:sz w:val="24"/>
    </w:rPr>
  </w:style>
  <w:style w:type="paragraph" w:customStyle="1" w:styleId="56">
    <w:name w:val="0表-序号"/>
    <w:next w:val="1"/>
    <w:autoRedefine/>
    <w:qFormat/>
    <w:uiPriority w:val="0"/>
    <w:pPr>
      <w:numPr>
        <w:ilvl w:val="6"/>
        <w:numId w:val="1"/>
      </w:numPr>
      <w:jc w:val="center"/>
    </w:pPr>
    <w:rPr>
      <w:rFonts w:ascii="Times New Roman" w:hAnsi="Times New Roman" w:eastAsia="宋体" w:cs="Times New Roman"/>
      <w:b/>
      <w:sz w:val="21"/>
      <w:lang w:val="en-US" w:eastAsia="zh-CN" w:bidi="ar-SA"/>
    </w:rPr>
  </w:style>
  <w:style w:type="paragraph" w:customStyle="1" w:styleId="57">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8">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9">
    <w:name w:val="000表格正文"/>
    <w:basedOn w:val="1"/>
    <w:next w:val="1"/>
    <w:autoRedefine/>
    <w:qFormat/>
    <w:uiPriority w:val="0"/>
    <w:pPr>
      <w:pBdr>
        <w:top w:val="none" w:color="auto" w:sz="0" w:space="1"/>
        <w:left w:val="none" w:color="auto" w:sz="0" w:space="4"/>
        <w:bottom w:val="none" w:color="auto" w:sz="0" w:space="1"/>
        <w:right w:val="none" w:color="auto" w:sz="0" w:space="4"/>
      </w:pBdr>
      <w:jc w:val="center"/>
    </w:pPr>
  </w:style>
  <w:style w:type="paragraph" w:customStyle="1" w:styleId="60">
    <w:name w:val="郑歆大纲报告书表格标题"/>
    <w:basedOn w:val="1"/>
    <w:autoRedefine/>
    <w:qFormat/>
    <w:uiPriority w:val="0"/>
    <w:pPr>
      <w:tabs>
        <w:tab w:val="left" w:pos="0"/>
      </w:tabs>
      <w:jc w:val="center"/>
    </w:pPr>
    <w:rPr>
      <w:rFonts w:ascii="Calibri" w:hAnsi="Calibri"/>
      <w:b/>
    </w:rPr>
  </w:style>
  <w:style w:type="paragraph" w:customStyle="1" w:styleId="61">
    <w:name w:val="0正文"/>
    <w:basedOn w:val="13"/>
    <w:next w:val="1"/>
    <w:autoRedefine/>
    <w:qFormat/>
    <w:uiPriority w:val="0"/>
    <w:pPr>
      <w:spacing w:line="360" w:lineRule="auto"/>
      <w:ind w:firstLine="720" w:firstLineChars="200"/>
    </w:pPr>
    <w:rPr>
      <w:szCs w:val="22"/>
    </w:rPr>
  </w:style>
  <w:style w:type="paragraph" w:customStyle="1" w:styleId="62">
    <w:name w:val="表格内"/>
    <w:basedOn w:val="1"/>
    <w:next w:val="1"/>
    <w:autoRedefine/>
    <w:qFormat/>
    <w:uiPriority w:val="0"/>
    <w:pPr>
      <w:adjustRightInd w:val="0"/>
      <w:snapToGrid w:val="0"/>
      <w:spacing w:before="40" w:after="40"/>
      <w:jc w:val="center"/>
    </w:pPr>
    <w:rPr>
      <w:kern w:val="0"/>
      <w:szCs w:val="20"/>
    </w:rPr>
  </w:style>
  <w:style w:type="paragraph" w:customStyle="1" w:styleId="63">
    <w:name w:val="表格文本"/>
    <w:basedOn w:val="1"/>
    <w:autoRedefine/>
    <w:unhideWhenUsed/>
    <w:qFormat/>
    <w:uiPriority w:val="0"/>
    <w:pPr>
      <w:jc w:val="center"/>
    </w:pPr>
  </w:style>
  <w:style w:type="paragraph" w:customStyle="1" w:styleId="64">
    <w:name w:val="标准正文"/>
    <w:basedOn w:val="1"/>
    <w:autoRedefine/>
    <w:qFormat/>
    <w:uiPriority w:val="0"/>
    <w:pPr>
      <w:ind w:firstLine="480" w:firstLineChars="200"/>
    </w:pPr>
  </w:style>
  <w:style w:type="paragraph" w:customStyle="1" w:styleId="65">
    <w:name w:val="表格内文字"/>
    <w:basedOn w:val="1"/>
    <w:autoRedefine/>
    <w:qFormat/>
    <w:uiPriority w:val="0"/>
    <w:pPr>
      <w:widowControl/>
      <w:jc w:val="center"/>
    </w:pPr>
    <w:rPr>
      <w:szCs w:val="21"/>
    </w:rPr>
  </w:style>
  <w:style w:type="paragraph" w:customStyle="1" w:styleId="66">
    <w:name w:val="0正文格式"/>
    <w:basedOn w:val="1"/>
    <w:autoRedefine/>
    <w:qFormat/>
    <w:uiPriority w:val="0"/>
    <w:pPr>
      <w:widowControl/>
      <w:ind w:firstLine="544" w:firstLineChars="200"/>
    </w:pPr>
    <w:rPr>
      <w:kern w:val="0"/>
    </w:rPr>
  </w:style>
  <w:style w:type="table" w:customStyle="1" w:styleId="67">
    <w:name w:val="Table Normal"/>
    <w:autoRedefine/>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68">
    <w:name w:val="Table Text"/>
    <w:basedOn w:val="1"/>
    <w:autoRedefine/>
    <w:semiHidden/>
    <w:qFormat/>
    <w:uiPriority w:val="0"/>
    <w:rPr>
      <w:rFonts w:ascii="宋体" w:hAnsi="宋体" w:cs="宋体"/>
      <w:sz w:val="23"/>
      <w:szCs w:val="23"/>
      <w:lang w:eastAsia="en-US"/>
    </w:rPr>
  </w:style>
  <w:style w:type="paragraph" w:customStyle="1" w:styleId="69">
    <w:name w:val="书表格内"/>
    <w:basedOn w:val="1"/>
    <w:autoRedefine/>
    <w:qFormat/>
    <w:uiPriority w:val="0"/>
    <w:pPr>
      <w:spacing w:line="0" w:lineRule="atLeast"/>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footer" Target="footer5.xml"/><Relationship Id="rId69" Type="http://schemas.openxmlformats.org/officeDocument/2006/relationships/customXml" Target="../customXml/item1.xml"/><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jpeg"/><Relationship Id="rId65" Type="http://schemas.openxmlformats.org/officeDocument/2006/relationships/image" Target="media/image38.png"/><Relationship Id="rId64" Type="http://schemas.openxmlformats.org/officeDocument/2006/relationships/image" Target="media/image37.jpeg"/><Relationship Id="rId63" Type="http://schemas.openxmlformats.org/officeDocument/2006/relationships/image" Target="media/image36.png"/><Relationship Id="rId62" Type="http://schemas.openxmlformats.org/officeDocument/2006/relationships/image" Target="media/image35.jpeg"/><Relationship Id="rId61" Type="http://schemas.openxmlformats.org/officeDocument/2006/relationships/image" Target="media/image34.jpeg"/><Relationship Id="rId60" Type="http://schemas.openxmlformats.org/officeDocument/2006/relationships/image" Target="media/image33.wmf"/><Relationship Id="rId6" Type="http://schemas.openxmlformats.org/officeDocument/2006/relationships/footer" Target="footer4.xml"/><Relationship Id="rId59" Type="http://schemas.openxmlformats.org/officeDocument/2006/relationships/oleObject" Target="embeddings/oleObject18.bin"/><Relationship Id="rId58" Type="http://schemas.openxmlformats.org/officeDocument/2006/relationships/image" Target="media/image32.wmf"/><Relationship Id="rId57" Type="http://schemas.openxmlformats.org/officeDocument/2006/relationships/oleObject" Target="embeddings/oleObject17.bin"/><Relationship Id="rId56" Type="http://schemas.openxmlformats.org/officeDocument/2006/relationships/image" Target="media/image31.wmf"/><Relationship Id="rId55" Type="http://schemas.openxmlformats.org/officeDocument/2006/relationships/oleObject" Target="embeddings/oleObject16.bin"/><Relationship Id="rId54" Type="http://schemas.openxmlformats.org/officeDocument/2006/relationships/image" Target="media/image30.wmf"/><Relationship Id="rId53" Type="http://schemas.openxmlformats.org/officeDocument/2006/relationships/image" Target="media/image29.wmf"/><Relationship Id="rId52" Type="http://schemas.openxmlformats.org/officeDocument/2006/relationships/oleObject" Target="embeddings/oleObject15.bin"/><Relationship Id="rId51" Type="http://schemas.openxmlformats.org/officeDocument/2006/relationships/image" Target="media/image28.wmf"/><Relationship Id="rId50" Type="http://schemas.openxmlformats.org/officeDocument/2006/relationships/oleObject" Target="embeddings/oleObject14.bin"/><Relationship Id="rId5" Type="http://schemas.openxmlformats.org/officeDocument/2006/relationships/footer" Target="footer3.xml"/><Relationship Id="rId49" Type="http://schemas.openxmlformats.org/officeDocument/2006/relationships/image" Target="media/image27.wmf"/><Relationship Id="rId48" Type="http://schemas.openxmlformats.org/officeDocument/2006/relationships/oleObject" Target="embeddings/oleObject13.bin"/><Relationship Id="rId47" Type="http://schemas.openxmlformats.org/officeDocument/2006/relationships/image" Target="media/image26.wmf"/><Relationship Id="rId46" Type="http://schemas.openxmlformats.org/officeDocument/2006/relationships/oleObject" Target="embeddings/oleObject12.bin"/><Relationship Id="rId45" Type="http://schemas.openxmlformats.org/officeDocument/2006/relationships/image" Target="media/image25.wmf"/><Relationship Id="rId44" Type="http://schemas.openxmlformats.org/officeDocument/2006/relationships/oleObject" Target="embeddings/oleObject11.bin"/><Relationship Id="rId43" Type="http://schemas.openxmlformats.org/officeDocument/2006/relationships/image" Target="media/image24.wmf"/><Relationship Id="rId42" Type="http://schemas.openxmlformats.org/officeDocument/2006/relationships/oleObject" Target="embeddings/oleObject10.bin"/><Relationship Id="rId41" Type="http://schemas.openxmlformats.org/officeDocument/2006/relationships/image" Target="media/image23.wmf"/><Relationship Id="rId40" Type="http://schemas.openxmlformats.org/officeDocument/2006/relationships/oleObject" Target="embeddings/oleObject9.bin"/><Relationship Id="rId4" Type="http://schemas.openxmlformats.org/officeDocument/2006/relationships/footer" Target="footer2.xml"/><Relationship Id="rId39" Type="http://schemas.openxmlformats.org/officeDocument/2006/relationships/image" Target="media/image22.wmf"/><Relationship Id="rId38" Type="http://schemas.openxmlformats.org/officeDocument/2006/relationships/oleObject" Target="embeddings/oleObject8.bin"/><Relationship Id="rId37" Type="http://schemas.openxmlformats.org/officeDocument/2006/relationships/image" Target="media/image21.wmf"/><Relationship Id="rId36" Type="http://schemas.openxmlformats.org/officeDocument/2006/relationships/oleObject" Target="embeddings/oleObject7.bin"/><Relationship Id="rId35" Type="http://schemas.openxmlformats.org/officeDocument/2006/relationships/image" Target="media/image20.wmf"/><Relationship Id="rId34" Type="http://schemas.openxmlformats.org/officeDocument/2006/relationships/oleObject" Target="embeddings/oleObject6.bin"/><Relationship Id="rId33" Type="http://schemas.openxmlformats.org/officeDocument/2006/relationships/image" Target="media/image19.wmf"/><Relationship Id="rId32" Type="http://schemas.openxmlformats.org/officeDocument/2006/relationships/oleObject" Target="embeddings/oleObject5.bin"/><Relationship Id="rId31" Type="http://schemas.openxmlformats.org/officeDocument/2006/relationships/image" Target="media/image18.wmf"/><Relationship Id="rId30" Type="http://schemas.openxmlformats.org/officeDocument/2006/relationships/oleObject" Target="embeddings/oleObject4.bin"/><Relationship Id="rId3" Type="http://schemas.openxmlformats.org/officeDocument/2006/relationships/footer" Target="footer1.xml"/><Relationship Id="rId29" Type="http://schemas.openxmlformats.org/officeDocument/2006/relationships/image" Target="media/image17.wmf"/><Relationship Id="rId28" Type="http://schemas.openxmlformats.org/officeDocument/2006/relationships/oleObject" Target="embeddings/oleObject3.bin"/><Relationship Id="rId27" Type="http://schemas.openxmlformats.org/officeDocument/2006/relationships/image" Target="media/image16.wmf"/><Relationship Id="rId26" Type="http://schemas.openxmlformats.org/officeDocument/2006/relationships/oleObject" Target="embeddings/oleObject2.bin"/><Relationship Id="rId25" Type="http://schemas.openxmlformats.org/officeDocument/2006/relationships/image" Target="media/image15.wmf"/><Relationship Id="rId24" Type="http://schemas.openxmlformats.org/officeDocument/2006/relationships/oleObject" Target="embeddings/oleObject1.bin"/><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F35B0BEE-F18A-47BB-8FCB-E00DA2F2635D-1">
      <extobjdata type="F35B0BEE-F18A-47BB-8FCB-E00DA2F2635D" data="ewoJIkRlc2lnbklkIiA6ICIxNzE4NjJlOC04YjIzLTQ3NDAtOWVlOS1lN2IyY2Y5MWNmM2Q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71</Pages>
  <Words>40219</Words>
  <Characters>46393</Characters>
  <Lines>359</Lines>
  <Paragraphs>101</Paragraphs>
  <TotalTime>2</TotalTime>
  <ScaleCrop>false</ScaleCrop>
  <LinksUpToDate>false</LinksUpToDate>
  <CharactersWithSpaces>46928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DELL</cp:lastModifiedBy>
  <cp:lastPrinted>2024-04-29T09:39:00Z</cp:lastPrinted>
  <dcterms:modified xsi:type="dcterms:W3CDTF">2024-05-24T02:40:09Z</dcterms:modified>
  <dc:title>附件2</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AB79838FB5E146269BB52C91D881527D_13</vt:lpwstr>
  </property>
</Properties>
</file>