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kern w:val="2"/>
          <w:sz w:val="52"/>
          <w:szCs w:val="52"/>
          <w:highlight w:val="none"/>
          <w:lang w:val="en-US" w:eastAsia="zh-CN" w:bidi="ar-SA"/>
        </w:rPr>
        <w:t>围场满族蒙古族自治县殡葬管理所基础工程建设项目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271</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271</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_Toc11930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_Toc11930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_Toc3519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_Toc3519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_Toc11353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_Toc11353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_Toc14747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_Toc14747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_Toc22311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_Toc22311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_Toc5255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_Toc5255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_Toc26891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_Toc26891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_Toc6530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_Toc6530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_Toc16964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_Toc16964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_Toc3324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_Toc3324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_Toc8072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_Toc8072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_Toc27689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_Toc27689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_Toc25210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_Toc25210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_Toc29788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_Toc29788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_Toc998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_Toc998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_Toc23207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_Toc23207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_Toc1912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_Toc1912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_Toc27192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_Toc27192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_Toc20751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_Toc20751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_Toc20276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_Toc20276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_Toc23799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_Toc23799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_Toc31371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_Toc31371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pP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outlineLvl w:val="0"/>
        <w:rPr>
          <w:rFonts w:hint="eastAsia" w:ascii="宋体" w:hAnsi="宋体" w:eastAsia="宋体" w:cs="宋体"/>
          <w:b/>
          <w:bCs/>
          <w:sz w:val="36"/>
          <w:szCs w:val="36"/>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outlineLvl w:val="0"/>
        <w:rPr>
          <w:rFonts w:hint="eastAsia" w:ascii="宋体" w:hAnsi="宋体" w:eastAsia="宋体" w:cs="宋体"/>
          <w:b/>
          <w:bCs/>
          <w:sz w:val="36"/>
          <w:szCs w:val="36"/>
          <w:lang w:val="en-US" w:eastAsia="zh-CN"/>
        </w:rPr>
      </w:pPr>
    </w:p>
    <w:p>
      <w:pPr>
        <w:jc w:val="center"/>
        <w:outlineLvl w:val="0"/>
        <w:rPr>
          <w:rFonts w:hint="eastAsia" w:ascii="宋体" w:hAnsi="宋体" w:eastAsia="宋体" w:cs="宋体"/>
          <w:b/>
          <w:bCs/>
          <w:sz w:val="36"/>
          <w:szCs w:val="36"/>
          <w:lang w:val="en-US" w:eastAsia="zh-CN"/>
        </w:rPr>
      </w:pPr>
      <w:bookmarkStart w:id="0" w:name="_Toc11237"/>
      <w:bookmarkStart w:id="1" w:name="_Toc32502"/>
      <w:bookmarkStart w:id="2" w:name="_Toc25062"/>
      <w:bookmarkStart w:id="3" w:name="_Toc7123"/>
      <w:r>
        <w:rPr>
          <w:rFonts w:hint="eastAsia" w:ascii="宋体" w:hAnsi="宋体" w:eastAsia="宋体" w:cs="宋体"/>
          <w:b/>
          <w:bCs/>
          <w:sz w:val="36"/>
          <w:szCs w:val="36"/>
          <w:lang w:val="en-US" w:eastAsia="zh-CN"/>
        </w:rPr>
        <w:t>围场县殡葬管理所基础工程建设项目</w:t>
      </w:r>
      <w:bookmarkEnd w:id="0"/>
    </w:p>
    <w:p>
      <w:pPr>
        <w:jc w:val="center"/>
        <w:outlineLvl w:val="0"/>
        <w:rPr>
          <w:rFonts w:hint="eastAsia" w:ascii="宋体" w:hAnsi="宋体" w:eastAsia="宋体" w:cs="宋体"/>
          <w:b/>
          <w:bCs/>
          <w:sz w:val="36"/>
          <w:szCs w:val="36"/>
          <w:lang w:eastAsia="zh-CN"/>
        </w:rPr>
      </w:pPr>
      <w:bookmarkStart w:id="4" w:name="_Toc26503"/>
      <w:bookmarkStart w:id="5" w:name="_Toc3241"/>
      <w:bookmarkStart w:id="6" w:name="_Toc5651"/>
      <w:r>
        <w:rPr>
          <w:rFonts w:hint="eastAsia" w:ascii="宋体" w:hAnsi="宋体" w:eastAsia="宋体" w:cs="宋体"/>
          <w:b/>
          <w:bCs/>
          <w:sz w:val="36"/>
          <w:szCs w:val="36"/>
          <w:lang w:eastAsia="zh-CN"/>
        </w:rPr>
        <w:t>一般债券资金绩效评价报告</w:t>
      </w:r>
      <w:bookmarkEnd w:id="1"/>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围场县殡葬管理所基础工程建设项目新增一般债券资金使用情况做绩效评价分析。</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11930"/>
      <w:bookmarkStart w:id="8"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1188"/>
      <w:bookmarkStart w:id="10" w:name="_Toc3519"/>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1400万元。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围场县殡葬管理所基础工程建设项目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围场满族蒙古族自治县围场镇金字村</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围场满族蒙古族自治县民政局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国的殡葬事业是在新中国建立以后，伴随着以“推行火葬、改革土葬”为核心的殡葬改革发展起来的。1956年以毛泽东为代表的老一辈无产阶级革命家倡导身后实行火葬的签名活动，拉开了我国殡葬改革的序幕。尤其是改革开放以来，我国殡葬法制建设不断加强，丧俗改革取得突破性进展，殡葬基础设施显著改善，殡仪服务水平明显提高，殡葬事业取得了长足进步。</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满族蒙古族自治县自实行火葬制度以来，政府坚持国家殡葬改革方针，认真搞好规划，加大殡葬改革宣传和推进力度，深入推进以“稳步推行火葬、改革土葬和移风易俗”为主要内容的殡葬改革，达到了节约资源、保护生态的目的，为县域经济发展，农村精神文明建设和乡村移风易俗做出了重要贡献。近几年自治县人民政府进一步推进殡葬改革工作，强化政府建立完善殡葬事业公共投入和稳定增长机制，将殡葬事业经费纳入本级预算，改善殡葬基础设施。紧紧围绕政府主导、市场参与、明确职责，理顺关系，提高对殡葬管理和公共服务能力水平。认真贯彻落实殡葬救助保障制度，大力推行惠民殡葬政策，建立重点救助对象基本服务费减免的长效机制，巩固和提高火化率。加大对殡葬改革宣传力度，推动移风易俗，树殡葬文明新风。认真做好县级殡仪馆服务设施规划，以方便群众治丧为规划的根本出发点，尽快完成围场县殡葬管理所的搬迁新建有关工作,强化殡葬执法，进一步提高执法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满族蒙古族自治县现有殡仪馆位于县城西部，随着近几天城市建设扩张，殡仪馆已临近县内住宅区域，影响县城发展规划，且已运营20余年，房屋及设备设施老化，面积狭小，入馆道路窄、坡度大、举办丧事活动时常影响附近居民的生活和工作，已不能满足治丧环境人性化的要求。根据围场满族蒙古族自治县城市发展总体规划，到2020年县城人口将达到30余万人。为适应县城长远规划和建设要求，切实改善城区治丧环境，县委、县政府决定在县城北部金字村山地处新建县城殡葬管理所</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5.项目概况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建设地点：围场满族蒙古族自治县围场镇金字村</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本项目是为《围场县殡葬管理所建设项目》完善施工前道路及场地平整等基础工作而提出，工程包括土方工程、道路工程、路灯工程和绿化工程。</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项目总挖土方量1059860立方米，其中：回填方量19519立方米，清运土方量1040341立方米；道路硬化7419平方米；道路两侧栽植乔、灌木380株；安装路灯38盏。</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val="en-US" w:eastAsia="zh-CN"/>
        </w:rPr>
        <w:t>项目建设期20个月（申报、审批时间不算在建设期内），2018年5月开工建设，2019年12月完工</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6.</w:t>
      </w:r>
      <w:r>
        <w:rPr>
          <w:rFonts w:hint="eastAsia" w:ascii="宋体" w:hAnsi="宋体" w:eastAsia="宋体" w:cs="宋体"/>
          <w:sz w:val="28"/>
          <w:szCs w:val="28"/>
          <w:highlight w:val="none"/>
          <w:lang w:val="en-US" w:eastAsia="zh-CN"/>
        </w:rPr>
        <w:t>投资估算与资金筹措</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项目总投资2480万元，其中土建工程费用2127.87万元，工程建设其他费用211.75万元，基本预备费用140.38万元。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项目建设资金利用民政闲置资产置换资金及历年福彩公益金予以解决。其中包括政府一般债券资金1400万元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1" w:name="_Toc11353"/>
      <w:r>
        <w:rPr>
          <w:rFonts w:hint="eastAsia" w:ascii="楷体" w:hAnsi="楷体" w:eastAsia="楷体" w:cs="楷体"/>
          <w:b/>
          <w:bCs w:val="0"/>
          <w:sz w:val="32"/>
          <w:szCs w:val="32"/>
          <w:highlight w:val="none"/>
          <w:lang w:val="en-US" w:eastAsia="zh-CN"/>
        </w:rPr>
        <w:t>（二）项目绩效目标</w:t>
      </w:r>
      <w:bookmarkEnd w:id="1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2" w:name="_Toc10859"/>
      <w:bookmarkStart w:id="13" w:name="_Toc14816"/>
      <w:bookmarkStart w:id="14" w:name="_Toc30152"/>
      <w:bookmarkStart w:id="15" w:name="_Toc12271"/>
      <w:r>
        <w:rPr>
          <w:rFonts w:hint="eastAsia" w:ascii="宋体" w:hAnsi="宋体" w:eastAsia="宋体" w:cs="宋体"/>
          <w:sz w:val="28"/>
          <w:szCs w:val="28"/>
          <w:lang w:val="en-US" w:eastAsia="zh-CN"/>
        </w:rPr>
        <w:t>围场县殡葬管理所基础工程建设项目需完成</w:t>
      </w:r>
      <w:r>
        <w:rPr>
          <w:rFonts w:hint="eastAsia" w:ascii="宋体" w:hAnsi="宋体" w:eastAsia="宋体" w:cs="宋体"/>
          <w:sz w:val="28"/>
          <w:szCs w:val="28"/>
          <w:highlight w:val="none"/>
          <w:lang w:val="en-US" w:eastAsia="zh-CN"/>
        </w:rPr>
        <w:t>回填方量19519立方米，清运土方量1040341立方米；道路硬化7419平方米；道路两侧栽植乔、灌木380株；安装路灯38盏</w:t>
      </w:r>
      <w:r>
        <w:rPr>
          <w:rFonts w:hint="eastAsia" w:ascii="宋体" w:hAnsi="宋体" w:eastAsia="宋体" w:cs="宋体"/>
          <w:kern w:val="2"/>
          <w:sz w:val="28"/>
          <w:szCs w:val="28"/>
          <w:lang w:val="en-US" w:eastAsia="zh-CN" w:bidi="ar-SA"/>
        </w:rPr>
        <w:t>。</w:t>
      </w:r>
      <w:bookmarkEnd w:id="12"/>
      <w:bookmarkEnd w:id="13"/>
      <w:bookmarkEnd w:id="14"/>
      <w:bookmarkStart w:id="16" w:name="_Toc28894"/>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7" w:name="_Toc15607"/>
      <w:bookmarkStart w:id="18" w:name="_Toc31882"/>
      <w:bookmarkStart w:id="19" w:name="_Toc1001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6"/>
      <w:bookmarkEnd w:id="17"/>
      <w:bookmarkEnd w:id="18"/>
      <w:bookmarkEnd w:id="19"/>
    </w:p>
    <w:p>
      <w:pPr>
        <w:spacing w:line="600" w:lineRule="exact"/>
        <w:ind w:firstLine="643" w:firstLineChars="200"/>
        <w:outlineLvl w:val="1"/>
        <w:rPr>
          <w:rFonts w:hint="eastAsia" w:ascii="楷体" w:hAnsi="楷体" w:eastAsia="楷体" w:cs="楷体"/>
          <w:b/>
          <w:bCs w:val="0"/>
          <w:sz w:val="32"/>
          <w:szCs w:val="32"/>
          <w:lang w:val="en-US" w:eastAsia="zh-CN"/>
        </w:rPr>
      </w:pPr>
      <w:bookmarkStart w:id="20" w:name="_Toc14747"/>
      <w:r>
        <w:rPr>
          <w:rFonts w:hint="eastAsia" w:ascii="楷体" w:hAnsi="楷体" w:eastAsia="楷体" w:cs="楷体"/>
          <w:b/>
          <w:bCs w:val="0"/>
          <w:sz w:val="32"/>
          <w:szCs w:val="32"/>
          <w:lang w:val="en-US" w:eastAsia="zh-CN"/>
        </w:rPr>
        <w:t>（三）评价对象和时段</w:t>
      </w:r>
      <w:bookmarkEnd w:id="15"/>
      <w:bookmarkEnd w:id="20"/>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1" w:name="_Toc22311"/>
      <w:r>
        <w:rPr>
          <w:rFonts w:hint="eastAsia" w:ascii="黑体" w:hAnsi="黑体" w:eastAsia="黑体" w:cs="黑体"/>
          <w:b/>
          <w:bCs/>
          <w:sz w:val="32"/>
          <w:szCs w:val="32"/>
          <w:lang w:val="en-US" w:eastAsia="zh-CN"/>
        </w:rPr>
        <w:t>二、绩效评价工作开展情况</w:t>
      </w:r>
      <w:bookmarkEnd w:id="2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2" w:name="_Toc5255"/>
      <w:r>
        <w:rPr>
          <w:rFonts w:hint="eastAsia" w:ascii="楷体" w:hAnsi="楷体" w:eastAsia="楷体" w:cs="楷体"/>
          <w:b/>
          <w:bCs/>
          <w:sz w:val="32"/>
          <w:szCs w:val="32"/>
          <w:lang w:val="en-US" w:eastAsia="zh-CN"/>
        </w:rPr>
        <w:t>（一）绩效评价指标权重和绩效评价指标体系</w:t>
      </w:r>
      <w:bookmarkEnd w:id="2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1151"/>
        <w:gridCol w:w="2033"/>
        <w:gridCol w:w="2563"/>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079"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84"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63"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51"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107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51"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项目决策管理10分</w:t>
            </w:r>
          </w:p>
        </w:tc>
        <w:tc>
          <w:tcPr>
            <w:tcW w:w="145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1079"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51"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1079"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51"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107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5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1079"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51"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1079"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51"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exact"/>
          <w:jc w:val="center"/>
        </w:trPr>
        <w:tc>
          <w:tcPr>
            <w:tcW w:w="426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6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5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项目决策管理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5分，立项手续不完整扣2分，方案欠佳扣2分；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项目资料（实施方案、施工合同、竣工验收报告等）完整得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3" w:name="_Toc12872"/>
      <w:bookmarkStart w:id="24" w:name="_Toc26891"/>
      <w:r>
        <w:rPr>
          <w:rFonts w:hint="eastAsia" w:ascii="楷体" w:hAnsi="楷体" w:eastAsia="楷体" w:cs="楷体"/>
          <w:b/>
          <w:bCs w:val="0"/>
          <w:kern w:val="0"/>
          <w:sz w:val="32"/>
          <w:szCs w:val="32"/>
          <w:lang w:val="en-US" w:eastAsia="zh-CN" w:bidi="ar-SA"/>
        </w:rPr>
        <w:t>（二）绩效评价目的和依据</w:t>
      </w:r>
      <w:bookmarkEnd w:id="23"/>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5" w:name="_Toc22990"/>
      <w:bookmarkStart w:id="26" w:name="_Toc6530"/>
      <w:r>
        <w:rPr>
          <w:rFonts w:hint="eastAsia" w:ascii="楷体" w:hAnsi="楷体" w:eastAsia="楷体" w:cs="楷体"/>
          <w:b/>
          <w:bCs w:val="0"/>
          <w:sz w:val="32"/>
          <w:szCs w:val="32"/>
          <w:lang w:val="en-US" w:eastAsia="zh-CN"/>
        </w:rPr>
        <w:t>（三）绩效评价工作内容和范围</w:t>
      </w:r>
      <w:bookmarkEnd w:id="25"/>
      <w:bookmarkEnd w:id="26"/>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围场县民政局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7" w:name="_Toc30379"/>
      <w:bookmarkStart w:id="28" w:name="_Toc16964"/>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7"/>
      <w:bookmarkEnd w:id="2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12042"/>
      <w:bookmarkStart w:id="30" w:name="_Toc8164"/>
      <w:bookmarkStart w:id="31" w:name="_Toc3324"/>
      <w:bookmarkStart w:id="32"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3" w:name="_Toc2087"/>
      <w:bookmarkStart w:id="34" w:name="_Toc22556"/>
      <w:bookmarkStart w:id="35" w:name="_Toc17291"/>
      <w:bookmarkStart w:id="36" w:name="_Toc31807"/>
      <w:bookmarkStart w:id="37" w:name="_Toc18780"/>
      <w:bookmarkStart w:id="38" w:name="_Toc13042"/>
      <w:bookmarkStart w:id="39" w:name="_Toc17563"/>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w:t>
      </w: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sz w:val="28"/>
          <w:szCs w:val="28"/>
          <w:lang w:eastAsia="zh-CN"/>
        </w:rPr>
        <w:t>做以下工作：</w:t>
      </w:r>
      <w:bookmarkEnd w:id="33"/>
      <w:bookmarkEnd w:id="34"/>
      <w:bookmarkEnd w:id="35"/>
      <w:bookmarkEnd w:id="36"/>
      <w:bookmarkEnd w:id="37"/>
      <w:bookmarkEnd w:id="38"/>
      <w:bookmarkEnd w:id="39"/>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0" w:name="_Toc24972"/>
      <w:bookmarkStart w:id="41" w:name="_Toc19058"/>
      <w:bookmarkStart w:id="42" w:name="_Toc14297"/>
      <w:bookmarkStart w:id="43" w:name="_Toc27413"/>
      <w:bookmarkStart w:id="44" w:name="_Toc27305"/>
      <w:bookmarkStart w:id="45" w:name="_Toc24529"/>
      <w:bookmarkStart w:id="46" w:name="_Toc14572"/>
      <w:bookmarkStart w:id="47" w:name="_Toc1487"/>
      <w:bookmarkStart w:id="48" w:name="_Toc15494"/>
      <w:bookmarkStart w:id="49" w:name="_Toc17036"/>
      <w:bookmarkStart w:id="50" w:name="_Toc24311"/>
      <w:r>
        <w:rPr>
          <w:rFonts w:hint="eastAsia" w:ascii="宋体" w:hAnsi="宋体" w:eastAsia="宋体" w:cs="宋体"/>
          <w:b/>
          <w:bCs/>
          <w:kern w:val="0"/>
          <w:sz w:val="28"/>
          <w:szCs w:val="28"/>
          <w:lang w:val="en-US" w:eastAsia="zh-CN" w:bidi="ar-SA"/>
        </w:rPr>
        <w:t>1、明确项目团队的职责与分工</w:t>
      </w:r>
      <w:bookmarkEnd w:id="40"/>
      <w:bookmarkEnd w:id="41"/>
      <w:bookmarkEnd w:id="42"/>
      <w:bookmarkEnd w:id="43"/>
      <w:bookmarkEnd w:id="44"/>
      <w:bookmarkEnd w:id="45"/>
      <w:bookmarkEnd w:id="46"/>
      <w:bookmarkEnd w:id="47"/>
      <w:bookmarkEnd w:id="48"/>
      <w:bookmarkEnd w:id="49"/>
      <w:bookmarkEnd w:id="50"/>
    </w:p>
    <w:tbl>
      <w:tblPr>
        <w:tblStyle w:val="12"/>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08"/>
        <w:gridCol w:w="1430"/>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jc w:val="center"/>
        </w:trPr>
        <w:tc>
          <w:tcPr>
            <w:tcW w:w="882"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30"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8"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8"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30"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8" w:type="dxa"/>
            <w:vMerge w:val="continue"/>
            <w:vAlign w:val="center"/>
          </w:tcPr>
          <w:p>
            <w:pPr>
              <w:jc w:val="center"/>
              <w:rPr>
                <w:rFonts w:hint="eastAsia" w:ascii="宋体" w:hAnsi="宋体" w:eastAsia="宋体" w:cs="宋体"/>
                <w:kern w:val="0"/>
                <w:sz w:val="24"/>
              </w:rPr>
            </w:pPr>
          </w:p>
        </w:tc>
        <w:tc>
          <w:tcPr>
            <w:tcW w:w="1430"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8"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82"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30"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8"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2"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8" w:type="dxa"/>
            <w:vMerge w:val="continue"/>
            <w:vAlign w:val="center"/>
          </w:tcPr>
          <w:p>
            <w:pPr>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8"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8"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8"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8" w:type="dxa"/>
            <w:vMerge w:val="restart"/>
            <w:vAlign w:val="center"/>
          </w:tcPr>
          <w:p>
            <w:pPr>
              <w:jc w:val="both"/>
              <w:rPr>
                <w:rFonts w:hint="eastAsia" w:ascii="宋体" w:hAnsi="宋体" w:eastAsia="宋体" w:cs="宋体"/>
                <w:kern w:val="0"/>
                <w:sz w:val="24"/>
              </w:rPr>
            </w:pPr>
          </w:p>
          <w:p>
            <w:pPr>
              <w:jc w:val="both"/>
              <w:rPr>
                <w:rFonts w:hint="eastAsia" w:ascii="宋体" w:hAnsi="宋体" w:eastAsia="宋体" w:cs="宋体"/>
                <w:kern w:val="0"/>
                <w:sz w:val="24"/>
              </w:rPr>
            </w:pPr>
          </w:p>
          <w:p>
            <w:pPr>
              <w:jc w:val="both"/>
              <w:rPr>
                <w:rFonts w:hint="eastAsia" w:ascii="宋体" w:hAnsi="宋体" w:eastAsia="宋体" w:cs="宋体"/>
                <w:kern w:val="0"/>
                <w:sz w:val="24"/>
              </w:rPr>
            </w:pPr>
          </w:p>
          <w:p>
            <w:pPr>
              <w:jc w:val="both"/>
              <w:rPr>
                <w:rFonts w:hint="eastAsia" w:ascii="宋体" w:hAnsi="宋体" w:eastAsia="宋体" w:cs="宋体"/>
                <w:kern w:val="0"/>
                <w:sz w:val="24"/>
              </w:rPr>
            </w:pPr>
          </w:p>
          <w:p>
            <w:pPr>
              <w:jc w:val="both"/>
              <w:rPr>
                <w:rFonts w:hint="eastAsia" w:ascii="宋体" w:hAnsi="宋体" w:eastAsia="宋体" w:cs="宋体"/>
                <w:kern w:val="0"/>
                <w:sz w:val="24"/>
              </w:rPr>
            </w:pPr>
          </w:p>
          <w:p>
            <w:pPr>
              <w:jc w:val="both"/>
              <w:rPr>
                <w:rFonts w:hint="eastAsia" w:ascii="宋体" w:hAnsi="宋体" w:eastAsia="宋体" w:cs="宋体"/>
                <w:kern w:val="0"/>
                <w:sz w:val="24"/>
              </w:rPr>
            </w:pPr>
          </w:p>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8"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1" w:name="_Toc10271"/>
      <w:bookmarkStart w:id="52" w:name="_Toc25494"/>
      <w:bookmarkStart w:id="53" w:name="_Toc31637"/>
      <w:bookmarkStart w:id="54" w:name="_Toc27143"/>
      <w:bookmarkStart w:id="55" w:name="_Toc28394"/>
      <w:bookmarkStart w:id="56" w:name="_Toc29931"/>
      <w:bookmarkStart w:id="57" w:name="_Toc6642"/>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51"/>
      <w:bookmarkEnd w:id="52"/>
      <w:bookmarkEnd w:id="53"/>
      <w:bookmarkEnd w:id="54"/>
      <w:bookmarkEnd w:id="55"/>
      <w:bookmarkEnd w:id="56"/>
      <w:bookmarkEnd w:id="5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8" w:name="_Toc24530"/>
      <w:bookmarkStart w:id="59" w:name="_Toc17781"/>
      <w:bookmarkStart w:id="60" w:name="_Toc332"/>
      <w:bookmarkStart w:id="61" w:name="_Toc27067"/>
      <w:bookmarkStart w:id="62" w:name="_Toc23998"/>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8"/>
      <w:bookmarkEnd w:id="59"/>
      <w:bookmarkEnd w:id="60"/>
      <w:bookmarkEnd w:id="61"/>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3" w:name="_Toc8072"/>
      <w:r>
        <w:rPr>
          <w:rFonts w:hint="eastAsia" w:ascii="黑体" w:hAnsi="黑体" w:eastAsia="黑体" w:cs="黑体"/>
          <w:b w:val="0"/>
          <w:bCs w:val="0"/>
          <w:sz w:val="32"/>
          <w:szCs w:val="32"/>
          <w:lang w:eastAsia="zh-CN"/>
        </w:rPr>
        <w:t>三、</w:t>
      </w:r>
      <w:bookmarkEnd w:id="32"/>
      <w:r>
        <w:rPr>
          <w:rFonts w:hint="eastAsia" w:ascii="黑体" w:hAnsi="黑体" w:eastAsia="黑体" w:cs="黑体"/>
          <w:kern w:val="2"/>
          <w:sz w:val="32"/>
          <w:szCs w:val="32"/>
          <w:highlight w:val="none"/>
          <w:lang w:val="en-US" w:eastAsia="zh-CN" w:bidi="ar-SA"/>
        </w:rPr>
        <w:t>项目实施及资金使用情况</w:t>
      </w:r>
      <w:bookmarkEnd w:id="63"/>
    </w:p>
    <w:p>
      <w:pPr>
        <w:ind w:firstLine="643" w:firstLineChars="200"/>
        <w:outlineLvl w:val="1"/>
        <w:rPr>
          <w:rFonts w:hint="eastAsia" w:ascii="楷体" w:hAnsi="楷体" w:eastAsia="楷体" w:cs="楷体"/>
          <w:b/>
          <w:bCs/>
          <w:kern w:val="2"/>
          <w:sz w:val="32"/>
          <w:szCs w:val="32"/>
          <w:highlight w:val="none"/>
          <w:lang w:val="en-US" w:eastAsia="zh-CN" w:bidi="ar-SA"/>
        </w:rPr>
      </w:pPr>
      <w:bookmarkStart w:id="64" w:name="_Toc6786"/>
      <w:bookmarkStart w:id="65" w:name="_Toc27689"/>
      <w:r>
        <w:rPr>
          <w:rFonts w:hint="eastAsia" w:ascii="楷体" w:hAnsi="楷体" w:eastAsia="楷体" w:cs="楷体"/>
          <w:b/>
          <w:bCs/>
          <w:kern w:val="2"/>
          <w:sz w:val="32"/>
          <w:szCs w:val="32"/>
          <w:highlight w:val="none"/>
          <w:lang w:val="en-US" w:eastAsia="zh-CN" w:bidi="ar-SA"/>
        </w:rPr>
        <w:t>（一）项目实施情况</w:t>
      </w:r>
      <w:bookmarkEnd w:id="64"/>
      <w:bookmarkEnd w:id="65"/>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2018年2月13日，承德市发展和改革委员会向围场县发展改革局、市民政局下发了关于分解下达社会服务兜底工程2018年中央预算内投资计划的通知。</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2018年3月5日，围场</w:t>
      </w:r>
      <w:r>
        <w:rPr>
          <w:rFonts w:hint="eastAsia" w:ascii="宋体" w:hAnsi="宋体" w:eastAsia="宋体" w:cs="宋体"/>
          <w:kern w:val="2"/>
          <w:sz w:val="28"/>
          <w:szCs w:val="28"/>
          <w:highlight w:val="none"/>
          <w:lang w:val="en-US" w:eastAsia="zh-CN" w:bidi="ar-SA"/>
        </w:rPr>
        <w:t>满族蒙古族自治</w:t>
      </w:r>
      <w:r>
        <w:rPr>
          <w:rFonts w:hint="eastAsia" w:ascii="宋体" w:hAnsi="宋体" w:eastAsia="宋体" w:cs="宋体"/>
          <w:sz w:val="28"/>
          <w:szCs w:val="28"/>
          <w:lang w:val="en-US" w:eastAsia="zh-CN"/>
        </w:rPr>
        <w:t>县发展改革局向围场县民政局转发承德市发展和改革委员会《关于分解下达社会服务兜底工程2018年中央预算内投资计划的通知》的通知。通知要求：请项目建设单位接到通知后抓紧组织实施，加快完善项目相关手续，尽早开工建设，专款专用，配套资金足额到位，不得擅自变更。</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围场</w:t>
      </w:r>
      <w:r>
        <w:rPr>
          <w:rFonts w:hint="eastAsia" w:ascii="宋体" w:hAnsi="宋体" w:eastAsia="宋体" w:cs="宋体"/>
          <w:kern w:val="2"/>
          <w:sz w:val="28"/>
          <w:szCs w:val="28"/>
          <w:highlight w:val="none"/>
          <w:lang w:val="en-US" w:eastAsia="zh-CN" w:bidi="ar-SA"/>
        </w:rPr>
        <w:t>满族蒙古族自治</w:t>
      </w:r>
      <w:r>
        <w:rPr>
          <w:rFonts w:hint="eastAsia" w:ascii="宋体" w:hAnsi="宋体" w:eastAsia="宋体" w:cs="宋体"/>
          <w:sz w:val="28"/>
          <w:szCs w:val="28"/>
          <w:lang w:val="en-US" w:eastAsia="zh-CN"/>
        </w:rPr>
        <w:t>县殡葬管理所基础工程建设项目</w:t>
      </w:r>
      <w:r>
        <w:rPr>
          <w:rFonts w:hint="eastAsia" w:ascii="宋体" w:hAnsi="宋体" w:eastAsia="宋体" w:cs="宋体"/>
          <w:kern w:val="2"/>
          <w:sz w:val="28"/>
          <w:szCs w:val="28"/>
          <w:highlight w:val="none"/>
          <w:lang w:val="en-US" w:eastAsia="zh-CN" w:bidi="ar-SA"/>
        </w:rPr>
        <w:t>于2018年5月17日，在围场满族蒙古族自治县公共资源交易中心进行公开招标，经评标委员会专家评审，最终确定承德绿洲园林绿化有限公司为本项目中标单位，中标价：2047.853174万元</w:t>
      </w:r>
      <w:r>
        <w:rPr>
          <w:rFonts w:hint="eastAsia" w:ascii="宋体" w:hAnsi="宋体" w:eastAsia="宋体" w:cs="宋体"/>
          <w:kern w:val="2"/>
          <w:sz w:val="28"/>
          <w:szCs w:val="28"/>
          <w:lang w:val="en-US" w:eastAsia="zh-CN" w:bidi="ar-SA"/>
        </w:rPr>
        <w:t>。同时，于2018年5月23日与</w:t>
      </w:r>
      <w:r>
        <w:rPr>
          <w:rFonts w:hint="eastAsia" w:ascii="宋体" w:hAnsi="宋体" w:eastAsia="宋体" w:cs="宋体"/>
          <w:sz w:val="28"/>
          <w:szCs w:val="28"/>
          <w:highlight w:val="none"/>
          <w:lang w:val="en-US" w:eastAsia="zh-CN"/>
        </w:rPr>
        <w:t>围场满族蒙古族自治县民政局签订了建设工程施工合同。</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合同工期：计划开工日期2018年5月31日</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计划竣工日期2019年12月1日</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    期：550日历天。</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2019年9月23日，在围场满族蒙古族自治县公共资源交易中心进行公开招标，经评标委员会专家评审，最终确定中旭志建设有限公司为本项目（围场县殡葬管理所边坡支护工程）中标单位，中标价：1504.20867万元。2019年9月28日与</w:t>
      </w:r>
      <w:r>
        <w:rPr>
          <w:rFonts w:hint="eastAsia" w:ascii="宋体" w:hAnsi="宋体" w:eastAsia="宋体" w:cs="宋体"/>
          <w:sz w:val="28"/>
          <w:szCs w:val="28"/>
          <w:highlight w:val="none"/>
          <w:lang w:val="en-US" w:eastAsia="zh-CN"/>
        </w:rPr>
        <w:t>围场满族蒙古族自治县民政局签订了建设工程施工合同。</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合同工期：计划开工日期2019年9月27日</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计划竣工日期2020年7月31日</w:t>
      </w:r>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    期：308日历天。</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6" w:name="_Toc14809"/>
      <w:bookmarkStart w:id="67" w:name="_Toc25210"/>
      <w:r>
        <w:rPr>
          <w:rFonts w:hint="eastAsia" w:ascii="楷体" w:hAnsi="楷体" w:eastAsia="楷体" w:cs="楷体"/>
          <w:b/>
          <w:bCs/>
          <w:kern w:val="2"/>
          <w:sz w:val="32"/>
          <w:szCs w:val="32"/>
          <w:highlight w:val="none"/>
          <w:lang w:val="en-US" w:eastAsia="zh-CN" w:bidi="ar-SA"/>
        </w:rPr>
        <w:t>（二）资金使用情况</w:t>
      </w:r>
      <w:bookmarkEnd w:id="66"/>
      <w:bookmarkEnd w:id="67"/>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bookmarkStart w:id="68" w:name="_Toc15054"/>
      <w:bookmarkStart w:id="69" w:name="_Toc13622"/>
      <w:r>
        <w:rPr>
          <w:rFonts w:hint="eastAsia" w:ascii="宋体" w:hAnsi="宋体" w:eastAsia="宋体" w:cs="宋体"/>
          <w:sz w:val="28"/>
          <w:szCs w:val="28"/>
          <w:highlight w:val="none"/>
          <w:lang w:val="en-US" w:eastAsia="zh-CN"/>
        </w:rPr>
        <w:t>2019年7月23日，财政拨入荣誉军人休养院及殡葬管理所债券资金2355万元。其中包括殡葬所基础项目债券资金985万元。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2019年9月16日，殡葬管理所基础项目收到财政拨款254万元。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2019年12月23日，殡葬管理所基础项目收到财政拨款121万元。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2020年1月7日，殡葬管理所基础项目收到财政拨付箱变工程款36万元。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2020年12月25日，收到财政拨付箱变工程款2.4万元。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合计财政拨款债券资金1398.4万元。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2019年7月31日，使用债券资金还款（还前期殡葬所基础项目借款）300万元。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2019年11月1日，围场满族蒙古族自治县民政局支付承德绿洲园林绿化有限公司殡葬管理所基础工程项目施工款200万元。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2019年11月8日，围场满族蒙古族自治县民政局支付承德绿洲园林绿化有限公司殡葬管理所基础工程项目款50万元。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2019年11月13日，围场满族蒙古族自治县民政局支付承德绿洲园林绿化有限公司殡葬管理所附属工程项目款30万元。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2020年1月14日，围场满族蒙古族自治县民政局支付承德绿洲园林绿化有限公司殡葬管理所附属工程项目工程款78万元。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2020年3月18日，支付承德昊源电力工程款38.4万元。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2020年3月31日，围场满族蒙古族自治县民政局支付中旭志建设有限公司殡葬管理所边坡支护工程款131万元，139万元和130万元。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2019年9月11日，围场满族蒙古族自治县民政局支付承德瑞丰盛业建设集团有限公司殡葬管理所主体工程项目工程款300万元。</w:t>
      </w:r>
    </w:p>
    <w:bookmarkEnd w:id="68"/>
    <w:bookmarkEnd w:id="69"/>
    <w:p>
      <w:pPr>
        <w:ind w:firstLine="640" w:firstLineChars="200"/>
        <w:outlineLvl w:val="0"/>
        <w:rPr>
          <w:rFonts w:hint="eastAsia" w:ascii="黑体" w:hAnsi="黑体" w:eastAsia="黑体" w:cs="黑体"/>
          <w:kern w:val="2"/>
          <w:sz w:val="32"/>
          <w:szCs w:val="32"/>
          <w:lang w:val="en-US" w:eastAsia="zh-CN" w:bidi="ar-SA"/>
        </w:rPr>
      </w:pPr>
      <w:bookmarkStart w:id="70" w:name="_Toc29788"/>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1" w:name="_Toc998"/>
      <w:bookmarkStart w:id="72" w:name="_Toc16548"/>
      <w:r>
        <w:rPr>
          <w:rFonts w:hint="eastAsia" w:ascii="楷体" w:hAnsi="楷体" w:eastAsia="楷体" w:cs="楷体"/>
          <w:b/>
          <w:bCs w:val="0"/>
          <w:kern w:val="0"/>
          <w:sz w:val="32"/>
          <w:szCs w:val="32"/>
          <w:lang w:val="en-US" w:eastAsia="zh-CN"/>
        </w:rPr>
        <w:t>（一）绩效评价分析</w:t>
      </w:r>
      <w:bookmarkEnd w:id="71"/>
      <w:bookmarkEnd w:id="72"/>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2018年1月15日，围场满族蒙古族自治县行政审批局关于围场满族蒙古族自治县殡管所新建项目初步设计做了批复（围审批〔2018〕8号）</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2018年3月5日，围场</w:t>
      </w:r>
      <w:r>
        <w:rPr>
          <w:rFonts w:hint="eastAsia" w:ascii="宋体" w:hAnsi="宋体" w:eastAsia="宋体" w:cs="宋体"/>
          <w:kern w:val="2"/>
          <w:sz w:val="28"/>
          <w:szCs w:val="28"/>
          <w:highlight w:val="none"/>
          <w:lang w:val="en-US" w:eastAsia="zh-CN" w:bidi="ar-SA"/>
        </w:rPr>
        <w:t>满族蒙古族自治</w:t>
      </w:r>
      <w:r>
        <w:rPr>
          <w:rFonts w:hint="eastAsia" w:ascii="宋体" w:hAnsi="宋体" w:eastAsia="宋体" w:cs="宋体"/>
          <w:sz w:val="28"/>
          <w:szCs w:val="28"/>
          <w:lang w:val="en-US" w:eastAsia="zh-CN"/>
        </w:rPr>
        <w:t>县发展改革局向围场县民政局转发承德市发展和改革委员会《关于分解下达社会服务兜底工程2018年中央预算内投资计划的通知》的通知。通知要求：请项目建设单位接到通知后抓紧组织实施。</w:t>
      </w: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sz w:val="28"/>
          <w:szCs w:val="28"/>
          <w:highlight w:val="none"/>
          <w:lang w:val="en-US" w:eastAsia="zh-CN"/>
        </w:rPr>
        <w:t>符合国家建设大局统筹要求，符合国家殡葬事业改革精神，符合地方政策，切合城市发展规划，</w:t>
      </w:r>
      <w:r>
        <w:rPr>
          <w:rFonts w:hint="eastAsia" w:ascii="宋体" w:hAnsi="宋体" w:eastAsia="宋体" w:cs="宋体"/>
          <w:kern w:val="2"/>
          <w:sz w:val="28"/>
          <w:szCs w:val="28"/>
          <w:highlight w:val="none"/>
          <w:lang w:val="en-US" w:eastAsia="zh-CN" w:bidi="ar-SA"/>
        </w:rPr>
        <w:t>投入可行</w:t>
      </w:r>
      <w:r>
        <w:rPr>
          <w:rFonts w:hint="eastAsia" w:ascii="宋体" w:hAnsi="宋体" w:eastAsia="宋体" w:cs="宋体"/>
          <w:sz w:val="28"/>
          <w:szCs w:val="28"/>
          <w:highlight w:val="none"/>
          <w:lang w:val="en-US" w:eastAsia="zh-CN"/>
        </w:rPr>
        <w:t>。建设</w:t>
      </w:r>
      <w:r>
        <w:rPr>
          <w:rFonts w:hint="eastAsia" w:ascii="宋体" w:hAnsi="宋体" w:eastAsia="宋体" w:cs="宋体"/>
          <w:kern w:val="2"/>
          <w:sz w:val="28"/>
          <w:szCs w:val="28"/>
          <w:highlight w:val="none"/>
          <w:lang w:val="en-US" w:eastAsia="zh-CN" w:bidi="ar-SA"/>
        </w:rPr>
        <w:t>单位按照项目所设定的绩效目标依据充分，资金来源合规，符合客观实际，能够达到设定的目标。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建设单位严格按照批复的方案实施，依据绩效目标设定的绩效指标清晰、合理。通过对</w:t>
      </w:r>
      <w:r>
        <w:rPr>
          <w:rFonts w:hint="eastAsia" w:ascii="宋体" w:hAnsi="宋体" w:eastAsia="宋体" w:cs="宋体"/>
          <w:sz w:val="28"/>
          <w:szCs w:val="28"/>
          <w:lang w:val="en-US" w:eastAsia="zh-CN"/>
        </w:rPr>
        <w:t>围场县殡葬管理所新建项目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，本项目建设能够达到设计年限和使用效果，未来可持续性强。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围场县殡葬管理所基础工程建设项目绩效评价</w:t>
      </w:r>
      <w:r>
        <w:rPr>
          <w:rFonts w:hint="eastAsia" w:ascii="宋体" w:hAnsi="宋体" w:eastAsia="宋体" w:cs="宋体"/>
          <w:kern w:val="2"/>
          <w:sz w:val="28"/>
          <w:szCs w:val="28"/>
          <w:highlight w:val="none"/>
          <w:lang w:val="en-US" w:eastAsia="zh-CN" w:bidi="ar-SA"/>
        </w:rPr>
        <w:t>所需资料中缺少竣工验收报告扣减1分。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lang w:val="en-US" w:eastAsia="zh-CN"/>
        </w:rPr>
        <w:t>本项目实施方案编制合理、可行，无违反规定的项目实施。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kern w:val="2"/>
          <w:sz w:val="28"/>
          <w:szCs w:val="28"/>
          <w:highlight w:val="none"/>
          <w:lang w:val="en-US" w:eastAsia="zh-CN" w:bidi="ar-SA"/>
        </w:rPr>
        <w:t>债券资金均用于本工程项目建设，未用于经常性支出，未用于中央明令禁止的项目支出，资金使用合规。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本项目依据国库集中支付制度要求，按照工程进度在县级财政集中支付，从目前工程款支付情况分析，未出现资金拖欠现象。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本项目已完成的工程投资与计划实施的实际工程总投资基本吻合，完成的工程范围与设计要求相符，主要工程量按照要求已全部完成。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本工程已经完工，无验收报告，按照绩效评价指标体系评分标准，此项指标考评扣减2分</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围场县殡葬管理所基础工程建设项目已</w:t>
      </w:r>
      <w:r>
        <w:rPr>
          <w:rFonts w:hint="eastAsia" w:ascii="宋体" w:hAnsi="宋体" w:eastAsia="宋体" w:cs="宋体"/>
          <w:kern w:val="2"/>
          <w:sz w:val="28"/>
          <w:szCs w:val="28"/>
          <w:highlight w:val="none"/>
          <w:lang w:val="en-US" w:eastAsia="zh-CN" w:bidi="ar-SA"/>
        </w:rPr>
        <w:t>完工程量按批复设定的总体目标全面实现，达到预期目标。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殡葬管理所项目建设是贯彻落实我国殡葬改革工作的需要，是围场县“物质文明和精神文明”建设的重要内容。该项目通过按三级殡仪馆标准建设，完善县级殡仪馆基础设施和提高服务质量，对于项目区提高火化率、开展移风易俗活动等将起到重要作用，进而加快全县殡葬改革事业的发展，更好的完成党和政府交给的殡葬改革任务，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③社会环境（交通环境等）改善情况指标标准分值为4分，考评得分2分。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项目完成后，有利于进一步促进围场满族族自治县全面实行火葬，能有效制止乱埋乱葬，优化社会环境，保护生态环境，革除丧葬陋俗，提倡文明、节俭办丧。同时，通过焚烧也会产生大量排放物，局部空气会受到污染，对周边环境会有一定影响。综上分析此项考核指标给予2分</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本项目是为围场县殡葬管理所基础建设项目，完善各项施工前道路及场地平整等基础工作，项目本身不产生经济效益，因此本项目建设不产生直接的经济效益。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eastAsia" w:ascii="宋体" w:hAnsi="宋体" w:eastAsia="仿宋_GB2312"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殡仪馆不同于纯靠国家拨款的事业单位，本项目建成后可以通过有偿服务获得一部分经营收入、促进殡葬事业的发展。对于经营效益好的殡仪馆，每年还可以通过有偿服务的收入，反哺于国家，为民政事业作</w:t>
      </w:r>
      <w:bookmarkStart w:id="104" w:name="_GoBack"/>
      <w:bookmarkEnd w:id="104"/>
      <w:r>
        <w:rPr>
          <w:rFonts w:hint="eastAsia" w:ascii="宋体" w:hAnsi="宋体" w:eastAsia="宋体" w:cs="宋体"/>
          <w:kern w:val="2"/>
          <w:sz w:val="28"/>
          <w:szCs w:val="28"/>
          <w:highlight w:val="none"/>
          <w:lang w:val="en-US" w:eastAsia="zh-CN" w:bidi="ar-SA"/>
        </w:rPr>
        <w:t>出贡献。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3" w:name="_Toc14098"/>
      <w:bookmarkStart w:id="74" w:name="_Toc23207"/>
      <w:r>
        <w:rPr>
          <w:rFonts w:hint="eastAsia" w:ascii="楷体" w:hAnsi="楷体" w:eastAsia="楷体" w:cs="楷体"/>
          <w:b/>
          <w:bCs w:val="0"/>
          <w:kern w:val="0"/>
          <w:sz w:val="32"/>
          <w:szCs w:val="32"/>
          <w:lang w:eastAsia="zh-CN"/>
        </w:rPr>
        <w:t>（二）绩效评价结论</w:t>
      </w:r>
      <w:bookmarkEnd w:id="73"/>
      <w:bookmarkEnd w:id="7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lang w:val="en-US" w:eastAsia="zh-CN"/>
        </w:rPr>
        <w:t>围场县殡葬管理所基础工程建设项目</w:t>
      </w:r>
      <w:r>
        <w:rPr>
          <w:rFonts w:hint="eastAsia" w:ascii="宋体" w:hAnsi="宋体" w:eastAsia="宋体" w:cs="宋体"/>
          <w:kern w:val="2"/>
          <w:sz w:val="28"/>
          <w:szCs w:val="28"/>
          <w:highlight w:val="none"/>
          <w:lang w:val="en-US" w:eastAsia="zh-CN" w:bidi="ar-SA"/>
        </w:rPr>
        <w:t>绩效考评结果，其中：投入指标考评得分10分、管理指标考评得分29分、产出指标考评得分28分、效益指标考评得分26分。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通过对各项指标的具体分析评价，汇总得出本次绩效评价考核综合得分为93分，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宋体" w:hAnsi="宋体" w:eastAsia="宋体" w:cs="宋体"/>
          <w:sz w:val="28"/>
          <w:szCs w:val="28"/>
          <w:lang w:val="en-US" w:eastAsia="zh-CN"/>
        </w:rPr>
        <w:t>评价结果表明，围场县殡葬管理所基础工程建设项目组织和管理较好地执行了相关规定要求，组织管理有序，对项目资金的监督管理总体有效，资金使用合理合规，实施的可行性和持续性明显</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5" w:name="_Toc32395"/>
      <w:bookmarkStart w:id="76" w:name="_Toc1912"/>
      <w:r>
        <w:rPr>
          <w:rFonts w:hint="eastAsia" w:ascii="黑体" w:hAnsi="黑体" w:eastAsia="黑体" w:cs="黑体"/>
          <w:b w:val="0"/>
          <w:bCs/>
          <w:kern w:val="0"/>
          <w:sz w:val="32"/>
          <w:szCs w:val="32"/>
          <w:highlight w:val="none"/>
          <w:lang w:eastAsia="zh-CN"/>
        </w:rPr>
        <w:t>五、</w:t>
      </w:r>
      <w:bookmarkEnd w:id="75"/>
      <w:r>
        <w:rPr>
          <w:rFonts w:hint="eastAsia" w:ascii="黑体" w:hAnsi="黑体" w:eastAsia="黑体" w:cs="黑体"/>
          <w:b w:val="0"/>
          <w:bCs/>
          <w:kern w:val="0"/>
          <w:sz w:val="32"/>
          <w:szCs w:val="32"/>
          <w:highlight w:val="none"/>
          <w:lang w:eastAsia="zh-CN"/>
        </w:rPr>
        <w:t>意见及建议</w:t>
      </w:r>
      <w:bookmarkEnd w:id="7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殡仪馆在经营目的上应做到社会效益与经济效益统一。按照这一特点要求，殡仪馆的经营管理在服从殡葬改革的前提下，努力提高经济效益。在服从社会效益的前提下，要加强殡仪馆的经营管理，提高殡仪服务质量，创造最大的经济效益。</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宋体"/>
          <w:bCs/>
          <w:kern w:val="0"/>
          <w:sz w:val="32"/>
          <w:szCs w:val="32"/>
        </w:rPr>
      </w:pPr>
      <w:r>
        <w:rPr>
          <w:rFonts w:hint="eastAsia" w:ascii="宋体" w:hAnsi="宋体" w:eastAsia="宋体" w:cs="宋体"/>
          <w:sz w:val="28"/>
          <w:szCs w:val="28"/>
          <w:lang w:val="en-US" w:eastAsia="zh-CN"/>
        </w:rPr>
        <w:t>从评价结果分析：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r>
        <w:rPr>
          <w:rFonts w:hint="eastAsia" w:ascii="宋体" w:hAnsi="宋体" w:eastAsia="宋体" w:cs="宋体"/>
          <w:bCs/>
          <w:kern w:val="0"/>
          <w:sz w:val="28"/>
          <w:szCs w:val="28"/>
          <w:lang w:eastAsia="zh-CN"/>
        </w:rPr>
        <w:t>。</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7" w:name="_Toc25821"/>
      <w:bookmarkStart w:id="78" w:name="_Toc27192"/>
      <w:bookmarkStart w:id="79" w:name="_Toc5786"/>
      <w:bookmarkStart w:id="80" w:name="_Toc31396"/>
      <w:bookmarkStart w:id="81" w:name="_Toc7010"/>
      <w:bookmarkStart w:id="82" w:name="_Toc26763"/>
      <w:r>
        <w:rPr>
          <w:rFonts w:hint="eastAsia" w:ascii="楷体" w:hAnsi="楷体" w:eastAsia="楷体" w:cs="楷体"/>
          <w:b/>
          <w:bCs/>
          <w:sz w:val="32"/>
          <w:szCs w:val="32"/>
          <w:lang w:val="en-US" w:eastAsia="zh-CN"/>
        </w:rPr>
        <w:t>（一）强化绩效理念，深入推进评价工作</w:t>
      </w:r>
      <w:bookmarkEnd w:id="77"/>
      <w:bookmarkEnd w:id="78"/>
      <w:bookmarkEnd w:id="79"/>
      <w:bookmarkEnd w:id="80"/>
      <w:bookmarkEnd w:id="81"/>
      <w:bookmarkEnd w:id="8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3" w:name="_Toc10505"/>
      <w:bookmarkStart w:id="84" w:name="_Toc20751"/>
      <w:bookmarkStart w:id="85" w:name="_Toc14241"/>
      <w:bookmarkStart w:id="86" w:name="_Toc21411"/>
      <w:bookmarkStart w:id="87" w:name="_Toc11860"/>
      <w:bookmarkStart w:id="88" w:name="_Toc6863"/>
      <w:r>
        <w:rPr>
          <w:rFonts w:hint="eastAsia" w:ascii="楷体" w:hAnsi="楷体" w:eastAsia="楷体" w:cs="楷体"/>
          <w:b/>
          <w:bCs/>
          <w:sz w:val="32"/>
          <w:szCs w:val="32"/>
          <w:lang w:val="en-US" w:eastAsia="zh-CN"/>
        </w:rPr>
        <w:t>（二）强化事前准备，切实提升评价质量</w:t>
      </w:r>
      <w:bookmarkEnd w:id="83"/>
      <w:bookmarkEnd w:id="84"/>
      <w:bookmarkEnd w:id="85"/>
      <w:bookmarkEnd w:id="86"/>
      <w:bookmarkEnd w:id="87"/>
      <w:bookmarkEnd w:id="8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9" w:name="_Toc21034"/>
      <w:bookmarkStart w:id="90" w:name="_Toc3001"/>
      <w:bookmarkStart w:id="91" w:name="_Toc11787"/>
      <w:bookmarkStart w:id="92" w:name="_Toc10592"/>
      <w:bookmarkStart w:id="93" w:name="_Toc30061"/>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4" w:name="_Toc20276"/>
      <w:r>
        <w:rPr>
          <w:rFonts w:hint="eastAsia" w:ascii="楷体" w:hAnsi="楷体" w:eastAsia="楷体" w:cs="楷体"/>
          <w:b/>
          <w:bCs/>
          <w:sz w:val="32"/>
          <w:szCs w:val="32"/>
          <w:lang w:val="en-US" w:eastAsia="zh-CN"/>
        </w:rPr>
        <w:t>（三）强化结果应用，不断巩固评价</w:t>
      </w:r>
      <w:bookmarkEnd w:id="89"/>
      <w:bookmarkEnd w:id="90"/>
      <w:bookmarkEnd w:id="91"/>
      <w:bookmarkEnd w:id="92"/>
      <w:bookmarkEnd w:id="93"/>
      <w:r>
        <w:rPr>
          <w:rFonts w:hint="eastAsia" w:ascii="楷体" w:hAnsi="楷体" w:eastAsia="楷体" w:cs="楷体"/>
          <w:b/>
          <w:bCs/>
          <w:sz w:val="32"/>
          <w:szCs w:val="32"/>
          <w:lang w:val="en-US" w:eastAsia="zh-CN"/>
        </w:rPr>
        <w:t>成效</w:t>
      </w:r>
      <w:bookmarkEnd w:id="94"/>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5" w:name="_Toc23799"/>
      <w:r>
        <w:rPr>
          <w:rFonts w:hint="eastAsia" w:ascii="黑体" w:hAnsi="黑体" w:eastAsia="黑体" w:cs="黑体"/>
          <w:b w:val="0"/>
          <w:bCs/>
          <w:kern w:val="0"/>
          <w:sz w:val="32"/>
          <w:szCs w:val="32"/>
          <w:lang w:val="en-US" w:eastAsia="zh-CN"/>
        </w:rPr>
        <w:t>六、附件</w:t>
      </w:r>
      <w:bookmarkEnd w:id="95"/>
    </w:p>
    <w:p>
      <w:pPr>
        <w:pStyle w:val="3"/>
        <w:bidi w:val="0"/>
        <w:rPr>
          <w:rFonts w:hint="eastAsia" w:ascii="楷体" w:hAnsi="楷体" w:eastAsia="楷体" w:cs="楷体"/>
          <w:lang w:val="en-US" w:eastAsia="zh-CN"/>
        </w:rPr>
      </w:pPr>
      <w:bookmarkStart w:id="96" w:name="_Toc31371"/>
      <w:r>
        <w:rPr>
          <w:rFonts w:hint="eastAsia" w:ascii="楷体" w:hAnsi="楷体" w:eastAsia="楷体" w:cs="楷体"/>
          <w:lang w:val="en-US" w:eastAsia="zh-CN"/>
        </w:rPr>
        <w:t>绩效评价指标体系得分表</w:t>
      </w:r>
      <w:bookmarkEnd w:id="96"/>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adjustRightInd w:val="0"/>
        <w:snapToGrid w:val="0"/>
        <w:spacing w:line="540" w:lineRule="exact"/>
        <w:outlineLvl w:val="0"/>
        <w:rPr>
          <w:rFonts w:asciiTheme="minorEastAsia" w:hAnsiTheme="minorEastAsia"/>
          <w:sz w:val="32"/>
          <w:szCs w:val="32"/>
        </w:rPr>
      </w:pPr>
      <w:bookmarkStart w:id="97" w:name="_Toc15162"/>
      <w:bookmarkStart w:id="98" w:name="_Toc28392"/>
      <w:r>
        <w:rPr>
          <w:rFonts w:hint="eastAsia" w:asciiTheme="minorEastAsia" w:hAnsiTheme="minorEastAsia"/>
          <w:sz w:val="32"/>
          <w:szCs w:val="32"/>
        </w:rPr>
        <w:t>承德燕山会计师事务所         中国注册会计师：崔春华</w:t>
      </w:r>
      <w:bookmarkEnd w:id="97"/>
      <w:bookmarkEnd w:id="98"/>
    </w:p>
    <w:p>
      <w:pPr>
        <w:adjustRightInd w:val="0"/>
        <w:snapToGrid w:val="0"/>
        <w:spacing w:line="540" w:lineRule="exact"/>
        <w:ind w:firstLine="640" w:firstLineChars="200"/>
        <w:outlineLvl w:val="0"/>
        <w:rPr>
          <w:rFonts w:asciiTheme="minorEastAsia" w:hAnsiTheme="minorEastAsia"/>
          <w:sz w:val="32"/>
          <w:szCs w:val="32"/>
        </w:rPr>
      </w:pPr>
      <w:bookmarkStart w:id="99" w:name="_Toc14815"/>
      <w:bookmarkStart w:id="100" w:name="_Toc1394"/>
      <w:r>
        <w:rPr>
          <w:rFonts w:hint="eastAsia" w:asciiTheme="minorEastAsia" w:hAnsiTheme="minorEastAsia"/>
          <w:sz w:val="32"/>
          <w:szCs w:val="32"/>
        </w:rPr>
        <w:t>有限责任公司</w:t>
      </w:r>
      <w:bookmarkEnd w:id="99"/>
      <w:bookmarkEnd w:id="10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01" w:name="_Toc13463"/>
      <w:bookmarkStart w:id="102" w:name="_Toc56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01"/>
      <w:bookmarkEnd w:id="102"/>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3" w:name="_Toc29542"/>
      <w:r>
        <w:rPr>
          <w:rFonts w:hint="eastAsia" w:asciiTheme="minorEastAsia" w:hAnsiTheme="minorEastAsia"/>
          <w:sz w:val="32"/>
          <w:szCs w:val="32"/>
          <w:lang w:val="en-US" w:eastAsia="zh-CN"/>
        </w:rPr>
        <w:t xml:space="preserve">                    </w:t>
      </w: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103"/>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围场县殡葬管理所基础工程建设项目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5分，立项手续不完整扣2分，方案欠佳扣2分；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项目资料（实施方案、施工合同、竣工验收报告等）完整得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93</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6A5B20"/>
    <w:rsid w:val="03906ECE"/>
    <w:rsid w:val="03B73450"/>
    <w:rsid w:val="047E3D7B"/>
    <w:rsid w:val="06B3136F"/>
    <w:rsid w:val="09DF3A36"/>
    <w:rsid w:val="0A617961"/>
    <w:rsid w:val="0CF76258"/>
    <w:rsid w:val="0E252CA5"/>
    <w:rsid w:val="0EB702EC"/>
    <w:rsid w:val="0FB05213"/>
    <w:rsid w:val="0FC2768D"/>
    <w:rsid w:val="0FF14209"/>
    <w:rsid w:val="1007583F"/>
    <w:rsid w:val="105259B6"/>
    <w:rsid w:val="105E04DB"/>
    <w:rsid w:val="11CA6AB4"/>
    <w:rsid w:val="13426D82"/>
    <w:rsid w:val="134C1C6E"/>
    <w:rsid w:val="13B41735"/>
    <w:rsid w:val="13D04FA7"/>
    <w:rsid w:val="1671287C"/>
    <w:rsid w:val="178D6B51"/>
    <w:rsid w:val="179E01C8"/>
    <w:rsid w:val="18596D27"/>
    <w:rsid w:val="18B14196"/>
    <w:rsid w:val="19B12636"/>
    <w:rsid w:val="1B9C10BB"/>
    <w:rsid w:val="1C0818FD"/>
    <w:rsid w:val="1DCB30AC"/>
    <w:rsid w:val="1E3912B7"/>
    <w:rsid w:val="1F3109C5"/>
    <w:rsid w:val="21C358CA"/>
    <w:rsid w:val="23962522"/>
    <w:rsid w:val="23EF5E50"/>
    <w:rsid w:val="27DD72F2"/>
    <w:rsid w:val="284D6241"/>
    <w:rsid w:val="2A2E1F00"/>
    <w:rsid w:val="2B284D4B"/>
    <w:rsid w:val="2B7317BF"/>
    <w:rsid w:val="2C137100"/>
    <w:rsid w:val="2DFB0DDF"/>
    <w:rsid w:val="327F7BC1"/>
    <w:rsid w:val="38AA7CC8"/>
    <w:rsid w:val="39FB1AB6"/>
    <w:rsid w:val="3B943A5F"/>
    <w:rsid w:val="3BB5552B"/>
    <w:rsid w:val="3D313A55"/>
    <w:rsid w:val="3D7533AC"/>
    <w:rsid w:val="3EE432ED"/>
    <w:rsid w:val="40A00F76"/>
    <w:rsid w:val="41764DEF"/>
    <w:rsid w:val="41A52C9E"/>
    <w:rsid w:val="46056165"/>
    <w:rsid w:val="46437D54"/>
    <w:rsid w:val="46787C14"/>
    <w:rsid w:val="47C37A03"/>
    <w:rsid w:val="48771478"/>
    <w:rsid w:val="495C6C5B"/>
    <w:rsid w:val="49C5006E"/>
    <w:rsid w:val="4A924A90"/>
    <w:rsid w:val="4DF57240"/>
    <w:rsid w:val="4F5D274A"/>
    <w:rsid w:val="54252E1D"/>
    <w:rsid w:val="56412110"/>
    <w:rsid w:val="569318BE"/>
    <w:rsid w:val="577B4A42"/>
    <w:rsid w:val="57B401D9"/>
    <w:rsid w:val="5C180F8A"/>
    <w:rsid w:val="5FD6603C"/>
    <w:rsid w:val="619D47F1"/>
    <w:rsid w:val="62280465"/>
    <w:rsid w:val="634A07FA"/>
    <w:rsid w:val="637513A4"/>
    <w:rsid w:val="684610AA"/>
    <w:rsid w:val="6EC845C2"/>
    <w:rsid w:val="710016B0"/>
    <w:rsid w:val="75840E38"/>
    <w:rsid w:val="772B6771"/>
    <w:rsid w:val="77AB17FD"/>
    <w:rsid w:val="7D1E62B7"/>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60CF1FAC2AAB417AA0CC00FD96E22BB9</vt:lpwstr>
  </property>
</Properties>
</file>