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围场县创建省级园林城市</w:t>
      </w:r>
    </w:p>
    <w:p>
      <w:pPr>
        <w:jc w:val="center"/>
        <w:rPr>
          <w:rFonts w:ascii="宋体" w:hAnsi="宋体" w:eastAsia="宋体" w:cs="宋体"/>
          <w:b/>
          <w:bCs/>
          <w:sz w:val="52"/>
          <w:szCs w:val="52"/>
        </w:rPr>
      </w:pPr>
      <w:r>
        <w:rPr>
          <w:rFonts w:hint="eastAsia" w:ascii="宋体" w:hAnsi="宋体" w:eastAsia="宋体" w:cs="宋体"/>
          <w:b/>
          <w:bCs/>
          <w:sz w:val="52"/>
          <w:szCs w:val="52"/>
        </w:rPr>
        <w:t>景观提升项目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报告文号：承燕会所审专字（2020）第279号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 279号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bookmarkStart w:id="0" w:name="_Toc32502"/>
      <w:bookmarkStart w:id="1" w:name="_Toc25062"/>
      <w:bookmarkStart w:id="2" w:name="_Toc7123"/>
      <w:r>
        <w:rPr>
          <w:rFonts w:hint="eastAsia" w:ascii="宋体" w:hAnsi="宋体" w:eastAsia="宋体" w:cs="宋体"/>
          <w:b/>
          <w:bCs/>
          <w:sz w:val="36"/>
          <w:szCs w:val="36"/>
        </w:rPr>
        <w:t>围场县创建省级园林城市景观提升项目</w:t>
      </w:r>
    </w:p>
    <w:p>
      <w:pPr>
        <w:jc w:val="center"/>
        <w:outlineLvl w:val="0"/>
        <w:rPr>
          <w:rFonts w:ascii="宋体" w:hAnsi="宋体" w:eastAsia="宋体" w:cs="宋体"/>
          <w:b/>
          <w:bCs/>
          <w:sz w:val="36"/>
          <w:szCs w:val="36"/>
        </w:rPr>
      </w:pPr>
      <w:bookmarkStart w:id="3" w:name="_Toc26503"/>
      <w:bookmarkStart w:id="4" w:name="_Toc3241"/>
      <w:r>
        <w:rPr>
          <w:rFonts w:hint="eastAsia" w:ascii="宋体" w:hAnsi="宋体" w:eastAsia="宋体" w:cs="宋体"/>
          <w:b/>
          <w:bCs/>
          <w:sz w:val="36"/>
          <w:szCs w:val="36"/>
        </w:rPr>
        <w:t>一般债券资金绩效评价报告</w:t>
      </w:r>
      <w:bookmarkEnd w:id="0"/>
      <w:bookmarkEnd w:id="1"/>
      <w:bookmarkEnd w:id="2"/>
      <w:bookmarkEnd w:id="3"/>
      <w:bookmarkEnd w:id="4"/>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创建省级园林城市景观提升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5" w:name="_Toc27945"/>
      <w:bookmarkStart w:id="6" w:name="_Toc8932"/>
      <w:r>
        <w:rPr>
          <w:rFonts w:hint="eastAsia" w:ascii="黑体" w:hAnsi="黑体" w:eastAsia="黑体" w:cs="黑体"/>
          <w:b/>
          <w:sz w:val="32"/>
          <w:szCs w:val="32"/>
        </w:rPr>
        <w:t>一、项目基本情况</w:t>
      </w:r>
      <w:bookmarkEnd w:id="5"/>
      <w:bookmarkEnd w:id="6"/>
    </w:p>
    <w:p>
      <w:pPr>
        <w:spacing w:line="600" w:lineRule="exact"/>
        <w:ind w:firstLine="643" w:firstLineChars="200"/>
        <w:outlineLvl w:val="1"/>
        <w:rPr>
          <w:rFonts w:ascii="楷体" w:hAnsi="楷体" w:eastAsia="楷体" w:cs="楷体"/>
          <w:b/>
          <w:sz w:val="32"/>
          <w:szCs w:val="32"/>
        </w:rPr>
      </w:pPr>
      <w:bookmarkStart w:id="7" w:name="_Toc1188"/>
      <w:bookmarkStart w:id="8" w:name="_Toc3023"/>
      <w:r>
        <w:rPr>
          <w:rFonts w:hint="eastAsia" w:ascii="楷体" w:hAnsi="楷体" w:eastAsia="楷体" w:cs="楷体"/>
          <w:b/>
          <w:sz w:val="32"/>
          <w:szCs w:val="32"/>
        </w:rPr>
        <w:t>（一）项目概况</w:t>
      </w:r>
      <w:bookmarkEnd w:id="7"/>
      <w:bookmarkEnd w:id="8"/>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w:t>
      </w:r>
      <w:bookmarkStart w:id="91" w:name="_GoBack"/>
      <w:bookmarkEnd w:id="91"/>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其中本次投入围场县创建省级园林城市景观提升项目的债券资金共计284万元。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围场县创建省级园林城市景观提升项目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pStyle w:val="5"/>
        <w:ind w:left="0" w:firstLine="560" w:firstLineChars="200"/>
        <w:rPr>
          <w:rFonts w:ascii="宋体" w:hAnsi="宋体" w:eastAsia="宋体" w:cs="宋体"/>
        </w:rPr>
      </w:pPr>
      <w:r>
        <w:rPr>
          <w:rFonts w:hint="eastAsia" w:ascii="宋体" w:hAnsi="宋体" w:eastAsia="宋体" w:cs="宋体"/>
        </w:rPr>
        <w:t>围场满族蒙古族自治县隶属于河北省承德市，县境东西长138公里，南北宽118公里，总面积9219平方公里，是河北省占地面积最大的县。人口约53万，其中满族人口最多，为24.3万多人，其次有蒙、回等12个少数民族。1989年6月29日，经国务院批准设立</w:t>
      </w:r>
      <w:r>
        <w:fldChar w:fldCharType="begin"/>
      </w:r>
      <w:r>
        <w:instrText xml:space="preserve"> HYPERLINK "http://baike.sogou.com/lemma/ShowInnerLink.htm?lemmaId=43294&amp;ss_c=ssc.citiao.link" \t "_parent" </w:instrText>
      </w:r>
      <w:r>
        <w:fldChar w:fldCharType="separate"/>
      </w:r>
      <w:r>
        <w:rPr>
          <w:rFonts w:hint="eastAsia" w:ascii="宋体" w:hAnsi="宋体" w:eastAsia="宋体" w:cs="宋体"/>
        </w:rPr>
        <w:t>围场满族蒙古族自治县</w:t>
      </w:r>
      <w:r>
        <w:rPr>
          <w:rFonts w:hint="eastAsia" w:ascii="宋体" w:hAnsi="宋体" w:eastAsia="宋体" w:cs="宋体"/>
        </w:rPr>
        <w:fldChar w:fldCharType="end"/>
      </w:r>
      <w:r>
        <w:rPr>
          <w:rFonts w:hint="eastAsia" w:ascii="宋体" w:hAnsi="宋体" w:eastAsia="宋体" w:cs="宋体"/>
        </w:rPr>
        <w:t>。围场历史上是“清代皇家猎苑”。境内建有2个国家级森林公园、2个省级森林公园；3个国家级自然生态保护区、1个省级自然生态保护区。1991年国家建设部通过专家论证把围场评为一级旅游资源和国家级风景名胜区。1999年被河北省人民政府确定为生态旅游县。以“皇家、生态、民俗”为特色，被誉为“水的源头、云的故乡、花的世界、林的海洋、北方动植物的王国、摄影艺术家的天堂”。</w:t>
      </w:r>
    </w:p>
    <w:p>
      <w:pPr>
        <w:pStyle w:val="5"/>
        <w:ind w:left="0" w:firstLine="560" w:firstLineChars="200"/>
        <w:rPr>
          <w:rFonts w:ascii="宋体" w:hAnsi="宋体" w:eastAsia="宋体" w:cs="宋体"/>
        </w:rPr>
      </w:pPr>
      <w:r>
        <w:rPr>
          <w:rFonts w:hint="eastAsia" w:ascii="宋体" w:hAnsi="宋体" w:eastAsia="宋体" w:cs="宋体"/>
        </w:rPr>
        <w:t>围场满族蒙古族自治县是河北省承德市重点县城，县域环境优美，旅游资源丰富。县城经济产业发展由第一产业向第三产业转型。在经济大发展中急需对县城现状环境品质进行增强提升，强化城市文化特色，促进城市经济文化发展，提升政府形象，打造塞外明珠，增强百姓自豪感，实现创建木兰围场园林县城的目标。</w:t>
      </w:r>
    </w:p>
    <w:p>
      <w:pPr>
        <w:ind w:firstLine="560" w:firstLineChars="200"/>
        <w:rPr>
          <w:rFonts w:ascii="宋体" w:hAnsi="宋体" w:eastAsia="宋体" w:cs="宋体"/>
          <w:sz w:val="28"/>
          <w:szCs w:val="28"/>
        </w:rPr>
      </w:pPr>
      <w:r>
        <w:rPr>
          <w:rFonts w:hint="eastAsia" w:ascii="宋体" w:hAnsi="宋体" w:eastAsia="宋体" w:cs="宋体"/>
          <w:sz w:val="28"/>
          <w:szCs w:val="28"/>
        </w:rPr>
        <w:t>按照《河北省园林城市标准》中规划设计和景观保护要求，围场县目前城市景观现状不能满足有关绿地布局合理、突出城市文化和民族特色、形成城市独特的风貌与特色、配置具有城市特色和文化内涵的雕塑、标志性景观街道以及主要街道城市景观整治规划等的考核要求。景观氛围薄弱，缺少人文特色，起不到美化环境，提高城市品位和档次，树立良好的城市形象的作用，所以围场县创建园林城市景观提升项目建设对围场县的城市建设发展是十分重要的。</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pStyle w:val="5"/>
        <w:ind w:left="0" w:firstLine="560" w:firstLineChars="200"/>
        <w:rPr>
          <w:rFonts w:ascii="宋体" w:hAnsi="宋体" w:eastAsia="宋体" w:cs="宋体"/>
        </w:rPr>
      </w:pPr>
      <w:r>
        <w:rPr>
          <w:rFonts w:hint="eastAsia" w:ascii="宋体" w:hAnsi="宋体" w:eastAsia="宋体" w:cs="宋体"/>
        </w:rPr>
        <w:t>项目范围：围场县城十条主要道路两侧的硬化铺装和绿化，一个广场和两个游园空闲地的硬化铺装和绿化。</w:t>
      </w:r>
    </w:p>
    <w:p>
      <w:pPr>
        <w:pStyle w:val="5"/>
        <w:ind w:left="0" w:firstLine="560" w:firstLineChars="200"/>
        <w:rPr>
          <w:rFonts w:ascii="仿宋" w:hAnsi="仿宋" w:eastAsia="仿宋" w:cs="仿宋"/>
          <w:sz w:val="32"/>
          <w:szCs w:val="32"/>
        </w:rPr>
      </w:pPr>
      <w:r>
        <w:rPr>
          <w:rFonts w:hint="eastAsia" w:ascii="宋体" w:hAnsi="宋体" w:eastAsia="宋体" w:cs="宋体"/>
        </w:rPr>
        <w:t>建设内容：围场县城十条主要道路两侧硬化铺装及栽植乔、灌木、花卉，铺种草坪，公园和游园硬化铺装及栽植乔、灌木、花卉，铺种草坪。十条主要道路包括迎宾街、桃李街、通祥街、金峰街、金龙街、S254承围线、凤凰路、伊逊路、木兰路、天宝路；广场为县城入口广场，两个游园为县城凤凰路与通祥街交口游园、凤凰路与金龙街交口游园。</w:t>
      </w:r>
    </w:p>
    <w:p>
      <w:pPr>
        <w:pStyle w:val="5"/>
        <w:ind w:left="0"/>
        <w:jc w:val="center"/>
        <w:rPr>
          <w:rFonts w:ascii="仿宋" w:hAnsi="仿宋" w:eastAsia="仿宋" w:cs="仿宋"/>
          <w:b/>
          <w:bCs/>
        </w:rPr>
      </w:pPr>
      <w:r>
        <w:rPr>
          <w:rFonts w:hint="eastAsia" w:ascii="仿宋" w:hAnsi="仿宋" w:eastAsia="仿宋" w:cs="仿宋"/>
          <w:b/>
          <w:bCs/>
        </w:rPr>
        <w:t>主要建设内容一览表</w:t>
      </w:r>
    </w:p>
    <w:tbl>
      <w:tblPr>
        <w:tblStyle w:val="13"/>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248"/>
        <w:gridCol w:w="1022"/>
        <w:gridCol w:w="154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18" w:type="dxa"/>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项目</w:t>
            </w:r>
          </w:p>
        </w:tc>
        <w:tc>
          <w:tcPr>
            <w:tcW w:w="3248" w:type="dxa"/>
            <w:vAlign w:val="center"/>
          </w:tcPr>
          <w:p>
            <w:pPr>
              <w:widowControl/>
              <w:ind w:firstLine="1116" w:firstLineChars="397"/>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项目名称</w:t>
            </w:r>
          </w:p>
        </w:tc>
        <w:tc>
          <w:tcPr>
            <w:tcW w:w="1022" w:type="dxa"/>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单位</w:t>
            </w:r>
          </w:p>
        </w:tc>
        <w:tc>
          <w:tcPr>
            <w:tcW w:w="1549" w:type="dxa"/>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硬化铺装</w:t>
            </w:r>
          </w:p>
        </w:tc>
        <w:tc>
          <w:tcPr>
            <w:tcW w:w="1520" w:type="dxa"/>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道路绿化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restart"/>
            <w:vAlign w:val="center"/>
          </w:tcPr>
          <w:p>
            <w:pPr>
              <w:ind w:firstLine="281" w:firstLineChars="100"/>
              <w:rPr>
                <w:rFonts w:ascii="仿宋_GB2312" w:eastAsia="仿宋_GB2312"/>
                <w:b/>
                <w:sz w:val="28"/>
                <w:szCs w:val="28"/>
              </w:rPr>
            </w:pPr>
            <w:r>
              <w:rPr>
                <w:rFonts w:hint="eastAsia" w:ascii="仿宋_GB2312" w:hAnsi="宋体" w:eastAsia="仿宋_GB2312" w:cs="宋体"/>
                <w:b/>
                <w:kern w:val="0"/>
                <w:sz w:val="28"/>
                <w:szCs w:val="28"/>
              </w:rPr>
              <w:t>道路</w:t>
            </w: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迎宾街</w:t>
            </w:r>
          </w:p>
        </w:tc>
        <w:tc>
          <w:tcPr>
            <w:tcW w:w="1022" w:type="dxa"/>
            <w:vAlign w:val="center"/>
          </w:tcPr>
          <w:p>
            <w:pPr>
              <w:widowControl/>
              <w:jc w:val="center"/>
              <w:rPr>
                <w:rFonts w:ascii="仿宋_GB2312" w:hAnsi="宋体" w:eastAsia="仿宋_GB2312" w:cs="宋体"/>
                <w:kern w:val="0"/>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1767</w:t>
            </w:r>
          </w:p>
        </w:tc>
        <w:tc>
          <w:tcPr>
            <w:tcW w:w="1520" w:type="dxa"/>
            <w:vMerge w:val="restart"/>
            <w:vAlign w:val="center"/>
          </w:tcPr>
          <w:p>
            <w:pPr>
              <w:rPr>
                <w:rFonts w:ascii="仿宋_GB2312" w:eastAsia="仿宋_GB2312"/>
                <w:sz w:val="28"/>
                <w:szCs w:val="28"/>
              </w:rPr>
            </w:pPr>
            <w:r>
              <w:rPr>
                <w:rFonts w:hint="eastAsia" w:ascii="仿宋_GB2312" w:eastAsia="仿宋_GB2312"/>
                <w:sz w:val="28"/>
                <w:szCs w:val="28"/>
              </w:rPr>
              <w:t>栽植乔灌木、花卉，铺种草坪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桃李街</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2100</w:t>
            </w: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通祥街</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2000</w:t>
            </w: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金峰街</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3100</w:t>
            </w: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金龙街</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3000</w:t>
            </w: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S254承围线</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凤凰路</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6000</w:t>
            </w: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伊逊路</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widowControl/>
              <w:jc w:val="center"/>
              <w:rPr>
                <w:rFonts w:ascii="仿宋_GB2312" w:hAnsi="宋体" w:eastAsia="仿宋_GB2312" w:cs="宋体"/>
                <w:kern w:val="0"/>
                <w:sz w:val="28"/>
                <w:szCs w:val="28"/>
              </w:rPr>
            </w:pP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木兰路</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widowControl/>
              <w:jc w:val="center"/>
              <w:rPr>
                <w:rFonts w:ascii="仿宋_GB2312" w:hAnsi="宋体" w:eastAsia="仿宋_GB2312" w:cs="宋体"/>
                <w:kern w:val="0"/>
                <w:sz w:val="28"/>
                <w:szCs w:val="28"/>
              </w:rPr>
            </w:pP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sz w:val="28"/>
                <w:szCs w:val="28"/>
              </w:rPr>
            </w:pPr>
            <w:r>
              <w:rPr>
                <w:rFonts w:hint="eastAsia" w:ascii="仿宋_GB2312" w:hAnsi="宋体" w:eastAsia="仿宋_GB2312"/>
                <w:sz w:val="28"/>
                <w:szCs w:val="28"/>
              </w:rPr>
              <w:t>天宝路</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p>
        </w:tc>
        <w:tc>
          <w:tcPr>
            <w:tcW w:w="1520"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小计</w:t>
            </w:r>
          </w:p>
        </w:tc>
        <w:tc>
          <w:tcPr>
            <w:tcW w:w="1022" w:type="dxa"/>
            <w:vAlign w:val="center"/>
          </w:tcPr>
          <w:p>
            <w:pPr>
              <w:jc w:val="center"/>
              <w:rPr>
                <w:rFonts w:ascii="仿宋_GB2312" w:hAnsi="宋体" w:eastAsia="仿宋_GB2312" w:cs="宋体"/>
                <w:kern w:val="0"/>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b/>
                <w:sz w:val="28"/>
                <w:szCs w:val="28"/>
              </w:rPr>
            </w:pPr>
            <w:r>
              <w:rPr>
                <w:rFonts w:hint="eastAsia" w:ascii="仿宋_GB2312" w:eastAsia="仿宋_GB2312"/>
                <w:b/>
                <w:sz w:val="28"/>
                <w:szCs w:val="28"/>
              </w:rPr>
              <w:t>17967</w:t>
            </w:r>
          </w:p>
        </w:tc>
        <w:tc>
          <w:tcPr>
            <w:tcW w:w="1520" w:type="dxa"/>
            <w:vMerge w:val="continue"/>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restart"/>
            <w:vAlign w:val="center"/>
          </w:tcPr>
          <w:p>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公园</w:t>
            </w:r>
          </w:p>
        </w:tc>
        <w:tc>
          <w:tcPr>
            <w:tcW w:w="3248" w:type="dxa"/>
            <w:vAlign w:val="center"/>
          </w:tcPr>
          <w:p>
            <w:pPr>
              <w:jc w:val="center"/>
              <w:rPr>
                <w:rFonts w:ascii="仿宋_GB2312" w:eastAsia="仿宋_GB2312"/>
                <w:sz w:val="28"/>
                <w:szCs w:val="28"/>
              </w:rPr>
            </w:pPr>
            <w:r>
              <w:rPr>
                <w:rFonts w:hint="eastAsia" w:ascii="仿宋_GB2312" w:eastAsia="仿宋_GB2312"/>
                <w:sz w:val="28"/>
                <w:szCs w:val="28"/>
              </w:rPr>
              <w:t>县城入口广场</w:t>
            </w:r>
          </w:p>
        </w:tc>
        <w:tc>
          <w:tcPr>
            <w:tcW w:w="1022" w:type="dxa"/>
            <w:vAlign w:val="center"/>
          </w:tcPr>
          <w:p>
            <w:pPr>
              <w:jc w:val="center"/>
              <w:rPr>
                <w:rFonts w:ascii="仿宋_GB2312" w:hAnsi="宋体" w:cs="宋体"/>
                <w:kern w:val="0"/>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6537</w:t>
            </w:r>
          </w:p>
        </w:tc>
        <w:tc>
          <w:tcPr>
            <w:tcW w:w="1520" w:type="dxa"/>
            <w:vMerge w:val="continue"/>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eastAsia="仿宋_GB2312"/>
                <w:sz w:val="28"/>
                <w:szCs w:val="28"/>
              </w:rPr>
            </w:pPr>
            <w:r>
              <w:rPr>
                <w:rFonts w:hint="eastAsia" w:ascii="仿宋_GB2312" w:eastAsia="仿宋_GB2312"/>
                <w:sz w:val="28"/>
                <w:szCs w:val="28"/>
              </w:rPr>
              <w:t>凤凰路与通祥街交口游园</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1800</w:t>
            </w:r>
          </w:p>
        </w:tc>
        <w:tc>
          <w:tcPr>
            <w:tcW w:w="1520" w:type="dxa"/>
            <w:vMerge w:val="continue"/>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18" w:type="dxa"/>
            <w:vMerge w:val="continue"/>
            <w:vAlign w:val="center"/>
          </w:tcPr>
          <w:p>
            <w:pPr>
              <w:jc w:val="center"/>
              <w:rPr>
                <w:rFonts w:ascii="仿宋_GB2312" w:hAnsi="宋体" w:eastAsia="仿宋_GB2312" w:cs="宋体"/>
                <w:kern w:val="0"/>
                <w:sz w:val="28"/>
                <w:szCs w:val="28"/>
              </w:rPr>
            </w:pPr>
          </w:p>
        </w:tc>
        <w:tc>
          <w:tcPr>
            <w:tcW w:w="3248" w:type="dxa"/>
            <w:vAlign w:val="center"/>
          </w:tcPr>
          <w:p>
            <w:pPr>
              <w:jc w:val="center"/>
              <w:rPr>
                <w:rFonts w:ascii="仿宋_GB2312" w:eastAsia="仿宋_GB2312"/>
                <w:sz w:val="28"/>
                <w:szCs w:val="28"/>
              </w:rPr>
            </w:pPr>
            <w:r>
              <w:rPr>
                <w:rFonts w:hint="eastAsia" w:ascii="仿宋_GB2312" w:eastAsia="仿宋_GB2312"/>
                <w:sz w:val="28"/>
                <w:szCs w:val="28"/>
              </w:rPr>
              <w:t>凤凰路与金龙街交口游园</w:t>
            </w:r>
          </w:p>
        </w:tc>
        <w:tc>
          <w:tcPr>
            <w:tcW w:w="1022" w:type="dxa"/>
            <w:vAlign w:val="center"/>
          </w:tcPr>
          <w:p>
            <w:pPr>
              <w:jc w:val="center"/>
              <w:rPr>
                <w:rFonts w:ascii="仿宋_GB2312" w:eastAsia="仿宋_GB2312"/>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sz w:val="28"/>
                <w:szCs w:val="28"/>
              </w:rPr>
            </w:pPr>
            <w:r>
              <w:rPr>
                <w:rFonts w:hint="eastAsia" w:ascii="仿宋_GB2312" w:eastAsia="仿宋_GB2312"/>
                <w:sz w:val="28"/>
                <w:szCs w:val="28"/>
              </w:rPr>
              <w:t>2000</w:t>
            </w:r>
          </w:p>
        </w:tc>
        <w:tc>
          <w:tcPr>
            <w:tcW w:w="1520" w:type="dxa"/>
            <w:vMerge w:val="continue"/>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18" w:type="dxa"/>
            <w:vMerge w:val="continue"/>
            <w:vAlign w:val="center"/>
          </w:tcPr>
          <w:p>
            <w:pPr>
              <w:widowControl/>
              <w:jc w:val="center"/>
              <w:rPr>
                <w:rFonts w:ascii="仿宋_GB2312" w:hAnsi="宋体" w:eastAsia="仿宋_GB2312" w:cs="宋体"/>
                <w:b/>
                <w:kern w:val="0"/>
                <w:sz w:val="28"/>
                <w:szCs w:val="28"/>
              </w:rPr>
            </w:pPr>
          </w:p>
        </w:tc>
        <w:tc>
          <w:tcPr>
            <w:tcW w:w="3248" w:type="dxa"/>
            <w:vAlign w:val="center"/>
          </w:tcPr>
          <w:p>
            <w:pPr>
              <w:jc w:val="center"/>
              <w:rPr>
                <w:rFonts w:ascii="仿宋_GB2312" w:eastAsia="仿宋_GB2312"/>
                <w:b/>
                <w:sz w:val="28"/>
                <w:szCs w:val="28"/>
              </w:rPr>
            </w:pPr>
            <w:r>
              <w:rPr>
                <w:rFonts w:hint="eastAsia" w:ascii="仿宋_GB2312" w:hAnsi="宋体" w:eastAsia="仿宋_GB2312" w:cs="宋体"/>
                <w:b/>
                <w:kern w:val="0"/>
                <w:sz w:val="28"/>
                <w:szCs w:val="28"/>
              </w:rPr>
              <w:t>小计</w:t>
            </w:r>
          </w:p>
        </w:tc>
        <w:tc>
          <w:tcPr>
            <w:tcW w:w="1022" w:type="dxa"/>
            <w:vAlign w:val="center"/>
          </w:tcPr>
          <w:p>
            <w:pPr>
              <w:jc w:val="center"/>
              <w:rPr>
                <w:rFonts w:ascii="仿宋_GB2312" w:hAnsi="宋体" w:eastAsia="仿宋_GB2312" w:cs="宋体"/>
                <w:kern w:val="0"/>
                <w:sz w:val="28"/>
                <w:szCs w:val="28"/>
              </w:rPr>
            </w:pPr>
            <w:r>
              <w:rPr>
                <w:rFonts w:hint="eastAsia" w:ascii="仿宋_GB2312" w:hAnsi="宋体" w:cs="宋体"/>
                <w:kern w:val="0"/>
                <w:sz w:val="28"/>
                <w:szCs w:val="28"/>
              </w:rPr>
              <w:t>㎡</w:t>
            </w:r>
          </w:p>
        </w:tc>
        <w:tc>
          <w:tcPr>
            <w:tcW w:w="1549" w:type="dxa"/>
            <w:vAlign w:val="center"/>
          </w:tcPr>
          <w:p>
            <w:pPr>
              <w:jc w:val="center"/>
              <w:rPr>
                <w:rFonts w:ascii="仿宋_GB2312" w:eastAsia="仿宋_GB2312"/>
                <w:b/>
                <w:sz w:val="28"/>
                <w:szCs w:val="28"/>
              </w:rPr>
            </w:pPr>
            <w:r>
              <w:rPr>
                <w:rFonts w:hint="eastAsia" w:ascii="仿宋_GB2312" w:eastAsia="仿宋_GB2312"/>
                <w:b/>
                <w:sz w:val="28"/>
                <w:szCs w:val="28"/>
              </w:rPr>
              <w:t>10337</w:t>
            </w:r>
          </w:p>
        </w:tc>
        <w:tc>
          <w:tcPr>
            <w:tcW w:w="1520" w:type="dxa"/>
            <w:vMerge w:val="continue"/>
            <w:vAlign w:val="center"/>
          </w:tcPr>
          <w:p>
            <w:pPr>
              <w:widowControl/>
              <w:jc w:val="center"/>
              <w:rPr>
                <w:rFonts w:ascii="仿宋_GB2312" w:hAnsi="宋体" w:eastAsia="仿宋_GB2312" w:cs="宋体"/>
                <w:kern w:val="0"/>
                <w:sz w:val="28"/>
                <w:szCs w:val="28"/>
              </w:rPr>
            </w:pPr>
          </w:p>
        </w:tc>
      </w:tr>
    </w:tbl>
    <w:p>
      <w:pPr>
        <w:ind w:firstLine="560" w:firstLineChars="200"/>
        <w:rPr>
          <w:rFonts w:ascii="宋体" w:hAnsi="宋体" w:eastAsia="宋体" w:cs="宋体"/>
          <w:sz w:val="28"/>
          <w:szCs w:val="28"/>
        </w:rPr>
      </w:pPr>
      <w:r>
        <w:rPr>
          <w:rFonts w:hint="eastAsia" w:ascii="宋体" w:hAnsi="宋体" w:eastAsia="宋体" w:cs="宋体"/>
          <w:sz w:val="28"/>
          <w:szCs w:val="28"/>
        </w:rPr>
        <w:t>建设期限：本项目建设期从前期准备、立项，而后进入项目准备阶段、项目施工阶段、项目竣工验收阶段。实施进度计划2015年3月至2015年10月，时间为8个月，建设工期6个月。</w:t>
      </w: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项目所需资金共2962.4万元，其中使用政府一般债券资金284万元，资金筹措方式：全部由县财政拨款。</w:t>
      </w:r>
    </w:p>
    <w:p>
      <w:pPr>
        <w:spacing w:line="600" w:lineRule="exact"/>
        <w:ind w:firstLine="643" w:firstLineChars="200"/>
        <w:outlineLvl w:val="1"/>
        <w:rPr>
          <w:rFonts w:ascii="楷体" w:hAnsi="楷体" w:eastAsia="楷体" w:cs="楷体"/>
          <w:b/>
          <w:sz w:val="32"/>
          <w:szCs w:val="32"/>
        </w:rPr>
      </w:pPr>
      <w:bookmarkStart w:id="9" w:name="_Toc25308"/>
      <w:r>
        <w:rPr>
          <w:rFonts w:hint="eastAsia" w:ascii="楷体" w:hAnsi="楷体" w:eastAsia="楷体" w:cs="楷体"/>
          <w:b/>
          <w:sz w:val="32"/>
          <w:szCs w:val="32"/>
        </w:rPr>
        <w:t>（二）项目绩效目标</w:t>
      </w:r>
      <w:bookmarkEnd w:id="9"/>
    </w:p>
    <w:p>
      <w:pPr>
        <w:spacing w:line="600" w:lineRule="exact"/>
        <w:ind w:firstLine="560" w:firstLineChars="200"/>
        <w:outlineLvl w:val="1"/>
        <w:rPr>
          <w:rFonts w:ascii="宋体" w:hAnsi="宋体" w:eastAsia="宋体" w:cs="宋体"/>
          <w:sz w:val="28"/>
          <w:szCs w:val="28"/>
        </w:rPr>
      </w:pPr>
      <w:bookmarkStart w:id="10" w:name="_Toc28894"/>
      <w:bookmarkStart w:id="11" w:name="_Toc10011"/>
      <w:bookmarkStart w:id="12" w:name="_Toc31882"/>
      <w:bookmarkStart w:id="13"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0"/>
      <w:bookmarkEnd w:id="11"/>
      <w:bookmarkEnd w:id="12"/>
    </w:p>
    <w:p>
      <w:pPr>
        <w:spacing w:line="600" w:lineRule="exact"/>
        <w:ind w:firstLine="643" w:firstLineChars="200"/>
        <w:outlineLvl w:val="1"/>
        <w:rPr>
          <w:rFonts w:ascii="楷体" w:hAnsi="楷体" w:eastAsia="楷体" w:cs="楷体"/>
          <w:b/>
          <w:sz w:val="32"/>
          <w:szCs w:val="32"/>
        </w:rPr>
      </w:pPr>
      <w:bookmarkStart w:id="14" w:name="_Toc7932"/>
      <w:r>
        <w:rPr>
          <w:rFonts w:hint="eastAsia" w:ascii="楷体" w:hAnsi="楷体" w:eastAsia="楷体" w:cs="楷体"/>
          <w:b/>
          <w:sz w:val="32"/>
          <w:szCs w:val="32"/>
        </w:rPr>
        <w:t>（三）评价对象和时段</w:t>
      </w:r>
      <w:bookmarkEnd w:id="13"/>
      <w:bookmarkEnd w:id="14"/>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本次考核评价对象：围场县创建省级园林城市景观提升项目。从项目投入、管理、产出、效益等方面进行全面的评价考核。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5" w:name="_Toc29608"/>
      <w:r>
        <w:rPr>
          <w:rFonts w:hint="eastAsia" w:ascii="黑体" w:hAnsi="黑体" w:eastAsia="黑体" w:cs="黑体"/>
          <w:b/>
          <w:bCs/>
          <w:sz w:val="32"/>
          <w:szCs w:val="32"/>
        </w:rPr>
        <w:t>二、绩效评价工作开展情况</w:t>
      </w:r>
      <w:bookmarkEnd w:id="15"/>
    </w:p>
    <w:p>
      <w:pPr>
        <w:ind w:firstLine="643" w:firstLineChars="200"/>
        <w:outlineLvl w:val="1"/>
        <w:rPr>
          <w:rFonts w:ascii="楷体" w:hAnsi="楷体" w:eastAsia="楷体" w:cs="楷体"/>
          <w:b/>
          <w:bCs/>
          <w:sz w:val="32"/>
          <w:szCs w:val="32"/>
        </w:rPr>
      </w:pPr>
      <w:bookmarkStart w:id="16" w:name="_Toc28234"/>
      <w:r>
        <w:rPr>
          <w:rFonts w:hint="eastAsia" w:ascii="楷体" w:hAnsi="楷体" w:eastAsia="楷体" w:cs="楷体"/>
          <w:b/>
          <w:bCs/>
          <w:sz w:val="32"/>
          <w:szCs w:val="32"/>
        </w:rPr>
        <w:t>（一）绩效评价指标权重和绩效评价指标体系</w:t>
      </w:r>
      <w:bookmarkEnd w:id="16"/>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7" w:name="_Toc20068"/>
            <w:bookmarkStart w:id="18"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7"/>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2563"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696"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59"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59"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56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69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19" w:name="_Toc22990"/>
            <w:bookmarkStart w:id="20"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19"/>
      <w:bookmarkEnd w:id="20"/>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1" w:name="_Toc30379"/>
      <w:bookmarkStart w:id="22"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1"/>
      <w:bookmarkEnd w:id="22"/>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0778"/>
      <w:bookmarkStart w:id="24" w:name="_Toc8164"/>
      <w:bookmarkStart w:id="25" w:name="_Toc12042"/>
      <w:bookmarkStart w:id="26"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3"/>
      <w:bookmarkEnd w:id="24"/>
      <w:bookmarkEnd w:id="25"/>
    </w:p>
    <w:p>
      <w:pPr>
        <w:ind w:firstLine="560" w:firstLineChars="200"/>
        <w:rPr>
          <w:rFonts w:ascii="宋体" w:hAnsi="宋体" w:eastAsia="宋体" w:cs="宋体"/>
          <w:sz w:val="28"/>
          <w:szCs w:val="28"/>
        </w:rPr>
      </w:pPr>
      <w:bookmarkStart w:id="27" w:name="_Toc31807"/>
      <w:bookmarkStart w:id="28" w:name="_Toc17563"/>
      <w:bookmarkStart w:id="29" w:name="_Toc13042"/>
      <w:bookmarkStart w:id="30" w:name="_Toc18780"/>
      <w:bookmarkStart w:id="31" w:name="_Toc2087"/>
      <w:bookmarkStart w:id="32"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7"/>
      <w:bookmarkEnd w:id="28"/>
      <w:bookmarkEnd w:id="29"/>
      <w:bookmarkEnd w:id="30"/>
      <w:bookmarkEnd w:id="31"/>
      <w:bookmarkEnd w:id="32"/>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3" w:name="_Toc27413"/>
      <w:bookmarkStart w:id="34" w:name="_Toc17036"/>
      <w:bookmarkStart w:id="35" w:name="_Toc15494"/>
      <w:bookmarkStart w:id="36" w:name="_Toc24972"/>
      <w:bookmarkStart w:id="37" w:name="_Toc24311"/>
      <w:bookmarkStart w:id="38" w:name="_Toc19058"/>
      <w:bookmarkStart w:id="39" w:name="_Toc24529"/>
      <w:bookmarkStart w:id="40" w:name="_Toc14572"/>
      <w:bookmarkStart w:id="41" w:name="_Toc1487"/>
      <w:bookmarkStart w:id="42" w:name="_Toc14297"/>
      <w:r>
        <w:rPr>
          <w:rFonts w:hint="eastAsia" w:ascii="宋体" w:hAnsi="宋体" w:eastAsia="宋体" w:cs="宋体"/>
          <w:b/>
          <w:bCs/>
          <w:kern w:val="0"/>
          <w:sz w:val="28"/>
          <w:szCs w:val="28"/>
        </w:rPr>
        <w:t>1、明确项目团队的职责与分工</w:t>
      </w:r>
      <w:bookmarkEnd w:id="33"/>
      <w:bookmarkEnd w:id="34"/>
      <w:bookmarkEnd w:id="35"/>
      <w:bookmarkEnd w:id="36"/>
      <w:bookmarkEnd w:id="37"/>
      <w:bookmarkEnd w:id="38"/>
      <w:bookmarkEnd w:id="39"/>
      <w:bookmarkEnd w:id="40"/>
      <w:bookmarkEnd w:id="41"/>
      <w:bookmarkEnd w:id="42"/>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3" w:name="_Toc31637"/>
      <w:bookmarkStart w:id="44" w:name="_Toc29931"/>
      <w:bookmarkStart w:id="45" w:name="_Toc27143"/>
      <w:bookmarkStart w:id="46" w:name="_Toc25494"/>
      <w:bookmarkStart w:id="47" w:name="_Toc28394"/>
      <w:bookmarkStart w:id="48" w:name="_Toc6642"/>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3"/>
      <w:bookmarkEnd w:id="44"/>
      <w:bookmarkEnd w:id="45"/>
      <w:bookmarkEnd w:id="46"/>
      <w:bookmarkEnd w:id="47"/>
      <w:bookmarkEnd w:id="4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49" w:name="_Toc24530"/>
      <w:bookmarkStart w:id="50" w:name="_Toc27067"/>
      <w:bookmarkStart w:id="51" w:name="_Toc17781"/>
      <w:bookmarkStart w:id="52"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9"/>
      <w:bookmarkEnd w:id="50"/>
      <w:bookmarkEnd w:id="51"/>
      <w:bookmarkEnd w:id="52"/>
    </w:p>
    <w:p>
      <w:pPr>
        <w:adjustRightInd w:val="0"/>
        <w:snapToGrid w:val="0"/>
        <w:spacing w:line="600" w:lineRule="exact"/>
        <w:ind w:firstLine="640" w:firstLineChars="200"/>
        <w:outlineLvl w:val="0"/>
        <w:rPr>
          <w:rFonts w:ascii="黑体" w:hAnsi="黑体" w:eastAsia="黑体" w:cs="黑体"/>
          <w:sz w:val="32"/>
          <w:szCs w:val="32"/>
        </w:rPr>
      </w:pPr>
      <w:bookmarkStart w:id="53" w:name="_Toc20611"/>
      <w:r>
        <w:rPr>
          <w:rFonts w:hint="eastAsia" w:ascii="黑体" w:hAnsi="黑体" w:eastAsia="黑体" w:cs="黑体"/>
          <w:sz w:val="32"/>
          <w:szCs w:val="32"/>
        </w:rPr>
        <w:t>三、</w:t>
      </w:r>
      <w:bookmarkEnd w:id="26"/>
      <w:r>
        <w:rPr>
          <w:rFonts w:hint="eastAsia" w:ascii="黑体" w:hAnsi="黑体" w:eastAsia="黑体" w:cs="黑体"/>
          <w:sz w:val="32"/>
          <w:szCs w:val="32"/>
        </w:rPr>
        <w:t>项目实施及资金使用情况</w:t>
      </w:r>
      <w:bookmarkEnd w:id="53"/>
    </w:p>
    <w:p>
      <w:pPr>
        <w:ind w:firstLine="643" w:firstLineChars="200"/>
        <w:outlineLvl w:val="1"/>
        <w:rPr>
          <w:rFonts w:ascii="楷体" w:hAnsi="楷体" w:eastAsia="楷体" w:cs="楷体"/>
          <w:b/>
          <w:bCs/>
          <w:sz w:val="32"/>
          <w:szCs w:val="32"/>
        </w:rPr>
      </w:pPr>
      <w:bookmarkStart w:id="54" w:name="_Toc15753"/>
      <w:bookmarkStart w:id="55" w:name="_Toc6786"/>
      <w:r>
        <w:rPr>
          <w:rFonts w:hint="eastAsia" w:ascii="楷体" w:hAnsi="楷体" w:eastAsia="楷体" w:cs="楷体"/>
          <w:b/>
          <w:bCs/>
          <w:sz w:val="32"/>
          <w:szCs w:val="32"/>
        </w:rPr>
        <w:t>（一）项目实施情况</w:t>
      </w:r>
      <w:bookmarkEnd w:id="54"/>
      <w:bookmarkEnd w:id="55"/>
    </w:p>
    <w:p>
      <w:pPr>
        <w:pStyle w:val="5"/>
        <w:ind w:left="0" w:firstLine="560" w:firstLineChars="200"/>
        <w:rPr>
          <w:rFonts w:ascii="宋体" w:hAnsi="宋体" w:eastAsia="宋体" w:cs="宋体"/>
        </w:rPr>
      </w:pPr>
      <w:r>
        <w:rPr>
          <w:rFonts w:hint="eastAsia" w:ascii="宋体" w:hAnsi="宋体" w:eastAsia="宋体" w:cs="宋体"/>
        </w:rPr>
        <w:t>2015年3月26日，围场满族蒙古族自治县发展改革局对围场县创建园林景观城市提升项目可行性研究报告做了批复，确定了建设内容及规模。</w:t>
      </w:r>
    </w:p>
    <w:p>
      <w:pPr>
        <w:pStyle w:val="5"/>
        <w:ind w:left="0" w:firstLine="560" w:firstLineChars="200"/>
        <w:rPr>
          <w:rFonts w:ascii="宋体" w:hAnsi="宋体" w:eastAsia="宋体" w:cs="宋体"/>
        </w:rPr>
      </w:pPr>
      <w:r>
        <w:rPr>
          <w:rFonts w:hint="eastAsia" w:ascii="宋体" w:hAnsi="宋体" w:eastAsia="宋体" w:cs="宋体"/>
        </w:rPr>
        <w:t>2015年6月15日，围场县创建园林城市景观提升项目施工（一标段）经评标委员会评审，确定北京绿京华园林工程有限公司为中标单位，中标价911.641万元。并于2015年6月20日签订了建设工程施工合同，同时约定了工程承包范围、合同工期、质量标准、合同价款等相关事项。</w:t>
      </w:r>
    </w:p>
    <w:p>
      <w:pPr>
        <w:pStyle w:val="5"/>
        <w:ind w:left="0" w:firstLine="560" w:firstLineChars="200"/>
        <w:rPr>
          <w:rFonts w:ascii="宋体" w:hAnsi="宋体" w:eastAsia="宋体" w:cs="宋体"/>
        </w:rPr>
      </w:pPr>
      <w:r>
        <w:rPr>
          <w:rFonts w:hint="eastAsia" w:ascii="宋体" w:hAnsi="宋体" w:eastAsia="宋体" w:cs="宋体"/>
        </w:rPr>
        <w:t>2015年6月15日围场县创建园林城市景观提升项目施工（二标段）经评标委员会评审，确定北承德华利市政园林工程有限公司为中标单位，中标价947.6628万元。并于2015年6月20日签订了建设工程施工合同，同时约定了工程承包范围、合同工期、质量标准、合同价款等相关事项。</w:t>
      </w:r>
    </w:p>
    <w:p>
      <w:pPr>
        <w:pStyle w:val="5"/>
        <w:ind w:left="0" w:firstLine="560" w:firstLineChars="200"/>
        <w:rPr>
          <w:rFonts w:ascii="宋体" w:hAnsi="宋体" w:eastAsia="宋体" w:cs="宋体"/>
        </w:rPr>
      </w:pPr>
      <w:r>
        <w:rPr>
          <w:rFonts w:hint="eastAsia" w:ascii="宋体" w:hAnsi="宋体" w:eastAsia="宋体" w:cs="宋体"/>
        </w:rPr>
        <w:t>2015年6月15日围场县创建园林城市景观提升项目施工（三标段）经评标委员会评审，确定承德市利源园林工程有限公司为中标单位，中标价781.2063万元。并于2015年6月20日签订了建设工程施工合同，同时约定了工程承包范围、合同工期、质量标准、合同价款等相关事项。</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项目完工后由建设单位组织，设计、施工、监理单位参加，对本项目进行全面验收工作。竣工验收结论：本工程经验收完成图纸中的各项工程，所有施工资料已整理完成，基本符合要求，各类植物均有准运、检疫手续，符合规定，工程质量达到要求，同意竣工验收。</w:t>
      </w:r>
    </w:p>
    <w:p>
      <w:pPr>
        <w:ind w:firstLine="643" w:firstLineChars="200"/>
        <w:outlineLvl w:val="1"/>
        <w:rPr>
          <w:rFonts w:ascii="楷体" w:hAnsi="楷体" w:eastAsia="楷体" w:cs="楷体"/>
          <w:b/>
          <w:bCs/>
          <w:sz w:val="32"/>
          <w:szCs w:val="32"/>
        </w:rPr>
      </w:pPr>
      <w:bookmarkStart w:id="56" w:name="_Toc14809"/>
      <w:bookmarkStart w:id="57" w:name="_Toc11091"/>
      <w:r>
        <w:rPr>
          <w:rFonts w:hint="eastAsia" w:ascii="楷体" w:hAnsi="楷体" w:eastAsia="楷体" w:cs="楷体"/>
          <w:b/>
          <w:bCs/>
          <w:sz w:val="32"/>
          <w:szCs w:val="32"/>
        </w:rPr>
        <w:t>（二）资金使用情况</w:t>
      </w:r>
      <w:bookmarkEnd w:id="56"/>
      <w:bookmarkEnd w:id="57"/>
    </w:p>
    <w:p>
      <w:pPr>
        <w:ind w:firstLine="560" w:firstLineChars="200"/>
        <w:rPr>
          <w:rFonts w:ascii="宋体" w:hAnsi="宋体" w:eastAsia="宋体" w:cs="宋体"/>
          <w:sz w:val="28"/>
          <w:szCs w:val="28"/>
        </w:rPr>
      </w:pPr>
      <w:bookmarkStart w:id="58" w:name="_Toc13622"/>
      <w:bookmarkStart w:id="59" w:name="_Toc15054"/>
      <w:r>
        <w:rPr>
          <w:rFonts w:hint="eastAsia" w:ascii="宋体" w:hAnsi="宋体" w:eastAsia="宋体" w:cs="宋体"/>
          <w:sz w:val="28"/>
          <w:szCs w:val="28"/>
        </w:rPr>
        <w:t>2020年6月30日国库拨创建园林城市景观提升项目款54.28344万元。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2020年9月30日，支付创建园林城市景观提升项目二标段项目款54.28344万元。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待三年养护期结束，再申请剩余债券资金。</w:t>
      </w:r>
      <w:bookmarkEnd w:id="58"/>
      <w:bookmarkEnd w:id="59"/>
    </w:p>
    <w:p>
      <w:pPr>
        <w:ind w:firstLine="640" w:firstLineChars="200"/>
        <w:outlineLvl w:val="0"/>
        <w:rPr>
          <w:rFonts w:ascii="黑体" w:hAnsi="黑体" w:eastAsia="黑体" w:cs="黑体"/>
          <w:sz w:val="32"/>
          <w:szCs w:val="32"/>
        </w:rPr>
      </w:pPr>
      <w:bookmarkStart w:id="60" w:name="_Toc25872"/>
      <w:r>
        <w:rPr>
          <w:rFonts w:hint="eastAsia" w:ascii="黑体" w:hAnsi="黑体" w:eastAsia="黑体" w:cs="黑体"/>
          <w:sz w:val="32"/>
          <w:szCs w:val="32"/>
        </w:rPr>
        <w:t>四、绩效评价分析与结论</w:t>
      </w:r>
      <w:bookmarkEnd w:id="60"/>
    </w:p>
    <w:p>
      <w:pPr>
        <w:adjustRightInd w:val="0"/>
        <w:snapToGrid w:val="0"/>
        <w:spacing w:line="360" w:lineRule="auto"/>
        <w:ind w:firstLine="643" w:firstLineChars="200"/>
        <w:outlineLvl w:val="1"/>
        <w:rPr>
          <w:rFonts w:ascii="楷体" w:hAnsi="楷体" w:eastAsia="楷体" w:cs="楷体"/>
          <w:b/>
          <w:kern w:val="0"/>
          <w:sz w:val="32"/>
          <w:szCs w:val="32"/>
        </w:rPr>
      </w:pPr>
      <w:bookmarkStart w:id="61" w:name="_Toc16548"/>
      <w:bookmarkStart w:id="62" w:name="_Toc2427"/>
      <w:r>
        <w:rPr>
          <w:rFonts w:hint="eastAsia" w:ascii="楷体" w:hAnsi="楷体" w:eastAsia="楷体" w:cs="楷体"/>
          <w:b/>
          <w:kern w:val="0"/>
          <w:sz w:val="32"/>
          <w:szCs w:val="32"/>
        </w:rPr>
        <w:t>（一）绩效评价分析</w:t>
      </w:r>
      <w:bookmarkEnd w:id="61"/>
      <w:bookmarkEnd w:id="62"/>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2015年3月26日，围场满族蒙古族自治县发展改革局对围场县创建园林景观城市提升项目可行性研究报告做了批复，本项目立项合规、方案可行、设立过程符合政策规定。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批复的计划实施，依据绩效目标设定的绩效指标清晰、合理、细化、可衡量。通过对围场县创建省级园林城市景观提升项目的分析，主街主路及节点绿化、硬化、铺装等工程按照施工要求完成，达到验收合格标准，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管理指标绩效评价设定分值为30分，考评得分27分。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（1）业务管理指标绩效评价设定分值为15分，考评得分13分。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本项目的批复资料、实施方案、施工合同、竣工验收报告、财务凭证等资料基本齐全。部分资料不够完善，竣工验收报告无验收日期，支付二标段的工程款54.28344万元，只有凭证，无发票。此项评价指标扣减2分。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本项目债券资金全部用于工程款支付，均未用于经常性支出，未用于中央明令禁止的项目支出，资金使用合规。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本项目于2017年8月竣工，2020年6月财政拨款，支付严重滞后。本项目能够依据国库集中支付制度要求，按照围政〔2019〕100号文件分配方案在县级财政集中支付。由于工程款拨付滞后，此项考核扣减1分。</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我方未发现项目资金有挪用、抽逃现象，项目建设资金使用合理，账务处理基本合规。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本工程项目2017年8月完工，能够按照合同约定计划工期完成施工进度，未出现工程滞后现象。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完工后由建设单位组织，设计、施工、监理单位参加，对本项目进行全面验收工作。竣工验收结论：本工程经验收完成图纸中的各项工程，所有施工资料已整理完成，基本符合要求，各类植物均有准运、检疫手续，符合规定，工程质量达到要求，同意竣工验收。</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的建设较大程度的改善了当地的环境和县城状况，有助于新的城市景观形成，完善了城市功能，对进一步发展围场县经济起到了应有的保障作用。同时，本工程的修建为优化围场县投资环境、加快城市化进程创造了有利条件，带动本地段区域经济的发展，提高地域经济价值，城市品位的提高将会对区域经济的发展起到良好的推动和促进作用。</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仿宋_GB2312" w:cs="宋体"/>
          <w:sz w:val="28"/>
          <w:szCs w:val="28"/>
        </w:rPr>
      </w:pPr>
      <w:r>
        <w:rPr>
          <w:rFonts w:hint="eastAsia" w:ascii="宋体" w:hAnsi="宋体" w:eastAsia="宋体" w:cs="宋体"/>
          <w:sz w:val="28"/>
          <w:szCs w:val="28"/>
        </w:rPr>
        <w:t>通过本项目建设广种适生树种，从而完善生态系统，遏制生态系统恶化趋势，可提高景观生态环境质量，改善区域小气候，改变空气质量。</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由于债券资金投入的项目多为社会公益性项目，本项目不产生直接经济效益。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本项目建设可能会对围场县经济发展和社会进步起到一定作用，还可以为招商引资创造极佳条件，拉动围场满族蒙古族自治县经济发展，另外可以带动周边地价的上涨，促进经济繁荣，此项考核指标给予5分。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2148"/>
      <w:bookmarkStart w:id="64" w:name="_Toc14098"/>
      <w:r>
        <w:rPr>
          <w:rFonts w:hint="eastAsia" w:ascii="楷体" w:hAnsi="楷体" w:eastAsia="楷体" w:cs="楷体"/>
          <w:b/>
          <w:kern w:val="0"/>
          <w:sz w:val="32"/>
          <w:szCs w:val="32"/>
        </w:rPr>
        <w:t>（二）绩效评价结论</w:t>
      </w:r>
      <w:bookmarkEnd w:id="63"/>
      <w:bookmarkEnd w:id="6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创建省级园林城市景观提升项目绩效考评结果，其中：投入指标考评得分10分、管理指标考评得分27分、产出指标考评得分30分、效益指标考评得分26分。通过对各项指标的具体分析评价，汇总得出本次绩效评价考核综合得分为93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评价结果表明，围场县创建省级园林城市景观提升项目组织和管理较好地执行了相关规定要求，对项目资金的监督管理总体有效，实施的经济效益和持续性明显。资金使用合理合规，为社会的稳定作出了贡献。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5" w:name="_Toc32395"/>
      <w:bookmarkStart w:id="66" w:name="_Toc29435"/>
      <w:r>
        <w:rPr>
          <w:rFonts w:hint="eastAsia" w:ascii="黑体" w:hAnsi="黑体" w:eastAsia="黑体" w:cs="黑体"/>
          <w:bCs/>
          <w:kern w:val="0"/>
          <w:sz w:val="32"/>
          <w:szCs w:val="32"/>
        </w:rPr>
        <w:t>五、</w:t>
      </w:r>
      <w:bookmarkEnd w:id="65"/>
      <w:r>
        <w:rPr>
          <w:rFonts w:hint="eastAsia" w:ascii="黑体" w:hAnsi="黑体" w:eastAsia="黑体" w:cs="黑体"/>
          <w:bCs/>
          <w:kern w:val="0"/>
          <w:sz w:val="32"/>
          <w:szCs w:val="32"/>
        </w:rPr>
        <w:t>意见及建议</w:t>
      </w:r>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7" w:name="_Toc15246"/>
      <w:bookmarkStart w:id="68" w:name="_Toc7010"/>
      <w:bookmarkStart w:id="69" w:name="_Toc25821"/>
      <w:bookmarkStart w:id="70" w:name="_Toc26763"/>
      <w:bookmarkStart w:id="71" w:name="_Toc31396"/>
      <w:bookmarkStart w:id="72" w:name="_Toc5786"/>
      <w:r>
        <w:rPr>
          <w:rFonts w:hint="eastAsia" w:ascii="楷体" w:hAnsi="楷体" w:eastAsia="楷体" w:cs="楷体"/>
        </w:rPr>
        <w:t>（一）强化绩效理念，深入推进评价工作</w:t>
      </w:r>
      <w:bookmarkEnd w:id="67"/>
      <w:bookmarkEnd w:id="68"/>
      <w:bookmarkEnd w:id="69"/>
      <w:bookmarkEnd w:id="70"/>
      <w:bookmarkEnd w:id="71"/>
      <w:bookmarkEnd w:id="72"/>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3" w:name="_Toc14241"/>
      <w:bookmarkStart w:id="74" w:name="_Toc11860"/>
      <w:bookmarkStart w:id="75" w:name="_Toc10505"/>
      <w:bookmarkStart w:id="76" w:name="_Toc6863"/>
      <w:bookmarkStart w:id="77" w:name="_Toc19932"/>
      <w:bookmarkStart w:id="78" w:name="_Toc21411"/>
      <w:r>
        <w:rPr>
          <w:rFonts w:hint="eastAsia" w:ascii="楷体" w:hAnsi="楷体" w:eastAsia="楷体" w:cs="楷体"/>
        </w:rPr>
        <w:t>（二）强化事前准备，切实提升评价质量</w:t>
      </w:r>
      <w:bookmarkEnd w:id="73"/>
      <w:bookmarkEnd w:id="74"/>
      <w:bookmarkEnd w:id="75"/>
      <w:bookmarkEnd w:id="76"/>
      <w:bookmarkEnd w:id="77"/>
      <w:bookmarkEnd w:id="78"/>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79" w:name="_Toc11787"/>
      <w:bookmarkStart w:id="80" w:name="_Toc10592"/>
      <w:bookmarkStart w:id="81" w:name="_Toc3001"/>
      <w:bookmarkStart w:id="82" w:name="_Toc30061"/>
      <w:bookmarkStart w:id="83" w:name="_Toc21034"/>
    </w:p>
    <w:p>
      <w:pPr>
        <w:pStyle w:val="3"/>
        <w:spacing w:line="240" w:lineRule="auto"/>
        <w:ind w:firstLine="643" w:firstLineChars="200"/>
        <w:rPr>
          <w:rFonts w:ascii="楷体" w:hAnsi="楷体" w:eastAsia="楷体" w:cs="楷体"/>
        </w:rPr>
      </w:pPr>
      <w:bookmarkStart w:id="84" w:name="_Toc16658"/>
      <w:r>
        <w:rPr>
          <w:rFonts w:hint="eastAsia" w:ascii="楷体" w:hAnsi="楷体" w:eastAsia="楷体" w:cs="楷体"/>
        </w:rPr>
        <w:t>（三）强化结果应用，不断巩固评价</w:t>
      </w:r>
      <w:bookmarkEnd w:id="79"/>
      <w:bookmarkEnd w:id="80"/>
      <w:bookmarkEnd w:id="81"/>
      <w:bookmarkEnd w:id="82"/>
      <w:bookmarkEnd w:id="83"/>
      <w:r>
        <w:rPr>
          <w:rFonts w:hint="eastAsia" w:ascii="楷体" w:hAnsi="楷体" w:eastAsia="楷体" w:cs="楷体"/>
        </w:rPr>
        <w:t>成效</w:t>
      </w:r>
      <w:bookmarkEnd w:id="84"/>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5" w:name="_Toc24195"/>
      <w:r>
        <w:rPr>
          <w:rFonts w:hint="eastAsia" w:ascii="黑体" w:hAnsi="黑体" w:eastAsia="黑体" w:cs="黑体"/>
          <w:bCs/>
          <w:kern w:val="0"/>
          <w:sz w:val="32"/>
          <w:szCs w:val="32"/>
        </w:rPr>
        <w:t>六、附件</w:t>
      </w:r>
      <w:bookmarkEnd w:id="85"/>
    </w:p>
    <w:p>
      <w:pPr>
        <w:pStyle w:val="3"/>
        <w:rPr>
          <w:rFonts w:ascii="宋体" w:hAnsi="宋体" w:eastAsia="宋体" w:cs="宋体"/>
          <w:sz w:val="28"/>
          <w:szCs w:val="28"/>
        </w:rPr>
      </w:pPr>
      <w:bookmarkStart w:id="86" w:name="_Toc164"/>
      <w:r>
        <w:rPr>
          <w:rFonts w:hint="eastAsia" w:ascii="楷体" w:hAnsi="楷体" w:eastAsia="楷体" w:cs="楷体"/>
        </w:rPr>
        <w:t>绩效评价指标体系得分表</w:t>
      </w:r>
      <w:bookmarkEnd w:id="86"/>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asciiTheme="minorEastAsia" w:hAnsiTheme="minorEastAsia"/>
          <w:sz w:val="32"/>
          <w:szCs w:val="32"/>
        </w:rPr>
      </w:pPr>
      <w:bookmarkStart w:id="87" w:name="_Toc15162"/>
      <w:r>
        <w:rPr>
          <w:rFonts w:hint="eastAsia" w:asciiTheme="minorEastAsia" w:hAnsiTheme="minorEastAsia"/>
          <w:sz w:val="32"/>
          <w:szCs w:val="32"/>
        </w:rPr>
        <w:t>承德燕山会计师事务所         中国注册会计师：</w:t>
      </w:r>
      <w:bookmarkEnd w:id="87"/>
      <w:r>
        <w:rPr>
          <w:rFonts w:hint="eastAsia" w:asciiTheme="minorEastAsia" w:hAnsiTheme="minor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88" w:name="_Toc14815"/>
      <w:r>
        <w:rPr>
          <w:rFonts w:hint="eastAsia" w:asciiTheme="minorEastAsia" w:hAnsiTheme="minorEastAsia"/>
          <w:sz w:val="32"/>
          <w:szCs w:val="32"/>
        </w:rPr>
        <w:t>有限责任公司</w:t>
      </w:r>
      <w:bookmarkEnd w:id="88"/>
    </w:p>
    <w:p>
      <w:pPr>
        <w:ind w:firstLine="640" w:firstLineChars="200"/>
        <w:outlineLvl w:val="0"/>
        <w:rPr>
          <w:rFonts w:asciiTheme="minorEastAsia" w:hAnsiTheme="minorEastAsia"/>
          <w:sz w:val="32"/>
          <w:szCs w:val="32"/>
        </w:rPr>
      </w:pPr>
      <w:bookmarkStart w:id="89" w:name="_Toc13463"/>
      <w:r>
        <w:rPr>
          <w:rFonts w:hint="eastAsia" w:asciiTheme="minorEastAsia" w:hAnsiTheme="minorEastAsia"/>
          <w:sz w:val="32"/>
          <w:szCs w:val="32"/>
        </w:rPr>
        <w:t>河北·承德               中国注册会计师：</w:t>
      </w:r>
      <w:bookmarkEnd w:id="89"/>
      <w:r>
        <w:rPr>
          <w:rFonts w:hint="eastAsia" w:asciiTheme="minorEastAsia" w:hAnsiTheme="minorEastAsia"/>
          <w:sz w:val="32"/>
          <w:szCs w:val="32"/>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0"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0"/>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围场县创建省级园林城市景观提升项目绩效评价指标体系得分表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93</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549B5"/>
    <w:rsid w:val="004925FF"/>
    <w:rsid w:val="00A135B6"/>
    <w:rsid w:val="00AC608A"/>
    <w:rsid w:val="00ED3B64"/>
    <w:rsid w:val="03906ECE"/>
    <w:rsid w:val="03B73450"/>
    <w:rsid w:val="047E3D7B"/>
    <w:rsid w:val="06B3136F"/>
    <w:rsid w:val="08D43A29"/>
    <w:rsid w:val="09DF3A36"/>
    <w:rsid w:val="0A617961"/>
    <w:rsid w:val="0CF76258"/>
    <w:rsid w:val="0FF14209"/>
    <w:rsid w:val="105E04DB"/>
    <w:rsid w:val="11CA6AB4"/>
    <w:rsid w:val="12192A13"/>
    <w:rsid w:val="13426D82"/>
    <w:rsid w:val="15DE412A"/>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18011CF"/>
    <w:rsid w:val="327F7BC1"/>
    <w:rsid w:val="32FF511F"/>
    <w:rsid w:val="39FB1AB6"/>
    <w:rsid w:val="3BB5552B"/>
    <w:rsid w:val="3D7533AC"/>
    <w:rsid w:val="3EE432ED"/>
    <w:rsid w:val="4137187C"/>
    <w:rsid w:val="41A52C9E"/>
    <w:rsid w:val="46437D54"/>
    <w:rsid w:val="47C37A03"/>
    <w:rsid w:val="48771478"/>
    <w:rsid w:val="48E449AC"/>
    <w:rsid w:val="4A924A90"/>
    <w:rsid w:val="4B440C85"/>
    <w:rsid w:val="4C1C24FD"/>
    <w:rsid w:val="4DF57240"/>
    <w:rsid w:val="4F5D274A"/>
    <w:rsid w:val="4F887C83"/>
    <w:rsid w:val="5387484D"/>
    <w:rsid w:val="53A335CD"/>
    <w:rsid w:val="53AD2E58"/>
    <w:rsid w:val="54252E1D"/>
    <w:rsid w:val="569318BE"/>
    <w:rsid w:val="577B4A42"/>
    <w:rsid w:val="5B267031"/>
    <w:rsid w:val="5DFA18B2"/>
    <w:rsid w:val="604D6CEE"/>
    <w:rsid w:val="6A236F78"/>
    <w:rsid w:val="6C777374"/>
    <w:rsid w:val="6EBE3412"/>
    <w:rsid w:val="6F886C32"/>
    <w:rsid w:val="70443140"/>
    <w:rsid w:val="710016B0"/>
    <w:rsid w:val="72321DD6"/>
    <w:rsid w:val="72AF341F"/>
    <w:rsid w:val="75840E38"/>
    <w:rsid w:val="772B6771"/>
    <w:rsid w:val="77AB17FD"/>
    <w:rsid w:val="7C0B3E90"/>
    <w:rsid w:val="7C7712BF"/>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字符"/>
    <w:basedOn w:val="14"/>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2277</Words>
  <Characters>12985</Characters>
  <Lines>108</Lines>
  <Paragraphs>30</Paragraphs>
  <TotalTime>18</TotalTime>
  <ScaleCrop>false</ScaleCrop>
  <LinksUpToDate>false</LinksUpToDate>
  <CharactersWithSpaces>15232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