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围场县环保局莫里莫村污水</w:t>
      </w: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分支管网工程项目</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4"/>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default"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28</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default"/>
          <w:sz w:val="32"/>
          <w:szCs w:val="32"/>
          <w:lang w:val="en-US"/>
        </w:rPr>
        <w:t>0</w:t>
      </w:r>
      <w:r>
        <w:rPr>
          <w:rFonts w:hint="eastAsia"/>
          <w:sz w:val="32"/>
          <w:szCs w:val="32"/>
        </w:rPr>
        <w:t>）第</w:t>
      </w:r>
      <w:r>
        <w:rPr>
          <w:rFonts w:hint="default"/>
          <w:sz w:val="32"/>
          <w:szCs w:val="32"/>
          <w:lang w:val="en-US" w:eastAsia="zh-CN"/>
        </w:rPr>
        <w:t>288</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default"/>
          <w:sz w:val="32"/>
          <w:szCs w:val="32"/>
          <w:lang w:val="en-US"/>
        </w:rPr>
        <w:t>0</w:t>
      </w:r>
      <w:r>
        <w:rPr>
          <w:rFonts w:hint="eastAsia"/>
          <w:sz w:val="32"/>
          <w:szCs w:val="32"/>
        </w:rPr>
        <w:t>-</w:t>
      </w:r>
      <w:r>
        <w:rPr>
          <w:rFonts w:hint="default"/>
          <w:sz w:val="32"/>
          <w:szCs w:val="32"/>
          <w:lang w:val="en-US"/>
        </w:rPr>
        <w:t>12</w:t>
      </w:r>
      <w:r>
        <w:rPr>
          <w:rFonts w:hint="eastAsia"/>
          <w:sz w:val="32"/>
          <w:szCs w:val="32"/>
        </w:rPr>
        <w:t>-</w:t>
      </w:r>
      <w:r>
        <w:rPr>
          <w:rFonts w:hint="default"/>
          <w:sz w:val="32"/>
          <w:szCs w:val="32"/>
          <w:lang w:val="en-US"/>
        </w:rPr>
        <w:t>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9" o:title=""/>
            <o:lock v:ext="edit" aspectratio="t"/>
            <w10:wrap type="square"/>
          </v:shape>
          <o:OLEObject Type="Embed" ProgID="" ShapeID="_x0000_s1026" DrawAspect="Content" ObjectID="_1468075725" r:id="rId8">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default" w:ascii="仿宋" w:hAnsi="仿宋" w:eastAsia="仿宋"/>
          <w:b/>
          <w:sz w:val="24"/>
          <w:lang w:val="en-US"/>
        </w:rPr>
        <w:t>0</w:t>
      </w:r>
      <w:r>
        <w:rPr>
          <w:rFonts w:hint="eastAsia" w:ascii="仿宋" w:hAnsi="仿宋" w:eastAsia="仿宋"/>
          <w:b/>
          <w:sz w:val="24"/>
        </w:rPr>
        <w:t>）第</w:t>
      </w:r>
      <w:r>
        <w:rPr>
          <w:rFonts w:hint="default" w:ascii="仿宋" w:hAnsi="仿宋" w:eastAsia="仿宋"/>
          <w:b/>
          <w:sz w:val="24"/>
          <w:lang w:val="en-US" w:eastAsia="zh-CN"/>
        </w:rPr>
        <w:t>288</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_Toc6988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_Toc6988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_Toc30650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_Toc30650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_Toc8432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_Toc8432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_Toc12840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_Toc12840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_Toc26232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_Toc26232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_Toc8051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_Toc8051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_Toc12909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_Toc12909 </w:instrText>
          </w:r>
          <w:r>
            <w:rPr>
              <w:sz w:val="28"/>
              <w:szCs w:val="28"/>
            </w:rPr>
            <w:fldChar w:fldCharType="separate"/>
          </w:r>
          <w:r>
            <w:rPr>
              <w:sz w:val="28"/>
              <w:szCs w:val="28"/>
            </w:rPr>
            <w:t>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_Toc16557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_Toc16557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_Toc32149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_Toc32149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_Toc6230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_Toc6230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_Toc26376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_Toc26376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_Toc16632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_Toc16632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_Toc12889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_Toc12889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_Toc4863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_Toc4863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_Toc30705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_Toc30705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_Toc24219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_Toc24219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_Toc11147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_Toc11147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_Toc15785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_Toc15785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_Toc26995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_Toc26995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_Toc6360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_Toc6360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_Toc9937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_Toc9937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_Toc19227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_Toc19227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jc w:val="center"/>
        <w:outlineLvl w:val="0"/>
        <w:rPr>
          <w:rFonts w:hint="eastAsia" w:ascii="宋体" w:hAnsi="宋体" w:eastAsia="宋体" w:cs="宋体"/>
          <w:b/>
          <w:bCs/>
          <w:sz w:val="36"/>
          <w:szCs w:val="36"/>
          <w:lang w:eastAsia="zh-CN"/>
        </w:rPr>
      </w:pPr>
    </w:p>
    <w:p>
      <w:pPr>
        <w:jc w:val="center"/>
        <w:outlineLvl w:val="0"/>
        <w:rPr>
          <w:rFonts w:hint="eastAsia" w:ascii="宋体" w:hAnsi="宋体" w:eastAsia="宋体" w:cs="宋体"/>
          <w:b/>
          <w:bCs/>
          <w:sz w:val="36"/>
          <w:szCs w:val="36"/>
          <w:lang w:val="en-US" w:eastAsia="zh-CN"/>
        </w:rPr>
      </w:pPr>
      <w:bookmarkStart w:id="0" w:name="_Toc13259"/>
      <w:bookmarkStart w:id="1" w:name="_Toc3736"/>
      <w:bookmarkStart w:id="2" w:name="_Toc29565"/>
      <w:bookmarkStart w:id="3" w:name="_Toc32502"/>
      <w:bookmarkStart w:id="4" w:name="_Toc25062"/>
      <w:bookmarkStart w:id="5" w:name="_Toc7123"/>
      <w:r>
        <w:rPr>
          <w:rFonts w:hint="eastAsia" w:ascii="宋体" w:hAnsi="宋体" w:eastAsia="宋体" w:cs="宋体"/>
          <w:b/>
          <w:bCs/>
          <w:sz w:val="36"/>
          <w:szCs w:val="36"/>
          <w:lang w:val="en-US" w:eastAsia="zh-CN"/>
        </w:rPr>
        <w:t>围场县环保局莫里莫村污水分支管网工程项目</w:t>
      </w:r>
      <w:bookmarkEnd w:id="0"/>
      <w:bookmarkEnd w:id="1"/>
      <w:bookmarkEnd w:id="2"/>
    </w:p>
    <w:p>
      <w:pPr>
        <w:jc w:val="center"/>
        <w:outlineLvl w:val="0"/>
        <w:rPr>
          <w:rFonts w:hint="eastAsia" w:ascii="宋体" w:hAnsi="宋体" w:eastAsia="宋体" w:cs="宋体"/>
          <w:b/>
          <w:bCs/>
          <w:sz w:val="36"/>
          <w:szCs w:val="36"/>
          <w:lang w:eastAsia="zh-CN"/>
        </w:rPr>
      </w:pPr>
      <w:bookmarkStart w:id="6" w:name="_Toc3241"/>
      <w:bookmarkStart w:id="7" w:name="_Toc26503"/>
      <w:bookmarkStart w:id="8" w:name="_Toc27144"/>
      <w:r>
        <w:rPr>
          <w:rFonts w:hint="eastAsia" w:ascii="宋体" w:hAnsi="宋体" w:eastAsia="宋体" w:cs="宋体"/>
          <w:b/>
          <w:bCs/>
          <w:sz w:val="36"/>
          <w:szCs w:val="36"/>
          <w:lang w:eastAsia="zh-CN"/>
        </w:rPr>
        <w:t>一般债券资金绩效评价报告</w:t>
      </w:r>
      <w:bookmarkEnd w:id="3"/>
      <w:bookmarkEnd w:id="4"/>
      <w:bookmarkEnd w:id="5"/>
      <w:bookmarkEnd w:id="6"/>
      <w:bookmarkEnd w:id="7"/>
      <w:bookmarkEnd w:id="8"/>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w:t>
      </w:r>
      <w:r>
        <w:rPr>
          <w:rFonts w:hint="eastAsia" w:ascii="宋体" w:hAnsi="宋体" w:eastAsia="宋体" w:cs="宋体"/>
          <w:sz w:val="28"/>
          <w:szCs w:val="28"/>
          <w:highlight w:val="none"/>
          <w:lang w:val="en-US" w:eastAsia="zh-CN"/>
        </w:rPr>
        <w:t>围场县环保局</w:t>
      </w:r>
      <w:r>
        <w:rPr>
          <w:rFonts w:hint="eastAsia" w:ascii="宋体" w:hAnsi="宋体" w:eastAsia="宋体" w:cs="宋体"/>
          <w:kern w:val="2"/>
          <w:sz w:val="28"/>
          <w:szCs w:val="28"/>
          <w:lang w:val="en-US" w:eastAsia="zh-CN" w:bidi="ar-SA"/>
        </w:rPr>
        <w:t>莫里莫村污水分支管网工程</w:t>
      </w:r>
      <w:r>
        <w:rPr>
          <w:rFonts w:hint="eastAsia" w:ascii="宋体" w:hAnsi="宋体" w:eastAsia="宋体" w:cs="宋体"/>
          <w:sz w:val="28"/>
          <w:szCs w:val="28"/>
          <w:lang w:val="en-US" w:eastAsia="zh-CN"/>
        </w:rPr>
        <w:t>项目新增一般债券资金使用情况做绩效评价工作。</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w:t>
      </w:r>
      <w:r>
        <w:rPr>
          <w:rFonts w:hint="eastAsia" w:ascii="宋体" w:hAnsi="宋体" w:eastAsia="宋体" w:cs="宋体"/>
          <w:sz w:val="28"/>
          <w:szCs w:val="28"/>
          <w:lang w:eastAsia="zh-CN"/>
        </w:rPr>
        <w:t>券</w:t>
      </w:r>
      <w:r>
        <w:rPr>
          <w:rFonts w:hint="eastAsia" w:ascii="宋体" w:hAnsi="宋体" w:eastAsia="宋体" w:cs="宋体"/>
          <w:sz w:val="28"/>
          <w:szCs w:val="28"/>
        </w:rPr>
        <w:t>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9" w:name="_Toc8932"/>
      <w:bookmarkStart w:id="10" w:name="_Toc6988"/>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9"/>
      <w:bookmarkEnd w:id="10"/>
    </w:p>
    <w:p>
      <w:pPr>
        <w:spacing w:line="600" w:lineRule="exact"/>
        <w:ind w:firstLine="643" w:firstLineChars="200"/>
        <w:outlineLvl w:val="1"/>
        <w:rPr>
          <w:rFonts w:hint="eastAsia" w:ascii="楷体" w:hAnsi="楷体" w:eastAsia="楷体" w:cs="楷体"/>
          <w:b/>
          <w:bCs w:val="0"/>
          <w:sz w:val="32"/>
          <w:szCs w:val="32"/>
          <w:lang w:eastAsia="zh-CN"/>
        </w:rPr>
      </w:pPr>
      <w:bookmarkStart w:id="11" w:name="_Toc30650"/>
      <w:bookmarkStart w:id="12" w:name="_Toc1188"/>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11"/>
      <w:bookmarkEnd w:id="12"/>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w:t>
      </w:r>
      <w:r>
        <w:rPr>
          <w:rFonts w:hint="eastAsia" w:ascii="宋体" w:hAnsi="宋体" w:eastAsia="宋体" w:cs="宋体"/>
          <w:sz w:val="28"/>
          <w:szCs w:val="28"/>
          <w:lang w:val="en-US" w:eastAsia="zh-CN"/>
        </w:rPr>
        <w:t>中华人民共和国</w:t>
      </w:r>
      <w:bookmarkStart w:id="104" w:name="_GoBack"/>
      <w:bookmarkEnd w:id="104"/>
      <w:r>
        <w:rPr>
          <w:rFonts w:hint="eastAsia" w:ascii="宋体" w:hAnsi="宋体" w:eastAsia="宋体" w:cs="宋体"/>
          <w:sz w:val="28"/>
          <w:szCs w:val="28"/>
        </w:rPr>
        <w:t>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其中投入</w:t>
      </w:r>
      <w:r>
        <w:rPr>
          <w:rFonts w:hint="eastAsia" w:ascii="宋体" w:hAnsi="宋体" w:eastAsia="宋体" w:cs="宋体"/>
          <w:sz w:val="28"/>
          <w:szCs w:val="28"/>
          <w:highlight w:val="none"/>
          <w:lang w:val="en-US" w:eastAsia="zh-CN"/>
        </w:rPr>
        <w:t>围场县环保局</w:t>
      </w:r>
      <w:r>
        <w:rPr>
          <w:rFonts w:hint="eastAsia" w:ascii="宋体" w:hAnsi="宋体" w:eastAsia="宋体" w:cs="宋体"/>
          <w:kern w:val="2"/>
          <w:sz w:val="28"/>
          <w:szCs w:val="28"/>
          <w:lang w:val="en-US" w:eastAsia="zh-CN" w:bidi="ar-SA"/>
        </w:rPr>
        <w:t>莫里莫村污水分支管网工程</w:t>
      </w:r>
      <w:r>
        <w:rPr>
          <w:rFonts w:hint="eastAsia" w:ascii="宋体" w:hAnsi="宋体" w:eastAsia="宋体" w:cs="宋体"/>
          <w:sz w:val="28"/>
          <w:szCs w:val="28"/>
          <w:lang w:val="en-US" w:eastAsia="zh-CN"/>
        </w:rPr>
        <w:t>项目</w:t>
      </w:r>
      <w:r>
        <w:rPr>
          <w:rFonts w:hint="eastAsia" w:ascii="宋体" w:hAnsi="宋体" w:eastAsia="宋体" w:cs="宋体"/>
          <w:sz w:val="28"/>
          <w:szCs w:val="28"/>
          <w:highlight w:val="none"/>
          <w:lang w:eastAsia="zh-CN"/>
        </w:rPr>
        <w:t>的一般债券资金共计</w:t>
      </w:r>
      <w:r>
        <w:rPr>
          <w:rFonts w:hint="eastAsia" w:ascii="宋体" w:hAnsi="宋体" w:eastAsia="宋体" w:cs="宋体"/>
          <w:sz w:val="28"/>
          <w:szCs w:val="28"/>
          <w:highlight w:val="none"/>
          <w:lang w:val="en-US" w:eastAsia="zh-CN"/>
        </w:rPr>
        <w:t>450万元。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val="en-US" w:eastAsia="zh-CN"/>
        </w:rPr>
        <w:t>围场县环保局</w:t>
      </w:r>
      <w:r>
        <w:rPr>
          <w:rFonts w:hint="eastAsia" w:ascii="宋体" w:hAnsi="宋体" w:eastAsia="宋体" w:cs="宋体"/>
          <w:kern w:val="2"/>
          <w:sz w:val="28"/>
          <w:szCs w:val="28"/>
          <w:lang w:val="en-US" w:eastAsia="zh-CN" w:bidi="ar-SA"/>
        </w:rPr>
        <w:t>莫里莫村污水分支管网工程</w:t>
      </w:r>
      <w:r>
        <w:rPr>
          <w:rFonts w:hint="eastAsia" w:ascii="宋体" w:hAnsi="宋体" w:eastAsia="宋体" w:cs="宋体"/>
          <w:sz w:val="28"/>
          <w:szCs w:val="28"/>
          <w:lang w:val="en-US" w:eastAsia="zh-CN"/>
        </w:rPr>
        <w:t>项目</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2.建设性质</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新建</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围场满族蒙古族自治县莫里莫村</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4.建设单位</w:t>
      </w:r>
    </w:p>
    <w:p>
      <w:pPr>
        <w:ind w:firstLine="560" w:firstLineChars="200"/>
        <w:rPr>
          <w:rFonts w:hint="eastAsia" w:ascii="宋体" w:hAnsi="宋体" w:eastAsia="宋体" w:cs="宋体"/>
          <w:sz w:val="28"/>
          <w:szCs w:val="28"/>
          <w:highlight w:val="yellow"/>
          <w:lang w:eastAsia="zh-CN"/>
        </w:rPr>
      </w:pPr>
      <w:r>
        <w:rPr>
          <w:rFonts w:hint="eastAsia" w:ascii="宋体" w:hAnsi="宋体" w:eastAsia="宋体" w:cs="宋体"/>
          <w:sz w:val="28"/>
          <w:szCs w:val="28"/>
          <w:highlight w:val="none"/>
          <w:lang w:eastAsia="zh-CN"/>
        </w:rPr>
        <w:t>承德市生态环境局围场满族蒙古族自治县分局</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5.项目背景</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目前莫里莫村生活污水处理一直未得到有效解决，随意排放严重影响了生态环境。使得地面水体污染加剧，整个水环境质量恶化程度势必加剧，直接制约了城区的全面发展。生活污水治理工程的建设可以很好地解决该区域的社会生态环保问题。</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由于哈里哈乡排水管道没有统一的规划，较为分散，凌乱。就近排入过境水体，导致水体污染，直接影响居民生活和城市景观，环境问题已相当严峻。项目的建成可有效减少区域生活污水对自然环境的污染问题，进一步提高了人民群众生活质量，有效的促进了社会，经济生态等可持续发展，具体如下：</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（1）建设该项目是改善当地的生态环境需要</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目前，莫里莫村生活污水处理一直未得到有效解决，随意排放严重影响了生态环境。使得地面水体污染加剧，整个水环境质量恶化程度势必加剧，直接制约了城区的全面发展。生活污水治理工程的建设可以很好地解决该区域的社会生态环保问题。随着人民生活水平的提高，居民环保意识和卫生意识的增强，对随处排放生活污水的现象极为反感，为改变区域面貌，重塑环卫形象，必须要尽快建设生活污水治理项目。</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（2）建设该项目是提高人民生活质量的需要。</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莫里莫村污水分支管网工程的建设不仅可以改善当地居民的生产生活条件，而且改善了整个地区的生态环境，是减少污染、保护环境、构建人与自然和谐的重大举措。</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因此，莫里莫村污水分支管网工程的建设是非常必要的。</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（3）有利于污水集中处理的实施。</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为降低镇区污水的排放，必须建成镇区的污水管网。该工程的建设可以防止河道污染日趋严重，保障居民正常生活、工作环境，避免制约其社会经济的发展的不利因素。莫里莫村位于伊逊河上游，县城的鑫汇污水处理厂位于伊逊河下游，可以将污水通过重力流管道引入下游污水厂，在地势上具有十分便利的条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6.项目概况</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5月29日，围场满族蒙古族自治县行政审批局下发了关于莫里莫村污水分支管网工程投资计划的通知（围行审投〔2019〕19号）。通知要求：严格按照下达的投资计划抓紧组织施工，不得擅自更改，并按月将工程进度上报。</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建设内容主要为莫里莫村污水分支管网工程，管网总长度7.193km。服务范围为莫里莫村1组、5组、8组、11组4个营子，服务人口为500人。聚乙烯塑钢De225缠绕排水管2314米；聚乙烯塑钢De315缠绕排水管4879米；圆形混凝土污水检查井97座；</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lang w:val="en-US" w:eastAsia="zh-CN" w:bidi="ar-SA"/>
        </w:rPr>
        <w:t>建设工期为2019年6月至2019年10月。</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7.项目总投资及资金来源</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项目总投资概算995.15万元，本工程累计实际完成总投资873.22万元，节约121.93万元。其中中央财政专项资金400万元，地方财政专项资金需配套473.22万元，其中申请地方政府新增一般债券资金450万元。</w:t>
      </w: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13" w:name="_Toc8432"/>
      <w:r>
        <w:rPr>
          <w:rFonts w:hint="eastAsia" w:ascii="楷体" w:hAnsi="楷体" w:eastAsia="楷体" w:cs="楷体"/>
          <w:b/>
          <w:bCs w:val="0"/>
          <w:sz w:val="32"/>
          <w:szCs w:val="32"/>
          <w:highlight w:val="none"/>
          <w:lang w:val="en-US" w:eastAsia="zh-CN"/>
        </w:rPr>
        <w:t>（二）项目绩效目标</w:t>
      </w:r>
      <w:bookmarkEnd w:id="13"/>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4" w:name="_Toc10859"/>
      <w:bookmarkStart w:id="15" w:name="_Toc30152"/>
      <w:bookmarkStart w:id="16" w:name="_Toc31801"/>
      <w:bookmarkStart w:id="17" w:name="_Toc12271"/>
      <w:r>
        <w:rPr>
          <w:rFonts w:hint="eastAsia" w:ascii="宋体" w:hAnsi="宋体" w:eastAsia="宋体" w:cs="宋体"/>
          <w:kern w:val="2"/>
          <w:sz w:val="28"/>
          <w:szCs w:val="28"/>
          <w:lang w:val="en-US" w:eastAsia="zh-CN" w:bidi="ar-SA"/>
        </w:rPr>
        <w:t>本项目管网总长度7.193km，圆形混凝土污水检查井97座，服务人口为500人。</w:t>
      </w:r>
      <w:bookmarkEnd w:id="14"/>
      <w:bookmarkEnd w:id="15"/>
      <w:bookmarkEnd w:id="16"/>
      <w:bookmarkStart w:id="18" w:name="_Toc28894"/>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9" w:name="_Toc31882"/>
      <w:bookmarkStart w:id="20" w:name="_Toc10011"/>
      <w:bookmarkStart w:id="21" w:name="_Toc28240"/>
      <w:r>
        <w:rPr>
          <w:rFonts w:hint="eastAsia" w:ascii="宋体" w:hAnsi="宋体" w:eastAsia="宋体" w:cs="宋体"/>
          <w:b w:val="0"/>
          <w:bCs/>
          <w:sz w:val="28"/>
          <w:szCs w:val="28"/>
          <w:lang w:val="en-US" w:eastAsia="zh-CN"/>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18"/>
      <w:bookmarkEnd w:id="19"/>
      <w:bookmarkEnd w:id="20"/>
      <w:bookmarkEnd w:id="21"/>
    </w:p>
    <w:p>
      <w:pPr>
        <w:spacing w:line="600" w:lineRule="exact"/>
        <w:ind w:firstLine="643" w:firstLineChars="200"/>
        <w:outlineLvl w:val="1"/>
        <w:rPr>
          <w:rFonts w:hint="eastAsia" w:ascii="楷体" w:hAnsi="楷体" w:eastAsia="楷体" w:cs="楷体"/>
          <w:b/>
          <w:bCs w:val="0"/>
          <w:sz w:val="32"/>
          <w:szCs w:val="32"/>
          <w:lang w:val="en-US" w:eastAsia="zh-CN"/>
        </w:rPr>
      </w:pPr>
      <w:bookmarkStart w:id="22" w:name="_Toc12840"/>
      <w:r>
        <w:rPr>
          <w:rFonts w:hint="eastAsia" w:ascii="楷体" w:hAnsi="楷体" w:eastAsia="楷体" w:cs="楷体"/>
          <w:b/>
          <w:bCs w:val="0"/>
          <w:sz w:val="32"/>
          <w:szCs w:val="32"/>
          <w:lang w:val="en-US" w:eastAsia="zh-CN"/>
        </w:rPr>
        <w:t>（三）评价对象和时段</w:t>
      </w:r>
      <w:bookmarkEnd w:id="17"/>
      <w:bookmarkEnd w:id="22"/>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sz w:val="28"/>
          <w:szCs w:val="28"/>
          <w:highlight w:val="none"/>
          <w:lang w:val="en-US" w:eastAsia="zh-CN"/>
        </w:rPr>
        <w:t>围场县环保局</w:t>
      </w:r>
      <w:r>
        <w:rPr>
          <w:rFonts w:hint="eastAsia" w:ascii="宋体" w:hAnsi="宋体" w:eastAsia="宋体" w:cs="宋体"/>
          <w:kern w:val="2"/>
          <w:sz w:val="28"/>
          <w:szCs w:val="28"/>
          <w:lang w:val="en-US" w:eastAsia="zh-CN" w:bidi="ar-SA"/>
        </w:rPr>
        <w:t>莫里莫村污水分支管网工程</w:t>
      </w:r>
      <w:r>
        <w:rPr>
          <w:rFonts w:hint="eastAsia" w:ascii="宋体" w:hAnsi="宋体" w:eastAsia="宋体" w:cs="宋体"/>
          <w:sz w:val="28"/>
          <w:szCs w:val="28"/>
          <w:highlight w:val="none"/>
          <w:lang w:eastAsia="zh-CN"/>
        </w:rPr>
        <w:t>项目</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23" w:name="_Toc26232"/>
      <w:r>
        <w:rPr>
          <w:rFonts w:hint="eastAsia" w:ascii="黑体" w:hAnsi="黑体" w:eastAsia="黑体" w:cs="黑体"/>
          <w:b/>
          <w:bCs/>
          <w:sz w:val="32"/>
          <w:szCs w:val="32"/>
          <w:lang w:val="en-US" w:eastAsia="zh-CN"/>
        </w:rPr>
        <w:t>二、绩效评价工作开展情况</w:t>
      </w:r>
      <w:bookmarkEnd w:id="23"/>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24" w:name="_Toc8051"/>
      <w:r>
        <w:rPr>
          <w:rFonts w:hint="eastAsia" w:ascii="楷体" w:hAnsi="楷体" w:eastAsia="楷体" w:cs="楷体"/>
          <w:b/>
          <w:bCs/>
          <w:sz w:val="32"/>
          <w:szCs w:val="32"/>
          <w:lang w:val="en-US" w:eastAsia="zh-CN"/>
        </w:rPr>
        <w:t>（一）绩效评价指标权重和绩效评价指标体系</w:t>
      </w:r>
      <w:bookmarkEnd w:id="24"/>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1"/>
        <w:gridCol w:w="314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09"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项目立项管理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5、政务公开情况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项目实施</w:t>
            </w:r>
            <w:r>
              <w:rPr>
                <w:rFonts w:hint="eastAsia" w:ascii="宋体" w:hAnsi="宋体" w:eastAsia="宋体" w:cs="宋体"/>
                <w:color w:val="000000"/>
                <w:sz w:val="24"/>
                <w:szCs w:val="24"/>
                <w:lang w:eastAsia="zh-CN"/>
              </w:rPr>
              <w:t>方案</w:t>
            </w:r>
            <w:r>
              <w:rPr>
                <w:rFonts w:hint="eastAsia" w:ascii="宋体" w:hAnsi="宋体" w:eastAsia="宋体" w:cs="宋体"/>
                <w:color w:val="000000"/>
                <w:sz w:val="24"/>
                <w:szCs w:val="24"/>
              </w:rPr>
              <w:t>编制情况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、社会环境（</w:t>
            </w:r>
            <w:r>
              <w:rPr>
                <w:rFonts w:hint="eastAsia" w:ascii="宋体" w:hAnsi="宋体" w:eastAsia="宋体" w:cs="宋体"/>
                <w:color w:val="000000"/>
                <w:sz w:val="24"/>
                <w:szCs w:val="24"/>
                <w:lang w:eastAsia="zh-CN"/>
              </w:rPr>
              <w:t>生态环境</w:t>
            </w:r>
            <w:r>
              <w:rPr>
                <w:rFonts w:hint="eastAsia" w:ascii="宋体" w:hAnsi="宋体" w:eastAsia="宋体" w:cs="宋体"/>
                <w:color w:val="000000"/>
                <w:sz w:val="24"/>
                <w:szCs w:val="24"/>
              </w:rPr>
              <w:t>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17、项目建设带来的直接经济效益（3分）；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18、项目建设带来的间接经济效益（7分）；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5"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bookmarkStart w:id="25" w:name="_Toc12909"/>
      <w:bookmarkStart w:id="26" w:name="_Toc12872"/>
      <w:r>
        <w:rPr>
          <w:rFonts w:hint="eastAsia" w:ascii="楷体" w:hAnsi="楷体" w:eastAsia="楷体" w:cs="楷体"/>
          <w:b/>
          <w:bCs w:val="0"/>
          <w:kern w:val="0"/>
          <w:sz w:val="32"/>
          <w:szCs w:val="32"/>
          <w:lang w:val="en-US" w:eastAsia="zh-CN" w:bidi="ar-SA"/>
        </w:rPr>
        <w:t>（二）绩效评价目的和依据</w:t>
      </w:r>
      <w:bookmarkEnd w:id="25"/>
      <w:bookmarkEnd w:id="26"/>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财库〔2014〕214号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财建〔2004〕729号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财预〔2014〕45号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财办预〔2016〕123号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冀财金〔2015〕28号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1"/>
        <w:tblW w:w="8319" w:type="dxa"/>
        <w:tblInd w:w="92" w:type="dxa"/>
        <w:tblLayout w:type="fixed"/>
        <w:tblCellMar>
          <w:top w:w="0" w:type="dxa"/>
          <w:left w:w="108" w:type="dxa"/>
          <w:bottom w:w="0" w:type="dxa"/>
          <w:right w:w="108" w:type="dxa"/>
        </w:tblCellMar>
      </w:tblPr>
      <w:tblGrid>
        <w:gridCol w:w="1068"/>
        <w:gridCol w:w="7251"/>
      </w:tblGrid>
      <w:tr>
        <w:tblPrEx>
          <w:tblCellMar>
            <w:top w:w="0" w:type="dxa"/>
            <w:left w:w="108" w:type="dxa"/>
            <w:bottom w:w="0" w:type="dxa"/>
            <w:right w:w="108" w:type="dxa"/>
          </w:tblCellMar>
        </w:tblPrEx>
        <w:trPr>
          <w:trHeight w:val="803" w:hRule="atLeast"/>
        </w:trPr>
        <w:tc>
          <w:tcPr>
            <w:tcW w:w="1068"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251"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80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80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项目建议书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可行性研究报告及其批复</w:t>
            </w:r>
          </w:p>
        </w:tc>
      </w:tr>
      <w:tr>
        <w:tblPrEx>
          <w:tblCellMar>
            <w:top w:w="0" w:type="dxa"/>
            <w:left w:w="108" w:type="dxa"/>
            <w:bottom w:w="0" w:type="dxa"/>
            <w:right w:w="108" w:type="dxa"/>
          </w:tblCellMar>
        </w:tblPrEx>
        <w:trPr>
          <w:trHeight w:val="80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80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80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项目招标采购文件</w:t>
            </w:r>
            <w:r>
              <w:rPr>
                <w:rFonts w:hint="eastAsia" w:ascii="宋体" w:hAnsi="宋体" w:eastAsia="宋体" w:cs="宋体"/>
                <w:color w:val="000000"/>
                <w:kern w:val="0"/>
                <w:sz w:val="24"/>
                <w:szCs w:val="24"/>
                <w:lang w:eastAsia="zh-CN"/>
              </w:rPr>
              <w:t>及中标通知书</w:t>
            </w:r>
          </w:p>
        </w:tc>
      </w:tr>
      <w:tr>
        <w:tblPrEx>
          <w:tblCellMar>
            <w:top w:w="0" w:type="dxa"/>
            <w:left w:w="108" w:type="dxa"/>
            <w:bottom w:w="0" w:type="dxa"/>
            <w:right w:w="108" w:type="dxa"/>
          </w:tblCellMar>
        </w:tblPrEx>
        <w:trPr>
          <w:trHeight w:val="80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803"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803"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w:t>
            </w:r>
          </w:p>
        </w:tc>
        <w:tc>
          <w:tcPr>
            <w:tcW w:w="72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施工组织方案</w:t>
            </w:r>
          </w:p>
        </w:tc>
      </w:tr>
      <w:tr>
        <w:tblPrEx>
          <w:tblCellMar>
            <w:top w:w="0" w:type="dxa"/>
            <w:left w:w="108" w:type="dxa"/>
            <w:bottom w:w="0" w:type="dxa"/>
            <w:right w:w="108" w:type="dxa"/>
          </w:tblCellMar>
        </w:tblPrEx>
        <w:trPr>
          <w:trHeight w:val="80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质量管理文件</w:t>
            </w:r>
          </w:p>
        </w:tc>
      </w:tr>
      <w:tr>
        <w:tblPrEx>
          <w:tblCellMar>
            <w:top w:w="0" w:type="dxa"/>
            <w:left w:w="108" w:type="dxa"/>
            <w:bottom w:w="0" w:type="dxa"/>
            <w:right w:w="108" w:type="dxa"/>
          </w:tblCellMar>
        </w:tblPrEx>
        <w:trPr>
          <w:trHeight w:val="80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收支</w:t>
            </w:r>
            <w:r>
              <w:rPr>
                <w:rFonts w:hint="eastAsia" w:ascii="宋体" w:hAnsi="宋体" w:eastAsia="宋体" w:cs="宋体"/>
                <w:color w:val="000000"/>
                <w:kern w:val="0"/>
                <w:sz w:val="24"/>
                <w:szCs w:val="24"/>
              </w:rPr>
              <w:t>凭证</w:t>
            </w:r>
          </w:p>
        </w:tc>
      </w:tr>
      <w:tr>
        <w:tblPrEx>
          <w:tblCellMar>
            <w:top w:w="0" w:type="dxa"/>
            <w:left w:w="108" w:type="dxa"/>
            <w:bottom w:w="0" w:type="dxa"/>
            <w:right w:w="108" w:type="dxa"/>
          </w:tblCellMar>
        </w:tblPrEx>
        <w:trPr>
          <w:trHeight w:val="80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cs="宋体"/>
                <w:b/>
                <w:bCs/>
                <w:color w:val="000000"/>
                <w:kern w:val="0"/>
                <w:sz w:val="24"/>
                <w:szCs w:val="24"/>
              </w:rPr>
              <w:t>竣工验收资料</w:t>
            </w:r>
          </w:p>
        </w:tc>
      </w:tr>
      <w:tr>
        <w:tblPrEx>
          <w:tblCellMar>
            <w:top w:w="0" w:type="dxa"/>
            <w:left w:w="108" w:type="dxa"/>
            <w:bottom w:w="0" w:type="dxa"/>
            <w:right w:w="108" w:type="dxa"/>
          </w:tblCellMar>
        </w:tblPrEx>
        <w:trPr>
          <w:trHeight w:val="80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工程质量保修书</w:t>
            </w:r>
          </w:p>
        </w:tc>
      </w:tr>
      <w:tr>
        <w:tblPrEx>
          <w:tblCellMar>
            <w:top w:w="0" w:type="dxa"/>
            <w:left w:w="108" w:type="dxa"/>
            <w:bottom w:w="0" w:type="dxa"/>
            <w:right w:w="108" w:type="dxa"/>
          </w:tblCellMar>
        </w:tblPrEx>
        <w:trPr>
          <w:trHeight w:val="80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施工单位</w:t>
            </w:r>
            <w:r>
              <w:rPr>
                <w:rFonts w:hint="eastAsia" w:ascii="宋体" w:hAnsi="宋体" w:cs="宋体"/>
                <w:color w:val="000000"/>
                <w:kern w:val="0"/>
                <w:sz w:val="24"/>
                <w:szCs w:val="24"/>
              </w:rPr>
              <w:t>竣工报告</w:t>
            </w:r>
          </w:p>
        </w:tc>
      </w:tr>
      <w:tr>
        <w:tblPrEx>
          <w:tblCellMar>
            <w:top w:w="0" w:type="dxa"/>
            <w:left w:w="108" w:type="dxa"/>
            <w:bottom w:w="0" w:type="dxa"/>
            <w:right w:w="108" w:type="dxa"/>
          </w:tblCellMar>
        </w:tblPrEx>
        <w:trPr>
          <w:trHeight w:val="815"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highlight w:val="none"/>
                <w:lang w:eastAsia="zh-CN"/>
              </w:rPr>
              <w:t>建设单位绩效评价自评报告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bookmarkStart w:id="27" w:name="_Toc22990"/>
      <w:bookmarkStart w:id="28" w:name="_Toc16557"/>
      <w:r>
        <w:rPr>
          <w:rFonts w:hint="eastAsia" w:ascii="楷体" w:hAnsi="楷体" w:eastAsia="楷体" w:cs="楷体"/>
          <w:b/>
          <w:bCs w:val="0"/>
          <w:sz w:val="32"/>
          <w:szCs w:val="32"/>
          <w:lang w:val="en-US" w:eastAsia="zh-CN"/>
        </w:rPr>
        <w:t>（三）绩效评价工作内容和范围</w:t>
      </w:r>
      <w:bookmarkEnd w:id="27"/>
      <w:bookmarkEnd w:id="28"/>
    </w:p>
    <w:p>
      <w:pPr>
        <w:ind w:firstLine="560" w:firstLineChars="200"/>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我们对本项目2019年度债券资金使用部分的项目资料的完整性、有效性作出判断，走访调查相关部门当事人，对围场</w:t>
      </w:r>
      <w:r>
        <w:rPr>
          <w:rFonts w:hint="eastAsia" w:ascii="宋体" w:hAnsi="宋体" w:eastAsia="宋体" w:cs="宋体"/>
          <w:sz w:val="28"/>
          <w:szCs w:val="28"/>
          <w:highlight w:val="none"/>
          <w:lang w:eastAsia="zh-CN"/>
        </w:rPr>
        <w:t>县环保局</w:t>
      </w:r>
      <w:r>
        <w:rPr>
          <w:rFonts w:hint="eastAsia" w:ascii="宋体" w:hAnsi="宋体" w:eastAsia="宋体" w:cs="宋体"/>
          <w:kern w:val="2"/>
          <w:sz w:val="28"/>
          <w:szCs w:val="28"/>
          <w:lang w:val="en-US" w:eastAsia="zh-CN" w:bidi="ar-SA"/>
        </w:rPr>
        <w:t>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评价内容包括：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1.决策情况；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2.资金管理和使用情况；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3.相关管理制度办法的健全性及执行情况；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4.实现的产出情况；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5.取得的效益情况；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6.其他相关内容；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评价范围包括2019年度围场县地方政府新增一般债券资金的预算投入、支出情况。</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9" w:name="_Toc30379"/>
      <w:bookmarkStart w:id="30" w:name="_Toc32149"/>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9"/>
      <w:bookmarkEnd w:id="3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lang w:val="en-US" w:eastAsia="zh-CN" w:bidi="ar-SA"/>
        </w:rPr>
      </w:pPr>
      <w:r>
        <w:rPr>
          <w:rFonts w:hint="eastAsia" w:ascii="宋体" w:hAnsi="宋体" w:eastAsia="宋体" w:cs="宋体"/>
          <w:sz w:val="28"/>
          <w:szCs w:val="28"/>
          <w:lang w:val="en-US" w:eastAsia="zh-CN"/>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1、层次分析法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2、对比分析法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5、调查法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highlight w:val="none"/>
          <w:lang w:val="en-US" w:eastAsia="zh-CN" w:bidi="ar-SA"/>
        </w:rPr>
      </w:pPr>
      <w:r>
        <w:rPr>
          <w:rFonts w:hint="eastAsia" w:ascii="宋体" w:hAnsi="宋体" w:eastAsia="宋体" w:cs="宋体"/>
          <w:sz w:val="28"/>
          <w:szCs w:val="28"/>
          <w:lang w:val="en-US" w:eastAsia="zh-CN"/>
        </w:rPr>
        <w:t>掌握客观、真实的信息、数据是后评价工作的先决条件和基础，在很多项目中，经常采用收集档案资料、座谈、电话、走访及调查等方法相结合的方式。</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31" w:name="_Toc8164"/>
      <w:bookmarkStart w:id="32" w:name="_Toc6230"/>
      <w:bookmarkStart w:id="33" w:name="_Toc12042"/>
      <w:bookmarkStart w:id="34"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31"/>
      <w:bookmarkEnd w:id="32"/>
      <w:bookmarkEnd w:id="33"/>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宋体" w:hAnsi="宋体" w:eastAsia="宋体" w:cs="宋体"/>
          <w:sz w:val="28"/>
          <w:szCs w:val="28"/>
          <w:lang w:eastAsia="zh-CN"/>
        </w:rPr>
      </w:pPr>
      <w:bookmarkStart w:id="35" w:name="_Toc2087"/>
      <w:bookmarkStart w:id="36" w:name="_Toc31807"/>
      <w:bookmarkStart w:id="37" w:name="_Toc31318"/>
      <w:bookmarkStart w:id="38" w:name="_Toc22556"/>
      <w:bookmarkStart w:id="39" w:name="_Toc13042"/>
      <w:bookmarkStart w:id="40" w:name="_Toc17563"/>
      <w:bookmarkStart w:id="41" w:name="_Toc18780"/>
      <w:r>
        <w:rPr>
          <w:rFonts w:hint="eastAsia" w:ascii="宋体" w:hAnsi="宋体" w:eastAsia="宋体" w:cs="宋体"/>
          <w:sz w:val="28"/>
          <w:szCs w:val="28"/>
          <w:lang w:eastAsia="zh-CN"/>
        </w:rPr>
        <w:t>围场满族蒙古族自治</w:t>
      </w:r>
      <w:r>
        <w:rPr>
          <w:rFonts w:hint="eastAsia" w:ascii="宋体" w:hAnsi="宋体" w:eastAsia="宋体" w:cs="宋体"/>
          <w:sz w:val="28"/>
          <w:szCs w:val="28"/>
        </w:rPr>
        <w:t>县</w:t>
      </w:r>
      <w:r>
        <w:rPr>
          <w:rFonts w:hint="eastAsia" w:ascii="宋体" w:hAnsi="宋体" w:eastAsia="宋体" w:cs="宋体"/>
          <w:sz w:val="28"/>
          <w:szCs w:val="28"/>
          <w:lang w:eastAsia="zh-CN"/>
        </w:rPr>
        <w:t>财政局</w:t>
      </w:r>
      <w:r>
        <w:rPr>
          <w:rFonts w:hint="eastAsia" w:ascii="宋体" w:hAnsi="宋体" w:eastAsia="宋体" w:cs="宋体"/>
          <w:sz w:val="28"/>
          <w:szCs w:val="28"/>
        </w:rPr>
        <w:t>委托</w:t>
      </w:r>
      <w:r>
        <w:rPr>
          <w:rFonts w:hint="eastAsia" w:ascii="宋体" w:hAnsi="宋体" w:eastAsia="宋体" w:cs="宋体"/>
          <w:sz w:val="28"/>
          <w:szCs w:val="28"/>
          <w:lang w:eastAsia="zh-CN"/>
        </w:rPr>
        <w:t>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公司对本</w:t>
      </w:r>
      <w:r>
        <w:rPr>
          <w:rFonts w:hint="eastAsia" w:ascii="宋体" w:hAnsi="宋体" w:eastAsia="宋体" w:cs="宋体"/>
          <w:sz w:val="28"/>
          <w:szCs w:val="28"/>
          <w:lang w:eastAsia="zh-CN"/>
        </w:rPr>
        <w:t>项目债券资金使用情况的</w:t>
      </w:r>
      <w:r>
        <w:rPr>
          <w:rFonts w:hint="eastAsia" w:ascii="宋体" w:hAnsi="宋体" w:eastAsia="宋体" w:cs="宋体"/>
          <w:sz w:val="28"/>
          <w:szCs w:val="28"/>
        </w:rPr>
        <w:t>经济性、规范性、</w:t>
      </w:r>
      <w:r>
        <w:rPr>
          <w:rFonts w:hint="eastAsia" w:ascii="宋体" w:hAnsi="宋体" w:eastAsia="宋体" w:cs="宋体"/>
          <w:sz w:val="28"/>
          <w:szCs w:val="28"/>
          <w:lang w:eastAsia="zh-CN"/>
        </w:rPr>
        <w:t>效益</w:t>
      </w:r>
      <w:r>
        <w:rPr>
          <w:rFonts w:hint="eastAsia" w:ascii="宋体" w:hAnsi="宋体" w:eastAsia="宋体" w:cs="宋体"/>
          <w:sz w:val="28"/>
          <w:szCs w:val="28"/>
        </w:rPr>
        <w:t>性</w:t>
      </w:r>
      <w:r>
        <w:rPr>
          <w:rFonts w:hint="eastAsia" w:ascii="宋体" w:hAnsi="宋体" w:eastAsia="宋体" w:cs="宋体"/>
          <w:sz w:val="28"/>
          <w:szCs w:val="28"/>
          <w:lang w:eastAsia="zh-CN"/>
        </w:rPr>
        <w:t>和可持续性</w:t>
      </w:r>
      <w:r>
        <w:rPr>
          <w:rFonts w:hint="eastAsia" w:ascii="宋体" w:hAnsi="宋体" w:eastAsia="宋体" w:cs="宋体"/>
          <w:sz w:val="28"/>
          <w:szCs w:val="28"/>
        </w:rPr>
        <w:t>等进行</w:t>
      </w:r>
      <w:r>
        <w:rPr>
          <w:rFonts w:hint="eastAsia" w:ascii="宋体" w:hAnsi="宋体" w:eastAsia="宋体" w:cs="宋体"/>
          <w:sz w:val="28"/>
          <w:szCs w:val="28"/>
          <w:lang w:eastAsia="zh-CN"/>
        </w:rPr>
        <w:t>客观、公正的分析和评判</w:t>
      </w:r>
      <w:r>
        <w:rPr>
          <w:rFonts w:hint="eastAsia" w:ascii="宋体" w:hAnsi="宋体" w:eastAsia="宋体" w:cs="宋体"/>
          <w:sz w:val="28"/>
          <w:szCs w:val="28"/>
        </w:rPr>
        <w:t>。根据</w:t>
      </w:r>
      <w:r>
        <w:rPr>
          <w:rFonts w:hint="eastAsia" w:ascii="宋体" w:hAnsi="宋体" w:eastAsia="宋体" w:cs="宋体"/>
          <w:sz w:val="28"/>
          <w:szCs w:val="28"/>
          <w:lang w:eastAsia="zh-CN"/>
        </w:rPr>
        <w:t>绩效评价工作</w:t>
      </w:r>
      <w:r>
        <w:rPr>
          <w:rFonts w:hint="eastAsia" w:ascii="宋体" w:hAnsi="宋体" w:eastAsia="宋体" w:cs="宋体"/>
          <w:sz w:val="28"/>
          <w:szCs w:val="28"/>
        </w:rPr>
        <w:t>要求，</w:t>
      </w:r>
      <w:r>
        <w:rPr>
          <w:rFonts w:hint="eastAsia" w:ascii="宋体" w:hAnsi="宋体" w:eastAsia="宋体" w:cs="宋体"/>
          <w:sz w:val="28"/>
          <w:szCs w:val="28"/>
          <w:lang w:eastAsia="zh-CN"/>
        </w:rPr>
        <w:t>我方做以下工作：</w:t>
      </w:r>
      <w:bookmarkEnd w:id="35"/>
      <w:bookmarkEnd w:id="36"/>
      <w:bookmarkEnd w:id="37"/>
      <w:bookmarkEnd w:id="38"/>
      <w:bookmarkEnd w:id="39"/>
      <w:bookmarkEnd w:id="40"/>
      <w:bookmarkEnd w:id="41"/>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2" w:name="_Toc24972"/>
      <w:bookmarkStart w:id="43" w:name="_Toc14297"/>
      <w:bookmarkStart w:id="44" w:name="_Toc1487"/>
      <w:bookmarkStart w:id="45" w:name="_Toc2432"/>
      <w:bookmarkStart w:id="46" w:name="_Toc17036"/>
      <w:bookmarkStart w:id="47" w:name="_Toc24311"/>
      <w:bookmarkStart w:id="48" w:name="_Toc19058"/>
      <w:bookmarkStart w:id="49" w:name="_Toc24529"/>
      <w:bookmarkStart w:id="50" w:name="_Toc14572"/>
      <w:bookmarkStart w:id="51" w:name="_Toc15494"/>
      <w:bookmarkStart w:id="52" w:name="_Toc27413"/>
      <w:r>
        <w:rPr>
          <w:rFonts w:hint="eastAsia" w:ascii="宋体" w:hAnsi="宋体" w:eastAsia="宋体" w:cs="宋体"/>
          <w:b/>
          <w:bCs/>
          <w:kern w:val="0"/>
          <w:sz w:val="28"/>
          <w:szCs w:val="28"/>
          <w:lang w:val="en-US" w:eastAsia="zh-CN" w:bidi="ar-SA"/>
        </w:rPr>
        <w:t>1、明确项目团队的职责与分工</w:t>
      </w:r>
      <w:bookmarkEnd w:id="42"/>
      <w:bookmarkEnd w:id="43"/>
      <w:bookmarkEnd w:id="44"/>
      <w:bookmarkEnd w:id="45"/>
      <w:bookmarkEnd w:id="46"/>
      <w:bookmarkEnd w:id="47"/>
      <w:bookmarkEnd w:id="48"/>
      <w:bookmarkEnd w:id="49"/>
      <w:bookmarkEnd w:id="50"/>
      <w:bookmarkEnd w:id="51"/>
      <w:bookmarkEnd w:id="52"/>
    </w:p>
    <w:tbl>
      <w:tblPr>
        <w:tblStyle w:val="12"/>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08"/>
        <w:gridCol w:w="1430"/>
        <w:gridCol w:w="4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jc w:val="center"/>
        </w:trPr>
        <w:tc>
          <w:tcPr>
            <w:tcW w:w="882"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30"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8"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2"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8"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30"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8"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2"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8" w:type="dxa"/>
            <w:vMerge w:val="continue"/>
            <w:vAlign w:val="center"/>
          </w:tcPr>
          <w:p>
            <w:pPr>
              <w:jc w:val="center"/>
              <w:rPr>
                <w:rFonts w:hint="eastAsia" w:ascii="宋体" w:hAnsi="宋体" w:eastAsia="宋体" w:cs="宋体"/>
                <w:kern w:val="0"/>
                <w:sz w:val="24"/>
              </w:rPr>
            </w:pPr>
          </w:p>
        </w:tc>
        <w:tc>
          <w:tcPr>
            <w:tcW w:w="1430"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8"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82" w:type="dxa"/>
            <w:vAlign w:val="center"/>
          </w:tcPr>
          <w:p>
            <w:pPr>
              <w:pStyle w:val="15"/>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8"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30"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8"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82"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8" w:type="dxa"/>
            <w:vMerge w:val="continue"/>
            <w:vAlign w:val="center"/>
          </w:tcPr>
          <w:p>
            <w:pPr>
              <w:jc w:val="center"/>
              <w:rPr>
                <w:rFonts w:ascii="宋体" w:hAnsi="宋体" w:eastAsia="宋体" w:cs="宋体"/>
                <w:kern w:val="0"/>
                <w:sz w:val="24"/>
              </w:rPr>
            </w:pPr>
          </w:p>
        </w:tc>
        <w:tc>
          <w:tcPr>
            <w:tcW w:w="1430"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8"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2" w:type="dxa"/>
            <w:vAlign w:val="center"/>
          </w:tcPr>
          <w:p>
            <w:pPr>
              <w:pStyle w:val="15"/>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8" w:type="dxa"/>
            <w:vMerge w:val="restart"/>
            <w:vAlign w:val="center"/>
          </w:tcPr>
          <w:p>
            <w:pPr>
              <w:pStyle w:val="15"/>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30"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8"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2" w:type="dxa"/>
            <w:vAlign w:val="center"/>
          </w:tcPr>
          <w:p>
            <w:pPr>
              <w:pStyle w:val="15"/>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8" w:type="dxa"/>
            <w:vMerge w:val="continue"/>
            <w:vAlign w:val="center"/>
          </w:tcPr>
          <w:p>
            <w:pPr>
              <w:pStyle w:val="15"/>
              <w:ind w:firstLine="0"/>
              <w:jc w:val="center"/>
              <w:rPr>
                <w:rFonts w:ascii="宋体" w:hAnsi="宋体" w:eastAsia="宋体" w:cs="宋体"/>
                <w:kern w:val="0"/>
                <w:sz w:val="24"/>
              </w:rPr>
            </w:pPr>
          </w:p>
        </w:tc>
        <w:tc>
          <w:tcPr>
            <w:tcW w:w="1430"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2"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8"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30"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8"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2"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8" w:type="dxa"/>
            <w:vMerge w:val="continue"/>
            <w:vAlign w:val="center"/>
          </w:tcPr>
          <w:p>
            <w:pPr>
              <w:pStyle w:val="15"/>
              <w:ind w:firstLine="0"/>
              <w:jc w:val="center"/>
              <w:rPr>
                <w:rFonts w:ascii="宋体" w:hAnsi="宋体" w:eastAsia="宋体" w:cs="宋体"/>
                <w:kern w:val="0"/>
                <w:sz w:val="24"/>
              </w:rPr>
            </w:pPr>
          </w:p>
        </w:tc>
        <w:tc>
          <w:tcPr>
            <w:tcW w:w="1430"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2"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8" w:type="dxa"/>
            <w:vMerge w:val="continue"/>
            <w:vAlign w:val="center"/>
          </w:tcPr>
          <w:p>
            <w:pPr>
              <w:pStyle w:val="15"/>
              <w:ind w:firstLine="0"/>
              <w:jc w:val="center"/>
              <w:rPr>
                <w:rFonts w:ascii="宋体" w:hAnsi="宋体" w:eastAsia="宋体" w:cs="宋体"/>
                <w:kern w:val="0"/>
                <w:sz w:val="24"/>
              </w:rPr>
            </w:pPr>
          </w:p>
        </w:tc>
        <w:tc>
          <w:tcPr>
            <w:tcW w:w="1430"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2"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8" w:type="dxa"/>
            <w:vMerge w:val="continue"/>
            <w:vAlign w:val="center"/>
          </w:tcPr>
          <w:p>
            <w:pPr>
              <w:pStyle w:val="15"/>
              <w:ind w:firstLine="0"/>
              <w:jc w:val="center"/>
              <w:rPr>
                <w:rFonts w:ascii="宋体" w:hAnsi="宋体" w:eastAsia="宋体" w:cs="宋体"/>
                <w:kern w:val="0"/>
                <w:sz w:val="24"/>
              </w:rPr>
            </w:pPr>
          </w:p>
        </w:tc>
        <w:tc>
          <w:tcPr>
            <w:tcW w:w="1430"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82"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8" w:type="dxa"/>
            <w:vMerge w:val="continue"/>
            <w:vAlign w:val="center"/>
          </w:tcPr>
          <w:p>
            <w:pPr>
              <w:pStyle w:val="15"/>
              <w:ind w:firstLine="0"/>
              <w:jc w:val="center"/>
              <w:rPr>
                <w:rFonts w:ascii="宋体" w:hAnsi="宋体" w:eastAsia="宋体" w:cs="宋体"/>
                <w:kern w:val="0"/>
                <w:sz w:val="24"/>
              </w:rPr>
            </w:pPr>
          </w:p>
        </w:tc>
        <w:tc>
          <w:tcPr>
            <w:tcW w:w="1430"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8"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53" w:name="_Toc6642"/>
      <w:bookmarkStart w:id="54" w:name="_Toc28394"/>
      <w:bookmarkStart w:id="55" w:name="_Toc27143"/>
      <w:bookmarkStart w:id="56" w:name="_Toc31637"/>
      <w:bookmarkStart w:id="57" w:name="_Toc25494"/>
      <w:bookmarkStart w:id="58" w:name="_Toc6326"/>
      <w:bookmarkStart w:id="59" w:name="_Toc29931"/>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2、评价工作各相关当事方的职责</w:t>
      </w:r>
      <w:bookmarkEnd w:id="53"/>
      <w:bookmarkEnd w:id="54"/>
      <w:bookmarkEnd w:id="55"/>
      <w:bookmarkEnd w:id="56"/>
      <w:bookmarkEnd w:id="57"/>
      <w:bookmarkEnd w:id="58"/>
      <w:bookmarkEnd w:id="59"/>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sz w:val="28"/>
          <w:szCs w:val="28"/>
          <w:lang w:val="en-US" w:eastAsia="zh-CN"/>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r>
        <w:rPr>
          <w:rFonts w:hint="eastAsia" w:ascii="宋体" w:hAnsi="宋体" w:eastAsia="宋体" w:cs="宋体"/>
          <w:kern w:val="2"/>
          <w:sz w:val="28"/>
          <w:szCs w:val="28"/>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ind w:firstLine="560" w:firstLineChars="200"/>
        <w:rPr>
          <w:rFonts w:hint="eastAsia" w:ascii="宋体" w:hAnsi="宋体" w:eastAsia="宋体" w:cs="宋体"/>
          <w:sz w:val="28"/>
          <w:szCs w:val="28"/>
          <w:lang w:val="en-US" w:eastAsia="zh-CN"/>
        </w:rPr>
      </w:pPr>
      <w:bookmarkStart w:id="60" w:name="_Toc24530"/>
      <w:bookmarkStart w:id="61" w:name="_Toc24679"/>
      <w:bookmarkStart w:id="62" w:name="_Toc27067"/>
      <w:bookmarkStart w:id="63" w:name="_Toc332"/>
      <w:bookmarkStart w:id="64" w:name="_Toc17781"/>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60"/>
      <w:bookmarkEnd w:id="61"/>
      <w:bookmarkEnd w:id="62"/>
      <w:bookmarkEnd w:id="63"/>
      <w:bookmarkEnd w:id="64"/>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65" w:name="_Toc26376"/>
      <w:r>
        <w:rPr>
          <w:rFonts w:hint="eastAsia" w:ascii="黑体" w:hAnsi="黑体" w:eastAsia="黑体" w:cs="黑体"/>
          <w:b w:val="0"/>
          <w:bCs w:val="0"/>
          <w:sz w:val="32"/>
          <w:szCs w:val="32"/>
          <w:lang w:eastAsia="zh-CN"/>
        </w:rPr>
        <w:t>三、</w:t>
      </w:r>
      <w:bookmarkEnd w:id="34"/>
      <w:r>
        <w:rPr>
          <w:rFonts w:hint="eastAsia" w:ascii="黑体" w:hAnsi="黑体" w:eastAsia="黑体" w:cs="黑体"/>
          <w:kern w:val="2"/>
          <w:sz w:val="32"/>
          <w:szCs w:val="32"/>
          <w:highlight w:val="none"/>
          <w:lang w:val="en-US" w:eastAsia="zh-CN" w:bidi="ar-SA"/>
        </w:rPr>
        <w:t>项目实施及资金使用情况</w:t>
      </w:r>
      <w:bookmarkEnd w:id="65"/>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66" w:name="_Toc6786"/>
      <w:bookmarkStart w:id="67" w:name="_Toc16632"/>
      <w:r>
        <w:rPr>
          <w:rFonts w:hint="eastAsia" w:ascii="楷体" w:hAnsi="楷体" w:eastAsia="楷体" w:cs="楷体"/>
          <w:b/>
          <w:bCs/>
          <w:kern w:val="2"/>
          <w:sz w:val="32"/>
          <w:szCs w:val="32"/>
          <w:highlight w:val="none"/>
          <w:lang w:val="en-US" w:eastAsia="zh-CN" w:bidi="ar-SA"/>
        </w:rPr>
        <w:t>（一）项目实施情况</w:t>
      </w:r>
      <w:bookmarkEnd w:id="66"/>
      <w:bookmarkEnd w:id="67"/>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bookmarkStart w:id="68" w:name="_Toc14809"/>
      <w:r>
        <w:rPr>
          <w:rFonts w:hint="eastAsia" w:ascii="宋体" w:hAnsi="宋体" w:eastAsia="宋体" w:cs="宋体"/>
          <w:kern w:val="2"/>
          <w:sz w:val="28"/>
          <w:szCs w:val="28"/>
          <w:lang w:val="en-US" w:eastAsia="zh-CN" w:bidi="ar-SA"/>
        </w:rPr>
        <w:t>2019年6月20日，本项目由承德鼎亿好工程咨询有限公司审定招标最高限价，审定金额为826.946109万元。2019年7月16日在围场满族蒙古族自治县公共资源交易中心进行开标、评标，经评标委员会评审，最终确定承德极源建筑安装工程有限公司为莫里莫村污水分支管网工程中标单位，中标价为820.740106万元，并于2019年8月8日与承德市生态环境局围场满族蒙古族自治县分局签订了建设工程施工合同。</w:t>
      </w:r>
    </w:p>
    <w:p>
      <w:pPr>
        <w:ind w:firstLine="560" w:firstLineChars="200"/>
        <w:outlineLvl w:val="1"/>
        <w:rPr>
          <w:rFonts w:hint="eastAsia" w:ascii="宋体" w:hAnsi="宋体" w:eastAsia="宋体" w:cs="宋体"/>
          <w:kern w:val="2"/>
          <w:sz w:val="28"/>
          <w:szCs w:val="28"/>
          <w:lang w:val="en-US" w:eastAsia="zh-CN" w:bidi="ar-SA"/>
        </w:rPr>
      </w:pPr>
      <w:bookmarkStart w:id="69" w:name="_Toc5348"/>
      <w:r>
        <w:rPr>
          <w:rFonts w:hint="eastAsia" w:ascii="宋体" w:hAnsi="宋体" w:eastAsia="宋体" w:cs="宋体"/>
          <w:kern w:val="2"/>
          <w:sz w:val="28"/>
          <w:szCs w:val="28"/>
          <w:lang w:val="en-US" w:eastAsia="zh-CN" w:bidi="ar-SA"/>
        </w:rPr>
        <w:t>2019年11月27日由建设单位组织竣工验收审查。审查内容：已按设计要求完成市政管网工程及附属工程，完成了合同约定内容，技术档案和施工档案资料齐全，试验报告齐全，签订了工程质量保修书，审查结论为合格，最终竣工验收结论合格。</w:t>
      </w:r>
      <w:bookmarkEnd w:id="69"/>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70" w:name="_Toc12889"/>
      <w:r>
        <w:rPr>
          <w:rFonts w:hint="eastAsia" w:ascii="楷体" w:hAnsi="楷体" w:eastAsia="楷体" w:cs="楷体"/>
          <w:b/>
          <w:bCs/>
          <w:kern w:val="2"/>
          <w:sz w:val="32"/>
          <w:szCs w:val="32"/>
          <w:highlight w:val="none"/>
          <w:lang w:val="en-US" w:eastAsia="zh-CN" w:bidi="ar-SA"/>
        </w:rPr>
        <w:t>（二）资金使用情况</w:t>
      </w:r>
      <w:bookmarkEnd w:id="68"/>
      <w:bookmarkEnd w:id="70"/>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bookmarkStart w:id="71" w:name="_Toc15054"/>
      <w:bookmarkStart w:id="72" w:name="_Toc13622"/>
      <w:r>
        <w:rPr>
          <w:rFonts w:hint="eastAsia" w:ascii="宋体" w:hAnsi="宋体" w:eastAsia="宋体" w:cs="宋体"/>
          <w:kern w:val="2"/>
          <w:sz w:val="28"/>
          <w:szCs w:val="28"/>
          <w:lang w:val="en-US" w:eastAsia="zh-CN" w:bidi="ar-SA"/>
        </w:rPr>
        <w:t>2019年5月31日支付承德鼎亿好工程咨询有限公司咨询服务费1.4万元。</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2019年6月30日支付河北建伟工程设计咨询有限公司审图费2万元。支付河北清州工程设计咨询有限公司可研报告编制费5万元。</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2019年9月30日支付振华电脑科技有限公司办公费用0.7055万元。办公桌椅0.22万元。</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2019年10月31日支付承德极源建筑安装工程有限公司污水管网工程款200万元。</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2019年11月6日支付围场满族蒙古族自治县哈里哈乡人民政府财政所项目占地补偿款3.2万元。</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2019年11月22日支付奥来国信（北京）检测技术有限责任公司材料检测费0.2万元。支付围场县金盛建筑工程检测有限公司工程检测费1.07万元。</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2019年11月28日支付承德中天建设工程检测试验有限公司试验费0.229万元。</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2019年12月20日支付外聘人员刘立国劳务费2.6万元。</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2020年1月16日支付中土大地国际建筑设计有限公司设计费5.85万元。</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2020年3月13日支付河北清州工程设计咨询有限公司可研报告编制费2万元。支付土大地国际建筑设计有限公司设计费13.65万元。</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2020年11月2日支付承德极源建筑安装工程有限公司莫里莫污水项目工程款58.37358万元。</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2020年12月1日支付围场满族蒙古族自治县信诚工程建设监理有限公司监理费24.274万元。</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2020年12月21日支付承德极源建筑安装工程有限公司莫里莫污水项目工程款36.651241万元。</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2020年12月22日支付河北迪腾工程造价咨询有限公司咨询服务费9.24万元。支付河北佳丁建设项目招标咨询有限公司承德分公司咨询服务费6.56万元。</w:t>
      </w:r>
    </w:p>
    <w:p>
      <w:pPr>
        <w:ind w:firstLine="560" w:firstLineChars="200"/>
        <w:rPr>
          <w:rFonts w:hint="eastAsia" w:ascii="楷体" w:hAnsi="楷体" w:eastAsia="楷体" w:cs="楷体"/>
          <w:b/>
          <w:bCs/>
          <w:kern w:val="2"/>
          <w:sz w:val="32"/>
          <w:szCs w:val="32"/>
          <w:highlight w:val="none"/>
          <w:lang w:val="en-US" w:eastAsia="zh-CN" w:bidi="ar-SA"/>
        </w:rPr>
      </w:pPr>
      <w:r>
        <w:rPr>
          <w:rFonts w:hint="eastAsia" w:ascii="宋体" w:hAnsi="宋体" w:eastAsia="宋体" w:cs="宋体"/>
          <w:kern w:val="2"/>
          <w:sz w:val="28"/>
          <w:szCs w:val="28"/>
          <w:lang w:val="en-US" w:eastAsia="zh-CN" w:bidi="ar-SA"/>
        </w:rPr>
        <w:t>本项目共计完成债券资金投资373.223321万元</w:t>
      </w:r>
      <w:bookmarkEnd w:id="71"/>
      <w:bookmarkEnd w:id="72"/>
      <w:r>
        <w:rPr>
          <w:rFonts w:hint="eastAsia" w:ascii="宋体" w:hAnsi="宋体" w:eastAsia="宋体" w:cs="宋体"/>
          <w:kern w:val="2"/>
          <w:sz w:val="28"/>
          <w:szCs w:val="28"/>
          <w:lang w:val="en-US" w:eastAsia="zh-CN" w:bidi="ar-SA"/>
        </w:rPr>
        <w:t>。</w:t>
      </w:r>
    </w:p>
    <w:p>
      <w:pPr>
        <w:ind w:firstLine="640" w:firstLineChars="200"/>
        <w:outlineLvl w:val="0"/>
        <w:rPr>
          <w:rFonts w:hint="eastAsia" w:ascii="黑体" w:hAnsi="黑体" w:eastAsia="黑体" w:cs="黑体"/>
          <w:kern w:val="2"/>
          <w:sz w:val="32"/>
          <w:szCs w:val="32"/>
          <w:lang w:val="en-US" w:eastAsia="zh-CN" w:bidi="ar-SA"/>
        </w:rPr>
      </w:pPr>
      <w:bookmarkStart w:id="73" w:name="_Toc4863"/>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73"/>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74" w:name="_Toc16548"/>
      <w:bookmarkStart w:id="75" w:name="_Toc30705"/>
      <w:r>
        <w:rPr>
          <w:rFonts w:hint="eastAsia" w:ascii="楷体" w:hAnsi="楷体" w:eastAsia="楷体" w:cs="楷体"/>
          <w:b/>
          <w:bCs w:val="0"/>
          <w:kern w:val="0"/>
          <w:sz w:val="32"/>
          <w:szCs w:val="32"/>
          <w:lang w:val="en-US" w:eastAsia="zh-CN"/>
        </w:rPr>
        <w:t>（一）绩效评价分析</w:t>
      </w:r>
      <w:bookmarkEnd w:id="74"/>
      <w:bookmarkEnd w:id="75"/>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本项目由围场县行政审批局下达了投资计划，立项合规、方案可行、设立过程符合政策规定。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建设单位按照项目所设定的绩效目标依据充分，投入可行，可以防止河道污染日趋严重，保障居民正常生活环境，避免制约其社会经济的发展的不利因素。资金来源合规，符合客观实际，能够达到设定的目标。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建设单位严格按照投资计划实施，依据绩效目标设定的绩效指标清晰、合理、细化、可衡量。通过对</w:t>
      </w:r>
      <w:r>
        <w:rPr>
          <w:rFonts w:hint="eastAsia" w:ascii="宋体" w:hAnsi="宋体" w:eastAsia="宋体" w:cs="宋体"/>
          <w:sz w:val="28"/>
          <w:szCs w:val="28"/>
          <w:highlight w:val="none"/>
          <w:lang w:val="en-US" w:eastAsia="zh-CN"/>
        </w:rPr>
        <w:t>围场县环保局</w:t>
      </w:r>
      <w:r>
        <w:rPr>
          <w:rFonts w:hint="eastAsia" w:ascii="宋体" w:hAnsi="宋体" w:eastAsia="宋体" w:cs="宋体"/>
          <w:kern w:val="2"/>
          <w:sz w:val="28"/>
          <w:szCs w:val="28"/>
          <w:lang w:val="en-US" w:eastAsia="zh-CN" w:bidi="ar-SA"/>
        </w:rPr>
        <w:t>莫里莫村污水分支管网工程</w:t>
      </w:r>
      <w:r>
        <w:rPr>
          <w:rFonts w:hint="eastAsia" w:ascii="宋体" w:hAnsi="宋体" w:eastAsia="宋体" w:cs="宋体"/>
          <w:sz w:val="28"/>
          <w:szCs w:val="28"/>
          <w:lang w:val="en-US" w:eastAsia="zh-CN"/>
        </w:rPr>
        <w:t>项目</w:t>
      </w:r>
      <w:r>
        <w:rPr>
          <w:rFonts w:hint="eastAsia" w:ascii="宋体" w:hAnsi="宋体" w:eastAsia="宋体" w:cs="宋体"/>
          <w:kern w:val="2"/>
          <w:sz w:val="28"/>
          <w:szCs w:val="28"/>
          <w:lang w:val="en-US" w:eastAsia="zh-CN" w:bidi="ar-SA"/>
        </w:rPr>
        <w:t>的分析</w:t>
      </w:r>
      <w:r>
        <w:rPr>
          <w:rFonts w:hint="eastAsia" w:ascii="宋体" w:hAnsi="宋体" w:eastAsia="宋体" w:cs="宋体"/>
          <w:kern w:val="2"/>
          <w:sz w:val="28"/>
          <w:szCs w:val="28"/>
          <w:highlight w:val="none"/>
          <w:lang w:val="en-US" w:eastAsia="zh-CN" w:bidi="ar-SA"/>
        </w:rPr>
        <w:t>，</w:t>
      </w:r>
      <w:r>
        <w:rPr>
          <w:rFonts w:hint="eastAsia" w:ascii="宋体" w:hAnsi="宋体" w:eastAsia="宋体" w:cs="宋体"/>
          <w:kern w:val="2"/>
          <w:sz w:val="28"/>
          <w:szCs w:val="28"/>
          <w:lang w:val="en-US" w:eastAsia="zh-CN" w:bidi="ar-SA"/>
        </w:rPr>
        <w:t>可以持久改善当地环境，为沿村级区域创造良好的生态环境，更好的服务于当地经济社会可持续发展，便于建设资源、环境友好型社会。</w:t>
      </w:r>
      <w:r>
        <w:rPr>
          <w:rFonts w:hint="eastAsia" w:ascii="宋体" w:hAnsi="宋体" w:eastAsia="宋体" w:cs="宋体"/>
          <w:kern w:val="2"/>
          <w:sz w:val="28"/>
          <w:szCs w:val="28"/>
          <w:highlight w:val="none"/>
          <w:lang w:val="en-US" w:eastAsia="zh-CN" w:bidi="ar-SA"/>
        </w:rPr>
        <w:t>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管理指标绩效评价设定分值为30分，考评得分25分。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①项目资料的完整性指标标准分值为6分，考评得分4分。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本项目绩效评价涉及到的投资计划、施工合同、竣工验收报告等资料齐全，但无施工方案，竣工验收报告内容不完善，无开工竣工时间。需加强资料管理。本项考核扣减2分。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②政务公开情况指标标准分值为3分，考评得分3分。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新增债券资金安排的情况均已公示，本项目没有发现应该招标没有招标的情况。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债券资金使用部分项目变更控制情况较好，没有对工程进度造成影响，项目能够按照资金使用情况顺利进行。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④项目实施方案编制情况指标标准分值为3分，考评得分0分。</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sz w:val="28"/>
          <w:szCs w:val="28"/>
          <w:lang w:val="en-US" w:eastAsia="zh-CN"/>
        </w:rPr>
      </w:pPr>
      <w:r>
        <w:rPr>
          <w:rFonts w:hint="eastAsia" w:ascii="宋体" w:hAnsi="宋体" w:eastAsia="宋体" w:cs="宋体"/>
          <w:sz w:val="28"/>
          <w:szCs w:val="28"/>
          <w:highlight w:val="none"/>
          <w:lang w:val="en-US" w:eastAsia="zh-CN"/>
        </w:rPr>
        <w:t>围场县环保局</w:t>
      </w:r>
      <w:r>
        <w:rPr>
          <w:rFonts w:hint="eastAsia" w:ascii="宋体" w:hAnsi="宋体" w:eastAsia="宋体" w:cs="宋体"/>
          <w:kern w:val="2"/>
          <w:sz w:val="28"/>
          <w:szCs w:val="28"/>
          <w:lang w:val="en-US" w:eastAsia="zh-CN" w:bidi="ar-SA"/>
        </w:rPr>
        <w:t>莫里莫村污水分支管网工程</w:t>
      </w:r>
      <w:r>
        <w:rPr>
          <w:rFonts w:hint="eastAsia" w:ascii="宋体" w:hAnsi="宋体" w:eastAsia="宋体" w:cs="宋体"/>
          <w:sz w:val="28"/>
          <w:szCs w:val="28"/>
          <w:lang w:val="en-US" w:eastAsia="zh-CN"/>
        </w:rPr>
        <w:t>项目</w:t>
      </w:r>
      <w:r>
        <w:rPr>
          <w:rFonts w:hint="eastAsia" w:hAnsi="宋体" w:cs="宋体"/>
          <w:sz w:val="28"/>
          <w:szCs w:val="28"/>
          <w:lang w:val="en-US" w:eastAsia="zh-CN"/>
        </w:rPr>
        <w:t>无</w:t>
      </w:r>
      <w:r>
        <w:rPr>
          <w:rFonts w:hint="eastAsia"/>
          <w:sz w:val="28"/>
          <w:szCs w:val="28"/>
          <w:lang w:val="en-US" w:eastAsia="zh-CN"/>
        </w:rPr>
        <w:t>实施方案，只有县行政审批局下达的投资计划。本项考核不得分。</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本项目债券资金均未用于经常性支出，未用于中央明令禁止的项目支出，资金使用合规。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本项目已按国库集中支付制度要求在县级财政集中支付，未出现资金拖欠现象。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未发现资金有挪用、抽逃、延迟支付现象，项目建设资金使用合规，账务处理基本合规。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产出指标绩效评价设定分值为30分，考评得分30分。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项目已完成的工程投资与计划实施的实际工程总投资基本吻合，主要工程量按照要求全部完成。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本工程项目2019年8月8日签订施工合同，11月27日竣工验收，能够按照合同约定计划工期完成施工进度，未出现工程滞后现象。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项目完工后，建设单位组织竣工验收审查。本工程已按设计要求完成市政管网工程及附属工程，完成了合同约定内容，技术档案和施工档案资料齐全，试验报告齐全，施工单位签订了工程质量保修书，审查结论为合格，最终竣工验收结论合格</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（1）社会效益指标绩效评价设定分值为20分，考评得分20分。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完工项目按批复设定的总体目标全面实现，达到预期目标。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莫里莫村污水分支管网工程的建设不仅可以改善当地居民的生产生活条件，而且改善了整个地区的生态环境，是减少污染、保护环境、构建人与自然和谐的重大举措。莫里莫村污水分支管网工程的建设可以防止河道污染日趋严重，保障居民正常生活、工作环境，避免制约其社会经济的发展的不利因素，社会效益明显提升</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③社会环境（生态环境等）改善情况指标标准分值为4分，考评得分4分。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莫里莫村污水分支管网工程的建设不仅可以改善当地居民的生产生活条件，而且改善了整个地区的生态环境，是减少污染、保护环境、构建人与自然和谐的重大举措</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由于债券资金投入的项目多为社会公益性项目，本项目为市政工程，不产生直接经济效益。</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②间接经济效益指标标准分值7分，考评得分5分。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莫里莫村污水分支管网工程通过项目的实施，能够有效地改善当地百姓的生活质量，营造了良好的生活环境和卫生环境，改变了之前的垃圾污水乱泼乱倒现象，给百姓的出行带来了方便，产生一定的间接效益，因此本项考核得分为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76" w:name="_Toc14098"/>
      <w:bookmarkStart w:id="77" w:name="_Toc24219"/>
      <w:r>
        <w:rPr>
          <w:rFonts w:hint="eastAsia" w:ascii="楷体" w:hAnsi="楷体" w:eastAsia="楷体" w:cs="楷体"/>
          <w:b/>
          <w:bCs w:val="0"/>
          <w:kern w:val="0"/>
          <w:sz w:val="32"/>
          <w:szCs w:val="32"/>
          <w:lang w:eastAsia="zh-CN"/>
        </w:rPr>
        <w:t>（二）绩效评价结论</w:t>
      </w:r>
      <w:bookmarkEnd w:id="76"/>
      <w:bookmarkEnd w:id="77"/>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绩效评价结果采取评分和评级相结合的方式，具体分值和等级可根据不同评价内容设定。总分一般设置为100分，等级一般划分为四档：80（含）-100分为优、70（含）-80分为良、60（含）-70分为合格、60分以下为不合格。</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绩效评价指标综合得分情况：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县环保局莫里莫村污水分支管网工程项目绩效考评结果，其中：投入指标考评得分10分、管理指标考评得分25分、产出指标考评得分30分、效益指标考评得分26分。通过对各项指标的具体分析评价，汇总得出本次绩效评价考核综合得分为91分，总体评价为“优”。</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通过项目建设，对社会效益影响是长期的，促进了围场县的经济繁荣。</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kern w:val="2"/>
          <w:sz w:val="28"/>
          <w:szCs w:val="28"/>
          <w:highlight w:val="none"/>
          <w:lang w:val="en-US" w:eastAsia="zh-CN" w:bidi="ar-SA"/>
        </w:rPr>
        <w:t>评价结果表明，围场县环保局莫里莫村污水分支管网工程项目组织和管理较好地执行了相关规定要求，组织管理有序，单位财务管理制度基本健全，对项目资金的监督管理总体有效，实施的经济效益和持续性明显。通过此项目的实施，保障了公安工作的正常运转，资金使用合理合规，为社会的稳定作出了贡献</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78" w:name="_Toc32395"/>
      <w:bookmarkStart w:id="79" w:name="_Toc11147"/>
      <w:r>
        <w:rPr>
          <w:rFonts w:hint="eastAsia" w:ascii="黑体" w:hAnsi="黑体" w:eastAsia="黑体" w:cs="黑体"/>
          <w:b w:val="0"/>
          <w:bCs/>
          <w:kern w:val="0"/>
          <w:sz w:val="32"/>
          <w:szCs w:val="32"/>
          <w:highlight w:val="none"/>
          <w:lang w:eastAsia="zh-CN"/>
        </w:rPr>
        <w:t>五、</w:t>
      </w:r>
      <w:bookmarkEnd w:id="78"/>
      <w:r>
        <w:rPr>
          <w:rFonts w:hint="eastAsia" w:ascii="黑体" w:hAnsi="黑体" w:eastAsia="黑体" w:cs="黑体"/>
          <w:b w:val="0"/>
          <w:bCs/>
          <w:kern w:val="0"/>
          <w:sz w:val="32"/>
          <w:szCs w:val="32"/>
          <w:highlight w:val="none"/>
          <w:lang w:eastAsia="zh-CN"/>
        </w:rPr>
        <w:t>意见及建议</w:t>
      </w:r>
      <w:bookmarkEnd w:id="79"/>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bCs/>
          <w:kern w:val="0"/>
          <w:sz w:val="32"/>
          <w:szCs w:val="32"/>
        </w:rPr>
      </w:pPr>
      <w:r>
        <w:rPr>
          <w:rFonts w:hint="eastAsia" w:ascii="宋体" w:hAnsi="宋体" w:eastAsia="宋体" w:cs="宋体"/>
          <w:bCs/>
          <w:kern w:val="0"/>
          <w:sz w:val="28"/>
          <w:szCs w:val="28"/>
          <w:lang w:eastAsia="zh-CN"/>
        </w:rPr>
        <w:t>加强项目管理、完善建设程序及资金支付方面的管理。</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0" w:name="_Toc31396"/>
      <w:bookmarkStart w:id="81" w:name="_Toc7010"/>
      <w:bookmarkStart w:id="82" w:name="_Toc15785"/>
      <w:bookmarkStart w:id="83" w:name="_Toc5786"/>
      <w:bookmarkStart w:id="84" w:name="_Toc26763"/>
      <w:bookmarkStart w:id="85" w:name="_Toc25821"/>
      <w:r>
        <w:rPr>
          <w:rFonts w:hint="eastAsia" w:ascii="楷体" w:hAnsi="楷体" w:eastAsia="楷体" w:cs="楷体"/>
          <w:b/>
          <w:bCs/>
          <w:sz w:val="32"/>
          <w:szCs w:val="32"/>
          <w:lang w:val="en-US" w:eastAsia="zh-CN"/>
        </w:rPr>
        <w:t>（一）强化绩效理念，深入推进评价工作</w:t>
      </w:r>
      <w:bookmarkEnd w:id="80"/>
      <w:bookmarkEnd w:id="81"/>
      <w:bookmarkEnd w:id="82"/>
      <w:bookmarkEnd w:id="83"/>
      <w:bookmarkEnd w:id="84"/>
      <w:bookmarkEnd w:id="85"/>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6" w:name="_Toc6863"/>
      <w:bookmarkStart w:id="87" w:name="_Toc26995"/>
      <w:bookmarkStart w:id="88" w:name="_Toc14241"/>
      <w:bookmarkStart w:id="89" w:name="_Toc21411"/>
      <w:bookmarkStart w:id="90" w:name="_Toc11860"/>
      <w:bookmarkStart w:id="91" w:name="_Toc10505"/>
      <w:r>
        <w:rPr>
          <w:rFonts w:hint="eastAsia" w:ascii="楷体" w:hAnsi="楷体" w:eastAsia="楷体" w:cs="楷体"/>
          <w:b/>
          <w:bCs/>
          <w:sz w:val="32"/>
          <w:szCs w:val="32"/>
          <w:lang w:val="en-US" w:eastAsia="zh-CN"/>
        </w:rPr>
        <w:t>（二）强化事前准备，切实提升评价质量</w:t>
      </w:r>
      <w:bookmarkEnd w:id="86"/>
      <w:bookmarkEnd w:id="87"/>
      <w:bookmarkEnd w:id="88"/>
      <w:bookmarkEnd w:id="89"/>
      <w:bookmarkEnd w:id="90"/>
      <w:bookmarkEnd w:id="91"/>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92" w:name="_Toc30061"/>
      <w:bookmarkStart w:id="93" w:name="_Toc21034"/>
      <w:bookmarkStart w:id="94" w:name="_Toc3001"/>
      <w:bookmarkStart w:id="95" w:name="_Toc10592"/>
      <w:bookmarkStart w:id="96" w:name="_Toc11787"/>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97" w:name="_Toc6360"/>
      <w:r>
        <w:rPr>
          <w:rFonts w:hint="eastAsia" w:ascii="楷体" w:hAnsi="楷体" w:eastAsia="楷体" w:cs="楷体"/>
          <w:b/>
          <w:bCs/>
          <w:sz w:val="32"/>
          <w:szCs w:val="32"/>
          <w:lang w:val="en-US" w:eastAsia="zh-CN"/>
        </w:rPr>
        <w:t>（三）强化结果应用，不断巩固评价</w:t>
      </w:r>
      <w:bookmarkEnd w:id="92"/>
      <w:bookmarkEnd w:id="93"/>
      <w:bookmarkEnd w:id="94"/>
      <w:bookmarkEnd w:id="95"/>
      <w:bookmarkEnd w:id="96"/>
      <w:r>
        <w:rPr>
          <w:rFonts w:hint="eastAsia" w:ascii="楷体" w:hAnsi="楷体" w:eastAsia="楷体" w:cs="楷体"/>
          <w:b/>
          <w:bCs/>
          <w:sz w:val="32"/>
          <w:szCs w:val="32"/>
          <w:lang w:val="en-US" w:eastAsia="zh-CN"/>
        </w:rPr>
        <w:t>成效</w:t>
      </w:r>
      <w:bookmarkEnd w:id="97"/>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98" w:name="_Toc9937"/>
      <w:r>
        <w:rPr>
          <w:rFonts w:hint="eastAsia" w:ascii="黑体" w:hAnsi="黑体" w:eastAsia="黑体" w:cs="黑体"/>
          <w:b w:val="0"/>
          <w:bCs/>
          <w:kern w:val="0"/>
          <w:sz w:val="32"/>
          <w:szCs w:val="32"/>
          <w:lang w:val="en-US" w:eastAsia="zh-CN"/>
        </w:rPr>
        <w:t>六、附件</w:t>
      </w:r>
      <w:bookmarkEnd w:id="98"/>
    </w:p>
    <w:p>
      <w:pPr>
        <w:pStyle w:val="3"/>
        <w:bidi w:val="0"/>
        <w:rPr>
          <w:rFonts w:hint="eastAsia" w:ascii="楷体" w:hAnsi="楷体" w:eastAsia="楷体" w:cs="楷体"/>
          <w:lang w:val="en-US" w:eastAsia="zh-CN"/>
        </w:rPr>
      </w:pPr>
      <w:bookmarkStart w:id="99" w:name="_Toc19227"/>
      <w:r>
        <w:rPr>
          <w:rFonts w:hint="eastAsia" w:ascii="楷体" w:hAnsi="楷体" w:eastAsia="楷体" w:cs="楷体"/>
          <w:lang w:val="en-US" w:eastAsia="zh-CN"/>
        </w:rPr>
        <w:t>绩效评价指标体系得分表</w:t>
      </w:r>
      <w:bookmarkEnd w:id="99"/>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adjustRightInd w:val="0"/>
        <w:snapToGrid w:val="0"/>
        <w:spacing w:line="540" w:lineRule="exact"/>
        <w:outlineLvl w:val="0"/>
        <w:rPr>
          <w:rFonts w:hint="eastAsia" w:asciiTheme="minorEastAsia" w:hAnsiTheme="minorEastAsia" w:eastAsiaTheme="minorEastAsia"/>
          <w:sz w:val="32"/>
          <w:szCs w:val="32"/>
          <w:lang w:eastAsia="zh-CN"/>
        </w:rPr>
      </w:pPr>
      <w:bookmarkStart w:id="100" w:name="_Toc15162"/>
      <w:r>
        <w:rPr>
          <w:rFonts w:hint="eastAsia" w:asciiTheme="minorEastAsia" w:hAnsiTheme="minorEastAsia"/>
          <w:sz w:val="32"/>
          <w:szCs w:val="32"/>
        </w:rPr>
        <w:t>承德燕山会计师事务所         中国注册会计师：</w:t>
      </w:r>
      <w:bookmarkEnd w:id="100"/>
      <w:r>
        <w:rPr>
          <w:rFonts w:hint="eastAsia" w:asciiTheme="minorEastAsia" w:hAnsiTheme="minorEastAsia"/>
          <w:sz w:val="32"/>
          <w:szCs w:val="32"/>
          <w:lang w:eastAsia="zh-CN"/>
        </w:rPr>
        <w:t>崔春华</w:t>
      </w:r>
    </w:p>
    <w:p>
      <w:pPr>
        <w:adjustRightInd w:val="0"/>
        <w:snapToGrid w:val="0"/>
        <w:spacing w:line="540" w:lineRule="exact"/>
        <w:ind w:firstLine="640" w:firstLineChars="200"/>
        <w:outlineLvl w:val="0"/>
        <w:rPr>
          <w:rFonts w:asciiTheme="minorEastAsia" w:hAnsiTheme="minorEastAsia"/>
          <w:sz w:val="32"/>
          <w:szCs w:val="32"/>
        </w:rPr>
      </w:pPr>
      <w:bookmarkStart w:id="101" w:name="_Toc14815"/>
      <w:r>
        <w:rPr>
          <w:rFonts w:hint="eastAsia" w:asciiTheme="minorEastAsia" w:hAnsiTheme="minorEastAsia"/>
          <w:sz w:val="32"/>
          <w:szCs w:val="32"/>
        </w:rPr>
        <w:t>有限责任公司</w:t>
      </w:r>
      <w:bookmarkEnd w:id="101"/>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eastAsiaTheme="minorEastAsia"/>
          <w:sz w:val="32"/>
          <w:szCs w:val="32"/>
          <w:lang w:eastAsia="zh-CN"/>
        </w:rPr>
      </w:pPr>
      <w:bookmarkStart w:id="102"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w:t>
      </w:r>
      <w:bookmarkEnd w:id="102"/>
      <w:r>
        <w:rPr>
          <w:rFonts w:hint="eastAsia" w:asciiTheme="minorEastAsia" w:hAnsiTheme="minorEastAsia"/>
          <w:sz w:val="32"/>
          <w:szCs w:val="32"/>
          <w:lang w:eastAsia="zh-CN"/>
        </w:rPr>
        <w:t>白秀云</w:t>
      </w:r>
    </w:p>
    <w:p>
      <w:pPr>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                              </w:t>
      </w:r>
    </w:p>
    <w:p>
      <w:pPr>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 </w:t>
      </w:r>
      <w:bookmarkStart w:id="103" w:name="_Toc29542"/>
      <w:r>
        <w:rPr>
          <w:rFonts w:hint="eastAsia" w:asciiTheme="minorEastAsia" w:hAnsiTheme="minorEastAsia"/>
          <w:sz w:val="32"/>
          <w:szCs w:val="32"/>
          <w:lang w:val="en-US" w:eastAsia="zh-CN"/>
        </w:rPr>
        <w:t xml:space="preserve">                          </w:t>
      </w:r>
    </w:p>
    <w:p>
      <w:pPr>
        <w:ind w:firstLine="4160" w:firstLineChars="1300"/>
        <w:rPr>
          <w:rFonts w:hint="eastAsia" w:asciiTheme="minorEastAsia" w:hAnsiTheme="minorEastAsia"/>
          <w:sz w:val="32"/>
          <w:szCs w:val="32"/>
          <w:lang w:val="en-US" w:eastAsia="zh-CN"/>
        </w:rPr>
      </w:pPr>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十二月二十八</w:t>
      </w:r>
      <w:r>
        <w:rPr>
          <w:rFonts w:hint="eastAsia" w:asciiTheme="minorEastAsia" w:hAnsiTheme="minorEastAsia"/>
          <w:sz w:val="32"/>
          <w:szCs w:val="32"/>
        </w:rPr>
        <w:t>日</w:t>
      </w:r>
      <w:bookmarkEnd w:id="103"/>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val="en-US" w:eastAsia="zh-CN"/>
        </w:rPr>
        <w:t>围场县环保局莫里莫村污水分支管网工程</w:t>
      </w:r>
      <w:r>
        <w:rPr>
          <w:rFonts w:hint="eastAsia" w:ascii="宋体" w:hAnsi="宋体" w:eastAsia="宋体" w:cs="宋体"/>
          <w:b/>
          <w:bCs/>
          <w:sz w:val="28"/>
          <w:szCs w:val="28"/>
          <w:highlight w:val="none"/>
          <w:lang w:eastAsia="zh-CN"/>
        </w:rPr>
        <w:t>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制定公示制度、建立公示平台、应该招标项目必须进行招标得3分，每缺少一项扣1分；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方案编制合理、可行得3分，每有一项不合理扣减0.5分；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、工程完工情况（10分）；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、工期控制情况（10分）；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、完工项目验收情况（10分）；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、社会环境（</w:t>
            </w:r>
            <w:r>
              <w:rPr>
                <w:rFonts w:hint="eastAsia" w:ascii="宋体" w:hAnsi="宋体" w:eastAsia="宋体" w:cs="宋体"/>
                <w:color w:val="000000"/>
                <w:sz w:val="24"/>
                <w:lang w:val="en-US" w:eastAsia="zh-CN"/>
              </w:rPr>
              <w:t>生态环境等</w:t>
            </w:r>
            <w:r>
              <w:rPr>
                <w:rFonts w:hint="eastAsia" w:ascii="宋体" w:hAnsi="宋体" w:eastAsia="宋体" w:cs="宋体"/>
                <w:color w:val="000000"/>
                <w:sz w:val="24"/>
              </w:rPr>
              <w:t>）改善情况（</w:t>
            </w:r>
            <w:r>
              <w:rPr>
                <w:rFonts w:hint="default" w:ascii="宋体" w:hAnsi="宋体" w:eastAsia="宋体" w:cs="宋体"/>
                <w:color w:val="000000"/>
                <w:sz w:val="24"/>
                <w:lang w:val="en-US"/>
              </w:rPr>
              <w:t>4</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eastAsia="zh-CN"/>
              </w:rPr>
            </w:pPr>
            <w:r>
              <w:rPr>
                <w:rFonts w:hint="eastAsia" w:ascii="仿宋" w:hAnsi="仿宋" w:eastAsia="仿宋"/>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18、</w:t>
            </w:r>
            <w:r>
              <w:rPr>
                <w:rFonts w:hint="eastAsia" w:ascii="宋体" w:hAnsi="宋体" w:eastAsia="宋体" w:cs="宋体"/>
                <w:color w:val="000000"/>
                <w:sz w:val="24"/>
                <w:szCs w:val="24"/>
                <w:lang w:val="en-US" w:eastAsia="zh-CN"/>
              </w:rPr>
              <w:t>项目建设带来的间接经济效益（7分）；</w:t>
            </w:r>
          </w:p>
        </w:tc>
        <w:tc>
          <w:tcPr>
            <w:tcW w:w="1207"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91</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37E3942"/>
    <w:rsid w:val="03906ECE"/>
    <w:rsid w:val="03B73450"/>
    <w:rsid w:val="047E3D7B"/>
    <w:rsid w:val="06B3136F"/>
    <w:rsid w:val="070B494D"/>
    <w:rsid w:val="09DF3A36"/>
    <w:rsid w:val="0A617961"/>
    <w:rsid w:val="0CF76258"/>
    <w:rsid w:val="0FF14209"/>
    <w:rsid w:val="105259B6"/>
    <w:rsid w:val="105E04DB"/>
    <w:rsid w:val="11CA6AB4"/>
    <w:rsid w:val="13426D82"/>
    <w:rsid w:val="1671287C"/>
    <w:rsid w:val="179E01C8"/>
    <w:rsid w:val="18B14196"/>
    <w:rsid w:val="19B12636"/>
    <w:rsid w:val="1C0818FD"/>
    <w:rsid w:val="1DCB30AC"/>
    <w:rsid w:val="1E3912B7"/>
    <w:rsid w:val="1F3109C5"/>
    <w:rsid w:val="21C358CA"/>
    <w:rsid w:val="23962522"/>
    <w:rsid w:val="27DD72F2"/>
    <w:rsid w:val="284D6241"/>
    <w:rsid w:val="2B284D4B"/>
    <w:rsid w:val="2C137100"/>
    <w:rsid w:val="30321615"/>
    <w:rsid w:val="30B109B9"/>
    <w:rsid w:val="32432FD1"/>
    <w:rsid w:val="327F7BC1"/>
    <w:rsid w:val="353C320E"/>
    <w:rsid w:val="39FB1AB6"/>
    <w:rsid w:val="3B943A5F"/>
    <w:rsid w:val="3BB5552B"/>
    <w:rsid w:val="3D7533AC"/>
    <w:rsid w:val="3EAC234E"/>
    <w:rsid w:val="3EE432ED"/>
    <w:rsid w:val="41A52C9E"/>
    <w:rsid w:val="46437D54"/>
    <w:rsid w:val="47C37A03"/>
    <w:rsid w:val="48771478"/>
    <w:rsid w:val="4A924A90"/>
    <w:rsid w:val="4D3B3776"/>
    <w:rsid w:val="4DF57240"/>
    <w:rsid w:val="4F5D274A"/>
    <w:rsid w:val="54252E1D"/>
    <w:rsid w:val="55881BB6"/>
    <w:rsid w:val="569318BE"/>
    <w:rsid w:val="577B4A42"/>
    <w:rsid w:val="58266E33"/>
    <w:rsid w:val="587B74D2"/>
    <w:rsid w:val="64BA2254"/>
    <w:rsid w:val="66B053DA"/>
    <w:rsid w:val="68FC5ADB"/>
    <w:rsid w:val="710016B0"/>
    <w:rsid w:val="715D23BA"/>
    <w:rsid w:val="75840E38"/>
    <w:rsid w:val="772B6771"/>
    <w:rsid w:val="777C5445"/>
    <w:rsid w:val="77942E89"/>
    <w:rsid w:val="77AB17FD"/>
    <w:rsid w:val="7D87276F"/>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qFormat/>
    <w:uiPriority w:val="99"/>
    <w:pPr>
      <w:ind w:firstLine="420"/>
    </w:pPr>
  </w:style>
  <w:style w:type="paragraph" w:styleId="16">
    <w:name w:val="List Paragraph"/>
    <w:basedOn w:val="1"/>
    <w:unhideWhenUsed/>
    <w:qFormat/>
    <w:uiPriority w:val="99"/>
    <w:pPr>
      <w:ind w:firstLine="420" w:firstLineChars="200"/>
    </w:p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2023-12-28T01:24:00Z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A24BF2947A004C2EBDEC326D06B080DF</vt:lpwstr>
  </property>
</Properties>
</file>