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围场县机关事务管理局公共事务服务中心业务大厅维修改造项目</w:t>
      </w: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（一般债券资金）</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绩效评价报告</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pStyle w:val="15"/>
        <w:ind w:firstLine="964" w:firstLineChars="300"/>
        <w:jc w:val="both"/>
        <w:rPr>
          <w:rFonts w:hint="eastAsia"/>
          <w:b/>
          <w:bCs/>
          <w:sz w:val="32"/>
          <w:szCs w:val="32"/>
          <w:u w:val="single"/>
          <w:lang w:val="en-US" w:eastAsia="zh-CN"/>
        </w:rPr>
      </w:pPr>
      <w:r>
        <w:rPr>
          <w:rFonts w:hint="eastAsia"/>
          <w:b/>
          <w:bCs/>
          <w:sz w:val="32"/>
          <w:szCs w:val="32"/>
          <w:lang w:val="en-US" w:eastAsia="zh-CN"/>
        </w:rPr>
        <w:t>编制机构：</w:t>
      </w:r>
      <w:r>
        <w:rPr>
          <w:rFonts w:hint="eastAsia" w:asciiTheme="minorHAnsi" w:hAnsiTheme="minorHAnsi" w:eastAsiaTheme="minorEastAsia" w:cstheme="minorBidi"/>
          <w:b/>
          <w:bCs/>
          <w:kern w:val="2"/>
          <w:sz w:val="32"/>
          <w:szCs w:val="32"/>
          <w:u w:val="single"/>
          <w:lang w:val="en-US" w:eastAsia="zh-CN" w:bidi="ar-SA"/>
        </w:rPr>
        <w:t>承德燕山会计师事务所有限责任公司</w:t>
      </w:r>
    </w:p>
    <w:p>
      <w:pPr>
        <w:ind w:firstLine="964" w:firstLineChars="300"/>
        <w:jc w:val="both"/>
        <w:rPr>
          <w:rFonts w:hint="eastAsia" w:asciiTheme="minorEastAsia" w:hAnsiTheme="minorEastAsia" w:eastAsiaTheme="minorEastAsia" w:cstheme="minorEastAsia"/>
          <w:b/>
          <w:bCs/>
          <w:sz w:val="32"/>
          <w:szCs w:val="32"/>
          <w:u w:val="none"/>
          <w:lang w:val="en-US" w:eastAsia="zh-CN"/>
        </w:rPr>
      </w:pPr>
      <w:r>
        <w:rPr>
          <w:rFonts w:hint="eastAsia"/>
          <w:b/>
          <w:bCs/>
          <w:sz w:val="32"/>
          <w:szCs w:val="32"/>
          <w:lang w:val="en-US" w:eastAsia="zh-CN"/>
        </w:rPr>
        <w:t>编制时间：</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lang w:val="en-US" w:eastAsia="zh-CN"/>
        </w:rPr>
        <w:t>202</w:t>
      </w:r>
      <w:r>
        <w:rPr>
          <w:rFonts w:hint="default" w:asciiTheme="minorEastAsia" w:hAnsiTheme="minorEastAsia" w:cstheme="minorEastAsia"/>
          <w:b/>
          <w:bCs/>
          <w:sz w:val="32"/>
          <w:szCs w:val="32"/>
          <w:u w:val="single"/>
          <w:lang w:val="en-US" w:eastAsia="zh-CN"/>
        </w:rPr>
        <w:t>0</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年</w:t>
      </w:r>
      <w:r>
        <w:rPr>
          <w:rFonts w:hint="eastAsia" w:asciiTheme="minorEastAsia" w:hAnsiTheme="minorEastAsia" w:eastAsiaTheme="minorEastAsia" w:cstheme="minorEastAsia"/>
          <w:b/>
          <w:bCs/>
          <w:sz w:val="32"/>
          <w:szCs w:val="32"/>
          <w:u w:val="single"/>
          <w:lang w:val="en-US" w:eastAsia="zh-CN"/>
        </w:rPr>
        <w:t xml:space="preserve">  </w:t>
      </w:r>
      <w:r>
        <w:rPr>
          <w:rFonts w:hint="default" w:asciiTheme="minorEastAsia" w:hAnsiTheme="minorEastAsia" w:cstheme="minorEastAsia"/>
          <w:b/>
          <w:bCs/>
          <w:sz w:val="32"/>
          <w:szCs w:val="32"/>
          <w:u w:val="single"/>
          <w:lang w:val="en-US" w:eastAsia="zh-CN"/>
        </w:rPr>
        <w:t>12</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月</w:t>
      </w:r>
      <w:r>
        <w:rPr>
          <w:rFonts w:hint="eastAsia" w:asciiTheme="minorEastAsia" w:hAnsiTheme="minorEastAsia" w:eastAsiaTheme="minorEastAsia" w:cstheme="minorEastAsia"/>
          <w:b/>
          <w:bCs/>
          <w:sz w:val="32"/>
          <w:szCs w:val="32"/>
          <w:u w:val="single"/>
          <w:lang w:val="en-US" w:eastAsia="zh-CN"/>
        </w:rPr>
        <w:t xml:space="preserve">  </w:t>
      </w:r>
      <w:r>
        <w:rPr>
          <w:rFonts w:hint="default" w:asciiTheme="minorEastAsia" w:hAnsiTheme="minorEastAsia" w:cstheme="minorEastAsia"/>
          <w:b/>
          <w:bCs/>
          <w:sz w:val="32"/>
          <w:szCs w:val="32"/>
          <w:u w:val="single"/>
          <w:lang w:val="en-US" w:eastAsia="zh-CN"/>
        </w:rPr>
        <w:t>25</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日</w:t>
      </w: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rFonts w:hint="eastAsia" w:eastAsiaTheme="minorEastAsia"/>
          <w:sz w:val="32"/>
          <w:szCs w:val="32"/>
          <w:lang w:eastAsia="zh-CN"/>
        </w:rPr>
      </w:pPr>
      <w:r>
        <w:rPr>
          <w:rFonts w:hint="eastAsia"/>
          <w:sz w:val="32"/>
          <w:szCs w:val="32"/>
          <w:lang w:eastAsia="zh-CN"/>
        </w:rPr>
        <w:t>受托</w:t>
      </w:r>
      <w:r>
        <w:rPr>
          <w:rFonts w:hint="eastAsia"/>
          <w:sz w:val="32"/>
          <w:szCs w:val="32"/>
        </w:rPr>
        <w:t>单位：承德</w:t>
      </w:r>
      <w:r>
        <w:rPr>
          <w:rFonts w:hint="eastAsia"/>
          <w:sz w:val="32"/>
          <w:szCs w:val="32"/>
          <w:lang w:eastAsia="zh-CN"/>
        </w:rPr>
        <w:t>燕山会计师事务所有限责任公司</w:t>
      </w:r>
    </w:p>
    <w:p>
      <w:pPr>
        <w:ind w:firstLine="960" w:firstLineChars="300"/>
        <w:rPr>
          <w:sz w:val="32"/>
          <w:szCs w:val="32"/>
        </w:rPr>
      </w:pPr>
      <w:r>
        <w:rPr>
          <w:rFonts w:hint="eastAsia"/>
          <w:sz w:val="32"/>
          <w:szCs w:val="32"/>
        </w:rPr>
        <w:t>报告文号：承燕会所审专字（202</w:t>
      </w:r>
      <w:r>
        <w:rPr>
          <w:rFonts w:hint="default"/>
          <w:sz w:val="32"/>
          <w:szCs w:val="32"/>
          <w:lang w:val="en-US"/>
        </w:rPr>
        <w:t>0</w:t>
      </w:r>
      <w:r>
        <w:rPr>
          <w:rFonts w:hint="eastAsia"/>
          <w:sz w:val="32"/>
          <w:szCs w:val="32"/>
        </w:rPr>
        <w:t>）第</w:t>
      </w:r>
      <w:r>
        <w:rPr>
          <w:rFonts w:hint="default"/>
          <w:sz w:val="32"/>
          <w:szCs w:val="32"/>
          <w:lang w:val="en-US" w:eastAsia="zh-CN"/>
        </w:rPr>
        <w:t>248</w:t>
      </w:r>
      <w:r>
        <w:rPr>
          <w:rFonts w:hint="eastAsia"/>
          <w:sz w:val="32"/>
          <w:szCs w:val="32"/>
        </w:rPr>
        <w:t>号</w:t>
      </w:r>
    </w:p>
    <w:p>
      <w:pPr>
        <w:ind w:firstLine="960" w:firstLineChars="300"/>
        <w:rPr>
          <w:rFonts w:hint="default" w:eastAsiaTheme="minorEastAsia"/>
          <w:sz w:val="32"/>
          <w:szCs w:val="32"/>
          <w:lang w:val="en-US" w:eastAsia="zh-CN"/>
        </w:rPr>
      </w:pPr>
      <w:r>
        <w:rPr>
          <w:rFonts w:hint="eastAsia"/>
          <w:sz w:val="32"/>
          <w:szCs w:val="32"/>
        </w:rPr>
        <w:t>报告日期：202</w:t>
      </w:r>
      <w:r>
        <w:rPr>
          <w:rFonts w:hint="default"/>
          <w:sz w:val="32"/>
          <w:szCs w:val="32"/>
          <w:lang w:val="en-US"/>
        </w:rPr>
        <w:t>0</w:t>
      </w:r>
      <w:r>
        <w:rPr>
          <w:rFonts w:hint="eastAsia"/>
          <w:sz w:val="32"/>
          <w:szCs w:val="32"/>
        </w:rPr>
        <w:t>-</w:t>
      </w:r>
      <w:r>
        <w:rPr>
          <w:rFonts w:hint="default"/>
          <w:sz w:val="32"/>
          <w:szCs w:val="32"/>
          <w:lang w:val="en-US"/>
        </w:rPr>
        <w:t>12</w:t>
      </w:r>
      <w:r>
        <w:rPr>
          <w:rFonts w:hint="eastAsia"/>
          <w:sz w:val="32"/>
          <w:szCs w:val="32"/>
        </w:rPr>
        <w:t>-</w:t>
      </w:r>
      <w:r>
        <w:rPr>
          <w:rFonts w:hint="default"/>
          <w:sz w:val="32"/>
          <w:szCs w:val="32"/>
          <w:lang w:val="en-US"/>
        </w:rPr>
        <w:t>25</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jc w:val="both"/>
        <w:rPr>
          <w:rFonts w:hint="eastAsia" w:ascii="宋体" w:hAnsi="宋体" w:eastAsia="宋体" w:cs="宋体"/>
          <w:b/>
          <w:bCs/>
          <w:sz w:val="32"/>
          <w:szCs w:val="32"/>
          <w:lang w:eastAsia="zh-CN"/>
        </w:rPr>
      </w:pPr>
      <w:r>
        <w:rPr>
          <w:rFonts w:hint="eastAsia"/>
          <w:sz w:val="30"/>
          <w:szCs w:val="30"/>
        </w:rPr>
        <w:t>联系电话：0314-2021210/2282221</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spacing w:line="440" w:lineRule="exact"/>
        <w:rPr>
          <w:rFonts w:hint="eastAsia" w:ascii="仿宋" w:hAnsi="仿宋" w:eastAsia="仿宋"/>
          <w:b/>
          <w:bCs/>
          <w:sz w:val="28"/>
          <w:szCs w:val="28"/>
        </w:rPr>
        <w:sectPr>
          <w:footerReference r:id="rId4" w:type="default"/>
          <w:pgSz w:w="11906" w:h="16838"/>
          <w:pgMar w:top="1440" w:right="1800" w:bottom="1440" w:left="1800" w:header="851" w:footer="992" w:gutter="0"/>
          <w:pgNumType w:fmt="decimal"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v:imagedata r:id="rId9" o:title=""/>
            <o:lock v:ext="edit" aspectratio="t"/>
            <w10:wrap type="square"/>
          </v:shape>
          <o:OLEObject Type="Embed" ProgID="" ShapeID="_x0000_s1026" DrawAspect="Content" ObjectID="_1468075725" r:id="rId8">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10" w:firstLineChars="2100"/>
        <w:rPr>
          <w:rFonts w:ascii="仿宋" w:hAnsi="仿宋" w:eastAsia="仿宋" w:cs="仿宋_GB2312"/>
          <w:b/>
          <w:bCs/>
          <w:sz w:val="36"/>
          <w:szCs w:val="36"/>
        </w:rPr>
      </w:pPr>
      <w:bookmarkStart w:id="97" w:name="_GoBack"/>
      <w:bookmarkEnd w:id="97"/>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w:t>
      </w:r>
      <w:r>
        <w:rPr>
          <w:rFonts w:hint="eastAsia" w:ascii="仿宋" w:hAnsi="仿宋" w:eastAsia="仿宋"/>
          <w:b/>
          <w:sz w:val="24"/>
          <w:lang w:eastAsia="zh-CN"/>
        </w:rPr>
        <w:t>专</w:t>
      </w:r>
      <w:r>
        <w:rPr>
          <w:rFonts w:hint="eastAsia" w:ascii="仿宋" w:hAnsi="仿宋" w:eastAsia="仿宋"/>
          <w:b/>
          <w:sz w:val="24"/>
        </w:rPr>
        <w:t>字（202</w:t>
      </w:r>
      <w:r>
        <w:rPr>
          <w:rFonts w:hint="default" w:ascii="仿宋" w:hAnsi="仿宋" w:eastAsia="仿宋"/>
          <w:b/>
          <w:sz w:val="24"/>
          <w:lang w:val="en-US"/>
        </w:rPr>
        <w:t>0</w:t>
      </w:r>
      <w:r>
        <w:rPr>
          <w:rFonts w:hint="eastAsia" w:ascii="仿宋" w:hAnsi="仿宋" w:eastAsia="仿宋"/>
          <w:b/>
          <w:sz w:val="24"/>
        </w:rPr>
        <w:t>）第</w:t>
      </w:r>
      <w:r>
        <w:rPr>
          <w:rFonts w:hint="default" w:ascii="仿宋" w:hAnsi="仿宋" w:eastAsia="仿宋"/>
          <w:b/>
          <w:sz w:val="24"/>
          <w:lang w:val="en-US" w:eastAsia="zh-CN"/>
        </w:rPr>
        <w:t>248</w:t>
      </w:r>
      <w:r>
        <w:rPr>
          <w:rFonts w:hint="eastAsia" w:ascii="仿宋" w:hAnsi="仿宋" w:eastAsia="仿宋"/>
          <w:b/>
          <w:sz w:val="24"/>
        </w:rPr>
        <w:t>号</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sdt>
      <w:sdtPr>
        <w:rPr>
          <w:rFonts w:ascii="宋体" w:hAnsi="宋体" w:eastAsia="宋体" w:cstheme="minorBidi"/>
          <w:kern w:val="2"/>
          <w:sz w:val="28"/>
          <w:szCs w:val="28"/>
          <w:lang w:val="en-US" w:eastAsia="zh-CN" w:bidi="ar-SA"/>
        </w:rPr>
        <w:id w:val="147470155"/>
        <w15:color w:val="DBDBDB"/>
        <w:docPartObj>
          <w:docPartGallery w:val="Table of Contents"/>
          <w:docPartUnique/>
        </w:docPartObj>
      </w:sdtPr>
      <w:sdtEndPr>
        <w:rPr>
          <w:rFonts w:hint="eastAsia" w:ascii="宋体" w:hAnsi="宋体" w:eastAsia="宋体" w:cs="宋体"/>
          <w:b/>
          <w:bCs/>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9"/>
            <w:tabs>
              <w:tab w:val="right" w:leader="dot" w:pos="8306"/>
            </w:tabs>
            <w:rPr>
              <w:sz w:val="28"/>
              <w:szCs w:val="28"/>
            </w:rPr>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TOC \o "1-2" \h \u </w:instrText>
          </w:r>
          <w:r>
            <w:rPr>
              <w:rFonts w:hint="eastAsia" w:ascii="宋体" w:hAnsi="宋体" w:eastAsia="宋体" w:cs="宋体"/>
              <w:b/>
              <w:bCs/>
              <w:sz w:val="28"/>
              <w:szCs w:val="28"/>
              <w:lang w:eastAsia="zh-CN"/>
            </w:rPr>
            <w:fldChar w:fldCharType="separate"/>
          </w: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_Toc5018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rPr>
            <w:t>一、项目基本</w:t>
          </w:r>
          <w:r>
            <w:rPr>
              <w:rFonts w:hint="eastAsia" w:ascii="黑体" w:hAnsi="黑体" w:eastAsia="黑体" w:cs="黑体"/>
              <w:bCs w:val="0"/>
              <w:sz w:val="28"/>
              <w:szCs w:val="28"/>
              <w:lang w:eastAsia="zh-CN"/>
            </w:rPr>
            <w:t>情况</w:t>
          </w:r>
          <w:r>
            <w:rPr>
              <w:sz w:val="28"/>
              <w:szCs w:val="28"/>
            </w:rPr>
            <w:tab/>
          </w:r>
          <w:r>
            <w:rPr>
              <w:sz w:val="28"/>
              <w:szCs w:val="28"/>
            </w:rPr>
            <w:fldChar w:fldCharType="begin"/>
          </w:r>
          <w:r>
            <w:rPr>
              <w:sz w:val="28"/>
              <w:szCs w:val="28"/>
            </w:rPr>
            <w:instrText xml:space="preserve"> PAGEREF _Toc5018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_Toc7281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rPr>
            <w:t>（一）项目</w:t>
          </w:r>
          <w:r>
            <w:rPr>
              <w:rFonts w:hint="eastAsia" w:ascii="楷体" w:hAnsi="楷体" w:eastAsia="楷体" w:cs="楷体"/>
              <w:bCs w:val="0"/>
              <w:sz w:val="28"/>
              <w:szCs w:val="28"/>
              <w:lang w:eastAsia="zh-CN"/>
            </w:rPr>
            <w:t>概况</w:t>
          </w:r>
          <w:r>
            <w:rPr>
              <w:sz w:val="28"/>
              <w:szCs w:val="28"/>
            </w:rPr>
            <w:tab/>
          </w:r>
          <w:r>
            <w:rPr>
              <w:sz w:val="28"/>
              <w:szCs w:val="28"/>
            </w:rPr>
            <w:fldChar w:fldCharType="begin"/>
          </w:r>
          <w:r>
            <w:rPr>
              <w:sz w:val="28"/>
              <w:szCs w:val="28"/>
            </w:rPr>
            <w:instrText xml:space="preserve"> PAGEREF _Toc7281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_Toc11928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highlight w:val="none"/>
              <w:lang w:val="en-US" w:eastAsia="zh-CN"/>
            </w:rPr>
            <w:t>（二）项目绩效目标</w:t>
          </w:r>
          <w:r>
            <w:rPr>
              <w:sz w:val="28"/>
              <w:szCs w:val="28"/>
            </w:rPr>
            <w:tab/>
          </w:r>
          <w:r>
            <w:rPr>
              <w:sz w:val="28"/>
              <w:szCs w:val="28"/>
            </w:rPr>
            <w:fldChar w:fldCharType="begin"/>
          </w:r>
          <w:r>
            <w:rPr>
              <w:sz w:val="28"/>
              <w:szCs w:val="28"/>
            </w:rPr>
            <w:instrText xml:space="preserve"> PAGEREF _Toc11928 </w:instrText>
          </w:r>
          <w:r>
            <w:rPr>
              <w:sz w:val="28"/>
              <w:szCs w:val="28"/>
            </w:rPr>
            <w:fldChar w:fldCharType="separate"/>
          </w:r>
          <w:r>
            <w:rPr>
              <w:sz w:val="28"/>
              <w:szCs w:val="28"/>
            </w:rPr>
            <w:t>3</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_Toc31769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（三）评价对象和时段</w:t>
          </w:r>
          <w:r>
            <w:rPr>
              <w:sz w:val="28"/>
              <w:szCs w:val="28"/>
            </w:rPr>
            <w:tab/>
          </w:r>
          <w:r>
            <w:rPr>
              <w:sz w:val="28"/>
              <w:szCs w:val="28"/>
            </w:rPr>
            <w:fldChar w:fldCharType="begin"/>
          </w:r>
          <w:r>
            <w:rPr>
              <w:sz w:val="28"/>
              <w:szCs w:val="28"/>
            </w:rPr>
            <w:instrText xml:space="preserve"> PAGEREF _Toc31769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_Toc24223 </w:instrText>
          </w:r>
          <w:r>
            <w:rPr>
              <w:rFonts w:hint="eastAsia" w:ascii="宋体" w:hAnsi="宋体" w:eastAsia="宋体" w:cs="宋体"/>
              <w:bCs/>
              <w:sz w:val="28"/>
              <w:szCs w:val="28"/>
              <w:lang w:eastAsia="zh-CN"/>
            </w:rPr>
            <w:fldChar w:fldCharType="separate"/>
          </w:r>
          <w:r>
            <w:rPr>
              <w:rFonts w:hint="eastAsia" w:ascii="黑体" w:hAnsi="黑体" w:eastAsia="黑体" w:cs="黑体"/>
              <w:bCs/>
              <w:sz w:val="28"/>
              <w:szCs w:val="28"/>
              <w:lang w:val="en-US" w:eastAsia="zh-CN"/>
            </w:rPr>
            <w:t>二、绩效评价工作开展情况</w:t>
          </w:r>
          <w:r>
            <w:rPr>
              <w:sz w:val="28"/>
              <w:szCs w:val="28"/>
            </w:rPr>
            <w:tab/>
          </w:r>
          <w:r>
            <w:rPr>
              <w:sz w:val="28"/>
              <w:szCs w:val="28"/>
            </w:rPr>
            <w:fldChar w:fldCharType="begin"/>
          </w:r>
          <w:r>
            <w:rPr>
              <w:sz w:val="28"/>
              <w:szCs w:val="28"/>
            </w:rPr>
            <w:instrText xml:space="preserve"> PAGEREF _Toc24223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_Toc31559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（一）绩效评价指标权重和绩效评价指标体系</w:t>
          </w:r>
          <w:r>
            <w:rPr>
              <w:sz w:val="28"/>
              <w:szCs w:val="28"/>
            </w:rPr>
            <w:tab/>
          </w:r>
          <w:r>
            <w:rPr>
              <w:sz w:val="28"/>
              <w:szCs w:val="28"/>
            </w:rPr>
            <w:fldChar w:fldCharType="begin"/>
          </w:r>
          <w:r>
            <w:rPr>
              <w:sz w:val="28"/>
              <w:szCs w:val="28"/>
            </w:rPr>
            <w:instrText xml:space="preserve"> PAGEREF _Toc31559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_Toc32594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bidi="ar-SA"/>
            </w:rPr>
            <w:t>（二）绩效评价目的和依据</w:t>
          </w:r>
          <w:r>
            <w:rPr>
              <w:sz w:val="28"/>
              <w:szCs w:val="28"/>
            </w:rPr>
            <w:tab/>
          </w:r>
          <w:r>
            <w:rPr>
              <w:sz w:val="28"/>
              <w:szCs w:val="28"/>
            </w:rPr>
            <w:fldChar w:fldCharType="begin"/>
          </w:r>
          <w:r>
            <w:rPr>
              <w:sz w:val="28"/>
              <w:szCs w:val="28"/>
            </w:rPr>
            <w:instrText xml:space="preserve"> PAGEREF _Toc32594 </w:instrText>
          </w:r>
          <w:r>
            <w:rPr>
              <w:sz w:val="28"/>
              <w:szCs w:val="28"/>
            </w:rPr>
            <w:fldChar w:fldCharType="separate"/>
          </w:r>
          <w:r>
            <w:rPr>
              <w:sz w:val="28"/>
              <w:szCs w:val="28"/>
            </w:rPr>
            <w:t>7</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_Toc12571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（三）绩效评价工作内容和范围</w:t>
          </w:r>
          <w:r>
            <w:rPr>
              <w:sz w:val="28"/>
              <w:szCs w:val="28"/>
            </w:rPr>
            <w:tab/>
          </w:r>
          <w:r>
            <w:rPr>
              <w:sz w:val="28"/>
              <w:szCs w:val="28"/>
            </w:rPr>
            <w:fldChar w:fldCharType="begin"/>
          </w:r>
          <w:r>
            <w:rPr>
              <w:sz w:val="28"/>
              <w:szCs w:val="28"/>
            </w:rPr>
            <w:instrText xml:space="preserve"> PAGEREF _Toc12571 </w:instrText>
          </w:r>
          <w:r>
            <w:rPr>
              <w:sz w:val="28"/>
              <w:szCs w:val="28"/>
            </w:rPr>
            <w:fldChar w:fldCharType="separate"/>
          </w:r>
          <w:r>
            <w:rPr>
              <w:sz w:val="28"/>
              <w:szCs w:val="28"/>
            </w:rPr>
            <w:t>11</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_Toc15925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（四）绩效评价标准和方法</w:t>
          </w:r>
          <w:r>
            <w:rPr>
              <w:sz w:val="28"/>
              <w:szCs w:val="28"/>
            </w:rPr>
            <w:tab/>
          </w:r>
          <w:r>
            <w:rPr>
              <w:sz w:val="28"/>
              <w:szCs w:val="28"/>
            </w:rPr>
            <w:fldChar w:fldCharType="begin"/>
          </w:r>
          <w:r>
            <w:rPr>
              <w:sz w:val="28"/>
              <w:szCs w:val="28"/>
            </w:rPr>
            <w:instrText xml:space="preserve"> PAGEREF _Toc15925 </w:instrText>
          </w:r>
          <w:r>
            <w:rPr>
              <w:sz w:val="28"/>
              <w:szCs w:val="28"/>
            </w:rPr>
            <w:fldChar w:fldCharType="separate"/>
          </w:r>
          <w:r>
            <w:rPr>
              <w:sz w:val="28"/>
              <w:szCs w:val="28"/>
            </w:rPr>
            <w:t>11</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_Toc23289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（五）绩效评价工作过程</w:t>
          </w:r>
          <w:r>
            <w:rPr>
              <w:sz w:val="28"/>
              <w:szCs w:val="28"/>
            </w:rPr>
            <w:tab/>
          </w:r>
          <w:r>
            <w:rPr>
              <w:sz w:val="28"/>
              <w:szCs w:val="28"/>
            </w:rPr>
            <w:fldChar w:fldCharType="begin"/>
          </w:r>
          <w:r>
            <w:rPr>
              <w:sz w:val="28"/>
              <w:szCs w:val="28"/>
            </w:rPr>
            <w:instrText xml:space="preserve"> PAGEREF _Toc23289 </w:instrText>
          </w:r>
          <w:r>
            <w:rPr>
              <w:sz w:val="28"/>
              <w:szCs w:val="28"/>
            </w:rPr>
            <w:fldChar w:fldCharType="separate"/>
          </w:r>
          <w:r>
            <w:rPr>
              <w:sz w:val="28"/>
              <w:szCs w:val="28"/>
            </w:rPr>
            <w:t>13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_Toc23038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lang w:eastAsia="zh-CN"/>
            </w:rPr>
            <w:t>三、</w:t>
          </w:r>
          <w:r>
            <w:rPr>
              <w:rFonts w:hint="eastAsia" w:ascii="黑体" w:hAnsi="黑体" w:eastAsia="黑体" w:cs="黑体"/>
              <w:kern w:val="2"/>
              <w:sz w:val="28"/>
              <w:szCs w:val="28"/>
              <w:highlight w:val="none"/>
              <w:lang w:val="en-US" w:eastAsia="zh-CN" w:bidi="ar-SA"/>
            </w:rPr>
            <w:t>项目实施及资金使用情况</w:t>
          </w:r>
          <w:r>
            <w:rPr>
              <w:sz w:val="28"/>
              <w:szCs w:val="28"/>
            </w:rPr>
            <w:tab/>
          </w:r>
          <w:r>
            <w:rPr>
              <w:sz w:val="28"/>
              <w:szCs w:val="28"/>
            </w:rPr>
            <w:fldChar w:fldCharType="begin"/>
          </w:r>
          <w:r>
            <w:rPr>
              <w:sz w:val="28"/>
              <w:szCs w:val="28"/>
            </w:rPr>
            <w:instrText xml:space="preserve"> PAGEREF _Toc23038 </w:instrText>
          </w:r>
          <w:r>
            <w:rPr>
              <w:sz w:val="28"/>
              <w:szCs w:val="28"/>
            </w:rPr>
            <w:fldChar w:fldCharType="separate"/>
          </w:r>
          <w:r>
            <w:rPr>
              <w:sz w:val="28"/>
              <w:szCs w:val="28"/>
            </w:rPr>
            <w:t>16</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_Toc901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（一）项目实施情况</w:t>
          </w:r>
          <w:r>
            <w:rPr>
              <w:sz w:val="28"/>
              <w:szCs w:val="28"/>
            </w:rPr>
            <w:tab/>
          </w:r>
          <w:r>
            <w:rPr>
              <w:sz w:val="28"/>
              <w:szCs w:val="28"/>
            </w:rPr>
            <w:fldChar w:fldCharType="begin"/>
          </w:r>
          <w:r>
            <w:rPr>
              <w:sz w:val="28"/>
              <w:szCs w:val="28"/>
            </w:rPr>
            <w:instrText xml:space="preserve"> PAGEREF _Toc901 </w:instrText>
          </w:r>
          <w:r>
            <w:rPr>
              <w:sz w:val="28"/>
              <w:szCs w:val="28"/>
            </w:rPr>
            <w:fldChar w:fldCharType="separate"/>
          </w:r>
          <w:r>
            <w:rPr>
              <w:sz w:val="28"/>
              <w:szCs w:val="28"/>
            </w:rPr>
            <w:t>16</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_Toc23089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（二）资金使用情况</w:t>
          </w:r>
          <w:r>
            <w:rPr>
              <w:sz w:val="28"/>
              <w:szCs w:val="28"/>
            </w:rPr>
            <w:tab/>
          </w:r>
          <w:r>
            <w:rPr>
              <w:sz w:val="28"/>
              <w:szCs w:val="28"/>
            </w:rPr>
            <w:fldChar w:fldCharType="begin"/>
          </w:r>
          <w:r>
            <w:rPr>
              <w:sz w:val="28"/>
              <w:szCs w:val="28"/>
            </w:rPr>
            <w:instrText xml:space="preserve"> PAGEREF _Toc23089 </w:instrText>
          </w:r>
          <w:r>
            <w:rPr>
              <w:sz w:val="28"/>
              <w:szCs w:val="28"/>
            </w:rPr>
            <w:fldChar w:fldCharType="separate"/>
          </w:r>
          <w:r>
            <w:rPr>
              <w:sz w:val="28"/>
              <w:szCs w:val="28"/>
            </w:rPr>
            <w:t>17</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_Toc7641 </w:instrText>
          </w:r>
          <w:r>
            <w:rPr>
              <w:rFonts w:hint="eastAsia" w:ascii="宋体" w:hAnsi="宋体" w:eastAsia="宋体" w:cs="宋体"/>
              <w:bCs/>
              <w:sz w:val="28"/>
              <w:szCs w:val="28"/>
              <w:lang w:eastAsia="zh-CN"/>
            </w:rPr>
            <w:fldChar w:fldCharType="separate"/>
          </w:r>
          <w:r>
            <w:rPr>
              <w:rFonts w:hint="eastAsia" w:ascii="黑体" w:hAnsi="黑体" w:eastAsia="黑体" w:cs="黑体"/>
              <w:kern w:val="2"/>
              <w:sz w:val="28"/>
              <w:szCs w:val="28"/>
              <w:lang w:val="en-US" w:eastAsia="zh-CN" w:bidi="ar-SA"/>
            </w:rPr>
            <w:t>四、</w:t>
          </w:r>
          <w:r>
            <w:rPr>
              <w:rFonts w:hint="eastAsia" w:ascii="黑体" w:hAnsi="黑体" w:eastAsia="黑体" w:cs="黑体"/>
              <w:sz w:val="28"/>
              <w:szCs w:val="28"/>
              <w:lang w:val="en-US" w:eastAsia="zh-CN"/>
            </w:rPr>
            <w:t>绩效评价分析与结论</w:t>
          </w:r>
          <w:r>
            <w:rPr>
              <w:sz w:val="28"/>
              <w:szCs w:val="28"/>
            </w:rPr>
            <w:tab/>
          </w:r>
          <w:r>
            <w:rPr>
              <w:sz w:val="28"/>
              <w:szCs w:val="28"/>
            </w:rPr>
            <w:fldChar w:fldCharType="begin"/>
          </w:r>
          <w:r>
            <w:rPr>
              <w:sz w:val="28"/>
              <w:szCs w:val="28"/>
            </w:rPr>
            <w:instrText xml:space="preserve"> PAGEREF _Toc7641 </w:instrText>
          </w:r>
          <w:r>
            <w:rPr>
              <w:sz w:val="28"/>
              <w:szCs w:val="28"/>
            </w:rPr>
            <w:fldChar w:fldCharType="separate"/>
          </w:r>
          <w:r>
            <w:rPr>
              <w:sz w:val="28"/>
              <w:szCs w:val="28"/>
            </w:rPr>
            <w:t>18</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_Toc30607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rPr>
            <w:t>（一）绩效评价分析</w:t>
          </w:r>
          <w:r>
            <w:rPr>
              <w:sz w:val="28"/>
              <w:szCs w:val="28"/>
            </w:rPr>
            <w:tab/>
          </w:r>
          <w:r>
            <w:rPr>
              <w:sz w:val="28"/>
              <w:szCs w:val="28"/>
            </w:rPr>
            <w:fldChar w:fldCharType="begin"/>
          </w:r>
          <w:r>
            <w:rPr>
              <w:sz w:val="28"/>
              <w:szCs w:val="28"/>
            </w:rPr>
            <w:instrText xml:space="preserve"> PAGEREF _Toc30607 </w:instrText>
          </w:r>
          <w:r>
            <w:rPr>
              <w:sz w:val="28"/>
              <w:szCs w:val="28"/>
            </w:rPr>
            <w:fldChar w:fldCharType="separate"/>
          </w:r>
          <w:r>
            <w:rPr>
              <w:sz w:val="28"/>
              <w:szCs w:val="28"/>
            </w:rPr>
            <w:t>18</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_Toc18768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eastAsia="zh-CN"/>
            </w:rPr>
            <w:t>（二）绩效评价结论</w:t>
          </w:r>
          <w:r>
            <w:rPr>
              <w:sz w:val="28"/>
              <w:szCs w:val="28"/>
            </w:rPr>
            <w:tab/>
          </w:r>
          <w:r>
            <w:rPr>
              <w:sz w:val="28"/>
              <w:szCs w:val="28"/>
            </w:rPr>
            <w:fldChar w:fldCharType="begin"/>
          </w:r>
          <w:r>
            <w:rPr>
              <w:sz w:val="28"/>
              <w:szCs w:val="28"/>
            </w:rPr>
            <w:instrText xml:space="preserve"> PAGEREF _Toc18768 </w:instrText>
          </w:r>
          <w:r>
            <w:rPr>
              <w:sz w:val="28"/>
              <w:szCs w:val="28"/>
            </w:rPr>
            <w:fldChar w:fldCharType="separate"/>
          </w:r>
          <w:r>
            <w:rPr>
              <w:sz w:val="28"/>
              <w:szCs w:val="28"/>
            </w:rPr>
            <w:t>21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_Toc4239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highlight w:val="none"/>
              <w:lang w:eastAsia="zh-CN"/>
            </w:rPr>
            <w:t>五、意见及建议</w:t>
          </w:r>
          <w:r>
            <w:rPr>
              <w:sz w:val="28"/>
              <w:szCs w:val="28"/>
            </w:rPr>
            <w:tab/>
          </w:r>
          <w:r>
            <w:rPr>
              <w:sz w:val="28"/>
              <w:szCs w:val="28"/>
            </w:rPr>
            <w:fldChar w:fldCharType="begin"/>
          </w:r>
          <w:r>
            <w:rPr>
              <w:sz w:val="28"/>
              <w:szCs w:val="28"/>
            </w:rPr>
            <w:instrText xml:space="preserve"> PAGEREF _Toc4239 </w:instrText>
          </w:r>
          <w:r>
            <w:rPr>
              <w:sz w:val="28"/>
              <w:szCs w:val="28"/>
            </w:rPr>
            <w:fldChar w:fldCharType="separate"/>
          </w:r>
          <w:r>
            <w:rPr>
              <w:sz w:val="28"/>
              <w:szCs w:val="28"/>
            </w:rPr>
            <w:t>22</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_Toc14779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（一）强化绩效理念，深入推进评价工作</w:t>
          </w:r>
          <w:r>
            <w:rPr>
              <w:sz w:val="28"/>
              <w:szCs w:val="28"/>
            </w:rPr>
            <w:tab/>
          </w:r>
          <w:r>
            <w:rPr>
              <w:sz w:val="28"/>
              <w:szCs w:val="28"/>
            </w:rPr>
            <w:fldChar w:fldCharType="begin"/>
          </w:r>
          <w:r>
            <w:rPr>
              <w:sz w:val="28"/>
              <w:szCs w:val="28"/>
            </w:rPr>
            <w:instrText xml:space="preserve"> PAGEREF _Toc14779 </w:instrText>
          </w:r>
          <w:r>
            <w:rPr>
              <w:sz w:val="28"/>
              <w:szCs w:val="28"/>
            </w:rPr>
            <w:fldChar w:fldCharType="separate"/>
          </w:r>
          <w:r>
            <w:rPr>
              <w:sz w:val="28"/>
              <w:szCs w:val="28"/>
            </w:rPr>
            <w:t>22</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_Toc25644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（二）强化事前准备，切实提升评价质量</w:t>
          </w:r>
          <w:r>
            <w:rPr>
              <w:sz w:val="28"/>
              <w:szCs w:val="28"/>
            </w:rPr>
            <w:tab/>
          </w:r>
          <w:r>
            <w:rPr>
              <w:sz w:val="28"/>
              <w:szCs w:val="28"/>
            </w:rPr>
            <w:fldChar w:fldCharType="begin"/>
          </w:r>
          <w:r>
            <w:rPr>
              <w:sz w:val="28"/>
              <w:szCs w:val="28"/>
            </w:rPr>
            <w:instrText xml:space="preserve"> PAGEREF _Toc25644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_Toc19178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（三）强化结果应用，不断巩固评价成效</w:t>
          </w:r>
          <w:r>
            <w:rPr>
              <w:sz w:val="28"/>
              <w:szCs w:val="28"/>
            </w:rPr>
            <w:tab/>
          </w:r>
          <w:r>
            <w:rPr>
              <w:sz w:val="28"/>
              <w:szCs w:val="28"/>
            </w:rPr>
            <w:fldChar w:fldCharType="begin"/>
          </w:r>
          <w:r>
            <w:rPr>
              <w:sz w:val="28"/>
              <w:szCs w:val="28"/>
            </w:rPr>
            <w:instrText xml:space="preserve"> PAGEREF _Toc19178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_Toc7343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lang w:val="en-US" w:eastAsia="zh-CN"/>
            </w:rPr>
            <w:t>六、附件</w:t>
          </w:r>
          <w:r>
            <w:rPr>
              <w:sz w:val="28"/>
              <w:szCs w:val="28"/>
            </w:rPr>
            <w:tab/>
          </w:r>
          <w:r>
            <w:rPr>
              <w:sz w:val="28"/>
              <w:szCs w:val="28"/>
            </w:rPr>
            <w:fldChar w:fldCharType="begin"/>
          </w:r>
          <w:r>
            <w:rPr>
              <w:sz w:val="28"/>
              <w:szCs w:val="28"/>
            </w:rPr>
            <w:instrText xml:space="preserve"> PAGEREF _Toc7343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_Toc11474 </w:instrText>
          </w:r>
          <w:r>
            <w:rPr>
              <w:rFonts w:hint="eastAsia" w:ascii="宋体" w:hAnsi="宋体" w:eastAsia="宋体" w:cs="宋体"/>
              <w:bCs/>
              <w:sz w:val="28"/>
              <w:szCs w:val="28"/>
              <w:lang w:eastAsia="zh-CN"/>
            </w:rPr>
            <w:fldChar w:fldCharType="separate"/>
          </w:r>
          <w:r>
            <w:rPr>
              <w:rFonts w:hint="eastAsia" w:ascii="楷体" w:hAnsi="楷体" w:eastAsia="楷体" w:cs="楷体"/>
              <w:sz w:val="28"/>
              <w:szCs w:val="28"/>
              <w:lang w:val="en-US" w:eastAsia="zh-CN"/>
            </w:rPr>
            <w:t>绩效评价指标体系得分表</w:t>
          </w:r>
          <w:r>
            <w:rPr>
              <w:sz w:val="28"/>
              <w:szCs w:val="28"/>
            </w:rPr>
            <w:tab/>
          </w:r>
          <w:r>
            <w:rPr>
              <w:sz w:val="28"/>
              <w:szCs w:val="28"/>
            </w:rPr>
            <w:fldChar w:fldCharType="begin"/>
          </w:r>
          <w:r>
            <w:rPr>
              <w:sz w:val="28"/>
              <w:szCs w:val="28"/>
            </w:rPr>
            <w:instrText xml:space="preserve"> PAGEREF _Toc11474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jc w:val="both"/>
            <w:rPr>
              <w:rFonts w:hint="eastAsia" w:ascii="宋体" w:hAnsi="宋体" w:eastAsia="宋体" w:cs="宋体"/>
              <w:b/>
              <w:bCs/>
              <w:sz w:val="32"/>
              <w:szCs w:val="32"/>
              <w:lang w:eastAsia="zh-CN"/>
            </w:rPr>
          </w:pPr>
          <w:r>
            <w:rPr>
              <w:rFonts w:hint="eastAsia" w:ascii="宋体" w:hAnsi="宋体" w:eastAsia="宋体" w:cs="宋体"/>
              <w:bCs/>
              <w:sz w:val="28"/>
              <w:szCs w:val="28"/>
              <w:lang w:eastAsia="zh-CN"/>
            </w:rPr>
            <w:fldChar w:fldCharType="end"/>
          </w:r>
        </w:p>
      </w:sdtContent>
    </w:sdt>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jc w:val="both"/>
        <w:rPr>
          <w:rFonts w:hint="eastAsia" w:ascii="宋体" w:hAnsi="宋体" w:eastAsia="宋体" w:cs="宋体"/>
          <w:b/>
          <w:bCs/>
          <w:sz w:val="32"/>
          <w:szCs w:val="32"/>
          <w:lang w:eastAsia="zh-CN"/>
        </w:rPr>
      </w:pPr>
    </w:p>
    <w:p>
      <w:pPr>
        <w:jc w:val="center"/>
        <w:outlineLvl w:val="0"/>
        <w:rPr>
          <w:rFonts w:hint="eastAsia" w:ascii="宋体" w:hAnsi="宋体" w:eastAsia="宋体" w:cs="宋体"/>
          <w:b/>
          <w:bCs/>
          <w:sz w:val="36"/>
          <w:szCs w:val="36"/>
          <w:lang w:eastAsia="zh-CN"/>
        </w:rPr>
      </w:pPr>
      <w:bookmarkStart w:id="0" w:name="_Toc25062"/>
      <w:bookmarkStart w:id="1" w:name="_Toc32502"/>
      <w:bookmarkStart w:id="2" w:name="_Toc7123"/>
      <w:bookmarkStart w:id="3" w:name="_Toc26458"/>
      <w:r>
        <w:rPr>
          <w:rFonts w:hint="eastAsia" w:ascii="宋体" w:hAnsi="宋体" w:eastAsia="宋体" w:cs="宋体"/>
          <w:b/>
          <w:bCs/>
          <w:sz w:val="36"/>
          <w:szCs w:val="36"/>
          <w:highlight w:val="none"/>
          <w:lang w:val="en-US" w:eastAsia="zh-CN"/>
        </w:rPr>
        <w:t>围场县机关事务管理局公共事务服务中心业务大厅维修改造项目</w:t>
      </w:r>
      <w:bookmarkStart w:id="4" w:name="_Toc3241"/>
      <w:bookmarkStart w:id="5" w:name="_Toc26503"/>
      <w:r>
        <w:rPr>
          <w:rFonts w:hint="eastAsia" w:ascii="宋体" w:hAnsi="宋体" w:eastAsia="宋体" w:cs="宋体"/>
          <w:b/>
          <w:bCs/>
          <w:sz w:val="36"/>
          <w:szCs w:val="36"/>
          <w:lang w:eastAsia="zh-CN"/>
        </w:rPr>
        <w:t>一般债券资金绩效评价报告</w:t>
      </w:r>
      <w:bookmarkEnd w:id="0"/>
      <w:bookmarkEnd w:id="1"/>
      <w:bookmarkEnd w:id="2"/>
      <w:bookmarkEnd w:id="3"/>
      <w:bookmarkEnd w:id="4"/>
      <w:bookmarkEnd w:id="5"/>
    </w:p>
    <w:p>
      <w:pPr>
        <w:spacing w:line="600" w:lineRule="exact"/>
        <w:ind w:right="-31" w:rightChars="-15"/>
        <w:rPr>
          <w:rFonts w:hint="eastAsia"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i w:val="0"/>
          <w:caps w:val="0"/>
          <w:color w:val="222222"/>
          <w:spacing w:val="0"/>
          <w:sz w:val="28"/>
          <w:szCs w:val="28"/>
          <w:shd w:val="clear" w:fill="FFFFFF"/>
          <w:lang w:eastAsia="zh-CN"/>
        </w:rPr>
        <w:t>根据《围场满族蒙古族自治县财政局内部财政资金拨付程序》，参照</w:t>
      </w:r>
      <w:r>
        <w:rPr>
          <w:rFonts w:hint="eastAsia" w:ascii="宋体" w:hAnsi="宋体" w:eastAsia="宋体" w:cs="宋体"/>
          <w:i w:val="0"/>
          <w:caps w:val="0"/>
          <w:color w:val="222222"/>
          <w:spacing w:val="0"/>
          <w:sz w:val="28"/>
          <w:szCs w:val="28"/>
          <w:shd w:val="clear" w:fill="FFFFFF"/>
        </w:rPr>
        <w:t>《</w:t>
      </w:r>
      <w:r>
        <w:rPr>
          <w:rFonts w:hint="eastAsia" w:ascii="宋体" w:hAnsi="宋体" w:eastAsia="宋体" w:cs="宋体"/>
          <w:sz w:val="28"/>
          <w:szCs w:val="28"/>
          <w:lang w:eastAsia="zh-CN"/>
        </w:rPr>
        <w:t>地方政府一般债券预算管理办法》和财政部《项目支出绩效评价管理办法》（财预〔</w:t>
      </w:r>
      <w:r>
        <w:rPr>
          <w:rFonts w:hint="eastAsia" w:ascii="宋体" w:hAnsi="宋体" w:eastAsia="宋体" w:cs="宋体"/>
          <w:sz w:val="28"/>
          <w:szCs w:val="28"/>
          <w:lang w:val="en-US" w:eastAsia="zh-CN"/>
        </w:rPr>
        <w:t>2020</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10号</w:t>
      </w:r>
      <w:r>
        <w:rPr>
          <w:rFonts w:hint="eastAsia" w:ascii="宋体" w:hAnsi="宋体" w:eastAsia="宋体" w:cs="宋体"/>
          <w:sz w:val="28"/>
          <w:szCs w:val="28"/>
          <w:lang w:eastAsia="zh-CN"/>
        </w:rPr>
        <w:t>）等文件规定，承德燕山会计师事务所</w:t>
      </w:r>
      <w:r>
        <w:rPr>
          <w:rFonts w:hint="eastAsia" w:ascii="宋体" w:hAnsi="宋体" w:eastAsia="宋体" w:cs="宋体"/>
          <w:sz w:val="28"/>
          <w:szCs w:val="28"/>
        </w:rPr>
        <w:t>有限</w:t>
      </w:r>
      <w:r>
        <w:rPr>
          <w:rFonts w:hint="eastAsia" w:ascii="宋体" w:hAnsi="宋体" w:eastAsia="宋体" w:cs="宋体"/>
          <w:sz w:val="28"/>
          <w:szCs w:val="28"/>
          <w:lang w:eastAsia="zh-CN"/>
        </w:rPr>
        <w:t>责任</w:t>
      </w:r>
      <w:r>
        <w:rPr>
          <w:rFonts w:hint="eastAsia" w:ascii="宋体" w:hAnsi="宋体" w:eastAsia="宋体" w:cs="宋体"/>
          <w:sz w:val="28"/>
          <w:szCs w:val="28"/>
        </w:rPr>
        <w:t>公司接受</w:t>
      </w:r>
      <w:r>
        <w:rPr>
          <w:rFonts w:hint="eastAsia" w:ascii="宋体" w:hAnsi="宋体" w:eastAsia="宋体" w:cs="宋体"/>
          <w:sz w:val="28"/>
          <w:szCs w:val="28"/>
          <w:lang w:eastAsia="zh-CN"/>
        </w:rPr>
        <w:t>围场满族蒙古族自治县财政局</w:t>
      </w:r>
      <w:r>
        <w:rPr>
          <w:rFonts w:hint="eastAsia" w:ascii="宋体" w:hAnsi="宋体" w:eastAsia="宋体" w:cs="宋体"/>
          <w:sz w:val="28"/>
          <w:szCs w:val="28"/>
        </w:rPr>
        <w:t>委托，</w:t>
      </w:r>
      <w:r>
        <w:rPr>
          <w:rFonts w:hint="eastAsia" w:ascii="宋体" w:hAnsi="宋体" w:eastAsia="宋体" w:cs="宋体"/>
          <w:sz w:val="28"/>
          <w:szCs w:val="28"/>
          <w:lang w:eastAsia="zh-CN"/>
        </w:rPr>
        <w:t>成立</w:t>
      </w:r>
      <w:r>
        <w:rPr>
          <w:rFonts w:hint="eastAsia" w:ascii="宋体" w:hAnsi="宋体" w:eastAsia="宋体" w:cs="宋体"/>
          <w:sz w:val="28"/>
          <w:szCs w:val="28"/>
        </w:rPr>
        <w:t>了</w:t>
      </w:r>
      <w:r>
        <w:rPr>
          <w:rFonts w:hint="eastAsia" w:ascii="宋体" w:hAnsi="宋体" w:eastAsia="宋体" w:cs="宋体"/>
          <w:sz w:val="28"/>
          <w:szCs w:val="28"/>
          <w:lang w:eastAsia="zh-CN"/>
        </w:rPr>
        <w:t>绩效</w:t>
      </w:r>
      <w:r>
        <w:rPr>
          <w:rFonts w:hint="eastAsia" w:ascii="宋体" w:hAnsi="宋体" w:eastAsia="宋体" w:cs="宋体"/>
          <w:sz w:val="28"/>
          <w:szCs w:val="28"/>
        </w:rPr>
        <w:t>评价小组</w:t>
      </w:r>
      <w:r>
        <w:rPr>
          <w:rFonts w:hint="eastAsia" w:ascii="宋体" w:hAnsi="宋体" w:eastAsia="宋体" w:cs="宋体"/>
          <w:sz w:val="28"/>
          <w:szCs w:val="28"/>
          <w:lang w:eastAsia="zh-CN"/>
        </w:rPr>
        <w:t>，对</w:t>
      </w:r>
      <w:r>
        <w:rPr>
          <w:rFonts w:hint="eastAsia" w:ascii="宋体" w:hAnsi="宋体" w:eastAsia="宋体" w:cs="宋体"/>
          <w:sz w:val="28"/>
          <w:szCs w:val="28"/>
          <w:lang w:val="en-US" w:eastAsia="zh-CN"/>
        </w:rPr>
        <w:t>围场县机关事务管理局公共事务服务中心业务大厅维修改造工程新增一般债券资金使用情况做绩效评价工作。</w:t>
      </w:r>
      <w:r>
        <w:rPr>
          <w:rFonts w:hint="eastAsia" w:ascii="宋体" w:hAnsi="宋体" w:eastAsia="宋体" w:cs="宋体"/>
          <w:sz w:val="28"/>
          <w:szCs w:val="28"/>
          <w:lang w:eastAsia="zh-CN"/>
        </w:rPr>
        <w:t>本次绩效评价所涉及到的债券资金使用部分的</w:t>
      </w:r>
      <w:r>
        <w:rPr>
          <w:rFonts w:hint="eastAsia" w:ascii="宋体" w:hAnsi="宋体" w:eastAsia="宋体" w:cs="宋体"/>
          <w:sz w:val="28"/>
          <w:szCs w:val="28"/>
        </w:rPr>
        <w:t>工程项目资料</w:t>
      </w:r>
      <w:r>
        <w:rPr>
          <w:rFonts w:hint="eastAsia" w:ascii="宋体" w:hAnsi="宋体" w:eastAsia="宋体" w:cs="宋体"/>
          <w:sz w:val="28"/>
          <w:szCs w:val="28"/>
          <w:lang w:eastAsia="zh-CN"/>
        </w:rPr>
        <w:t>、财务数据</w:t>
      </w:r>
      <w:r>
        <w:rPr>
          <w:rFonts w:hint="eastAsia" w:ascii="宋体" w:hAnsi="宋体" w:eastAsia="宋体" w:cs="宋体"/>
          <w:sz w:val="28"/>
          <w:szCs w:val="28"/>
        </w:rPr>
        <w:t>以及其他</w:t>
      </w:r>
      <w:r>
        <w:rPr>
          <w:rFonts w:hint="eastAsia" w:ascii="宋体" w:hAnsi="宋体" w:eastAsia="宋体" w:cs="宋体"/>
          <w:sz w:val="28"/>
          <w:szCs w:val="28"/>
          <w:lang w:eastAsia="zh-CN"/>
        </w:rPr>
        <w:t>与本评价项目</w:t>
      </w:r>
      <w:r>
        <w:rPr>
          <w:rFonts w:hint="eastAsia" w:ascii="宋体" w:hAnsi="宋体" w:eastAsia="宋体" w:cs="宋体"/>
          <w:sz w:val="28"/>
          <w:szCs w:val="28"/>
        </w:rPr>
        <w:t>相关资料的真实性、</w:t>
      </w:r>
      <w:r>
        <w:rPr>
          <w:rFonts w:hint="eastAsia" w:ascii="宋体" w:hAnsi="宋体" w:eastAsia="宋体" w:cs="宋体"/>
          <w:sz w:val="28"/>
          <w:szCs w:val="28"/>
          <w:lang w:eastAsia="zh-CN"/>
        </w:rPr>
        <w:t>合法性、</w:t>
      </w:r>
      <w:r>
        <w:rPr>
          <w:rFonts w:hint="eastAsia" w:ascii="宋体" w:hAnsi="宋体" w:eastAsia="宋体" w:cs="宋体"/>
          <w:sz w:val="28"/>
          <w:szCs w:val="28"/>
        </w:rPr>
        <w:t>完整性、</w:t>
      </w:r>
      <w:r>
        <w:rPr>
          <w:rFonts w:hint="eastAsia" w:ascii="宋体" w:hAnsi="宋体" w:eastAsia="宋体" w:cs="宋体"/>
          <w:sz w:val="28"/>
          <w:szCs w:val="28"/>
          <w:lang w:eastAsia="zh-CN"/>
        </w:rPr>
        <w:t>有效</w:t>
      </w:r>
      <w:r>
        <w:rPr>
          <w:rFonts w:hint="eastAsia" w:ascii="宋体" w:hAnsi="宋体" w:eastAsia="宋体" w:cs="宋体"/>
          <w:sz w:val="28"/>
          <w:szCs w:val="28"/>
        </w:rPr>
        <w:t>性由</w:t>
      </w:r>
      <w:r>
        <w:rPr>
          <w:rFonts w:hint="eastAsia" w:ascii="宋体" w:hAnsi="宋体" w:eastAsia="宋体" w:cs="宋体"/>
          <w:sz w:val="28"/>
          <w:szCs w:val="28"/>
          <w:lang w:eastAsia="zh-CN"/>
        </w:rPr>
        <w:t>被评价单位</w:t>
      </w:r>
      <w:r>
        <w:rPr>
          <w:rFonts w:hint="eastAsia" w:ascii="宋体" w:hAnsi="宋体" w:eastAsia="宋体" w:cs="宋体"/>
          <w:sz w:val="28"/>
          <w:szCs w:val="28"/>
        </w:rPr>
        <w:t>负责</w:t>
      </w:r>
      <w:r>
        <w:rPr>
          <w:rFonts w:hint="eastAsia" w:ascii="宋体" w:hAnsi="宋体" w:eastAsia="宋体" w:cs="宋体"/>
          <w:sz w:val="28"/>
          <w:szCs w:val="28"/>
          <w:lang w:eastAsia="zh-CN"/>
        </w:rPr>
        <w:t>并提供给我方。根据</w:t>
      </w: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年度</w:t>
      </w:r>
      <w:r>
        <w:rPr>
          <w:rFonts w:hint="eastAsia" w:ascii="宋体" w:hAnsi="宋体" w:eastAsia="宋体" w:cs="宋体"/>
          <w:sz w:val="28"/>
          <w:szCs w:val="28"/>
          <w:lang w:eastAsia="zh-CN"/>
        </w:rPr>
        <w:t>围场县</w:t>
      </w:r>
      <w:r>
        <w:rPr>
          <w:rFonts w:hint="eastAsia" w:ascii="宋体" w:hAnsi="宋体" w:eastAsia="宋体" w:cs="宋体"/>
          <w:sz w:val="28"/>
          <w:szCs w:val="28"/>
        </w:rPr>
        <w:t>地方政府</w:t>
      </w:r>
      <w:r>
        <w:rPr>
          <w:rFonts w:hint="eastAsia" w:ascii="宋体" w:hAnsi="宋体" w:eastAsia="宋体" w:cs="宋体"/>
          <w:sz w:val="28"/>
          <w:szCs w:val="28"/>
          <w:lang w:eastAsia="zh-CN"/>
        </w:rPr>
        <w:t>新增一般</w:t>
      </w:r>
      <w:r>
        <w:rPr>
          <w:rFonts w:hint="eastAsia" w:ascii="宋体" w:hAnsi="宋体" w:eastAsia="宋体" w:cs="宋体"/>
          <w:sz w:val="28"/>
          <w:szCs w:val="28"/>
        </w:rPr>
        <w:t>债劵资金项目</w:t>
      </w:r>
      <w:r>
        <w:rPr>
          <w:rFonts w:hint="eastAsia" w:ascii="宋体" w:hAnsi="宋体" w:eastAsia="宋体" w:cs="宋体"/>
          <w:sz w:val="28"/>
          <w:szCs w:val="28"/>
          <w:lang w:eastAsia="zh-CN"/>
        </w:rPr>
        <w:t>的投入情况，我们将从项目的</w:t>
      </w:r>
      <w:r>
        <w:rPr>
          <w:rFonts w:hint="eastAsia" w:ascii="宋体" w:hAnsi="宋体" w:eastAsia="宋体" w:cs="宋体"/>
          <w:sz w:val="28"/>
          <w:szCs w:val="28"/>
        </w:rPr>
        <w:t>投入指标、管理指标、产出指标和效益指标</w:t>
      </w:r>
      <w:r>
        <w:rPr>
          <w:rFonts w:hint="eastAsia" w:ascii="宋体" w:hAnsi="宋体" w:eastAsia="宋体" w:cs="宋体"/>
          <w:sz w:val="28"/>
          <w:szCs w:val="28"/>
          <w:lang w:eastAsia="zh-CN"/>
        </w:rPr>
        <w:t>四</w:t>
      </w:r>
      <w:r>
        <w:rPr>
          <w:rFonts w:hint="eastAsia" w:ascii="宋体" w:hAnsi="宋体" w:eastAsia="宋体" w:cs="宋体"/>
          <w:sz w:val="28"/>
          <w:szCs w:val="28"/>
        </w:rPr>
        <w:t>个方面进行</w:t>
      </w:r>
      <w:r>
        <w:rPr>
          <w:rFonts w:hint="eastAsia" w:ascii="宋体" w:hAnsi="宋体" w:eastAsia="宋体" w:cs="宋体"/>
          <w:sz w:val="28"/>
          <w:szCs w:val="28"/>
          <w:lang w:eastAsia="zh-CN"/>
        </w:rPr>
        <w:t>全面综合的</w:t>
      </w:r>
      <w:r>
        <w:rPr>
          <w:rFonts w:hint="eastAsia" w:ascii="宋体" w:hAnsi="宋体" w:eastAsia="宋体" w:cs="宋体"/>
          <w:sz w:val="28"/>
          <w:szCs w:val="28"/>
        </w:rPr>
        <w:t>绩效考评工作。现将有关情况报</w:t>
      </w:r>
      <w:r>
        <w:rPr>
          <w:rFonts w:hint="eastAsia" w:ascii="宋体" w:hAnsi="宋体" w:eastAsia="宋体" w:cs="宋体"/>
          <w:sz w:val="28"/>
          <w:szCs w:val="28"/>
          <w:lang w:eastAsia="zh-CN"/>
        </w:rPr>
        <w:t>告</w:t>
      </w:r>
      <w:r>
        <w:rPr>
          <w:rFonts w:hint="eastAsia" w:ascii="宋体" w:hAnsi="宋体" w:eastAsia="宋体" w:cs="宋体"/>
          <w:sz w:val="28"/>
          <w:szCs w:val="28"/>
        </w:rPr>
        <w:t>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eastAsia" w:ascii="黑体" w:hAnsi="黑体" w:eastAsia="黑体" w:cs="黑体"/>
          <w:b/>
          <w:bCs w:val="0"/>
          <w:sz w:val="32"/>
          <w:szCs w:val="32"/>
        </w:rPr>
      </w:pPr>
      <w:bookmarkStart w:id="6" w:name="_Toc5018"/>
      <w:bookmarkStart w:id="7" w:name="_Toc8932"/>
      <w:r>
        <w:rPr>
          <w:rFonts w:hint="eastAsia" w:ascii="黑体" w:hAnsi="黑体" w:eastAsia="黑体" w:cs="黑体"/>
          <w:b/>
          <w:bCs w:val="0"/>
          <w:sz w:val="32"/>
          <w:szCs w:val="32"/>
        </w:rPr>
        <w:t>一、项目基本</w:t>
      </w:r>
      <w:r>
        <w:rPr>
          <w:rFonts w:hint="eastAsia" w:ascii="黑体" w:hAnsi="黑体" w:eastAsia="黑体" w:cs="黑体"/>
          <w:b/>
          <w:bCs w:val="0"/>
          <w:sz w:val="32"/>
          <w:szCs w:val="32"/>
          <w:lang w:eastAsia="zh-CN"/>
        </w:rPr>
        <w:t>情况</w:t>
      </w:r>
      <w:bookmarkEnd w:id="6"/>
      <w:bookmarkEnd w:id="7"/>
    </w:p>
    <w:p>
      <w:pPr>
        <w:spacing w:line="600" w:lineRule="exact"/>
        <w:ind w:firstLine="643" w:firstLineChars="200"/>
        <w:outlineLvl w:val="1"/>
        <w:rPr>
          <w:rFonts w:hint="eastAsia" w:ascii="楷体" w:hAnsi="楷体" w:eastAsia="楷体" w:cs="楷体"/>
          <w:b/>
          <w:bCs w:val="0"/>
          <w:sz w:val="32"/>
          <w:szCs w:val="32"/>
          <w:lang w:eastAsia="zh-CN"/>
        </w:rPr>
      </w:pPr>
      <w:bookmarkStart w:id="8" w:name="_Toc7281"/>
      <w:bookmarkStart w:id="9" w:name="_Toc1188"/>
      <w:r>
        <w:rPr>
          <w:rFonts w:hint="eastAsia" w:ascii="楷体" w:hAnsi="楷体" w:eastAsia="楷体" w:cs="楷体"/>
          <w:b/>
          <w:bCs w:val="0"/>
          <w:sz w:val="32"/>
          <w:szCs w:val="32"/>
        </w:rPr>
        <w:t>（一）项目</w:t>
      </w:r>
      <w:r>
        <w:rPr>
          <w:rFonts w:hint="eastAsia" w:ascii="楷体" w:hAnsi="楷体" w:eastAsia="楷体" w:cs="楷体"/>
          <w:b/>
          <w:bCs w:val="0"/>
          <w:sz w:val="32"/>
          <w:szCs w:val="32"/>
          <w:lang w:eastAsia="zh-CN"/>
        </w:rPr>
        <w:t>概况</w:t>
      </w:r>
      <w:bookmarkEnd w:id="8"/>
      <w:bookmarkEnd w:id="9"/>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根据围场满族蒙古族自治县人民政府文件（围政</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100号）精神，围场县人民政府做了关于2019年新增地方政府债券限额管理及使用方案的报告。根据河北省财政厅《关于下达2019年市县第三批新增政府债券资金的通知》（冀财债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27号）下达围场县新增政府一般债券资金40000万元。</w:t>
      </w:r>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结合围场县政府2019年重点建设项目安排情况，围场县对2019年新增一般债券资金使用情况进行调整，经县政府同意，将新增一般债券使用项目重新进行安排。</w:t>
      </w:r>
      <w:r>
        <w:rPr>
          <w:rFonts w:hint="eastAsia" w:ascii="宋体" w:hAnsi="宋体" w:eastAsia="宋体" w:cs="宋体"/>
          <w:sz w:val="28"/>
          <w:szCs w:val="28"/>
        </w:rPr>
        <w:t>根据《中华人民共和国预算法》和</w:t>
      </w:r>
      <w:r>
        <w:rPr>
          <w:rFonts w:hint="default" w:ascii="宋体" w:hAnsi="宋体" w:eastAsia="宋体" w:cs="宋体"/>
          <w:sz w:val="28"/>
          <w:szCs w:val="28"/>
        </w:rPr>
        <w:t>《国务院关于加强地方政府性债务管理的意见》</w:t>
      </w:r>
      <w:r>
        <w:rPr>
          <w:rFonts w:hint="eastAsia" w:ascii="宋体" w:hAnsi="宋体" w:eastAsia="宋体" w:cs="宋体"/>
          <w:sz w:val="28"/>
          <w:szCs w:val="28"/>
          <w:lang w:eastAsia="zh-CN"/>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hint="default" w:ascii="宋体" w:hAnsi="宋体" w:eastAsia="宋体" w:cs="宋体"/>
          <w:kern w:val="2"/>
          <w:sz w:val="28"/>
          <w:szCs w:val="28"/>
          <w:highlight w:val="yellow"/>
          <w:lang w:val="en-US" w:eastAsia="zh-CN" w:bidi="ar-SA"/>
        </w:rPr>
      </w:pPr>
      <w:r>
        <w:rPr>
          <w:rFonts w:hint="eastAsia" w:ascii="宋体" w:hAnsi="宋体" w:eastAsia="宋体" w:cs="宋体"/>
          <w:sz w:val="28"/>
          <w:szCs w:val="28"/>
          <w:highlight w:val="none"/>
          <w:lang w:eastAsia="zh-CN"/>
        </w:rPr>
        <w:t>其中投入</w:t>
      </w:r>
      <w:r>
        <w:rPr>
          <w:rFonts w:hint="eastAsia" w:ascii="宋体" w:hAnsi="宋体" w:eastAsia="宋体" w:cs="宋体"/>
          <w:sz w:val="28"/>
          <w:szCs w:val="28"/>
          <w:lang w:val="en-US" w:eastAsia="zh-CN"/>
        </w:rPr>
        <w:t>围场县机关事务管理局公共事务服务中心业务大厅维修改造工程</w:t>
      </w:r>
      <w:r>
        <w:rPr>
          <w:rFonts w:hint="eastAsia" w:ascii="宋体" w:hAnsi="宋体" w:eastAsia="宋体" w:cs="宋体"/>
          <w:sz w:val="28"/>
          <w:szCs w:val="28"/>
          <w:highlight w:val="none"/>
          <w:lang w:eastAsia="zh-CN"/>
        </w:rPr>
        <w:t>的债券资金共计</w:t>
      </w:r>
      <w:r>
        <w:rPr>
          <w:rFonts w:hint="eastAsia" w:ascii="宋体" w:hAnsi="宋体" w:eastAsia="宋体" w:cs="宋体"/>
          <w:sz w:val="28"/>
          <w:szCs w:val="28"/>
          <w:highlight w:val="none"/>
          <w:lang w:val="en-US" w:eastAsia="zh-CN"/>
        </w:rPr>
        <w:t>815万元。</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1.项目名称</w:t>
      </w:r>
    </w:p>
    <w:p>
      <w:pPr>
        <w:ind w:firstLine="560" w:firstLineChars="200"/>
        <w:rPr>
          <w:rFonts w:hint="eastAsia" w:ascii="宋体" w:hAnsi="宋体" w:eastAsia="宋体" w:cs="宋体"/>
          <w:kern w:val="2"/>
          <w:sz w:val="28"/>
          <w:szCs w:val="28"/>
          <w:highlight w:val="yellow"/>
          <w:lang w:val="en-US" w:eastAsia="zh-CN" w:bidi="ar-SA"/>
        </w:rPr>
      </w:pPr>
      <w:r>
        <w:rPr>
          <w:rFonts w:hint="eastAsia" w:ascii="宋体" w:hAnsi="宋体" w:eastAsia="宋体" w:cs="宋体"/>
          <w:sz w:val="28"/>
          <w:szCs w:val="28"/>
          <w:lang w:val="en-US" w:eastAsia="zh-CN"/>
        </w:rPr>
        <w:t>围场县机关事务管理局公共事务服务中心业务大厅维修改造工程</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2.建设地点</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围场满族蒙古族自治县围场镇迎宾路行政服务中心主楼1-3楼</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3.建设性质</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维修改造</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4.建设单位</w:t>
      </w:r>
    </w:p>
    <w:p>
      <w:pPr>
        <w:ind w:firstLine="560" w:firstLineChars="200"/>
        <w:rPr>
          <w:rFonts w:hint="eastAsia" w:ascii="宋体" w:hAnsi="宋体" w:eastAsia="宋体" w:cs="宋体"/>
          <w:sz w:val="28"/>
          <w:szCs w:val="28"/>
          <w:highlight w:val="yellow"/>
          <w:lang w:eastAsia="zh-CN"/>
        </w:rPr>
      </w:pPr>
      <w:r>
        <w:rPr>
          <w:rFonts w:hint="eastAsia" w:ascii="宋体" w:hAnsi="宋体" w:eastAsia="宋体" w:cs="宋体"/>
          <w:sz w:val="28"/>
          <w:szCs w:val="28"/>
          <w:highlight w:val="none"/>
          <w:lang w:eastAsia="zh-CN"/>
        </w:rPr>
        <w:t>围场满族蒙古族自治县县直</w:t>
      </w:r>
      <w:r>
        <w:rPr>
          <w:rFonts w:hint="eastAsia" w:ascii="宋体" w:hAnsi="宋体" w:eastAsia="宋体" w:cs="宋体"/>
          <w:sz w:val="28"/>
          <w:szCs w:val="28"/>
          <w:lang w:val="en-US" w:eastAsia="zh-CN"/>
        </w:rPr>
        <w:t>机关事务管理局</w:t>
      </w:r>
    </w:p>
    <w:p>
      <w:pPr>
        <w:ind w:firstLine="560" w:firstLineChars="200"/>
        <w:rPr>
          <w:rFonts w:hint="eastAsia" w:ascii="宋体" w:hAnsi="宋体" w:eastAsia="宋体" w:cs="宋体"/>
          <w:kern w:val="2"/>
          <w:sz w:val="28"/>
          <w:szCs w:val="28"/>
          <w:highlight w:val="yellow"/>
          <w:lang w:val="en-US" w:eastAsia="zh-CN" w:bidi="ar-SA"/>
        </w:rPr>
      </w:pPr>
      <w:r>
        <w:rPr>
          <w:rFonts w:hint="eastAsia" w:ascii="宋体" w:hAnsi="宋体" w:eastAsia="宋体" w:cs="宋体"/>
          <w:kern w:val="2"/>
          <w:sz w:val="28"/>
          <w:szCs w:val="28"/>
          <w:highlight w:val="none"/>
          <w:lang w:val="en-US" w:eastAsia="zh-CN" w:bidi="ar-SA"/>
        </w:rPr>
        <w:t>5.项目概况</w:t>
      </w:r>
    </w:p>
    <w:p>
      <w:pPr>
        <w:pStyle w:val="6"/>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2018年10月23日围场满族蒙古族自治县人民政府经研究决定，原则上同意《公共事务服务中心业务大厅维修改造项目实施方案》，并要求县直机关事务管理局作为该工程的实施主体，严格按照《实施方案》要求组织实施。</w:t>
      </w:r>
    </w:p>
    <w:p>
      <w:pPr>
        <w:pStyle w:val="6"/>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2018年10月25日围场满族蒙古族自治县行政审批局下达了关于公共事务服务中心业务大厅维修改造项目投资计划的通知。</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项目建设规模及内容：维修改造总面积4482.72平方米，其中：一层改造面积1742.4平方米、二层改造面积997.92平方米、三层改造面积1742.4平方米。维修改造内容包括：拆除、新建内墙，拆除、新建地面、吊顶，拆除、新建楼梯护栏，新建大厅背景墙，拆除、新装门窗，改造1-3层卫生间。购置LED显示屏、安装建设给排水和电气工程</w:t>
      </w:r>
      <w:r>
        <w:rPr>
          <w:rFonts w:hint="eastAsia" w:ascii="宋体" w:hAnsi="宋体" w:eastAsia="宋体" w:cs="宋体"/>
          <w:kern w:val="2"/>
          <w:sz w:val="28"/>
          <w:szCs w:val="28"/>
          <w:lang w:val="en-US" w:eastAsia="zh-CN" w:bidi="ar-SA"/>
        </w:rPr>
        <w:t>。</w:t>
      </w:r>
    </w:p>
    <w:p>
      <w:pPr>
        <w:ind w:firstLine="560" w:firstLineChars="200"/>
        <w:rPr>
          <w:rFonts w:hint="default" w:ascii="宋体" w:hAnsi="宋体" w:eastAsia="宋体" w:cs="宋体"/>
          <w:kern w:val="2"/>
          <w:sz w:val="28"/>
          <w:szCs w:val="28"/>
          <w:highlight w:val="yellow"/>
          <w:lang w:val="en-US" w:eastAsia="zh-CN" w:bidi="ar-SA"/>
        </w:rPr>
      </w:pPr>
      <w:r>
        <w:rPr>
          <w:rFonts w:hint="eastAsia" w:ascii="宋体" w:hAnsi="宋体" w:eastAsia="宋体" w:cs="宋体"/>
          <w:kern w:val="2"/>
          <w:sz w:val="28"/>
          <w:szCs w:val="28"/>
          <w:highlight w:val="none"/>
          <w:lang w:val="en-US" w:eastAsia="zh-CN" w:bidi="ar-SA"/>
        </w:rPr>
        <w:t>6.项目总投资及资金来源</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2018年10月23日围场县政府对本项目实施方案做了批复，总投资815万元。2018年10月25日围场县行政审批局对县公共事务服务中心业务大厅维修改造项目下达了投资计划，总投资额794.08万元，由县财政一般债券资金提供</w:t>
      </w:r>
      <w:r>
        <w:rPr>
          <w:rFonts w:hint="eastAsia" w:ascii="宋体" w:hAnsi="宋体" w:eastAsia="宋体" w:cs="宋体"/>
          <w:kern w:val="2"/>
          <w:sz w:val="28"/>
          <w:szCs w:val="28"/>
          <w:lang w:val="en-US" w:eastAsia="zh-CN" w:bidi="ar-SA"/>
        </w:rPr>
        <w:t>。</w:t>
      </w:r>
    </w:p>
    <w:p>
      <w:pPr>
        <w:spacing w:line="600" w:lineRule="exact"/>
        <w:ind w:firstLine="643" w:firstLineChars="200"/>
        <w:outlineLvl w:val="1"/>
        <w:rPr>
          <w:rFonts w:hint="default" w:ascii="楷体" w:hAnsi="楷体" w:eastAsia="楷体" w:cs="楷体"/>
          <w:b/>
          <w:bCs w:val="0"/>
          <w:sz w:val="32"/>
          <w:szCs w:val="32"/>
          <w:highlight w:val="none"/>
          <w:lang w:val="en-US" w:eastAsia="zh-CN"/>
        </w:rPr>
      </w:pPr>
      <w:bookmarkStart w:id="10" w:name="_Toc11928"/>
      <w:r>
        <w:rPr>
          <w:rFonts w:hint="eastAsia" w:ascii="楷体" w:hAnsi="楷体" w:eastAsia="楷体" w:cs="楷体"/>
          <w:b/>
          <w:bCs w:val="0"/>
          <w:sz w:val="32"/>
          <w:szCs w:val="32"/>
          <w:highlight w:val="none"/>
          <w:lang w:val="en-US" w:eastAsia="zh-CN"/>
        </w:rPr>
        <w:t>（二）项目绩效目标</w:t>
      </w:r>
      <w:bookmarkEnd w:id="10"/>
    </w:p>
    <w:p>
      <w:pPr>
        <w:ind w:firstLine="560" w:firstLineChars="200"/>
        <w:rPr>
          <w:rFonts w:hint="eastAsia" w:ascii="宋体" w:hAnsi="宋体" w:eastAsia="宋体" w:cs="宋体"/>
          <w:sz w:val="28"/>
          <w:szCs w:val="28"/>
          <w:lang w:val="en-US" w:eastAsia="zh-CN"/>
        </w:rPr>
      </w:pPr>
      <w:bookmarkStart w:id="11" w:name="_Toc12750"/>
      <w:bookmarkStart w:id="12" w:name="_Toc31882"/>
      <w:bookmarkStart w:id="13" w:name="_Toc10011"/>
      <w:bookmarkStart w:id="14" w:name="_Toc28894"/>
      <w:bookmarkStart w:id="15" w:name="_Toc12271"/>
      <w:r>
        <w:rPr>
          <w:rFonts w:hint="eastAsia" w:ascii="宋体" w:hAnsi="宋体" w:eastAsia="宋体" w:cs="宋体"/>
          <w:sz w:val="28"/>
          <w:szCs w:val="28"/>
          <w:lang w:val="en-US" w:eastAsia="zh-CN"/>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bookmarkEnd w:id="11"/>
      <w:bookmarkEnd w:id="12"/>
      <w:bookmarkEnd w:id="13"/>
      <w:bookmarkEnd w:id="14"/>
    </w:p>
    <w:p>
      <w:pPr>
        <w:spacing w:line="600" w:lineRule="exact"/>
        <w:ind w:firstLine="643" w:firstLineChars="200"/>
        <w:outlineLvl w:val="1"/>
        <w:rPr>
          <w:rFonts w:hint="eastAsia" w:ascii="楷体" w:hAnsi="楷体" w:eastAsia="楷体" w:cs="楷体"/>
          <w:b/>
          <w:bCs w:val="0"/>
          <w:sz w:val="32"/>
          <w:szCs w:val="32"/>
          <w:lang w:val="en-US" w:eastAsia="zh-CN"/>
        </w:rPr>
      </w:pPr>
      <w:bookmarkStart w:id="16" w:name="_Toc31769"/>
      <w:r>
        <w:rPr>
          <w:rFonts w:hint="eastAsia" w:ascii="楷体" w:hAnsi="楷体" w:eastAsia="楷体" w:cs="楷体"/>
          <w:b/>
          <w:bCs w:val="0"/>
          <w:sz w:val="32"/>
          <w:szCs w:val="32"/>
          <w:lang w:val="en-US" w:eastAsia="zh-CN"/>
        </w:rPr>
        <w:t>（三）评价对象和时段</w:t>
      </w:r>
      <w:bookmarkEnd w:id="15"/>
      <w:bookmarkEnd w:id="16"/>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本次考核评价对象：</w:t>
      </w:r>
      <w:r>
        <w:rPr>
          <w:rFonts w:hint="eastAsia" w:ascii="宋体" w:hAnsi="宋体" w:eastAsia="宋体" w:cs="宋体"/>
          <w:sz w:val="28"/>
          <w:szCs w:val="28"/>
          <w:lang w:val="en-US" w:eastAsia="zh-CN"/>
        </w:rPr>
        <w:t>围场县机关事务管理局公共事务服务中心业务大厅维修改造</w:t>
      </w:r>
      <w:r>
        <w:rPr>
          <w:rFonts w:hint="eastAsia" w:ascii="宋体" w:hAnsi="宋体" w:eastAsia="宋体" w:cs="宋体"/>
          <w:sz w:val="28"/>
          <w:szCs w:val="28"/>
          <w:highlight w:val="none"/>
          <w:lang w:eastAsia="zh-CN"/>
        </w:rPr>
        <w:t>项目</w:t>
      </w:r>
      <w:r>
        <w:rPr>
          <w:rFonts w:hint="eastAsia" w:ascii="宋体" w:hAnsi="宋体" w:eastAsia="宋体" w:cs="宋体"/>
          <w:sz w:val="28"/>
          <w:szCs w:val="28"/>
          <w:lang w:eastAsia="zh-CN"/>
        </w:rPr>
        <w:t>。</w:t>
      </w:r>
      <w:r>
        <w:rPr>
          <w:rFonts w:hint="eastAsia" w:ascii="宋体" w:hAnsi="宋体" w:eastAsia="宋体" w:cs="宋体"/>
          <w:sz w:val="28"/>
          <w:szCs w:val="28"/>
        </w:rPr>
        <w:t>从</w:t>
      </w:r>
      <w:r>
        <w:rPr>
          <w:rFonts w:hint="eastAsia" w:ascii="宋体" w:hAnsi="宋体" w:eastAsia="宋体" w:cs="宋体"/>
          <w:sz w:val="28"/>
          <w:szCs w:val="28"/>
          <w:lang w:eastAsia="zh-CN"/>
        </w:rPr>
        <w:t>项目</w:t>
      </w:r>
      <w:r>
        <w:rPr>
          <w:rFonts w:hint="eastAsia" w:ascii="宋体" w:hAnsi="宋体" w:eastAsia="宋体" w:cs="宋体"/>
          <w:sz w:val="28"/>
          <w:szCs w:val="28"/>
        </w:rPr>
        <w:t>投入、管理、产出</w:t>
      </w:r>
      <w:r>
        <w:rPr>
          <w:rFonts w:hint="eastAsia" w:ascii="宋体" w:hAnsi="宋体" w:eastAsia="宋体" w:cs="宋体"/>
          <w:sz w:val="28"/>
          <w:szCs w:val="28"/>
          <w:lang w:eastAsia="zh-CN"/>
        </w:rPr>
        <w:t>、效益</w:t>
      </w:r>
      <w:r>
        <w:rPr>
          <w:rFonts w:hint="eastAsia" w:ascii="宋体" w:hAnsi="宋体" w:eastAsia="宋体" w:cs="宋体"/>
          <w:sz w:val="28"/>
          <w:szCs w:val="28"/>
        </w:rPr>
        <w:t>等方面进行全面的评价</w:t>
      </w:r>
      <w:r>
        <w:rPr>
          <w:rFonts w:hint="eastAsia" w:ascii="宋体" w:hAnsi="宋体" w:eastAsia="宋体" w:cs="宋体"/>
          <w:b w:val="0"/>
          <w:bCs w:val="0"/>
          <w:sz w:val="28"/>
          <w:szCs w:val="28"/>
          <w:lang w:val="en-US" w:eastAsia="zh-CN"/>
        </w:rPr>
        <w:t>考核。</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b w:val="0"/>
          <w:bCs w:val="0"/>
          <w:sz w:val="28"/>
          <w:szCs w:val="28"/>
          <w:lang w:val="en-US" w:eastAsia="zh-CN"/>
        </w:rPr>
        <w:t>考核时段：从项目决策阶段立项开始，经过项目实施阶段到最后的项目结束竣工验收。</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0"/>
        <w:rPr>
          <w:rFonts w:hint="eastAsia" w:ascii="黑体" w:hAnsi="黑体" w:eastAsia="黑体" w:cs="黑体"/>
          <w:b/>
          <w:bCs/>
          <w:sz w:val="32"/>
          <w:szCs w:val="32"/>
          <w:lang w:val="en-US" w:eastAsia="zh-CN"/>
        </w:rPr>
      </w:pPr>
      <w:bookmarkStart w:id="17" w:name="_Toc24223"/>
      <w:r>
        <w:rPr>
          <w:rFonts w:hint="eastAsia" w:ascii="黑体" w:hAnsi="黑体" w:eastAsia="黑体" w:cs="黑体"/>
          <w:b/>
          <w:bCs/>
          <w:sz w:val="32"/>
          <w:szCs w:val="32"/>
          <w:lang w:val="en-US" w:eastAsia="zh-CN"/>
        </w:rPr>
        <w:t>二、绩效评价工作开展情况</w:t>
      </w:r>
      <w:bookmarkEnd w:id="17"/>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sz w:val="32"/>
          <w:szCs w:val="32"/>
          <w:lang w:eastAsia="zh-CN"/>
        </w:rPr>
      </w:pPr>
      <w:bookmarkStart w:id="18" w:name="_Toc31559"/>
      <w:r>
        <w:rPr>
          <w:rFonts w:hint="eastAsia" w:ascii="楷体" w:hAnsi="楷体" w:eastAsia="楷体" w:cs="楷体"/>
          <w:b/>
          <w:bCs/>
          <w:sz w:val="32"/>
          <w:szCs w:val="32"/>
          <w:lang w:val="en-US" w:eastAsia="zh-CN"/>
        </w:rPr>
        <w:t>（一）绩效评价指标权重和绩效评价指标体系</w:t>
      </w:r>
      <w:bookmarkEnd w:id="18"/>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1.绩效评价指标权重</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077"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b/>
                <w:bCs/>
                <w:kern w:val="0"/>
                <w:sz w:val="28"/>
                <w:szCs w:val="28"/>
              </w:rPr>
            </w:pPr>
          </w:p>
        </w:tc>
        <w:tc>
          <w:tcPr>
            <w:tcW w:w="1448"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投入指标</w:t>
            </w:r>
            <w:r>
              <w:rPr>
                <w:rFonts w:hint="eastAsia" w:asciiTheme="minorEastAsia" w:hAnsiTheme="minorEastAsia" w:cstheme="minorEastAsia"/>
                <w:kern w:val="0"/>
                <w:sz w:val="28"/>
                <w:szCs w:val="28"/>
                <w:lang w:val="en-US" w:eastAsia="zh-CN"/>
              </w:rPr>
              <w:t>10分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项目立项管理10分</w:t>
            </w: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1</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管理指标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业务管理15分</w:t>
            </w:r>
          </w:p>
        </w:tc>
        <w:tc>
          <w:tcPr>
            <w:tcW w:w="14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3</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2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财务管理15分</w:t>
            </w:r>
          </w:p>
        </w:tc>
        <w:tc>
          <w:tcPr>
            <w:tcW w:w="144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rPr>
              <w:t>产出</w:t>
            </w:r>
            <w:r>
              <w:rPr>
                <w:rFonts w:hint="eastAsia" w:asciiTheme="minorEastAsia" w:hAnsiTheme="minorEastAsia" w:cstheme="minorEastAsia"/>
                <w:kern w:val="0"/>
                <w:sz w:val="28"/>
                <w:szCs w:val="28"/>
                <w:lang w:eastAsia="zh-CN"/>
              </w:rPr>
              <w:t>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项目产出管理</w:t>
            </w:r>
            <w:r>
              <w:rPr>
                <w:rFonts w:hint="eastAsia" w:asciiTheme="minorEastAsia" w:hAnsiTheme="minorEastAsia" w:cstheme="minorEastAsia"/>
                <w:kern w:val="0"/>
                <w:sz w:val="28"/>
                <w:szCs w:val="28"/>
                <w:lang w:val="en-US" w:eastAsia="zh-CN"/>
              </w:rPr>
              <w:t>30分</w:t>
            </w: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效益指标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社会效益情况</w:t>
            </w:r>
            <w:r>
              <w:rPr>
                <w:rFonts w:hint="eastAsia" w:asciiTheme="minorEastAsia" w:hAnsiTheme="minorEastAsia" w:cstheme="minorEastAsia"/>
                <w:kern w:val="0"/>
                <w:sz w:val="28"/>
                <w:szCs w:val="28"/>
                <w:lang w:val="en-US" w:eastAsia="zh-CN"/>
              </w:rPr>
              <w:t>20分</w:t>
            </w:r>
          </w:p>
        </w:tc>
        <w:tc>
          <w:tcPr>
            <w:tcW w:w="14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2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经济效益情况</w:t>
            </w:r>
            <w:r>
              <w:rPr>
                <w:rFonts w:hint="eastAsia" w:asciiTheme="minorEastAsia" w:hAnsiTheme="minorEastAsia" w:cstheme="minorEastAsia"/>
                <w:kern w:val="0"/>
                <w:sz w:val="28"/>
                <w:szCs w:val="28"/>
                <w:lang w:val="en-US" w:eastAsia="zh-CN"/>
              </w:rPr>
              <w:t>10分</w:t>
            </w:r>
          </w:p>
        </w:tc>
        <w:tc>
          <w:tcPr>
            <w:tcW w:w="144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exact"/>
          <w:jc w:val="center"/>
        </w:trPr>
        <w:tc>
          <w:tcPr>
            <w:tcW w:w="4253" w:type="dxa"/>
            <w:gridSpan w:val="3"/>
            <w:tcBorders>
              <w:right w:val="single" w:color="auto" w:sz="4" w:space="0"/>
            </w:tcBorders>
            <w:vAlign w:val="center"/>
          </w:tcPr>
          <w:p>
            <w:pPr>
              <w:keepNext w:val="0"/>
              <w:keepLines w:val="0"/>
              <w:suppressLineNumbers w:val="0"/>
              <w:spacing w:before="0" w:beforeAutospacing="0" w:after="0" w:afterAutospacing="0"/>
              <w:ind w:left="0" w:right="0" w:firstLine="56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2.绩效评价指标体系</w:t>
      </w:r>
    </w:p>
    <w:tbl>
      <w:tblPr>
        <w:tblStyle w:val="13"/>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1251"/>
        <w:gridCol w:w="3149"/>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6" w:type="pct"/>
            <w:shd w:val="clear" w:color="auto" w:fill="BEBEBE" w:themeFill="background1" w:themeFillShade="BF"/>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一级指标</w:t>
            </w:r>
          </w:p>
        </w:tc>
        <w:tc>
          <w:tcPr>
            <w:tcW w:w="757" w:type="pct"/>
            <w:shd w:val="clear" w:color="auto" w:fill="BEBEBE" w:themeFill="background1" w:themeFillShade="BF"/>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二级指标</w:t>
            </w:r>
          </w:p>
        </w:tc>
        <w:tc>
          <w:tcPr>
            <w:tcW w:w="1906" w:type="pct"/>
            <w:shd w:val="clear" w:color="auto" w:fill="BEBEBE" w:themeFill="background1" w:themeFillShade="BF"/>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三级指标</w:t>
            </w:r>
          </w:p>
        </w:tc>
        <w:tc>
          <w:tcPr>
            <w:tcW w:w="1609" w:type="pct"/>
            <w:shd w:val="clear" w:color="auto" w:fill="BEBEBE" w:themeFill="background1" w:themeFillShade="BF"/>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trPr>
        <w:tc>
          <w:tcPr>
            <w:tcW w:w="726"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eastAsia="zh-CN"/>
              </w:rPr>
              <w:t>投入指标</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757"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项目决策管理</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lang w:val="en-US" w:eastAsia="zh-CN"/>
              </w:rPr>
              <w:t>1、项目立项合规性、必要性、实施的可行性（5分）；</w:t>
            </w:r>
          </w:p>
        </w:tc>
        <w:tc>
          <w:tcPr>
            <w:tcW w:w="1609"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项目投入经济性、筹资合规性（</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项目可持续性（</w:t>
            </w:r>
            <w:r>
              <w:rPr>
                <w:rFonts w:hint="eastAsia" w:ascii="宋体" w:hAnsi="宋体" w:eastAsia="宋体" w:cs="宋体"/>
                <w:color w:val="000000"/>
                <w:sz w:val="24"/>
                <w:szCs w:val="24"/>
                <w:lang w:val="en-US" w:eastAsia="zh-CN"/>
              </w:rPr>
              <w:t>2分</w:t>
            </w:r>
            <w:r>
              <w:rPr>
                <w:rFonts w:hint="eastAsia" w:ascii="宋体" w:hAnsi="宋体" w:eastAsia="宋体" w:cs="宋体"/>
                <w:color w:val="000000"/>
                <w:sz w:val="24"/>
                <w:szCs w:val="24"/>
                <w:lang w:eastAsia="zh-CN"/>
              </w:rPr>
              <w:t>）；</w:t>
            </w:r>
          </w:p>
        </w:tc>
        <w:tc>
          <w:tcPr>
            <w:tcW w:w="1609"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26"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管理指标</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业务管理</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15</w:t>
            </w:r>
            <w:r>
              <w:rPr>
                <w:rFonts w:hint="eastAsia" w:asciiTheme="minorEastAsia" w:hAnsiTheme="minorEastAsia"/>
                <w:bCs/>
                <w:sz w:val="24"/>
                <w:szCs w:val="24"/>
              </w:rPr>
              <w:t>分）</w:t>
            </w: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项目资料的完整性（</w:t>
            </w:r>
            <w:r>
              <w:rPr>
                <w:rFonts w:hint="eastAsia" w:ascii="宋体" w:hAnsi="宋体" w:eastAsia="宋体" w:cs="宋体"/>
                <w:color w:val="000000"/>
                <w:sz w:val="24"/>
                <w:szCs w:val="24"/>
                <w:lang w:val="en-US" w:eastAsia="zh-CN"/>
              </w:rPr>
              <w:t>6分</w:t>
            </w:r>
            <w:r>
              <w:rPr>
                <w:rFonts w:hint="eastAsia" w:ascii="宋体" w:hAnsi="宋体" w:eastAsia="宋体" w:cs="宋体"/>
                <w:color w:val="000000"/>
                <w:sz w:val="24"/>
                <w:szCs w:val="24"/>
                <w:lang w:eastAsia="zh-CN"/>
              </w:rPr>
              <w:t>）；</w:t>
            </w:r>
          </w:p>
        </w:tc>
        <w:tc>
          <w:tcPr>
            <w:tcW w:w="1609"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5、政务公开情况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制定公示制度、建立公示平台、应该招标项目必须进行招标得3分，每缺少一项扣1分；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6、变更控制情况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项目实施</w:t>
            </w:r>
            <w:r>
              <w:rPr>
                <w:rFonts w:hint="eastAsia" w:ascii="宋体" w:hAnsi="宋体" w:eastAsia="宋体" w:cs="宋体"/>
                <w:color w:val="000000"/>
                <w:sz w:val="24"/>
                <w:szCs w:val="24"/>
                <w:lang w:eastAsia="zh-CN"/>
              </w:rPr>
              <w:t>方案</w:t>
            </w:r>
            <w:r>
              <w:rPr>
                <w:rFonts w:hint="eastAsia" w:ascii="宋体" w:hAnsi="宋体" w:eastAsia="宋体" w:cs="宋体"/>
                <w:color w:val="000000"/>
                <w:sz w:val="24"/>
                <w:szCs w:val="24"/>
              </w:rPr>
              <w:t>编制情况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方案编制合理、可行得3分，每有一项不合理扣减0.5分；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财务管理</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15分</w:t>
            </w:r>
            <w:r>
              <w:rPr>
                <w:rFonts w:hint="eastAsia" w:asciiTheme="minorEastAsia" w:hAnsiTheme="minorEastAsia"/>
                <w:bCs/>
                <w:sz w:val="24"/>
                <w:szCs w:val="24"/>
                <w:lang w:eastAsia="zh-CN"/>
              </w:rPr>
              <w:t>）</w:t>
            </w: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、资金使用合规性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债券资金未用于经常性支出，未用于中央明令禁止的项目支出得4分，发现资金使用不合规每有一项扣1分；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、县级财政国库集中支付情况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7分</w:t>
            </w:r>
            <w:r>
              <w:rPr>
                <w:rFonts w:hint="eastAsia" w:ascii="宋体" w:hAnsi="宋体" w:eastAsia="宋体" w:cs="宋体"/>
                <w:color w:val="000000"/>
                <w:sz w:val="24"/>
                <w:szCs w:val="24"/>
                <w:lang w:eastAsia="zh-CN"/>
              </w:rPr>
              <w:t>）；</w:t>
            </w:r>
          </w:p>
        </w:tc>
        <w:tc>
          <w:tcPr>
            <w:tcW w:w="1609"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及时拨付项目资金得7分，未及时拨付每发现一次扣1分；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会计制度执行情况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26"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产出指标</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项目产出管理</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、工程完工情况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、工期控制情况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、完工项目验收情况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26"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leftChars="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效益指标</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30份</w:t>
            </w:r>
            <w:r>
              <w:rPr>
                <w:rFonts w:hint="eastAsia" w:asciiTheme="minorEastAsia" w:hAnsiTheme="minorEastAsia"/>
                <w:bCs/>
                <w:sz w:val="24"/>
                <w:szCs w:val="24"/>
                <w:lang w:eastAsia="zh-CN"/>
              </w:rPr>
              <w:t>）</w:t>
            </w:r>
          </w:p>
        </w:tc>
        <w:tc>
          <w:tcPr>
            <w:tcW w:w="757"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社会效益情况</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20</w:t>
            </w:r>
            <w:r>
              <w:rPr>
                <w:rFonts w:hint="eastAsia" w:asciiTheme="minorEastAsia" w:hAnsiTheme="minorEastAsia"/>
                <w:bCs/>
                <w:sz w:val="24"/>
                <w:szCs w:val="24"/>
              </w:rPr>
              <w:t>分）</w:t>
            </w: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、总体目标实现情况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09" w:type="pct"/>
            <w:vAlign w:val="top"/>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cs="Times New Roman" w:asciiTheme="minorEastAsia" w:hAnsiTheme="minorEastAsia" w:eastAsiaTheme="minorEastAsia"/>
                <w:kern w:val="0"/>
                <w:sz w:val="24"/>
                <w:szCs w:val="24"/>
                <w:lang w:val="en-US" w:eastAsia="zh-CN"/>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社会效益实现情况（</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09"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16</w:t>
            </w:r>
            <w:r>
              <w:rPr>
                <w:rFonts w:hint="eastAsia" w:ascii="宋体" w:hAnsi="宋体" w:eastAsia="宋体" w:cs="宋体"/>
                <w:color w:val="000000"/>
                <w:sz w:val="24"/>
                <w:szCs w:val="24"/>
              </w:rPr>
              <w:t>、社会环境（</w:t>
            </w:r>
            <w:r>
              <w:rPr>
                <w:rFonts w:hint="eastAsia" w:ascii="宋体" w:hAnsi="宋体" w:eastAsia="宋体" w:cs="宋体"/>
                <w:color w:val="000000"/>
                <w:sz w:val="24"/>
                <w:szCs w:val="24"/>
                <w:lang w:eastAsia="zh-CN"/>
              </w:rPr>
              <w:t>生态</w:t>
            </w:r>
            <w:r>
              <w:rPr>
                <w:rFonts w:hint="eastAsia" w:ascii="宋体" w:hAnsi="宋体" w:eastAsia="宋体" w:cs="宋体"/>
                <w:color w:val="000000"/>
                <w:sz w:val="24"/>
                <w:szCs w:val="24"/>
              </w:rPr>
              <w:t>环境等）改善情况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项目建设对社会环境有明显提升得4分，提升不明显得2分，影响社会环境不得分；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经济效益情况</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17、项目建设带来的直接经济效益（3分）；</w:t>
            </w:r>
          </w:p>
        </w:tc>
        <w:tc>
          <w:tcPr>
            <w:tcW w:w="1609"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18、项目建设带来的间接经济效益（7分）；</w:t>
            </w:r>
          </w:p>
        </w:tc>
        <w:tc>
          <w:tcPr>
            <w:tcW w:w="1609"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Times New Roman"/>
                <w:bCs/>
                <w:kern w:val="2"/>
                <w:sz w:val="24"/>
                <w:szCs w:val="24"/>
                <w:lang w:val="en-US" w:eastAsia="zh-CN" w:bidi="ar"/>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总分</w:t>
            </w:r>
          </w:p>
        </w:tc>
        <w:tc>
          <w:tcPr>
            <w:tcW w:w="757"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100</w:t>
            </w:r>
          </w:p>
        </w:tc>
        <w:tc>
          <w:tcPr>
            <w:tcW w:w="3515" w:type="pct"/>
            <w:gridSpan w:val="2"/>
            <w:vAlign w:val="center"/>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Theme="minorEastAsia" w:hAnsiTheme="minorEastAsia"/>
                <w:bCs/>
                <w:sz w:val="24"/>
                <w:szCs w:val="24"/>
              </w:rPr>
            </w:pPr>
          </w:p>
        </w:tc>
      </w:tr>
    </w:tbl>
    <w:p>
      <w:pPr>
        <w:ind w:firstLine="643" w:firstLineChars="200"/>
        <w:outlineLvl w:val="1"/>
        <w:rPr>
          <w:rFonts w:hint="eastAsia" w:ascii="楷体" w:hAnsi="楷体" w:eastAsia="楷体" w:cs="楷体"/>
          <w:b/>
          <w:bCs w:val="0"/>
          <w:kern w:val="0"/>
          <w:sz w:val="32"/>
          <w:szCs w:val="32"/>
          <w:lang w:val="en-US" w:eastAsia="zh-CN" w:bidi="ar-SA"/>
        </w:rPr>
      </w:pPr>
      <w:bookmarkStart w:id="19" w:name="_Toc32594"/>
      <w:bookmarkStart w:id="20" w:name="_Toc12872"/>
      <w:r>
        <w:rPr>
          <w:rFonts w:hint="eastAsia" w:ascii="楷体" w:hAnsi="楷体" w:eastAsia="楷体" w:cs="楷体"/>
          <w:b/>
          <w:bCs w:val="0"/>
          <w:kern w:val="0"/>
          <w:sz w:val="32"/>
          <w:szCs w:val="32"/>
          <w:lang w:val="en-US" w:eastAsia="zh-CN" w:bidi="ar-SA"/>
        </w:rPr>
        <w:t>（二）绩效评价目的和依据</w:t>
      </w:r>
      <w:bookmarkEnd w:id="19"/>
      <w:bookmarkEnd w:id="20"/>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1.评价目的</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绩效评价是整个评价工作开展所要达到的目标和结果，体现评价工作的最终价值，是整个评价工作的基本导向。</w:t>
      </w:r>
      <w:r>
        <w:rPr>
          <w:rFonts w:hint="eastAsia" w:ascii="宋体" w:hAnsi="宋体" w:eastAsia="宋体" w:cs="宋体"/>
          <w:sz w:val="28"/>
          <w:szCs w:val="28"/>
          <w:lang w:val="en-US" w:eastAsia="zh-CN"/>
        </w:rPr>
        <w:t>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w:t>
      </w:r>
      <w:r>
        <w:rPr>
          <w:rFonts w:hint="eastAsia" w:ascii="宋体" w:hAnsi="宋体" w:eastAsia="宋体" w:cs="宋体"/>
          <w:kern w:val="2"/>
          <w:sz w:val="28"/>
          <w:szCs w:val="28"/>
          <w:lang w:val="en-US" w:eastAsia="zh-CN" w:bidi="ar-SA"/>
        </w:rPr>
        <w:t>为了进一步规范项目管理制度，建立一支高素质的员工队伍，创造一种自我激励、自我约束和促进优秀人才脱颖而出的用人机制，为机关单位的成长和高效运作提供保障。</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2.评价依据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2" w:firstLineChars="200"/>
        <w:jc w:val="both"/>
        <w:textAlignment w:val="auto"/>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（1）法律依据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《中华人民共和国预算法》（2018年修正）</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《中华人民共和国环境保护法》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《中华人民共和国合同法》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《中华人民共和国建筑法》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《中华人民共和国会计法》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《中华人民共和国公司法》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《中华人民共和国招标投标法》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宋体" w:hAnsi="宋体" w:eastAsia="宋体" w:cs="宋体"/>
          <w:kern w:val="2"/>
          <w:sz w:val="28"/>
          <w:szCs w:val="28"/>
          <w:lang w:val="en-US" w:eastAsia="zh-CN" w:bidi="ar-SA"/>
        </w:rPr>
        <w:t>《中华人民共和国政府采购法》</w:t>
      </w:r>
    </w:p>
    <w:p>
      <w:pPr>
        <w:pStyle w:val="5"/>
        <w:bidi w:val="0"/>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2</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法规依据</w:t>
      </w:r>
    </w:p>
    <w:tbl>
      <w:tblPr>
        <w:tblStyle w:val="13"/>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7"/>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文号</w:t>
            </w:r>
          </w:p>
        </w:tc>
        <w:tc>
          <w:tcPr>
            <w:tcW w:w="5950" w:type="dxa"/>
            <w:shd w:val="clear" w:color="auto" w:fill="BEBEBE" w:themeFill="background1" w:themeFillShade="BF"/>
            <w:vAlign w:val="center"/>
          </w:tcPr>
          <w:p>
            <w:pPr>
              <w:pStyle w:val="17"/>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7"/>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国务院令第714</w:t>
            </w:r>
            <w:r>
              <w:rPr>
                <w:rFonts w:hint="default" w:ascii="宋体" w:hAnsi="宋体" w:eastAsia="宋体"/>
                <w:kern w:val="0"/>
                <w:sz w:val="24"/>
                <w:szCs w:val="24"/>
              </w:rPr>
              <w:t>号</w:t>
            </w:r>
          </w:p>
        </w:tc>
        <w:tc>
          <w:tcPr>
            <w:tcW w:w="5950" w:type="dxa"/>
            <w:vAlign w:val="center"/>
          </w:tcPr>
          <w:p>
            <w:pPr>
              <w:pStyle w:val="17"/>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国务院令第393</w:t>
            </w:r>
            <w:r>
              <w:rPr>
                <w:rFonts w:hint="default" w:ascii="宋体" w:hAnsi="宋体" w:eastAsia="宋体"/>
                <w:kern w:val="0"/>
                <w:sz w:val="24"/>
                <w:szCs w:val="24"/>
              </w:rPr>
              <w:t>号</w:t>
            </w:r>
          </w:p>
        </w:tc>
        <w:tc>
          <w:tcPr>
            <w:tcW w:w="5950" w:type="dxa"/>
            <w:vAlign w:val="center"/>
          </w:tcPr>
          <w:p>
            <w:pPr>
              <w:pStyle w:val="17"/>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国务院令第712号</w:t>
            </w:r>
          </w:p>
        </w:tc>
        <w:tc>
          <w:tcPr>
            <w:tcW w:w="59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default" w:ascii="宋体" w:hAnsi="宋体" w:eastAsia="宋体"/>
                <w:kern w:val="0"/>
                <w:sz w:val="24"/>
                <w:szCs w:val="24"/>
              </w:rPr>
              <w:t>国发</w:t>
            </w:r>
            <w:r>
              <w:rPr>
                <w:rFonts w:hint="eastAsia" w:ascii="宋体" w:hAnsi="宋体" w:eastAsia="宋体"/>
                <w:kern w:val="0"/>
                <w:sz w:val="24"/>
                <w:szCs w:val="24"/>
              </w:rPr>
              <w:t>〔</w:t>
            </w:r>
            <w:r>
              <w:rPr>
                <w:rFonts w:hint="default" w:ascii="宋体" w:hAnsi="宋体" w:eastAsia="宋体"/>
                <w:kern w:val="0"/>
                <w:sz w:val="24"/>
                <w:szCs w:val="24"/>
              </w:rPr>
              <w:t>2014</w:t>
            </w:r>
            <w:r>
              <w:rPr>
                <w:rFonts w:hint="eastAsia" w:ascii="宋体" w:hAnsi="宋体" w:eastAsia="宋体"/>
                <w:kern w:val="0"/>
                <w:sz w:val="24"/>
                <w:szCs w:val="24"/>
              </w:rPr>
              <w:t>〕</w:t>
            </w:r>
            <w:r>
              <w:rPr>
                <w:rFonts w:hint="default" w:ascii="宋体" w:hAnsi="宋体" w:eastAsia="宋体"/>
                <w:kern w:val="0"/>
                <w:sz w:val="24"/>
                <w:szCs w:val="24"/>
              </w:rPr>
              <w:t>4</w:t>
            </w:r>
            <w:r>
              <w:rPr>
                <w:rFonts w:hint="eastAsia" w:ascii="宋体" w:hAnsi="宋体" w:eastAsia="宋体"/>
                <w:kern w:val="0"/>
                <w:sz w:val="24"/>
                <w:szCs w:val="24"/>
                <w:lang w:val="en-US" w:eastAsia="zh-CN"/>
              </w:rPr>
              <w:t>3</w:t>
            </w:r>
            <w:r>
              <w:rPr>
                <w:rFonts w:hint="default" w:ascii="宋体" w:hAnsi="宋体" w:eastAsia="宋体"/>
                <w:kern w:val="0"/>
                <w:sz w:val="24"/>
                <w:szCs w:val="24"/>
              </w:rPr>
              <w:t>号</w:t>
            </w:r>
          </w:p>
        </w:tc>
        <w:tc>
          <w:tcPr>
            <w:tcW w:w="5950" w:type="dxa"/>
            <w:vAlign w:val="center"/>
          </w:tcPr>
          <w:p>
            <w:pPr>
              <w:pStyle w:val="17"/>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default" w:ascii="宋体" w:hAnsi="宋体" w:eastAsia="宋体"/>
                <w:kern w:val="0"/>
                <w:sz w:val="24"/>
                <w:szCs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中发〔</w:t>
            </w:r>
            <w:r>
              <w:rPr>
                <w:rFonts w:hint="default" w:ascii="宋体" w:hAnsi="宋体" w:eastAsia="宋体"/>
                <w:kern w:val="0"/>
                <w:sz w:val="24"/>
                <w:szCs w:val="24"/>
              </w:rPr>
              <w:t>201</w:t>
            </w:r>
            <w:r>
              <w:rPr>
                <w:rFonts w:hint="eastAsia" w:ascii="宋体" w:hAnsi="宋体" w:eastAsia="宋体"/>
                <w:kern w:val="0"/>
                <w:sz w:val="24"/>
                <w:szCs w:val="24"/>
                <w:lang w:val="en-US" w:eastAsia="zh-CN"/>
              </w:rPr>
              <w:t>8</w:t>
            </w:r>
            <w:r>
              <w:rPr>
                <w:rFonts w:hint="eastAsia" w:ascii="宋体" w:hAnsi="宋体" w:eastAsia="宋体"/>
                <w:kern w:val="0"/>
                <w:sz w:val="24"/>
                <w:szCs w:val="24"/>
              </w:rPr>
              <w:t>〕34号</w:t>
            </w:r>
          </w:p>
        </w:tc>
        <w:tc>
          <w:tcPr>
            <w:tcW w:w="59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《中共中央国务院关于全面实施预算绩效管理的意见》</w:t>
            </w:r>
          </w:p>
        </w:tc>
      </w:tr>
    </w:tbl>
    <w:p>
      <w:pPr>
        <w:keepNext w:val="0"/>
        <w:keepLines w:val="0"/>
        <w:pageBreakBefore w:val="0"/>
        <w:widowControl w:val="0"/>
        <w:kinsoku/>
        <w:wordWrap/>
        <w:overflowPunct/>
        <w:topLinePunct w:val="0"/>
        <w:autoSpaceDE/>
        <w:autoSpaceDN/>
        <w:bidi w:val="0"/>
        <w:adjustRightInd/>
        <w:snapToGrid/>
        <w:spacing w:before="156" w:after="156"/>
        <w:ind w:firstLine="622" w:firstLineChars="200"/>
        <w:textAlignment w:val="auto"/>
        <w:rPr>
          <w:rFonts w:hint="default" w:asciiTheme="minorEastAsia" w:hAnsiTheme="minorEastAsia" w:eastAsiaTheme="minorEastAsia" w:cstheme="minorEastAsia"/>
          <w:b/>
          <w:bCs/>
          <w:spacing w:val="15"/>
          <w:sz w:val="28"/>
          <w:szCs w:val="28"/>
          <w:lang w:val="en-US" w:eastAsia="zh-CN"/>
        </w:rPr>
      </w:pPr>
      <w:r>
        <w:rPr>
          <w:rFonts w:hint="eastAsia" w:asciiTheme="minorEastAsia" w:hAnsiTheme="minorEastAsia" w:cstheme="minorEastAsia"/>
          <w:b/>
          <w:bCs/>
          <w:spacing w:val="15"/>
          <w:sz w:val="28"/>
          <w:szCs w:val="28"/>
          <w:lang w:val="en-US" w:eastAsia="zh-CN"/>
        </w:rPr>
        <w:t>（3）部门规章</w:t>
      </w:r>
    </w:p>
    <w:tbl>
      <w:tblPr>
        <w:tblStyle w:val="1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75" w:type="dxa"/>
            <w:shd w:val="clear" w:color="auto" w:fill="BEBEBE" w:themeFill="background1" w:themeFillShade="BF"/>
            <w:vAlign w:val="center"/>
          </w:tcPr>
          <w:p>
            <w:pPr>
              <w:pStyle w:val="17"/>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文号</w:t>
            </w:r>
          </w:p>
        </w:tc>
        <w:tc>
          <w:tcPr>
            <w:tcW w:w="5721" w:type="dxa"/>
            <w:shd w:val="clear" w:color="auto" w:fill="BEBEBE" w:themeFill="background1" w:themeFillShade="BF"/>
            <w:vAlign w:val="center"/>
          </w:tcPr>
          <w:p>
            <w:pPr>
              <w:pStyle w:val="17"/>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7"/>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财库〔2014〕214号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财建〔2004〕729号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财预〔2017〕50 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财预〔2016〕154号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财预〔2011〕207号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财预〔2011〕416号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财建〔2013〕165号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财预〔2014〕45号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财预〔2015〕82号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财办预〔2016〕123号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财预〔2018〕4号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财综〔2018〕42号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财预〔2018〕69号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7"/>
              <w:keepNext w:val="0"/>
              <w:keepLines w:val="0"/>
              <w:suppressLineNumbers w:val="0"/>
              <w:spacing w:before="156" w:beforeAutospacing="0" w:after="156" w:afterAutospacing="0"/>
              <w:ind w:left="0" w:right="0" w:firstLine="0" w:firstLineChars="0"/>
              <w:jc w:val="center"/>
              <w:rPr>
                <w:rFonts w:hint="eastAsia" w:ascii="宋体" w:hAnsi="宋体" w:eastAsia="宋体" w:cs="宋体"/>
                <w:kern w:val="0"/>
                <w:sz w:val="24"/>
                <w:szCs w:val="24"/>
              </w:rPr>
            </w:pPr>
            <w:r>
              <w:rPr>
                <w:rFonts w:hint="eastAsia" w:ascii="宋体" w:hAnsi="宋体" w:eastAsia="宋体" w:cs="宋体"/>
                <w:b/>
                <w:bCs/>
                <w:kern w:val="0"/>
                <w:sz w:val="24"/>
                <w:szCs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冀财金〔2015〕28号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冀财综〔2018〕20号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《关于印发河北省政府购买服务第三方绩效评价实施暂行办法的通知》</w:t>
            </w:r>
          </w:p>
        </w:tc>
      </w:tr>
    </w:tbl>
    <w:p>
      <w:pPr>
        <w:pStyle w:val="17"/>
        <w:numPr>
          <w:ilvl w:val="0"/>
          <w:numId w:val="0"/>
        </w:numPr>
        <w:tabs>
          <w:tab w:val="left" w:pos="1623"/>
        </w:tabs>
        <w:spacing w:before="59" w:after="0" w:line="240" w:lineRule="auto"/>
        <w:ind w:left="560" w:leftChars="0" w:right="0" w:rightChars="0"/>
        <w:jc w:val="left"/>
        <w:rPr>
          <w:rFonts w:hint="eastAsia" w:asciiTheme="minorEastAsia" w:hAnsiTheme="minorEastAsia" w:cstheme="minorEastAsia"/>
          <w:b/>
          <w:bCs/>
          <w:spacing w:val="-3"/>
          <w:sz w:val="28"/>
          <w:szCs w:val="28"/>
          <w:vertAlign w:val="baseline"/>
          <w:lang w:eastAsia="zh-CN"/>
        </w:rPr>
      </w:pPr>
      <w:r>
        <w:rPr>
          <w:rFonts w:hint="eastAsia" w:asciiTheme="minorEastAsia" w:hAnsiTheme="minorEastAsia" w:cstheme="minorEastAsia"/>
          <w:b/>
          <w:bCs/>
          <w:spacing w:val="-3"/>
          <w:sz w:val="28"/>
          <w:szCs w:val="28"/>
          <w:vertAlign w:val="baseline"/>
          <w:lang w:eastAsia="zh-CN"/>
        </w:rPr>
        <w:t>（</w:t>
      </w:r>
      <w:r>
        <w:rPr>
          <w:rFonts w:hint="eastAsia" w:asciiTheme="minorEastAsia" w:hAnsiTheme="minorEastAsia" w:cstheme="minorEastAsia"/>
          <w:b/>
          <w:bCs/>
          <w:spacing w:val="-3"/>
          <w:sz w:val="28"/>
          <w:szCs w:val="28"/>
          <w:vertAlign w:val="baseline"/>
          <w:lang w:val="en-US" w:eastAsia="zh-CN"/>
        </w:rPr>
        <w:t>4</w:t>
      </w:r>
      <w:r>
        <w:rPr>
          <w:rFonts w:hint="eastAsia" w:asciiTheme="minorEastAsia" w:hAnsiTheme="minorEastAsia" w:cstheme="minorEastAsia"/>
          <w:b/>
          <w:bCs/>
          <w:spacing w:val="-3"/>
          <w:sz w:val="28"/>
          <w:szCs w:val="28"/>
          <w:vertAlign w:val="baseline"/>
          <w:lang w:eastAsia="zh-CN"/>
        </w:rPr>
        <w:t>）相关资料</w:t>
      </w:r>
    </w:p>
    <w:tbl>
      <w:tblPr>
        <w:tblStyle w:val="12"/>
        <w:tblW w:w="8325" w:type="dxa"/>
        <w:tblInd w:w="92" w:type="dxa"/>
        <w:tblLayout w:type="fixed"/>
        <w:tblCellMar>
          <w:top w:w="0" w:type="dxa"/>
          <w:left w:w="108" w:type="dxa"/>
          <w:bottom w:w="0" w:type="dxa"/>
          <w:right w:w="108" w:type="dxa"/>
        </w:tblCellMar>
      </w:tblPr>
      <w:tblGrid>
        <w:gridCol w:w="1069"/>
        <w:gridCol w:w="7256"/>
      </w:tblGrid>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项目建议书</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可行性研究报告及其批复</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省、市、</w:t>
            </w:r>
            <w:r>
              <w:rPr>
                <w:rFonts w:hint="eastAsia" w:ascii="宋体" w:hAnsi="宋体" w:eastAsia="宋体" w:cs="宋体"/>
                <w:color w:val="000000"/>
                <w:kern w:val="0"/>
                <w:sz w:val="24"/>
                <w:szCs w:val="24"/>
              </w:rPr>
              <w:t>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项目招标采购文件</w:t>
            </w:r>
            <w:r>
              <w:rPr>
                <w:rFonts w:hint="eastAsia" w:ascii="宋体" w:hAnsi="宋体" w:eastAsia="宋体" w:cs="宋体"/>
                <w:color w:val="000000"/>
                <w:kern w:val="0"/>
                <w:sz w:val="24"/>
                <w:szCs w:val="24"/>
                <w:lang w:eastAsia="zh-CN"/>
              </w:rPr>
              <w:t>及中标通知书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二</w:t>
            </w:r>
          </w:p>
        </w:tc>
        <w:tc>
          <w:tcPr>
            <w:tcW w:w="72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项目实施过程</w:t>
            </w:r>
            <w:r>
              <w:rPr>
                <w:rFonts w:hint="eastAsia" w:ascii="宋体" w:hAnsi="宋体" w:eastAsia="宋体" w:cs="宋体"/>
                <w:b/>
                <w:bCs/>
                <w:color w:val="000000"/>
                <w:kern w:val="0"/>
                <w:sz w:val="24"/>
                <w:szCs w:val="24"/>
              </w:rPr>
              <w:t>资料</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1</w:t>
            </w:r>
          </w:p>
        </w:tc>
        <w:tc>
          <w:tcPr>
            <w:tcW w:w="72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施工组织方案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质量管理文件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资金</w:t>
            </w:r>
            <w:r>
              <w:rPr>
                <w:rFonts w:hint="eastAsia" w:ascii="宋体" w:hAnsi="宋体" w:eastAsia="宋体" w:cs="宋体"/>
                <w:color w:val="000000"/>
                <w:kern w:val="0"/>
                <w:sz w:val="24"/>
                <w:szCs w:val="24"/>
                <w:lang w:eastAsia="zh-CN"/>
              </w:rPr>
              <w:t>收支</w:t>
            </w:r>
            <w:r>
              <w:rPr>
                <w:rFonts w:hint="eastAsia" w:ascii="宋体" w:hAnsi="宋体" w:eastAsia="宋体" w:cs="宋体"/>
                <w:color w:val="000000"/>
                <w:kern w:val="0"/>
                <w:sz w:val="24"/>
                <w:szCs w:val="24"/>
              </w:rPr>
              <w:t>凭证</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三</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cs="宋体"/>
                <w:b/>
                <w:bCs/>
                <w:color w:val="000000"/>
                <w:kern w:val="0"/>
                <w:sz w:val="24"/>
                <w:szCs w:val="24"/>
              </w:rPr>
              <w:t>竣工验收资料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工程质量保修书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施工单位</w:t>
            </w:r>
            <w:r>
              <w:rPr>
                <w:rFonts w:hint="eastAsia" w:ascii="宋体" w:hAnsi="宋体" w:cs="宋体"/>
                <w:color w:val="000000"/>
                <w:kern w:val="0"/>
                <w:sz w:val="24"/>
                <w:szCs w:val="24"/>
              </w:rPr>
              <w:t>竣工报告</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highlight w:val="none"/>
                <w:lang w:eastAsia="zh-CN"/>
              </w:rPr>
              <w:t>建设单位绩效评价自评报告</w:t>
            </w:r>
          </w:p>
        </w:tc>
      </w:tr>
    </w:tbl>
    <w:p>
      <w:pPr>
        <w:pStyle w:val="4"/>
        <w:keepNext/>
        <w:keepLines/>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val="0"/>
          <w:sz w:val="32"/>
          <w:szCs w:val="32"/>
          <w:lang w:val="en-US" w:eastAsia="zh-CN"/>
        </w:rPr>
      </w:pPr>
      <w:bookmarkStart w:id="21" w:name="_Toc22990"/>
      <w:bookmarkStart w:id="22" w:name="_Toc12571"/>
      <w:r>
        <w:rPr>
          <w:rFonts w:hint="eastAsia" w:ascii="楷体" w:hAnsi="楷体" w:eastAsia="楷体" w:cs="楷体"/>
          <w:b/>
          <w:bCs w:val="0"/>
          <w:sz w:val="32"/>
          <w:szCs w:val="32"/>
          <w:lang w:val="en-US" w:eastAsia="zh-CN"/>
        </w:rPr>
        <w:t>（三）绩效评价工作内容和范围</w:t>
      </w:r>
      <w:bookmarkEnd w:id="21"/>
      <w:bookmarkEnd w:id="22"/>
    </w:p>
    <w:p>
      <w:pPr>
        <w:ind w:firstLine="560" w:firstLineChars="200"/>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我们对本项目2019年度债券资金使用部分的项目资料的完整性、有效性作出判断，走访调查相关部门当事人，对</w:t>
      </w:r>
      <w:r>
        <w:rPr>
          <w:rFonts w:hint="eastAsia" w:ascii="宋体" w:hAnsi="宋体" w:eastAsia="宋体" w:cs="宋体"/>
          <w:kern w:val="2"/>
          <w:sz w:val="28"/>
          <w:szCs w:val="28"/>
          <w:highlight w:val="none"/>
          <w:lang w:val="en-US" w:eastAsia="zh-CN" w:bidi="ar-SA"/>
        </w:rPr>
        <w:t>围场县县直机关事务管理局</w:t>
      </w:r>
      <w:r>
        <w:rPr>
          <w:rFonts w:hint="eastAsia" w:ascii="宋体" w:hAnsi="宋体" w:eastAsia="宋体" w:cs="宋体"/>
          <w:kern w:val="2"/>
          <w:sz w:val="28"/>
          <w:szCs w:val="28"/>
          <w:lang w:val="en-US" w:eastAsia="zh-CN" w:bidi="ar-SA"/>
        </w:rPr>
        <w:t>提供的资料数据进行考察、核实，对绩效评价指标体系中的各项工作任务做出客观、公正的评判，不足之处究其原因作出响应</w:t>
      </w:r>
      <w:r>
        <w:rPr>
          <w:rFonts w:hint="eastAsia" w:ascii="仿宋" w:hAnsi="仿宋" w:eastAsia="仿宋" w:cs="仿宋"/>
          <w:kern w:val="2"/>
          <w:sz w:val="32"/>
          <w:szCs w:val="32"/>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评价内容包括：</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1.决策情况；</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2.资金管理和使用情况；</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3.相关管理制度办法的健全性及执行情况；</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4.实现的产出情况；</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5.取得的效益情况；</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6.其他相关内容；</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评价范围包括2019年度围场县地方政府新增一般债劵资金的预算投入、支出情况。</w:t>
      </w:r>
    </w:p>
    <w:p>
      <w:pPr>
        <w:pStyle w:val="11"/>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23" w:name="_Toc30379"/>
      <w:bookmarkStart w:id="24" w:name="_Toc15925"/>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（四）绩效评价标准和方法</w:t>
      </w:r>
      <w:bookmarkEnd w:id="23"/>
      <w:bookmarkEnd w:id="24"/>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Cs w:val="28"/>
          <w:lang w:val="en-US" w:eastAsia="zh-CN" w:bidi="ar-SA"/>
        </w:rPr>
      </w:pPr>
      <w:r>
        <w:rPr>
          <w:rFonts w:hint="eastAsia" w:ascii="宋体" w:hAnsi="宋体" w:eastAsia="宋体" w:cs="宋体"/>
          <w:sz w:val="28"/>
          <w:szCs w:val="28"/>
          <w:lang w:val="en-US" w:eastAsia="zh-CN"/>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18个三级指标。绩效评价采用百分制，满分为100分。考评结果等次：根据计算统计结果的分值，确定考评对象最后达到的等次，具体确定为：考评分值S≥80，为优；80＞S≥70，为良；70＞S≥60，为合格；S＜60，为不合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1、层次分析法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2、对比分析法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3、成本效益分析法。是指将投入与产出、效益进行关联性分析的方法。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4、因素分析法。是指综合分析影响绩效目标实现、实施效果的内外部因素的方法。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5、调查法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Cs w:val="28"/>
          <w:highlight w:val="none"/>
          <w:lang w:val="en-US" w:eastAsia="zh-CN" w:bidi="ar-SA"/>
        </w:rPr>
      </w:pPr>
      <w:r>
        <w:rPr>
          <w:rFonts w:hint="eastAsia" w:ascii="宋体" w:hAnsi="宋体" w:eastAsia="宋体" w:cs="宋体"/>
          <w:sz w:val="28"/>
          <w:szCs w:val="28"/>
          <w:lang w:val="en-US" w:eastAsia="zh-CN"/>
        </w:rPr>
        <w:t>掌握客观、真实的信息、数据是后评价工作的先决条件和基础，在很多项目中，经常采用收集档案资料、座谈、电话、走访及调查等方法相结合的方式。</w:t>
      </w:r>
    </w:p>
    <w:p>
      <w:pPr>
        <w:pStyle w:val="11"/>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25" w:name="_Toc23289"/>
      <w:bookmarkStart w:id="26" w:name="_Toc12042"/>
      <w:bookmarkStart w:id="27" w:name="_Toc8164"/>
      <w:bookmarkStart w:id="28" w:name="_Toc29690"/>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（五）绩效评价工作过程</w:t>
      </w:r>
      <w:bookmarkEnd w:id="25"/>
      <w:bookmarkEnd w:id="26"/>
      <w:bookmarkEnd w:id="27"/>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60" w:firstLineChars="200"/>
        <w:textAlignment w:val="auto"/>
        <w:outlineLvl w:val="0"/>
        <w:rPr>
          <w:rFonts w:hint="eastAsia" w:ascii="宋体" w:hAnsi="宋体" w:eastAsia="宋体" w:cs="宋体"/>
          <w:sz w:val="28"/>
          <w:szCs w:val="28"/>
          <w:lang w:eastAsia="zh-CN"/>
        </w:rPr>
      </w:pPr>
      <w:bookmarkStart w:id="29" w:name="_Toc13042"/>
      <w:bookmarkStart w:id="30" w:name="_Toc2087"/>
      <w:bookmarkStart w:id="31" w:name="_Toc30243"/>
      <w:bookmarkStart w:id="32" w:name="_Toc18780"/>
      <w:bookmarkStart w:id="33" w:name="_Toc31807"/>
      <w:bookmarkStart w:id="34" w:name="_Toc22556"/>
      <w:bookmarkStart w:id="35" w:name="_Toc17563"/>
      <w:r>
        <w:rPr>
          <w:rFonts w:hint="eastAsia" w:ascii="宋体" w:hAnsi="宋体" w:eastAsia="宋体" w:cs="宋体"/>
          <w:sz w:val="28"/>
          <w:szCs w:val="28"/>
          <w:lang w:eastAsia="zh-CN"/>
        </w:rPr>
        <w:t>围场满族蒙古族自治</w:t>
      </w:r>
      <w:r>
        <w:rPr>
          <w:rFonts w:hint="eastAsia" w:ascii="宋体" w:hAnsi="宋体" w:eastAsia="宋体" w:cs="宋体"/>
          <w:sz w:val="28"/>
          <w:szCs w:val="28"/>
        </w:rPr>
        <w:t>县</w:t>
      </w:r>
      <w:r>
        <w:rPr>
          <w:rFonts w:hint="eastAsia" w:ascii="宋体" w:hAnsi="宋体" w:eastAsia="宋体" w:cs="宋体"/>
          <w:sz w:val="28"/>
          <w:szCs w:val="28"/>
          <w:lang w:eastAsia="zh-CN"/>
        </w:rPr>
        <w:t>财政局</w:t>
      </w:r>
      <w:r>
        <w:rPr>
          <w:rFonts w:hint="eastAsia" w:ascii="宋体" w:hAnsi="宋体" w:eastAsia="宋体" w:cs="宋体"/>
          <w:sz w:val="28"/>
          <w:szCs w:val="28"/>
        </w:rPr>
        <w:t>委托</w:t>
      </w:r>
      <w:r>
        <w:rPr>
          <w:rFonts w:hint="eastAsia" w:ascii="宋体" w:hAnsi="宋体" w:eastAsia="宋体" w:cs="宋体"/>
          <w:sz w:val="28"/>
          <w:szCs w:val="28"/>
          <w:lang w:eastAsia="zh-CN"/>
        </w:rPr>
        <w:t>承德燕山会计师事务所</w:t>
      </w:r>
      <w:r>
        <w:rPr>
          <w:rFonts w:hint="eastAsia" w:ascii="宋体" w:hAnsi="宋体" w:eastAsia="宋体" w:cs="宋体"/>
          <w:sz w:val="28"/>
          <w:szCs w:val="28"/>
        </w:rPr>
        <w:t>有限</w:t>
      </w:r>
      <w:r>
        <w:rPr>
          <w:rFonts w:hint="eastAsia" w:ascii="宋体" w:hAnsi="宋体" w:eastAsia="宋体" w:cs="宋体"/>
          <w:sz w:val="28"/>
          <w:szCs w:val="28"/>
          <w:lang w:eastAsia="zh-CN"/>
        </w:rPr>
        <w:t>责任</w:t>
      </w:r>
      <w:r>
        <w:rPr>
          <w:rFonts w:hint="eastAsia" w:ascii="宋体" w:hAnsi="宋体" w:eastAsia="宋体" w:cs="宋体"/>
          <w:sz w:val="28"/>
          <w:szCs w:val="28"/>
        </w:rPr>
        <w:t>公司对本</w:t>
      </w:r>
      <w:r>
        <w:rPr>
          <w:rFonts w:hint="eastAsia" w:ascii="宋体" w:hAnsi="宋体" w:eastAsia="宋体" w:cs="宋体"/>
          <w:sz w:val="28"/>
          <w:szCs w:val="28"/>
          <w:lang w:eastAsia="zh-CN"/>
        </w:rPr>
        <w:t>项目债券资金使用情况的</w:t>
      </w:r>
      <w:r>
        <w:rPr>
          <w:rFonts w:hint="eastAsia" w:ascii="宋体" w:hAnsi="宋体" w:eastAsia="宋体" w:cs="宋体"/>
          <w:sz w:val="28"/>
          <w:szCs w:val="28"/>
        </w:rPr>
        <w:t>经济性、规范性、</w:t>
      </w:r>
      <w:r>
        <w:rPr>
          <w:rFonts w:hint="eastAsia" w:ascii="宋体" w:hAnsi="宋体" w:eastAsia="宋体" w:cs="宋体"/>
          <w:sz w:val="28"/>
          <w:szCs w:val="28"/>
          <w:lang w:eastAsia="zh-CN"/>
        </w:rPr>
        <w:t>效益</w:t>
      </w:r>
      <w:r>
        <w:rPr>
          <w:rFonts w:hint="eastAsia" w:ascii="宋体" w:hAnsi="宋体" w:eastAsia="宋体" w:cs="宋体"/>
          <w:sz w:val="28"/>
          <w:szCs w:val="28"/>
        </w:rPr>
        <w:t>性</w:t>
      </w:r>
      <w:r>
        <w:rPr>
          <w:rFonts w:hint="eastAsia" w:ascii="宋体" w:hAnsi="宋体" w:eastAsia="宋体" w:cs="宋体"/>
          <w:sz w:val="28"/>
          <w:szCs w:val="28"/>
          <w:lang w:eastAsia="zh-CN"/>
        </w:rPr>
        <w:t>和可持续性</w:t>
      </w:r>
      <w:r>
        <w:rPr>
          <w:rFonts w:hint="eastAsia" w:ascii="宋体" w:hAnsi="宋体" w:eastAsia="宋体" w:cs="宋体"/>
          <w:sz w:val="28"/>
          <w:szCs w:val="28"/>
        </w:rPr>
        <w:t>等进行</w:t>
      </w:r>
      <w:r>
        <w:rPr>
          <w:rFonts w:hint="eastAsia" w:ascii="宋体" w:hAnsi="宋体" w:eastAsia="宋体" w:cs="宋体"/>
          <w:sz w:val="28"/>
          <w:szCs w:val="28"/>
          <w:lang w:eastAsia="zh-CN"/>
        </w:rPr>
        <w:t>客观、公正的分析和评判</w:t>
      </w:r>
      <w:r>
        <w:rPr>
          <w:rFonts w:hint="eastAsia" w:ascii="宋体" w:hAnsi="宋体" w:eastAsia="宋体" w:cs="宋体"/>
          <w:sz w:val="28"/>
          <w:szCs w:val="28"/>
        </w:rPr>
        <w:t>。根据</w:t>
      </w:r>
      <w:r>
        <w:rPr>
          <w:rFonts w:hint="eastAsia" w:ascii="宋体" w:hAnsi="宋体" w:eastAsia="宋体" w:cs="宋体"/>
          <w:sz w:val="28"/>
          <w:szCs w:val="28"/>
          <w:lang w:eastAsia="zh-CN"/>
        </w:rPr>
        <w:t>绩效评价工作</w:t>
      </w:r>
      <w:r>
        <w:rPr>
          <w:rFonts w:hint="eastAsia" w:ascii="宋体" w:hAnsi="宋体" w:eastAsia="宋体" w:cs="宋体"/>
          <w:sz w:val="28"/>
          <w:szCs w:val="28"/>
        </w:rPr>
        <w:t>要求，</w:t>
      </w:r>
      <w:r>
        <w:rPr>
          <w:rFonts w:hint="eastAsia" w:ascii="宋体" w:hAnsi="宋体" w:eastAsia="宋体" w:cs="宋体"/>
          <w:sz w:val="28"/>
          <w:szCs w:val="28"/>
          <w:lang w:eastAsia="zh-CN"/>
        </w:rPr>
        <w:t>我方做以下工作：</w:t>
      </w:r>
      <w:bookmarkEnd w:id="29"/>
      <w:bookmarkEnd w:id="30"/>
      <w:bookmarkEnd w:id="31"/>
      <w:bookmarkEnd w:id="32"/>
      <w:bookmarkEnd w:id="33"/>
      <w:bookmarkEnd w:id="34"/>
      <w:bookmarkEnd w:id="35"/>
    </w:p>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36" w:name="_Toc14297"/>
      <w:bookmarkStart w:id="37" w:name="_Toc17036"/>
      <w:bookmarkStart w:id="38" w:name="_Toc15494"/>
      <w:bookmarkStart w:id="39" w:name="_Toc27413"/>
      <w:bookmarkStart w:id="40" w:name="_Toc24972"/>
      <w:bookmarkStart w:id="41" w:name="_Toc14572"/>
      <w:bookmarkStart w:id="42" w:name="_Toc1487"/>
      <w:bookmarkStart w:id="43" w:name="_Toc22325"/>
      <w:bookmarkStart w:id="44" w:name="_Toc24529"/>
      <w:bookmarkStart w:id="45" w:name="_Toc24311"/>
      <w:bookmarkStart w:id="46" w:name="_Toc19058"/>
      <w:r>
        <w:rPr>
          <w:rFonts w:hint="eastAsia" w:ascii="宋体" w:hAnsi="宋体" w:eastAsia="宋体" w:cs="宋体"/>
          <w:b/>
          <w:bCs/>
          <w:kern w:val="0"/>
          <w:sz w:val="28"/>
          <w:szCs w:val="28"/>
          <w:lang w:val="en-US" w:eastAsia="zh-CN" w:bidi="ar-SA"/>
        </w:rPr>
        <w:t>1、明确项目团队的职责与分工</w:t>
      </w:r>
      <w:bookmarkEnd w:id="36"/>
      <w:bookmarkEnd w:id="37"/>
      <w:bookmarkEnd w:id="38"/>
      <w:bookmarkEnd w:id="39"/>
      <w:bookmarkEnd w:id="40"/>
      <w:bookmarkEnd w:id="41"/>
      <w:bookmarkEnd w:id="42"/>
      <w:bookmarkEnd w:id="43"/>
      <w:bookmarkEnd w:id="44"/>
      <w:bookmarkEnd w:id="45"/>
      <w:bookmarkEnd w:id="46"/>
    </w:p>
    <w:tbl>
      <w:tblPr>
        <w:tblStyle w:val="13"/>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6"/>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rPr>
              <w:t>负责</w:t>
            </w:r>
            <w:r>
              <w:rPr>
                <w:rFonts w:hint="eastAsia" w:ascii="宋体" w:hAnsi="宋体" w:eastAsia="宋体" w:cs="宋体"/>
                <w:kern w:val="0"/>
                <w:sz w:val="24"/>
                <w:lang w:eastAsia="zh-CN"/>
              </w:rPr>
              <w:t>人</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2</w:t>
            </w:r>
          </w:p>
        </w:tc>
        <w:tc>
          <w:tcPr>
            <w:tcW w:w="1705" w:type="dxa"/>
            <w:vMerge w:val="continue"/>
            <w:vAlign w:val="center"/>
          </w:tcPr>
          <w:p>
            <w:pPr>
              <w:jc w:val="center"/>
              <w:rPr>
                <w:rFonts w:hint="eastAsia" w:ascii="宋体" w:hAnsi="宋体" w:eastAsia="宋体" w:cs="宋体"/>
                <w:kern w:val="0"/>
                <w:sz w:val="24"/>
              </w:rPr>
            </w:pPr>
          </w:p>
        </w:tc>
        <w:tc>
          <w:tcPr>
            <w:tcW w:w="1428" w:type="dxa"/>
            <w:vAlign w:val="center"/>
          </w:tcPr>
          <w:p>
            <w:pPr>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白秀云</w:t>
            </w:r>
          </w:p>
        </w:tc>
        <w:tc>
          <w:tcPr>
            <w:tcW w:w="4311" w:type="dxa"/>
            <w:vMerge w:val="continue"/>
            <w:vAlign w:val="center"/>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6"/>
              <w:ind w:firstLine="0"/>
              <w:jc w:val="center"/>
              <w:rPr>
                <w:rFonts w:hint="eastAsia" w:ascii="宋体" w:hAnsi="宋体" w:eastAsia="宋体" w:cs="宋体"/>
                <w:b/>
                <w:bCs/>
                <w:spacing w:val="15"/>
                <w:sz w:val="24"/>
                <w:highlight w:val="yellow"/>
                <w:lang w:val="en-US" w:eastAsia="zh-CN"/>
              </w:rPr>
            </w:pPr>
            <w:r>
              <w:rPr>
                <w:rFonts w:hint="eastAsia" w:ascii="宋体" w:hAnsi="宋体" w:eastAsia="宋体" w:cs="宋体"/>
                <w:b/>
                <w:bCs/>
                <w:spacing w:val="15"/>
                <w:sz w:val="24"/>
                <w:highlight w:val="none"/>
                <w:lang w:val="en-US" w:eastAsia="zh-CN"/>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6"/>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hint="eastAsia" w:ascii="宋体" w:hAnsi="宋体" w:eastAsia="宋体" w:cs="宋体"/>
                <w:b/>
                <w:bCs/>
                <w:spacing w:val="15"/>
                <w:sz w:val="24"/>
                <w:lang w:eastAsia="zh-CN"/>
              </w:rPr>
            </w:pPr>
            <w:r>
              <w:rPr>
                <w:rFonts w:hint="eastAsia" w:ascii="宋体" w:hAnsi="宋体" w:eastAsia="宋体" w:cs="宋体"/>
                <w:b/>
                <w:bCs/>
                <w:spacing w:val="15"/>
                <w:sz w:val="24"/>
                <w:lang w:val="en-US" w:eastAsia="zh-CN"/>
              </w:rPr>
              <w:t>5</w:t>
            </w:r>
          </w:p>
        </w:tc>
        <w:tc>
          <w:tcPr>
            <w:tcW w:w="1705" w:type="dxa"/>
            <w:vMerge w:val="restart"/>
            <w:vAlign w:val="center"/>
          </w:tcPr>
          <w:p>
            <w:pPr>
              <w:pStyle w:val="16"/>
              <w:ind w:firstLine="0"/>
              <w:jc w:val="center"/>
              <w:rPr>
                <w:rFonts w:hint="eastAsia" w:ascii="宋体" w:hAnsi="宋体" w:eastAsia="宋体" w:cs="宋体"/>
                <w:kern w:val="0"/>
                <w:sz w:val="24"/>
                <w:lang w:eastAsia="zh-CN"/>
              </w:rPr>
            </w:pPr>
            <w:r>
              <w:rPr>
                <w:rFonts w:hint="eastAsia" w:ascii="宋体" w:hAnsi="宋体" w:eastAsia="宋体" w:cs="宋体"/>
                <w:kern w:val="0"/>
                <w:sz w:val="24"/>
              </w:rPr>
              <w:t>监管</w:t>
            </w:r>
            <w:r>
              <w:rPr>
                <w:rFonts w:hint="eastAsia" w:ascii="宋体" w:hAnsi="宋体" w:eastAsia="宋体" w:cs="宋体"/>
                <w:kern w:val="0"/>
                <w:sz w:val="24"/>
                <w:lang w:eastAsia="zh-CN"/>
              </w:rPr>
              <w:t>审核</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w:t>
            </w:r>
            <w:r>
              <w:rPr>
                <w:rFonts w:hint="eastAsia" w:ascii="宋体" w:hAnsi="宋体" w:eastAsia="宋体" w:cs="宋体"/>
                <w:kern w:val="0"/>
                <w:sz w:val="24"/>
                <w:lang w:eastAsia="zh-CN"/>
              </w:rPr>
              <w:t>检查、</w:t>
            </w:r>
            <w:r>
              <w:rPr>
                <w:rFonts w:hint="eastAsia" w:ascii="宋体" w:hAnsi="宋体" w:eastAsia="宋体" w:cs="宋体"/>
                <w:kern w:val="0"/>
                <w:sz w:val="24"/>
              </w:rPr>
              <w:t>管理</w:t>
            </w:r>
            <w:r>
              <w:rPr>
                <w:rFonts w:hint="eastAsia" w:ascii="宋体" w:hAnsi="宋体" w:eastAsia="宋体" w:cs="宋体"/>
                <w:kern w:val="0"/>
                <w:sz w:val="24"/>
                <w:lang w:eastAsia="zh-CN"/>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6</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崔春华</w:t>
            </w:r>
          </w:p>
        </w:tc>
        <w:tc>
          <w:tcPr>
            <w:tcW w:w="4311" w:type="dxa"/>
            <w:vMerge w:val="restart"/>
            <w:vAlign w:val="center"/>
          </w:tcPr>
          <w:p>
            <w:pPr>
              <w:jc w:val="both"/>
              <w:rPr>
                <w:rFonts w:ascii="宋体" w:hAnsi="宋体" w:eastAsia="宋体" w:cs="宋体"/>
                <w:kern w:val="0"/>
                <w:sz w:val="24"/>
              </w:rPr>
            </w:pPr>
            <w:r>
              <w:rPr>
                <w:rFonts w:hint="eastAsia" w:ascii="宋体" w:hAnsi="宋体" w:eastAsia="宋体" w:cs="宋体"/>
                <w:kern w:val="0"/>
                <w:sz w:val="24"/>
              </w:rPr>
              <w:t>现场调查、走访</w:t>
            </w:r>
            <w:r>
              <w:rPr>
                <w:rFonts w:hint="eastAsia" w:ascii="宋体" w:hAnsi="宋体" w:eastAsia="宋体" w:cs="宋体"/>
                <w:kern w:val="0"/>
                <w:sz w:val="24"/>
                <w:lang w:eastAsia="zh-CN"/>
              </w:rPr>
              <w:t>，</w:t>
            </w:r>
            <w:r>
              <w:rPr>
                <w:rFonts w:hint="eastAsia" w:ascii="宋体" w:hAnsi="宋体" w:eastAsia="宋体" w:cs="宋体"/>
                <w:kern w:val="0"/>
                <w:sz w:val="24"/>
              </w:rPr>
              <w:t>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8</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9</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10</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11</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杨莉洁</w:t>
            </w:r>
          </w:p>
        </w:tc>
        <w:tc>
          <w:tcPr>
            <w:tcW w:w="4311" w:type="dxa"/>
            <w:vMerge w:val="continue"/>
            <w:vAlign w:val="center"/>
          </w:tcPr>
          <w:p>
            <w:pPr>
              <w:jc w:val="center"/>
              <w:rPr>
                <w:rFonts w:ascii="宋体" w:hAnsi="宋体" w:eastAsia="宋体" w:cs="宋体"/>
                <w:kern w:val="0"/>
                <w:sz w:val="24"/>
              </w:rPr>
            </w:pPr>
          </w:p>
        </w:tc>
      </w:tr>
    </w:tbl>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47" w:name="_Toc31637"/>
      <w:bookmarkStart w:id="48" w:name="_Toc25494"/>
      <w:bookmarkStart w:id="49" w:name="_Toc6642"/>
      <w:bookmarkStart w:id="50" w:name="_Toc28394"/>
      <w:bookmarkStart w:id="51" w:name="_Toc29931"/>
      <w:bookmarkStart w:id="52" w:name="_Toc27143"/>
      <w:bookmarkStart w:id="53" w:name="_Toc18301"/>
      <w:r>
        <w:rPr>
          <w:rFonts w:hint="eastAsia" w:ascii="宋体" w:hAnsi="宋体" w:eastAsia="宋体" w:cs="宋体"/>
          <w:b/>
          <w:bCs/>
          <w:kern w:val="0"/>
          <w:sz w:val="28"/>
          <w:szCs w:val="28"/>
          <w:lang w:val="en-US" w:eastAsia="zh-CN" w:bidi="ar-SA"/>
        </w:rPr>
        <w:t>2、评价工作各相关当事方的职责</w:t>
      </w:r>
      <w:bookmarkEnd w:id="47"/>
      <w:bookmarkEnd w:id="48"/>
      <w:bookmarkEnd w:id="49"/>
      <w:bookmarkEnd w:id="50"/>
      <w:bookmarkEnd w:id="51"/>
      <w:bookmarkEnd w:id="52"/>
      <w:bookmarkEnd w:id="53"/>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844"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序号</w:t>
            </w:r>
          </w:p>
        </w:tc>
        <w:tc>
          <w:tcPr>
            <w:tcW w:w="2263"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spacing w:val="15"/>
                <w:kern w:val="0"/>
                <w:sz w:val="24"/>
                <w:szCs w:val="24"/>
              </w:rPr>
              <w:t>各相关当事方</w:t>
            </w:r>
          </w:p>
        </w:tc>
        <w:tc>
          <w:tcPr>
            <w:tcW w:w="5172"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1</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委托方</w:t>
            </w:r>
          </w:p>
        </w:tc>
        <w:tc>
          <w:tcPr>
            <w:tcW w:w="5172" w:type="dxa"/>
            <w:noWrap w:val="0"/>
            <w:vAlign w:val="center"/>
          </w:tcPr>
          <w:p>
            <w:pPr>
              <w:numPr>
                <w:ilvl w:val="0"/>
                <w:numId w:val="1"/>
              </w:num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rPr>
              <w:t>明确</w:t>
            </w:r>
            <w:r>
              <w:rPr>
                <w:rFonts w:hint="eastAsia" w:ascii="宋体" w:hAnsi="宋体" w:eastAsia="宋体" w:cs="宋体"/>
                <w:spacing w:val="15"/>
                <w:kern w:val="0"/>
                <w:sz w:val="24"/>
                <w:szCs w:val="24"/>
                <w:lang w:eastAsia="zh-CN"/>
              </w:rPr>
              <w:t>王雪</w:t>
            </w:r>
            <w:r>
              <w:rPr>
                <w:rFonts w:hint="eastAsia" w:ascii="宋体" w:hAnsi="宋体" w:eastAsia="宋体" w:cs="宋体"/>
                <w:spacing w:val="15"/>
                <w:kern w:val="0"/>
                <w:sz w:val="24"/>
                <w:szCs w:val="24"/>
              </w:rPr>
              <w:t>同志参加绩效评价工作，负责与相关部门沟通协调，确保</w:t>
            </w:r>
            <w:r>
              <w:rPr>
                <w:rFonts w:hint="eastAsia" w:ascii="宋体" w:hAnsi="宋体" w:eastAsia="宋体" w:cs="宋体"/>
                <w:spacing w:val="15"/>
                <w:kern w:val="0"/>
                <w:sz w:val="24"/>
                <w:szCs w:val="24"/>
                <w:lang w:eastAsia="zh-CN"/>
              </w:rPr>
              <w:t>绩效</w:t>
            </w:r>
            <w:r>
              <w:rPr>
                <w:rFonts w:hint="eastAsia" w:ascii="宋体" w:hAnsi="宋体" w:eastAsia="宋体" w:cs="宋体"/>
                <w:spacing w:val="15"/>
                <w:kern w:val="0"/>
                <w:sz w:val="24"/>
                <w:szCs w:val="24"/>
              </w:rPr>
              <w:t>评价工作正常开展</w:t>
            </w:r>
            <w:r>
              <w:rPr>
                <w:rFonts w:hint="eastAsia" w:ascii="宋体" w:hAnsi="宋体" w:eastAsia="宋体" w:cs="宋体"/>
                <w:spacing w:val="15"/>
                <w:kern w:val="0"/>
                <w:sz w:val="24"/>
                <w:szCs w:val="24"/>
                <w:lang w:eastAsia="zh-CN"/>
              </w:rPr>
              <w:t>。</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2.整理好</w:t>
            </w:r>
            <w:r>
              <w:rPr>
                <w:rFonts w:hint="eastAsia" w:ascii="宋体" w:hAnsi="宋体" w:eastAsia="宋体" w:cs="宋体"/>
                <w:spacing w:val="15"/>
                <w:kern w:val="0"/>
                <w:sz w:val="24"/>
                <w:szCs w:val="24"/>
                <w:lang w:eastAsia="zh-CN"/>
              </w:rPr>
              <w:t>由委托方提供的与该</w:t>
            </w:r>
            <w:r>
              <w:rPr>
                <w:rFonts w:hint="eastAsia" w:ascii="宋体" w:hAnsi="宋体" w:eastAsia="宋体" w:cs="宋体"/>
                <w:spacing w:val="15"/>
                <w:kern w:val="0"/>
                <w:sz w:val="24"/>
                <w:szCs w:val="24"/>
              </w:rPr>
              <w:t>项目</w:t>
            </w:r>
            <w:r>
              <w:rPr>
                <w:rFonts w:hint="eastAsia" w:ascii="宋体" w:hAnsi="宋体" w:eastAsia="宋体" w:cs="宋体"/>
                <w:spacing w:val="15"/>
                <w:kern w:val="0"/>
                <w:sz w:val="24"/>
                <w:szCs w:val="24"/>
                <w:lang w:eastAsia="zh-CN"/>
              </w:rPr>
              <w:t>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4" w:type="dxa"/>
            <w:noWrap w:val="0"/>
            <w:vAlign w:val="center"/>
          </w:tcPr>
          <w:p>
            <w:pPr>
              <w:ind w:firstLine="0" w:firstLineChars="0"/>
              <w:jc w:val="center"/>
              <w:rPr>
                <w:rFonts w:hint="eastAsia" w:ascii="宋体" w:hAnsi="宋体" w:eastAsia="宋体"/>
                <w:b/>
                <w:bCs/>
                <w:kern w:val="0"/>
                <w:sz w:val="24"/>
                <w:szCs w:val="24"/>
                <w:lang w:val="en-US" w:eastAsia="zh-CN"/>
              </w:rPr>
            </w:pPr>
            <w:r>
              <w:rPr>
                <w:rFonts w:hint="eastAsia" w:ascii="宋体" w:hAnsi="宋体" w:eastAsia="宋体"/>
                <w:b/>
                <w:bCs/>
                <w:kern w:val="0"/>
                <w:sz w:val="24"/>
                <w:szCs w:val="24"/>
                <w:lang w:val="en-US" w:eastAsia="zh-CN"/>
              </w:rPr>
              <w:t>2</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建设单位</w:t>
            </w:r>
          </w:p>
        </w:tc>
        <w:tc>
          <w:tcPr>
            <w:tcW w:w="5172" w:type="dxa"/>
            <w:noWrap w:val="0"/>
            <w:vAlign w:val="center"/>
          </w:tcPr>
          <w:p>
            <w:pPr>
              <w:ind w:firstLine="0" w:firstLineChars="0"/>
              <w:rPr>
                <w:rFonts w:hint="default" w:ascii="宋体" w:hAnsi="宋体" w:eastAsia="宋体" w:cs="宋体"/>
                <w:spacing w:val="15"/>
                <w:kern w:val="0"/>
                <w:sz w:val="24"/>
                <w:szCs w:val="24"/>
                <w:lang w:val="en-US" w:eastAsia="zh-CN"/>
              </w:rPr>
            </w:pPr>
            <w:r>
              <w:rPr>
                <w:rFonts w:hint="eastAsia" w:ascii="宋体" w:hAnsi="宋体" w:eastAsia="宋体" w:cs="宋体"/>
                <w:spacing w:val="15"/>
                <w:kern w:val="0"/>
                <w:sz w:val="24"/>
                <w:szCs w:val="24"/>
                <w:lang w:val="en-US" w:eastAsia="zh-CN"/>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3</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受托方</w:t>
            </w:r>
          </w:p>
        </w:tc>
        <w:tc>
          <w:tcPr>
            <w:tcW w:w="5172" w:type="dxa"/>
            <w:noWrap w:val="0"/>
            <w:vAlign w:val="center"/>
          </w:tcPr>
          <w:p>
            <w:p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lang w:val="en-US" w:eastAsia="zh-CN"/>
              </w:rPr>
              <w:t>1.</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资金安排的使用情况，组织实施情况和绩效目标实现程度及效果进行评价；</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进行第三方绩效评价服务，并出具绩效评价报告；</w:t>
            </w:r>
          </w:p>
        </w:tc>
      </w:tr>
    </w:tbl>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3、资料收集与调查</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明确开展绩效评价工作所需的资料收集与调查方案，包括资料收集内容与途径、数据资料来源以及具体的调查方法。</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1）、资料调查法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2）、座谈调查法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宋体"/>
          <w:bCs/>
          <w:kern w:val="0"/>
          <w:sz w:val="32"/>
          <w:szCs w:val="32"/>
          <w:lang w:val="en-US" w:eastAsia="zh-CN" w:bidi="ar-SA"/>
        </w:rPr>
      </w:pPr>
      <w:r>
        <w:rPr>
          <w:rFonts w:hint="eastAsia" w:ascii="宋体" w:hAnsi="宋体" w:eastAsia="宋体" w:cs="宋体"/>
          <w:kern w:val="2"/>
          <w:sz w:val="28"/>
          <w:szCs w:val="28"/>
          <w:lang w:val="en-US" w:eastAsia="zh-CN" w:bidi="ar-SA"/>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3）、走访调查法</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4、明确绩效评价工作质量控制措施</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整个实施过程中对具体绩效评价质量监控主要有外部监控和内部监控两个方面。</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外部监控主要包括财政部门或预算单位对评价小组成员评价工作组能力评价、第三方绩效评价方案的审核、评价实施过程的监控、评价报告的审核、评价质量评审；</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bookmarkStart w:id="54" w:name="_Toc31390"/>
      <w:bookmarkStart w:id="55" w:name="_Toc27067"/>
      <w:bookmarkStart w:id="56" w:name="_Toc17781"/>
      <w:bookmarkStart w:id="57" w:name="_Toc332"/>
      <w:bookmarkStart w:id="58" w:name="_Toc24530"/>
      <w:r>
        <w:rPr>
          <w:rFonts w:hint="eastAsia" w:ascii="宋体" w:hAnsi="宋体" w:eastAsia="宋体" w:cs="宋体"/>
          <w:sz w:val="28"/>
          <w:szCs w:val="28"/>
          <w:lang w:val="en-US" w:eastAsia="zh-CN"/>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54"/>
      <w:bookmarkEnd w:id="55"/>
      <w:bookmarkEnd w:id="56"/>
      <w:bookmarkEnd w:id="57"/>
      <w:bookmarkEnd w:id="58"/>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b w:val="0"/>
          <w:bCs w:val="0"/>
          <w:sz w:val="32"/>
          <w:szCs w:val="32"/>
          <w:lang w:eastAsia="zh-CN"/>
        </w:rPr>
      </w:pPr>
      <w:bookmarkStart w:id="59" w:name="_Toc23038"/>
      <w:r>
        <w:rPr>
          <w:rFonts w:hint="eastAsia" w:ascii="黑体" w:hAnsi="黑体" w:eastAsia="黑体" w:cs="黑体"/>
          <w:b w:val="0"/>
          <w:bCs w:val="0"/>
          <w:sz w:val="32"/>
          <w:szCs w:val="32"/>
          <w:lang w:eastAsia="zh-CN"/>
        </w:rPr>
        <w:t>三、</w:t>
      </w:r>
      <w:bookmarkEnd w:id="28"/>
      <w:r>
        <w:rPr>
          <w:rFonts w:hint="eastAsia" w:ascii="黑体" w:hAnsi="黑体" w:eastAsia="黑体" w:cs="黑体"/>
          <w:kern w:val="2"/>
          <w:sz w:val="32"/>
          <w:szCs w:val="32"/>
          <w:highlight w:val="none"/>
          <w:lang w:val="en-US" w:eastAsia="zh-CN" w:bidi="ar-SA"/>
        </w:rPr>
        <w:t>项目实施及资金使用情况</w:t>
      </w:r>
      <w:bookmarkEnd w:id="59"/>
    </w:p>
    <w:p>
      <w:pPr>
        <w:ind w:firstLine="643" w:firstLineChars="200"/>
        <w:outlineLvl w:val="1"/>
        <w:rPr>
          <w:rFonts w:hint="eastAsia" w:ascii="楷体" w:hAnsi="楷体" w:eastAsia="楷体" w:cs="楷体"/>
          <w:b/>
          <w:bCs/>
          <w:kern w:val="2"/>
          <w:sz w:val="32"/>
          <w:szCs w:val="32"/>
          <w:highlight w:val="yellow"/>
          <w:lang w:val="en-US" w:eastAsia="zh-CN" w:bidi="ar-SA"/>
        </w:rPr>
      </w:pPr>
      <w:bookmarkStart w:id="60" w:name="_Toc901"/>
      <w:bookmarkStart w:id="61" w:name="_Toc6786"/>
      <w:r>
        <w:rPr>
          <w:rFonts w:hint="eastAsia" w:ascii="楷体" w:hAnsi="楷体" w:eastAsia="楷体" w:cs="楷体"/>
          <w:b/>
          <w:bCs/>
          <w:kern w:val="2"/>
          <w:sz w:val="32"/>
          <w:szCs w:val="32"/>
          <w:highlight w:val="none"/>
          <w:lang w:val="en-US" w:eastAsia="zh-CN" w:bidi="ar-SA"/>
        </w:rPr>
        <w:t>（一）项目实施情况</w:t>
      </w:r>
      <w:bookmarkEnd w:id="60"/>
      <w:bookmarkEnd w:id="61"/>
    </w:p>
    <w:p>
      <w:pPr>
        <w:pStyle w:val="6"/>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2018年11月15日在围场满族蒙古族自治县公共资源交易中心进行开标、评标，经评标委员会评审，确定围场满族蒙古族自治县兴源建筑安装有限公司为中标单位，中标价款578.50747万元，并于2018年11月20日与围场满族蒙古族自治县县直机关事务管理局签订了施工协议书。</w:t>
      </w:r>
    </w:p>
    <w:p>
      <w:pPr>
        <w:pStyle w:val="6"/>
        <w:bidi w:val="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2018年12月24日，围场满族蒙古族自治县县直机关事务管理局与围场满族蒙古族自治县相金装饰工程有限公司签订了政府采购合同购买办公桌椅。</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本工程于2018年11月20日开工，工期总日历天数45天。2019年1月5日完成所有合同约定工程量，由建设单位组织，设计单位、监理单位、施工单位参加，对本工程进行全面验收，单位工程质量评定合格，观感质量好，相关资料齐全，竣工验收结论为合格工程。监理单位围场县信诚工程建设监理有限公司负责全程监理，设计单位为围场满族蒙古族自治县久远建筑设计咨询有限责任公司</w:t>
      </w:r>
      <w:r>
        <w:rPr>
          <w:rFonts w:hint="eastAsia" w:ascii="宋体" w:hAnsi="宋体" w:eastAsia="宋体" w:cs="宋体"/>
          <w:kern w:val="2"/>
          <w:sz w:val="28"/>
          <w:szCs w:val="28"/>
          <w:lang w:val="en-US" w:eastAsia="zh-CN" w:bidi="ar-SA"/>
        </w:rPr>
        <w:t>。</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本项目资金由北京中兴恒工程咨询有限公司评审，报审金额6362937.60元；审减金额451056.18元；审定金额5911881.42元。</w:t>
      </w:r>
    </w:p>
    <w:p>
      <w:pPr>
        <w:ind w:firstLine="643" w:firstLineChars="200"/>
        <w:outlineLvl w:val="1"/>
        <w:rPr>
          <w:rFonts w:hint="eastAsia" w:ascii="楷体" w:hAnsi="楷体" w:eastAsia="楷体" w:cs="楷体"/>
          <w:b/>
          <w:bCs/>
          <w:i/>
          <w:iCs/>
          <w:kern w:val="2"/>
          <w:sz w:val="32"/>
          <w:szCs w:val="32"/>
          <w:highlight w:val="yellow"/>
          <w:lang w:val="en-US" w:eastAsia="zh-CN" w:bidi="ar-SA"/>
        </w:rPr>
      </w:pPr>
      <w:bookmarkStart w:id="62" w:name="_Toc14809"/>
      <w:bookmarkStart w:id="63" w:name="_Toc23089"/>
      <w:r>
        <w:rPr>
          <w:rFonts w:hint="eastAsia" w:ascii="楷体" w:hAnsi="楷体" w:eastAsia="楷体" w:cs="楷体"/>
          <w:b/>
          <w:bCs/>
          <w:kern w:val="2"/>
          <w:sz w:val="32"/>
          <w:szCs w:val="32"/>
          <w:highlight w:val="none"/>
          <w:lang w:val="en-US" w:eastAsia="zh-CN" w:bidi="ar-SA"/>
        </w:rPr>
        <w:t>（二）资金使用情况</w:t>
      </w:r>
      <w:bookmarkEnd w:id="62"/>
      <w:bookmarkEnd w:id="63"/>
    </w:p>
    <w:p>
      <w:pPr>
        <w:ind w:firstLine="560" w:firstLineChars="200"/>
        <w:rPr>
          <w:rFonts w:hint="eastAsia" w:ascii="宋体" w:hAnsi="宋体" w:eastAsia="宋体" w:cs="宋体"/>
          <w:sz w:val="28"/>
          <w:szCs w:val="28"/>
          <w:lang w:val="en-US" w:eastAsia="zh-CN"/>
        </w:rPr>
      </w:pPr>
      <w:bookmarkStart w:id="64" w:name="_Toc13622"/>
      <w:bookmarkStart w:id="65" w:name="_Toc15054"/>
      <w:r>
        <w:rPr>
          <w:rFonts w:hint="eastAsia" w:ascii="宋体" w:hAnsi="宋体" w:eastAsia="宋体" w:cs="宋体"/>
          <w:sz w:val="28"/>
          <w:szCs w:val="28"/>
          <w:lang w:val="en-US" w:eastAsia="zh-CN"/>
        </w:rPr>
        <w:t>2019年6月4日县财政拨入零余额账户经费1368万元，其中包括公共事务服务中心业务大厅维修改造工程一般债券资金815万元。其中工程款审定额为591.19万元，家具款58.52万元，造价监理费15.42万元，工程结余资金149.87万元。</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2019年1月22日支付围场满族蒙古族自治县兴源建筑安装有限公司工程款300万元，2019年6月6日支付162.805976万元，2019年11月25日支付128.382166万元（发票金额128.382166万元，实际支付98.822166万元，其中29.56万元留作质保金）。</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2019年6月8日，支付围场满族蒙古族自治县相金装饰工程有限公司家具款55.6万元，质保金2.9178万元</w:t>
      </w:r>
      <w:r>
        <w:rPr>
          <w:rFonts w:hint="eastAsia" w:ascii="宋体" w:hAnsi="宋体" w:eastAsia="宋体" w:cs="宋体"/>
          <w:kern w:val="2"/>
          <w:sz w:val="28"/>
          <w:szCs w:val="28"/>
          <w:lang w:val="en-US" w:eastAsia="zh-CN" w:bidi="ar-SA"/>
        </w:rPr>
        <w:t>。</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2020年6月16日，</w:t>
      </w:r>
      <w:r>
        <w:rPr>
          <w:rFonts w:hint="eastAsia" w:ascii="宋体" w:hAnsi="宋体" w:eastAsia="宋体" w:cs="宋体"/>
          <w:sz w:val="28"/>
          <w:szCs w:val="28"/>
          <w:lang w:val="en-US" w:eastAsia="zh-CN"/>
        </w:rPr>
        <w:t>围场满族蒙古族自治县相金装饰工程有限公司收到返还保证金2.9178万元。</w:t>
      </w:r>
    </w:p>
    <w:p>
      <w:pPr>
        <w:ind w:firstLine="560" w:firstLineChars="200"/>
        <w:rPr>
          <w:rFonts w:hint="eastAsia" w:ascii="楷体" w:hAnsi="楷体" w:eastAsia="楷体" w:cs="楷体"/>
          <w:b/>
          <w:bCs/>
          <w:kern w:val="2"/>
          <w:sz w:val="32"/>
          <w:szCs w:val="32"/>
          <w:highlight w:val="none"/>
          <w:lang w:val="en-US" w:eastAsia="zh-CN" w:bidi="ar-SA"/>
        </w:rPr>
      </w:pPr>
      <w:r>
        <w:rPr>
          <w:rFonts w:hint="eastAsia" w:ascii="宋体" w:hAnsi="宋体" w:eastAsia="宋体" w:cs="宋体"/>
          <w:kern w:val="2"/>
          <w:sz w:val="28"/>
          <w:szCs w:val="28"/>
          <w:lang w:val="en-US" w:eastAsia="zh-CN" w:bidi="ar-SA"/>
        </w:rPr>
        <w:t>支付凭证和发票清晰，未出现拖欠、挪用、挤占工程款情况。</w:t>
      </w:r>
      <w:bookmarkEnd w:id="64"/>
      <w:bookmarkEnd w:id="65"/>
    </w:p>
    <w:p>
      <w:pPr>
        <w:ind w:firstLine="640" w:firstLineChars="200"/>
        <w:outlineLvl w:val="0"/>
        <w:rPr>
          <w:rFonts w:hint="eastAsia" w:ascii="黑体" w:hAnsi="黑体" w:eastAsia="黑体" w:cs="黑体"/>
          <w:kern w:val="2"/>
          <w:sz w:val="32"/>
          <w:szCs w:val="32"/>
          <w:lang w:val="en-US" w:eastAsia="zh-CN" w:bidi="ar-SA"/>
        </w:rPr>
      </w:pPr>
      <w:bookmarkStart w:id="66" w:name="_Toc7641"/>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val="en-US" w:eastAsia="zh-CN"/>
        </w:rPr>
        <w:t>绩效评价分析与结论</w:t>
      </w:r>
      <w:bookmarkEnd w:id="66"/>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val="en-US" w:eastAsia="zh-CN"/>
        </w:rPr>
      </w:pPr>
      <w:bookmarkStart w:id="67" w:name="_Toc30607"/>
      <w:bookmarkStart w:id="68" w:name="_Toc16548"/>
      <w:r>
        <w:rPr>
          <w:rFonts w:hint="eastAsia" w:ascii="楷体" w:hAnsi="楷体" w:eastAsia="楷体" w:cs="楷体"/>
          <w:b/>
          <w:bCs w:val="0"/>
          <w:kern w:val="0"/>
          <w:sz w:val="32"/>
          <w:szCs w:val="32"/>
          <w:lang w:val="en-US" w:eastAsia="zh-CN"/>
        </w:rPr>
        <w:t>（一）绩效评价分析</w:t>
      </w:r>
      <w:bookmarkEnd w:id="67"/>
      <w:bookmarkEnd w:id="68"/>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1.投入指标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投入指标绩效评价设定分值为10分，考评得分 9分。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（1）项目立项管理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①项目立项合规性指标标准分值为5分，考评得分5分。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2018年10月23日，经围场县人民政府研究，原则同意县直机关事务管理局关于公共事务服务中心业务大厅维修改造项目实施方案请示的批复，2018年10月25日围场县行政审批局下达了县公共事务服务中心业务大厅维修改造项目投资计划的通知，本项目立项合规、方案可行、设立过程符合政策规定。</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②项目投入经济性、筹资合规性指标标准分值为3分，考评得分2分。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建设单位按照项目所设定的绩效目标依据充分，投入可行，资金来源合规，符合客观实际，由于本项目为维修改造工程，项目投入经济性一般，基本能够达到设定的目标。此项指标扣减1分。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③项目可持续性指标标准分值为2分，考评得分2分。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建设单位严格按照计划实施，依据绩效目标设定的绩效指标清晰、合理、细化、可衡量。通过对</w:t>
      </w:r>
      <w:r>
        <w:rPr>
          <w:rFonts w:hint="eastAsia" w:ascii="宋体" w:hAnsi="宋体" w:eastAsia="宋体" w:cs="宋体"/>
          <w:sz w:val="28"/>
          <w:szCs w:val="28"/>
          <w:lang w:val="en-US" w:eastAsia="zh-CN"/>
        </w:rPr>
        <w:t>围场县机关事务管理局公共事务服务中心业务大厅维修改造</w:t>
      </w:r>
      <w:r>
        <w:rPr>
          <w:rFonts w:hint="eastAsia" w:ascii="宋体" w:hAnsi="宋体" w:eastAsia="宋体" w:cs="宋体"/>
          <w:kern w:val="2"/>
          <w:sz w:val="28"/>
          <w:szCs w:val="28"/>
          <w:lang w:val="en-US" w:eastAsia="zh-CN" w:bidi="ar-SA"/>
        </w:rPr>
        <w:t>工程的分析</w:t>
      </w:r>
      <w:r>
        <w:rPr>
          <w:rFonts w:hint="eastAsia" w:ascii="宋体" w:hAnsi="宋体" w:eastAsia="宋体" w:cs="宋体"/>
          <w:kern w:val="2"/>
          <w:sz w:val="28"/>
          <w:szCs w:val="28"/>
          <w:highlight w:val="none"/>
          <w:lang w:val="en-US" w:eastAsia="zh-CN" w:bidi="ar-SA"/>
        </w:rPr>
        <w:t>，本项目通过进一步的维修改造，能够达到正常使用年限标准，本项目完成后未来可持续性强。</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2.管理指标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管理指标绩效评价设定分值为30分，考评得分25分。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（1）业务管理指标绩效评价设定分值为15分，考评得分10分。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①项目资料的完整性指标标准分值为6分，考评得分4分。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绩效评价涉及到的相关资料不够完整，管理不规范，缺少项目实施方案，竣工验收报告无验收日期，扣减2分。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②政务公开情况指标标准分值为3分，考评得分3分。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本项目新增债券资金安排的情况均已公示，本项目没有发现应该招标没有招标的情况。</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③变更控制情况指标标准分值为3分，考评得分3分。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本项目债券资金使用部分项目无变更，施工中没有对工程进度造成影响，项目能够按照资金使用情况顺利进行。</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④项目实施方案编制情况指标标准分值为3分，考评得分0分。</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我方绩效评价小组工作人员在查阅县直机关事务管理局公共事务服务中心业务大厅维修改造项目资料过程中未见到本项目编制的实施方案，此项考核指标暂扣减3分。</w:t>
      </w:r>
    </w:p>
    <w:p>
      <w:pPr>
        <w:pStyle w:val="15"/>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（2）财务管理指标绩效评价设定分值为15分，考评得分</w:t>
      </w:r>
      <w:r>
        <w:rPr>
          <w:rFonts w:hint="eastAsia" w:hAnsi="宋体" w:cs="宋体"/>
          <w:kern w:val="2"/>
          <w:sz w:val="28"/>
          <w:szCs w:val="28"/>
          <w:highlight w:val="none"/>
          <w:lang w:val="en-US" w:eastAsia="zh-CN" w:bidi="ar-SA"/>
        </w:rPr>
        <w:t>15</w:t>
      </w:r>
      <w:r>
        <w:rPr>
          <w:rFonts w:hint="eastAsia" w:ascii="宋体" w:hAnsi="宋体" w:eastAsia="宋体" w:cs="宋体"/>
          <w:kern w:val="2"/>
          <w:sz w:val="28"/>
          <w:szCs w:val="28"/>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①资金使用合规性指标标准分值为4分，考评得分4分。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本项目债券资金均未用于经常性支出，未用于中央明令禁止的项目支出，资金使用合规。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②县级财政国库集中支付情况指标标准分值为7分，考评得分7分。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本项目已按国库集中支付制度要求在县级财政集中支付，未出现资金拖欠现象。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③会计制度执行情况（项目单位）指标标准分值为4分，考评得分4分。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我方绩效评价小组在查阅本项目债券资金使用情况时，未发现本项目债券资金有挪用、抽逃、延迟支付现象，项目建设资金使用及账务处理基本合规。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3.产出指标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产出指标绩效评价设定分值为30分，考评得分30分。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（1）项目产出管理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①工程完工情况指标标准分值为10分，考评得分10分。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本项目维修改造工程已完成的工程投资与计划实施的实际工程总投资基本吻合，主要工程量按照要求全部完成。</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②工期控制情况指标标准分值为10分，考评得分10分。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本工程项目能够按照合同约定计划工期完成施工进度，未出现工程滞后现象。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③完工项目验收情况指标标准分值为10分，考评得分10分。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本工程于2018年11月20日开工，工期总日历天数45天。2019年1月5日完成所有合同约定工程量，并通过竣工验收</w:t>
      </w:r>
      <w:r>
        <w:rPr>
          <w:rFonts w:hint="eastAsia" w:ascii="宋体" w:hAnsi="宋体" w:eastAsia="宋体" w:cs="宋体"/>
          <w:kern w:val="2"/>
          <w:sz w:val="28"/>
          <w:szCs w:val="28"/>
          <w:highlight w:val="none"/>
          <w:lang w:val="en-US" w:eastAsia="zh-CN" w:bidi="ar-SA"/>
        </w:rPr>
        <w:t>。</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4.效益指标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效益指标绩效评价设定分值为30分，考评得分24分。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（1）社会效益指标绩效评价设定分值为20分，考评得分18分。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①总体目标实现情况指标标准分值为8分，考评得分8分。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完工项目按批复设定的总体目标全面实现，达到预期目标。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②社会效益实现情况指标标准分值为8分，考评得分8分。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本项目为</w:t>
      </w:r>
      <w:r>
        <w:rPr>
          <w:rFonts w:hint="eastAsia" w:ascii="宋体" w:hAnsi="宋体" w:eastAsia="宋体" w:cs="宋体"/>
          <w:sz w:val="28"/>
          <w:szCs w:val="28"/>
          <w:lang w:val="en-US" w:eastAsia="zh-CN"/>
        </w:rPr>
        <w:t>服务中心业务大厅维修改造工程</w:t>
      </w:r>
      <w:r>
        <w:rPr>
          <w:rFonts w:hint="eastAsia" w:ascii="宋体" w:hAnsi="宋体" w:eastAsia="宋体" w:cs="宋体"/>
          <w:kern w:val="2"/>
          <w:sz w:val="28"/>
          <w:szCs w:val="28"/>
          <w:highlight w:val="none"/>
          <w:lang w:val="en-US" w:eastAsia="zh-CN" w:bidi="ar-SA"/>
        </w:rPr>
        <w:t>，作为窗口单位服务于社会，通过对</w:t>
      </w:r>
      <w:r>
        <w:rPr>
          <w:rFonts w:hint="eastAsia" w:ascii="宋体" w:hAnsi="宋体" w:eastAsia="宋体" w:cs="宋体"/>
          <w:sz w:val="28"/>
          <w:szCs w:val="28"/>
          <w:lang w:val="en-US" w:eastAsia="zh-CN"/>
        </w:rPr>
        <w:t>服务中心业务大厅维修改造，使办事大厅整体环境明显改善，办事人员也能感受到由此带来的好处，办事效率也有所提升，</w:t>
      </w:r>
      <w:r>
        <w:rPr>
          <w:rFonts w:hint="eastAsia" w:ascii="宋体" w:hAnsi="宋体" w:eastAsia="宋体" w:cs="宋体"/>
          <w:kern w:val="2"/>
          <w:sz w:val="28"/>
          <w:szCs w:val="28"/>
          <w:highlight w:val="none"/>
          <w:lang w:val="en-US" w:eastAsia="zh-CN" w:bidi="ar-SA"/>
        </w:rPr>
        <w:t>社会效益明显。</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③社会环境（生态环境等）改善情况指标标准分值为4分，考评得分2分。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通过对</w:t>
      </w:r>
      <w:r>
        <w:rPr>
          <w:rFonts w:hint="eastAsia" w:ascii="宋体" w:hAnsi="宋体" w:eastAsia="宋体" w:cs="宋体"/>
          <w:sz w:val="28"/>
          <w:szCs w:val="28"/>
          <w:lang w:val="en-US" w:eastAsia="zh-CN"/>
        </w:rPr>
        <w:t>服务中心业务大厅</w:t>
      </w:r>
      <w:r>
        <w:rPr>
          <w:rFonts w:hint="eastAsia" w:ascii="宋体" w:hAnsi="宋体" w:eastAsia="宋体" w:cs="宋体"/>
          <w:kern w:val="2"/>
          <w:sz w:val="28"/>
          <w:szCs w:val="28"/>
          <w:highlight w:val="none"/>
          <w:lang w:val="en-US" w:eastAsia="zh-CN" w:bidi="ar-SA"/>
        </w:rPr>
        <w:t>的维修改造提升，在施工过程中会对周边环境有一定负面影响，随着维修工程逐渐完工，对周边环境的影响也会逐渐消失，工作环境明显提升。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（2）经济效益指标绩效评价设定分值为10分，考评得分6分。</w:t>
      </w:r>
    </w:p>
    <w:p>
      <w:pPr>
        <w:ind w:firstLine="560" w:firstLineChars="200"/>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①直接经济效益指标标准分值为3分，考评得分1分。</w:t>
      </w:r>
    </w:p>
    <w:p>
      <w:pPr>
        <w:ind w:firstLine="560" w:firstLineChars="200"/>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由于债券资金投入的项目多为社会公益性服务项目，本次对服务中心业务大厅的维修改造不产生直接的经济效益。</w:t>
      </w:r>
    </w:p>
    <w:p>
      <w:pPr>
        <w:ind w:firstLine="560" w:firstLineChars="200"/>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②间接经济效益指标标准分值7分，考评得分5分。</w:t>
      </w:r>
    </w:p>
    <w:p>
      <w:pPr>
        <w:ind w:firstLine="560" w:firstLineChars="200"/>
        <w:rPr>
          <w:rFonts w:hint="default"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由于本次债券资金投入的项目为服务中心业务大厅的维修改造项目，只是对整个办公服务环境有明显提升，间接经济效益不明显，且不确定，因此本项考核得分为5分。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eastAsia="zh-CN"/>
        </w:rPr>
      </w:pPr>
      <w:bookmarkStart w:id="69" w:name="_Toc18768"/>
      <w:bookmarkStart w:id="70" w:name="_Toc14098"/>
      <w:r>
        <w:rPr>
          <w:rFonts w:hint="eastAsia" w:ascii="楷体" w:hAnsi="楷体" w:eastAsia="楷体" w:cs="楷体"/>
          <w:b/>
          <w:bCs w:val="0"/>
          <w:kern w:val="0"/>
          <w:sz w:val="32"/>
          <w:szCs w:val="32"/>
          <w:lang w:eastAsia="zh-CN"/>
        </w:rPr>
        <w:t>（二）绩效评价结论</w:t>
      </w:r>
      <w:bookmarkEnd w:id="69"/>
      <w:bookmarkEnd w:id="70"/>
    </w:p>
    <w:p>
      <w:pPr>
        <w:ind w:firstLine="560" w:firstLineChars="200"/>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绩效评价结果采取评分和评级相结合的方式，具体分值和等级可根据不同评价内容设定。总分一般设置为100分，等级一般划分为四档：80（含）-100分为优、70（含）-80分为良、60（含）-70分为合格、60分以下为不合格。</w:t>
      </w:r>
    </w:p>
    <w:p>
      <w:pPr>
        <w:ind w:firstLine="560" w:firstLineChars="200"/>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绩效评价指标综合得分情况：</w:t>
      </w:r>
    </w:p>
    <w:p>
      <w:pPr>
        <w:ind w:firstLine="560" w:firstLineChars="200"/>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围场县机关事务管理局公共事务服务中心业务大厅维修改造工程项目绩效考评结果，其中：投入指标考评得分9分、管理指标考评得分25分、产出指标考评得分30分、效益指标考评得分24分。通过对各项指标的具体分析评价，汇总得出本次绩效评价考核综合得分为88分，总体评价为“优”。</w:t>
      </w:r>
    </w:p>
    <w:p>
      <w:pPr>
        <w:ind w:firstLine="560" w:firstLineChars="200"/>
        <w:rPr>
          <w:rFonts w:hint="eastAsia" w:ascii="宋体" w:hAnsi="宋体" w:eastAsia="宋体" w:cs="宋体"/>
          <w:bCs/>
          <w:kern w:val="0"/>
          <w:sz w:val="28"/>
          <w:szCs w:val="28"/>
          <w:lang w:eastAsia="zh-CN"/>
        </w:rPr>
      </w:pPr>
      <w:r>
        <w:rPr>
          <w:rFonts w:hint="eastAsia" w:ascii="宋体" w:hAnsi="宋体" w:eastAsia="宋体" w:cs="宋体"/>
          <w:bCs/>
          <w:kern w:val="0"/>
          <w:sz w:val="28"/>
          <w:szCs w:val="28"/>
          <w:lang w:eastAsia="zh-CN"/>
        </w:rPr>
        <w:t>通过项目建设，对社会效益影响是长期的，促进了围场县的经济繁荣。</w:t>
      </w:r>
    </w:p>
    <w:p>
      <w:pPr>
        <w:ind w:firstLine="560" w:firstLineChars="200"/>
        <w:rPr>
          <w:rFonts w:hint="eastAsia" w:ascii="仿宋" w:hAnsi="仿宋" w:eastAsia="仿宋"/>
          <w:sz w:val="28"/>
          <w:szCs w:val="28"/>
        </w:rPr>
      </w:pPr>
      <w:r>
        <w:rPr>
          <w:rFonts w:hint="eastAsia" w:ascii="宋体" w:hAnsi="宋体" w:eastAsia="宋体" w:cs="宋体"/>
          <w:bCs/>
          <w:kern w:val="0"/>
          <w:sz w:val="28"/>
          <w:szCs w:val="28"/>
        </w:rPr>
        <w:t>评价结果表明，</w:t>
      </w:r>
      <w:r>
        <w:rPr>
          <w:rFonts w:hint="eastAsia" w:ascii="宋体" w:hAnsi="宋体" w:eastAsia="宋体" w:cs="宋体"/>
          <w:sz w:val="28"/>
          <w:szCs w:val="28"/>
          <w:lang w:val="en-US" w:eastAsia="zh-CN"/>
        </w:rPr>
        <w:t>围场县机关事务管理局公共事务服务中心业务大厅维修改造</w:t>
      </w:r>
      <w:r>
        <w:rPr>
          <w:rFonts w:hint="eastAsia" w:ascii="宋体" w:hAnsi="宋体" w:eastAsia="宋体" w:cs="宋体"/>
          <w:kern w:val="2"/>
          <w:sz w:val="28"/>
          <w:szCs w:val="28"/>
          <w:lang w:val="en-US" w:eastAsia="zh-CN" w:bidi="ar-SA"/>
        </w:rPr>
        <w:t>工程项目</w:t>
      </w:r>
      <w:r>
        <w:rPr>
          <w:rFonts w:hint="eastAsia" w:ascii="宋体" w:hAnsi="宋体" w:eastAsia="宋体" w:cs="宋体"/>
          <w:bCs/>
          <w:kern w:val="0"/>
          <w:sz w:val="28"/>
          <w:szCs w:val="28"/>
        </w:rPr>
        <w:t>组织和管理较好地执行了相关规定要求</w:t>
      </w:r>
      <w:r>
        <w:rPr>
          <w:rFonts w:hint="eastAsia" w:ascii="宋体" w:hAnsi="宋体" w:eastAsia="宋体" w:cs="宋体"/>
          <w:sz w:val="28"/>
          <w:szCs w:val="28"/>
        </w:rPr>
        <w:t>，组织管理有序，</w:t>
      </w:r>
      <w:r>
        <w:rPr>
          <w:rFonts w:hint="eastAsia" w:ascii="宋体" w:hAnsi="宋体" w:eastAsia="宋体" w:cs="宋体"/>
          <w:bCs/>
          <w:kern w:val="0"/>
          <w:sz w:val="28"/>
          <w:szCs w:val="28"/>
        </w:rPr>
        <w:t>单位财务管理制度基本健全，对项目资金的监督管理总体有效，</w:t>
      </w:r>
      <w:r>
        <w:rPr>
          <w:rFonts w:hint="eastAsia" w:ascii="宋体" w:hAnsi="宋体" w:eastAsia="宋体" w:cs="宋体"/>
          <w:kern w:val="2"/>
          <w:sz w:val="28"/>
          <w:szCs w:val="28"/>
          <w:lang w:val="en-US" w:eastAsia="zh-CN" w:bidi="ar-SA"/>
        </w:rPr>
        <w:t>资金使用合理合规，项目相关资料有所欠缺。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highlight w:val="none"/>
          <w:lang w:eastAsia="zh-CN"/>
        </w:rPr>
      </w:pPr>
      <w:bookmarkStart w:id="71" w:name="_Toc32395"/>
      <w:bookmarkStart w:id="72" w:name="_Toc4239"/>
      <w:r>
        <w:rPr>
          <w:rFonts w:hint="eastAsia" w:ascii="黑体" w:hAnsi="黑体" w:eastAsia="黑体" w:cs="黑体"/>
          <w:b w:val="0"/>
          <w:bCs/>
          <w:kern w:val="0"/>
          <w:sz w:val="32"/>
          <w:szCs w:val="32"/>
          <w:highlight w:val="none"/>
          <w:lang w:eastAsia="zh-CN"/>
        </w:rPr>
        <w:t>五、</w:t>
      </w:r>
      <w:bookmarkEnd w:id="71"/>
      <w:r>
        <w:rPr>
          <w:rFonts w:hint="eastAsia" w:ascii="黑体" w:hAnsi="黑体" w:eastAsia="黑体" w:cs="黑体"/>
          <w:b w:val="0"/>
          <w:bCs/>
          <w:kern w:val="0"/>
          <w:sz w:val="32"/>
          <w:szCs w:val="32"/>
          <w:highlight w:val="none"/>
          <w:lang w:eastAsia="zh-CN"/>
        </w:rPr>
        <w:t>意见及建议</w:t>
      </w:r>
      <w:bookmarkEnd w:id="72"/>
    </w:p>
    <w:p>
      <w:pPr>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lang w:eastAsia="zh-CN"/>
        </w:rPr>
        <w:t>本项目无实施方案，竣工验收报告无验收日期，应加强项目前期审批手续管理、资料管理，完善建设程序及资金支付方面的管理。</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73" w:name="_Toc25821"/>
      <w:bookmarkStart w:id="74" w:name="_Toc31396"/>
      <w:bookmarkStart w:id="75" w:name="_Toc7010"/>
      <w:bookmarkStart w:id="76" w:name="_Toc14779"/>
      <w:bookmarkStart w:id="77" w:name="_Toc5786"/>
      <w:bookmarkStart w:id="78" w:name="_Toc26763"/>
      <w:r>
        <w:rPr>
          <w:rFonts w:hint="eastAsia" w:ascii="楷体" w:hAnsi="楷体" w:eastAsia="楷体" w:cs="楷体"/>
          <w:b/>
          <w:bCs/>
          <w:sz w:val="32"/>
          <w:szCs w:val="32"/>
          <w:lang w:val="en-US" w:eastAsia="zh-CN"/>
        </w:rPr>
        <w:t>（一）强化绩效理念，深入推进评价工作</w:t>
      </w:r>
      <w:bookmarkEnd w:id="73"/>
      <w:bookmarkEnd w:id="74"/>
      <w:bookmarkEnd w:id="75"/>
      <w:bookmarkEnd w:id="76"/>
      <w:bookmarkEnd w:id="77"/>
      <w:bookmarkEnd w:id="78"/>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进一步强化各部门绩效管理理念，健全完善制度办法，切实加强组织领导，深入推进评价工作，提升整体绩效管理水平。</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79" w:name="_Toc21411"/>
      <w:bookmarkStart w:id="80" w:name="_Toc6863"/>
      <w:bookmarkStart w:id="81" w:name="_Toc25644"/>
      <w:bookmarkStart w:id="82" w:name="_Toc11860"/>
      <w:bookmarkStart w:id="83" w:name="_Toc14241"/>
      <w:bookmarkStart w:id="84" w:name="_Toc10505"/>
      <w:r>
        <w:rPr>
          <w:rFonts w:hint="eastAsia" w:ascii="楷体" w:hAnsi="楷体" w:eastAsia="楷体" w:cs="楷体"/>
          <w:b/>
          <w:bCs/>
          <w:sz w:val="32"/>
          <w:szCs w:val="32"/>
          <w:lang w:val="en-US" w:eastAsia="zh-CN"/>
        </w:rPr>
        <w:t>（二）强化事前准备，切实提升评价质量</w:t>
      </w:r>
      <w:bookmarkEnd w:id="79"/>
      <w:bookmarkEnd w:id="80"/>
      <w:bookmarkEnd w:id="81"/>
      <w:bookmarkEnd w:id="82"/>
      <w:bookmarkEnd w:id="83"/>
      <w:bookmarkEnd w:id="84"/>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在推进自身评价工作开展时，结合评价工作实际，规范评价标准，确保绩效评价结果规范化、科学化，切实提高评价质量。</w:t>
      </w:r>
      <w:bookmarkStart w:id="85" w:name="_Toc11787"/>
      <w:bookmarkStart w:id="86" w:name="_Toc10592"/>
      <w:bookmarkStart w:id="87" w:name="_Toc3001"/>
      <w:bookmarkStart w:id="88" w:name="_Toc30061"/>
      <w:bookmarkStart w:id="89" w:name="_Toc21034"/>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90" w:name="_Toc19178"/>
      <w:r>
        <w:rPr>
          <w:rFonts w:hint="eastAsia" w:ascii="楷体" w:hAnsi="楷体" w:eastAsia="楷体" w:cs="楷体"/>
          <w:b/>
          <w:bCs/>
          <w:sz w:val="32"/>
          <w:szCs w:val="32"/>
          <w:lang w:val="en-US" w:eastAsia="zh-CN"/>
        </w:rPr>
        <w:t>（三）强化结果应用，不断巩固评价</w:t>
      </w:r>
      <w:bookmarkEnd w:id="85"/>
      <w:bookmarkEnd w:id="86"/>
      <w:bookmarkEnd w:id="87"/>
      <w:bookmarkEnd w:id="88"/>
      <w:bookmarkEnd w:id="89"/>
      <w:r>
        <w:rPr>
          <w:rFonts w:hint="eastAsia" w:ascii="楷体" w:hAnsi="楷体" w:eastAsia="楷体" w:cs="楷体"/>
          <w:b/>
          <w:bCs/>
          <w:sz w:val="32"/>
          <w:szCs w:val="32"/>
          <w:lang w:val="en-US" w:eastAsia="zh-CN"/>
        </w:rPr>
        <w:t>成效</w:t>
      </w:r>
      <w:bookmarkEnd w:id="90"/>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加强评价结果的运用，将绩效评价结果纳入</w:t>
      </w:r>
      <w:r>
        <w:rPr>
          <w:rFonts w:hint="eastAsia" w:ascii="宋体" w:hAnsi="宋体" w:eastAsia="宋体" w:cs="宋体"/>
          <w:sz w:val="28"/>
          <w:szCs w:val="28"/>
          <w:lang w:val="en-US" w:eastAsia="zh-CN"/>
        </w:rPr>
        <w:t>本单位</w:t>
      </w:r>
      <w:r>
        <w:rPr>
          <w:rFonts w:hint="default" w:ascii="宋体" w:hAnsi="宋体" w:eastAsia="宋体" w:cs="宋体"/>
          <w:sz w:val="28"/>
          <w:szCs w:val="28"/>
          <w:lang w:val="en-US" w:eastAsia="zh-CN"/>
        </w:rPr>
        <w:t>的年终考核中来，成为考核奖惩</w:t>
      </w:r>
      <w:r>
        <w:rPr>
          <w:rFonts w:hint="eastAsia" w:ascii="宋体" w:hAnsi="宋体" w:eastAsia="宋体" w:cs="宋体"/>
          <w:sz w:val="28"/>
          <w:szCs w:val="28"/>
          <w:lang w:val="en-US" w:eastAsia="zh-CN"/>
        </w:rPr>
        <w:t>的</w:t>
      </w:r>
      <w:r>
        <w:rPr>
          <w:rFonts w:hint="default" w:ascii="宋体" w:hAnsi="宋体" w:eastAsia="宋体" w:cs="宋体"/>
          <w:sz w:val="28"/>
          <w:szCs w:val="28"/>
          <w:lang w:val="en-US" w:eastAsia="zh-CN"/>
        </w:rPr>
        <w:t>重要指标，区县和部门对绩效评价中发现的问题进一步整改落实，不断促进民生工程工作提质增效</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lang w:val="en-US" w:eastAsia="zh-CN"/>
        </w:rPr>
      </w:pPr>
      <w:bookmarkStart w:id="91" w:name="_Toc7343"/>
      <w:r>
        <w:rPr>
          <w:rFonts w:hint="eastAsia" w:ascii="黑体" w:hAnsi="黑体" w:eastAsia="黑体" w:cs="黑体"/>
          <w:b w:val="0"/>
          <w:bCs/>
          <w:kern w:val="0"/>
          <w:sz w:val="32"/>
          <w:szCs w:val="32"/>
          <w:lang w:val="en-US" w:eastAsia="zh-CN"/>
        </w:rPr>
        <w:t>六、附件</w:t>
      </w:r>
      <w:bookmarkEnd w:id="91"/>
    </w:p>
    <w:p>
      <w:pPr>
        <w:pStyle w:val="3"/>
        <w:bidi w:val="0"/>
        <w:rPr>
          <w:rFonts w:hint="eastAsia" w:ascii="楷体" w:hAnsi="楷体" w:eastAsia="楷体" w:cs="楷体"/>
          <w:lang w:val="en-US" w:eastAsia="zh-CN"/>
        </w:rPr>
      </w:pPr>
      <w:bookmarkStart w:id="92" w:name="_Toc11474"/>
      <w:r>
        <w:rPr>
          <w:rFonts w:hint="eastAsia" w:ascii="楷体" w:hAnsi="楷体" w:eastAsia="楷体" w:cs="楷体"/>
          <w:lang w:val="en-US" w:eastAsia="zh-CN"/>
        </w:rPr>
        <w:t>绩效评价指标体系得分表</w:t>
      </w:r>
      <w:bookmarkEnd w:id="92"/>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adjustRightInd w:val="0"/>
        <w:snapToGrid w:val="0"/>
        <w:spacing w:line="540" w:lineRule="exact"/>
        <w:outlineLvl w:val="0"/>
        <w:rPr>
          <w:rFonts w:asciiTheme="minorEastAsia" w:hAnsiTheme="minorEastAsia"/>
          <w:sz w:val="32"/>
          <w:szCs w:val="32"/>
        </w:rPr>
      </w:pPr>
      <w:bookmarkStart w:id="93" w:name="_Toc15162"/>
      <w:r>
        <w:rPr>
          <w:rFonts w:hint="eastAsia" w:asciiTheme="minorEastAsia" w:hAnsiTheme="minorEastAsia"/>
          <w:sz w:val="32"/>
          <w:szCs w:val="32"/>
        </w:rPr>
        <w:t>承德燕山会计师事务所         中国注册会计师：崔春华</w:t>
      </w:r>
      <w:bookmarkEnd w:id="93"/>
    </w:p>
    <w:p>
      <w:pPr>
        <w:adjustRightInd w:val="0"/>
        <w:snapToGrid w:val="0"/>
        <w:spacing w:line="540" w:lineRule="exact"/>
        <w:ind w:firstLine="640" w:firstLineChars="200"/>
        <w:outlineLvl w:val="0"/>
        <w:rPr>
          <w:rFonts w:asciiTheme="minorEastAsia" w:hAnsiTheme="minorEastAsia"/>
          <w:sz w:val="32"/>
          <w:szCs w:val="32"/>
        </w:rPr>
      </w:pPr>
      <w:bookmarkStart w:id="94" w:name="_Toc14815"/>
      <w:r>
        <w:rPr>
          <w:rFonts w:hint="eastAsia" w:asciiTheme="minorEastAsia" w:hAnsiTheme="minorEastAsia"/>
          <w:sz w:val="32"/>
          <w:szCs w:val="32"/>
        </w:rPr>
        <w:t>有限责任公司</w:t>
      </w:r>
      <w:bookmarkEnd w:id="94"/>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0"/>
        <w:rPr>
          <w:rFonts w:hint="eastAsia" w:asciiTheme="minorEastAsia" w:hAnsiTheme="minorEastAsia"/>
          <w:sz w:val="32"/>
          <w:szCs w:val="32"/>
        </w:rPr>
      </w:pPr>
      <w:bookmarkStart w:id="95" w:name="_Toc13463"/>
      <w:r>
        <w:rPr>
          <w:rFonts w:hint="eastAsia" w:asciiTheme="minorEastAsia" w:hAnsiTheme="minorEastAsia"/>
          <w:sz w:val="32"/>
          <w:szCs w:val="32"/>
        </w:rPr>
        <w:t xml:space="preserve">河北·承德             </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中国注册会计师：白秀云</w:t>
      </w:r>
      <w:bookmarkEnd w:id="95"/>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sz w:val="32"/>
          <w:szCs w:val="32"/>
        </w:rPr>
      </w:pPr>
    </w:p>
    <w:p>
      <w:pPr>
        <w:rPr>
          <w:rFonts w:hint="eastAsia"/>
          <w:sz w:val="28"/>
          <w:szCs w:val="28"/>
          <w:lang w:val="en-US" w:eastAsia="zh-CN"/>
        </w:rPr>
      </w:pPr>
      <w:r>
        <w:rPr>
          <w:rFonts w:hint="eastAsia" w:asciiTheme="minorEastAsia" w:hAnsiTheme="minorEastAsia"/>
          <w:sz w:val="32"/>
          <w:szCs w:val="32"/>
          <w:lang w:val="en-US" w:eastAsia="zh-CN"/>
        </w:rPr>
        <w:t xml:space="preserve">                          </w:t>
      </w:r>
      <w:bookmarkStart w:id="96" w:name="_Toc29542"/>
      <w:r>
        <w:rPr>
          <w:rFonts w:hint="eastAsia" w:asciiTheme="minorEastAsia" w:hAnsiTheme="minorEastAsia"/>
          <w:sz w:val="32"/>
          <w:szCs w:val="32"/>
          <w:lang w:val="en-US" w:eastAsia="zh-CN"/>
        </w:rPr>
        <w:t xml:space="preserve"> </w:t>
      </w:r>
      <w:r>
        <w:rPr>
          <w:rFonts w:hint="eastAsia" w:asciiTheme="minorEastAsia" w:hAnsiTheme="minorEastAsia"/>
          <w:sz w:val="32"/>
          <w:szCs w:val="32"/>
        </w:rPr>
        <w:t>二○</w:t>
      </w:r>
      <w:r>
        <w:rPr>
          <w:rFonts w:hint="eastAsia" w:asciiTheme="minorEastAsia" w:hAnsiTheme="minorEastAsia"/>
          <w:sz w:val="32"/>
          <w:szCs w:val="32"/>
          <w:lang w:eastAsia="zh-CN"/>
        </w:rPr>
        <w:t>二〇</w:t>
      </w:r>
      <w:r>
        <w:rPr>
          <w:rFonts w:hint="eastAsia" w:asciiTheme="minorEastAsia" w:hAnsiTheme="minorEastAsia"/>
          <w:sz w:val="32"/>
          <w:szCs w:val="32"/>
        </w:rPr>
        <w:t>年</w:t>
      </w:r>
      <w:r>
        <w:rPr>
          <w:rFonts w:hint="eastAsia" w:asciiTheme="minorEastAsia" w:hAnsiTheme="minorEastAsia"/>
          <w:sz w:val="32"/>
          <w:szCs w:val="32"/>
          <w:lang w:eastAsia="zh-CN"/>
        </w:rPr>
        <w:t>十二</w:t>
      </w:r>
      <w:r>
        <w:rPr>
          <w:rFonts w:hint="eastAsia" w:asciiTheme="minorEastAsia" w:hAnsiTheme="minorEastAsia"/>
          <w:sz w:val="32"/>
          <w:szCs w:val="32"/>
        </w:rPr>
        <w:t>月</w:t>
      </w:r>
      <w:r>
        <w:rPr>
          <w:rFonts w:hint="eastAsia" w:asciiTheme="minorEastAsia" w:hAnsiTheme="minorEastAsia"/>
          <w:sz w:val="32"/>
          <w:szCs w:val="32"/>
          <w:lang w:eastAsia="zh-CN"/>
        </w:rPr>
        <w:t>二十五</w:t>
      </w:r>
      <w:r>
        <w:rPr>
          <w:rFonts w:hint="eastAsia" w:asciiTheme="minorEastAsia" w:hAnsiTheme="minorEastAsia"/>
          <w:sz w:val="32"/>
          <w:szCs w:val="32"/>
        </w:rPr>
        <w:t>日</w:t>
      </w:r>
      <w:bookmarkEnd w:id="96"/>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kern w:val="2"/>
          <w:sz w:val="28"/>
          <w:szCs w:val="28"/>
          <w:highlight w:val="none"/>
          <w:lang w:val="en-US" w:eastAsia="zh-CN" w:bidi="ar-SA"/>
        </w:rPr>
        <w:sectPr>
          <w:footerReference r:id="rId6"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kern w:val="2"/>
          <w:sz w:val="28"/>
          <w:szCs w:val="28"/>
          <w:highlight w:val="yellow"/>
          <w:lang w:val="en-US" w:eastAsia="zh-CN" w:bidi="ar-SA"/>
        </w:rPr>
      </w:pPr>
      <w:r>
        <w:rPr>
          <w:rFonts w:hint="eastAsia" w:ascii="宋体" w:hAnsi="宋体" w:eastAsia="宋体" w:cs="宋体"/>
          <w:b/>
          <w:bCs/>
          <w:sz w:val="28"/>
          <w:szCs w:val="28"/>
          <w:highlight w:val="none"/>
          <w:lang w:val="en-US" w:eastAsia="zh-CN"/>
        </w:rPr>
        <w:t>公共事务服务中心业务大厅维修改造工程</w:t>
      </w:r>
      <w:r>
        <w:rPr>
          <w:rFonts w:hint="eastAsia" w:ascii="宋体" w:hAnsi="宋体" w:eastAsia="宋体" w:cs="宋体"/>
          <w:b/>
          <w:bCs/>
          <w:sz w:val="28"/>
          <w:szCs w:val="28"/>
          <w:highlight w:val="none"/>
          <w:lang w:eastAsia="zh-CN"/>
        </w:rPr>
        <w:t>绩效评价指标体系得分表</w:t>
      </w:r>
    </w:p>
    <w:tbl>
      <w:tblPr>
        <w:tblStyle w:val="13"/>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2137"/>
        <w:gridCol w:w="4802"/>
        <w:gridCol w:w="3357"/>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5"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7"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
                <w:bCs/>
                <w:sz w:val="24"/>
                <w:lang w:eastAsia="zh-CN"/>
              </w:rPr>
            </w:pPr>
            <w:r>
              <w:rPr>
                <w:rFonts w:hint="eastAsia" w:asciiTheme="minorEastAsia" w:hAnsiTheme="minorEastAsia"/>
                <w:b/>
                <w:bCs/>
                <w:sz w:val="24"/>
              </w:rPr>
              <w:t>考核</w:t>
            </w:r>
            <w:r>
              <w:rPr>
                <w:rFonts w:hint="eastAsia" w:asciiTheme="minorEastAsia" w:hAnsiTheme="minorEastAsia"/>
                <w:b/>
                <w:bCs/>
                <w:sz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w:t>
            </w:r>
            <w:r>
              <w:rPr>
                <w:rFonts w:hint="eastAsia" w:ascii="宋体" w:hAnsi="宋体" w:eastAsia="宋体" w:cs="宋体"/>
                <w:color w:val="000000"/>
                <w:sz w:val="24"/>
                <w:lang w:eastAsia="zh-CN"/>
              </w:rPr>
              <w:t>行</w:t>
            </w:r>
            <w:r>
              <w:rPr>
                <w:rFonts w:hint="eastAsia" w:ascii="宋体" w:hAnsi="宋体" w:eastAsia="宋体" w:cs="宋体"/>
                <w:color w:val="000000"/>
                <w:sz w:val="24"/>
              </w:rPr>
              <w:t>性（5分）；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eastAsia="zh-CN"/>
              </w:rPr>
            </w:pPr>
            <w:r>
              <w:rPr>
                <w:rFonts w:hint="eastAsia" w:asciiTheme="minorEastAsia" w:hAnsiTheme="minorEastAsia"/>
                <w:bCs/>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5、政务公开情况（3分）；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制定公示制度、建立公示平台、应该招标项目必须进行招标得3分，每缺少一项扣1分；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债券资金使用无变更得3分，变更费用每超过投资额1%，扣0.5分；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7、项目实施方案编制情况（3分）；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方案编制合理、可行得3分，每有一项不合理扣减0.5分；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eastAsia="zh-CN"/>
              </w:rPr>
            </w:pPr>
            <w:r>
              <w:rPr>
                <w:rFonts w:hint="eastAsia" w:asciiTheme="minorEastAsia" w:hAnsiTheme="minorEastAsia"/>
                <w:bCs/>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8、资金使用合规性（</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债券资金未用于经常性支出，未用于中央明令禁止的项目支出得4分，发现资金使用不合规每有一项扣1分；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w:t>
            </w:r>
            <w:r>
              <w:rPr>
                <w:rFonts w:hint="eastAsia" w:ascii="宋体" w:hAnsi="宋体" w:eastAsia="宋体" w:cs="宋体"/>
                <w:color w:val="000000"/>
                <w:sz w:val="24"/>
                <w:lang w:val="en-US" w:eastAsia="zh-CN"/>
              </w:rPr>
              <w:t>7</w:t>
            </w:r>
            <w:r>
              <w:rPr>
                <w:rFonts w:hint="eastAsia" w:ascii="宋体" w:hAnsi="宋体" w:eastAsia="宋体" w:cs="宋体"/>
                <w:color w:val="000000"/>
                <w:sz w:val="24"/>
              </w:rPr>
              <w:t>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及时拨付项目资金得7分，未及时拨付每发现一次扣1分；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0</w:t>
            </w:r>
            <w:r>
              <w:rPr>
                <w:rFonts w:hint="eastAsia" w:ascii="宋体" w:hAnsi="宋体" w:eastAsia="宋体" w:cs="宋体"/>
                <w:color w:val="000000"/>
                <w:sz w:val="24"/>
              </w:rPr>
              <w:t>、会计制度执行情况（</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未发现资金有挪用、抽逃、延迟支付现象得4分，每发现一次扣减1分；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1</w:t>
            </w:r>
            <w:r>
              <w:rPr>
                <w:rFonts w:hint="eastAsia" w:ascii="宋体" w:hAnsi="宋体" w:eastAsia="宋体" w:cs="宋体"/>
                <w:color w:val="000000"/>
                <w:sz w:val="24"/>
              </w:rPr>
              <w:t>、工程完工情况（10分）；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2</w:t>
            </w:r>
            <w:r>
              <w:rPr>
                <w:rFonts w:hint="eastAsia" w:ascii="宋体" w:hAnsi="宋体" w:eastAsia="宋体" w:cs="宋体"/>
                <w:color w:val="000000"/>
                <w:sz w:val="24"/>
              </w:rPr>
              <w:t>、工期控制情况（10分）；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计划工期内完工得10分，超期完工扣2分；评价期内仍未完工不得分；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3</w:t>
            </w:r>
            <w:r>
              <w:rPr>
                <w:rFonts w:hint="eastAsia" w:ascii="宋体" w:hAnsi="宋体" w:eastAsia="宋体" w:cs="宋体"/>
                <w:color w:val="000000"/>
                <w:sz w:val="24"/>
              </w:rPr>
              <w:t>、完工项目验收情况（10分）；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4</w:t>
            </w:r>
            <w:r>
              <w:rPr>
                <w:rFonts w:hint="eastAsia" w:ascii="宋体" w:hAnsi="宋体" w:eastAsia="宋体" w:cs="宋体"/>
                <w:color w:val="000000"/>
                <w:sz w:val="24"/>
              </w:rPr>
              <w:t>、总体目标实现情况（8分）；</w:t>
            </w:r>
          </w:p>
        </w:tc>
        <w:tc>
          <w:tcPr>
            <w:tcW w:w="1207"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5</w:t>
            </w:r>
            <w:r>
              <w:rPr>
                <w:rFonts w:hint="eastAsia" w:ascii="宋体" w:hAnsi="宋体" w:eastAsia="宋体" w:cs="宋体"/>
                <w:color w:val="000000"/>
                <w:sz w:val="24"/>
              </w:rPr>
              <w:t>、社会效益实现情况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8</w:t>
            </w:r>
            <w:r>
              <w:rPr>
                <w:rFonts w:hint="eastAsia" w:ascii="宋体" w:hAnsi="宋体" w:eastAsia="宋体" w:cs="宋体"/>
                <w:color w:val="000000"/>
                <w:sz w:val="24"/>
                <w:highlight w:val="none"/>
              </w:rPr>
              <w:t>分）</w:t>
            </w:r>
            <w:r>
              <w:rPr>
                <w:rFonts w:hint="eastAsia" w:ascii="宋体" w:hAnsi="宋体" w:eastAsia="宋体" w:cs="宋体"/>
                <w:color w:val="000000"/>
                <w:sz w:val="24"/>
              </w:rPr>
              <w:t>；</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项目的建设对社会效益明显提升得8分，效益不明显得4分，社会效益差不得分；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bCs/>
                <w:sz w:val="24"/>
                <w:lang w:val="en-US"/>
              </w:rPr>
            </w:pPr>
            <w:r>
              <w:rPr>
                <w:rFonts w:hint="default" w:asciiTheme="minorEastAsia" w:hAnsiTheme="minorEastAsia"/>
                <w:bCs/>
                <w:sz w:val="24"/>
                <w:highlight w:val="none"/>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6</w:t>
            </w:r>
            <w:r>
              <w:rPr>
                <w:rFonts w:hint="eastAsia" w:ascii="宋体" w:hAnsi="宋体" w:eastAsia="宋体" w:cs="宋体"/>
                <w:color w:val="000000"/>
                <w:sz w:val="24"/>
              </w:rPr>
              <w:t>、社会环境（</w:t>
            </w:r>
            <w:r>
              <w:rPr>
                <w:rFonts w:hint="eastAsia" w:ascii="宋体" w:hAnsi="宋体" w:eastAsia="宋体" w:cs="宋体"/>
                <w:color w:val="000000"/>
                <w:sz w:val="24"/>
                <w:lang w:eastAsia="zh-CN"/>
              </w:rPr>
              <w:t>生态</w:t>
            </w:r>
            <w:r>
              <w:rPr>
                <w:rFonts w:hint="eastAsia" w:ascii="宋体" w:hAnsi="宋体" w:eastAsia="宋体" w:cs="宋体"/>
                <w:color w:val="000000"/>
                <w:sz w:val="24"/>
              </w:rPr>
              <w:t>环境等）改善情况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4</w:t>
            </w:r>
            <w:r>
              <w:rPr>
                <w:rFonts w:hint="eastAsia" w:ascii="宋体" w:hAnsi="宋体" w:eastAsia="宋体" w:cs="宋体"/>
                <w:color w:val="000000"/>
                <w:sz w:val="24"/>
                <w:highlight w:val="none"/>
              </w:rPr>
              <w:t>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项目建设对社会环境有明显提升得4分，提升不明显得2分，影响社会环境不得分；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lang w:eastAsia="zh-CN"/>
              </w:rPr>
              <w:t>经济</w:t>
            </w:r>
            <w:r>
              <w:rPr>
                <w:rFonts w:hint="eastAsia" w:asciiTheme="minorEastAsia" w:hAnsiTheme="minorEastAsia"/>
                <w:bCs/>
                <w:sz w:val="24"/>
              </w:rPr>
              <w:t>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7</w:t>
            </w:r>
            <w:r>
              <w:rPr>
                <w:rFonts w:hint="eastAsia" w:ascii="宋体" w:hAnsi="宋体" w:eastAsia="宋体" w:cs="宋体"/>
                <w:color w:val="000000"/>
                <w:sz w:val="24"/>
              </w:rPr>
              <w:t>、</w:t>
            </w:r>
            <w:r>
              <w:rPr>
                <w:rFonts w:hint="eastAsia" w:ascii="宋体" w:hAnsi="宋体" w:eastAsia="宋体" w:cs="宋体"/>
                <w:color w:val="000000"/>
                <w:sz w:val="24"/>
                <w:szCs w:val="24"/>
                <w:lang w:val="en-US" w:eastAsia="zh-CN"/>
              </w:rPr>
              <w:t>项目建设带来的直接经济效益（3分）；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18、</w:t>
            </w:r>
            <w:r>
              <w:rPr>
                <w:rFonts w:hint="eastAsia" w:ascii="宋体" w:hAnsi="宋体" w:eastAsia="宋体" w:cs="宋体"/>
                <w:color w:val="000000"/>
                <w:sz w:val="24"/>
                <w:szCs w:val="24"/>
                <w:lang w:val="en-US" w:eastAsia="zh-CN"/>
              </w:rPr>
              <w:t>项目建设带来的间接经济效益（7分）；</w:t>
            </w:r>
          </w:p>
        </w:tc>
        <w:tc>
          <w:tcPr>
            <w:tcW w:w="1207" w:type="pct"/>
          </w:tcPr>
          <w:p>
            <w:pPr>
              <w:pStyle w:val="16"/>
              <w:kinsoku w:val="0"/>
              <w:overflowPunct w:val="0"/>
              <w:autoSpaceDE w:val="0"/>
              <w:autoSpaceDN w:val="0"/>
              <w:adjustRightInd w:val="0"/>
              <w:snapToGrid w:val="0"/>
              <w:spacing w:before="163" w:after="163"/>
              <w:ind w:firstLine="0"/>
              <w:rPr>
                <w:rFonts w:hint="eastAsia"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5"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88</w:t>
            </w:r>
          </w:p>
        </w:tc>
      </w:tr>
    </w:tbl>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kern w:val="2"/>
          <w:sz w:val="28"/>
          <w:szCs w:val="28"/>
          <w:highlight w:val="none"/>
          <w:lang w:val="en-US" w:eastAsia="zh-CN" w:bidi="ar-SA"/>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52C9E"/>
    <w:rsid w:val="00B15F66"/>
    <w:rsid w:val="03906ECE"/>
    <w:rsid w:val="03B73450"/>
    <w:rsid w:val="047E3D7B"/>
    <w:rsid w:val="06B3136F"/>
    <w:rsid w:val="09DF3A36"/>
    <w:rsid w:val="0A617961"/>
    <w:rsid w:val="0CF76258"/>
    <w:rsid w:val="0FF14209"/>
    <w:rsid w:val="105259B6"/>
    <w:rsid w:val="105E04DB"/>
    <w:rsid w:val="11CA6AB4"/>
    <w:rsid w:val="13426D82"/>
    <w:rsid w:val="13D04FA7"/>
    <w:rsid w:val="1671287C"/>
    <w:rsid w:val="179E01C8"/>
    <w:rsid w:val="18596D27"/>
    <w:rsid w:val="18B14196"/>
    <w:rsid w:val="19B12636"/>
    <w:rsid w:val="1C0818FD"/>
    <w:rsid w:val="1DBE2CCE"/>
    <w:rsid w:val="1DCB30AC"/>
    <w:rsid w:val="1E3912B7"/>
    <w:rsid w:val="1F3109C5"/>
    <w:rsid w:val="21C358CA"/>
    <w:rsid w:val="23962522"/>
    <w:rsid w:val="23EF5E50"/>
    <w:rsid w:val="26461AD4"/>
    <w:rsid w:val="27201EC0"/>
    <w:rsid w:val="27DD72F2"/>
    <w:rsid w:val="284D6241"/>
    <w:rsid w:val="2B284D4B"/>
    <w:rsid w:val="2C137100"/>
    <w:rsid w:val="308E543E"/>
    <w:rsid w:val="327F7BC1"/>
    <w:rsid w:val="33027D10"/>
    <w:rsid w:val="39FB1AB6"/>
    <w:rsid w:val="3B264885"/>
    <w:rsid w:val="3B943A5F"/>
    <w:rsid w:val="3BB5552B"/>
    <w:rsid w:val="3D7533AC"/>
    <w:rsid w:val="3EE432ED"/>
    <w:rsid w:val="40A00F76"/>
    <w:rsid w:val="40A5505A"/>
    <w:rsid w:val="41A52C9E"/>
    <w:rsid w:val="46437D54"/>
    <w:rsid w:val="47C37A03"/>
    <w:rsid w:val="48771478"/>
    <w:rsid w:val="4A924A90"/>
    <w:rsid w:val="4C8433C3"/>
    <w:rsid w:val="4DF57240"/>
    <w:rsid w:val="4F5D274A"/>
    <w:rsid w:val="54252E1D"/>
    <w:rsid w:val="569318BE"/>
    <w:rsid w:val="577B4A42"/>
    <w:rsid w:val="62280465"/>
    <w:rsid w:val="6C8C79DA"/>
    <w:rsid w:val="6EC845C2"/>
    <w:rsid w:val="710016B0"/>
    <w:rsid w:val="75840E38"/>
    <w:rsid w:val="772B6771"/>
    <w:rsid w:val="77AB17FD"/>
    <w:rsid w:val="7D87276F"/>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lang w:val="en-US" w:eastAsia="zh-CN" w:bidi="ar-SA"/>
    </w:rPr>
  </w:style>
  <w:style w:type="paragraph" w:styleId="6">
    <w:name w:val="Body Text Indent"/>
    <w:basedOn w:val="1"/>
    <w:qFormat/>
    <w:uiPriority w:val="0"/>
    <w:pPr>
      <w:ind w:firstLine="540" w:firstLineChars="180"/>
    </w:pPr>
    <w:rPr>
      <w:sz w:val="3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6">
    <w:name w:val="列出段落1"/>
    <w:basedOn w:val="1"/>
    <w:qFormat/>
    <w:uiPriority w:val="99"/>
    <w:pPr>
      <w:ind w:firstLine="420"/>
    </w:pPr>
  </w:style>
  <w:style w:type="paragraph" w:styleId="17">
    <w:name w:val="List Paragraph"/>
    <w:basedOn w:val="1"/>
    <w:unhideWhenUsed/>
    <w:qFormat/>
    <w:uiPriority w:val="99"/>
    <w:pPr>
      <w:ind w:firstLine="420" w:firstLineChars="200"/>
    </w:p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Administrator</cp:lastModifiedBy>
  <cp:lastPrinted>2021-03-05T07:59:00Z</cp:lastPrinted>
  <dcterms:modified xsi:type="dcterms:W3CDTF">2021-04-25T08:19:47Z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AC0B2C80DCB3402F8B325CD193DE9B5F</vt:lpwstr>
  </property>
</Properties>
</file>