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伊逊河围场县城段（10号蓄水区域）河道治理工程</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pStyle w:val="14"/>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w:t>
      </w:r>
      <w:r>
        <w:rPr>
          <w:sz w:val="32"/>
          <w:szCs w:val="32"/>
        </w:rPr>
        <w:t>270</w:t>
      </w:r>
      <w:r>
        <w:rPr>
          <w:rFonts w:hint="eastAsia"/>
          <w:sz w:val="32"/>
          <w:szCs w:val="32"/>
        </w:rPr>
        <w:t>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9" o:title=""/>
            <o:lock v:ext="edit" aspectratio="t"/>
            <w10:wrap type="square"/>
          </v:shape>
          <o:OLEObject Type="Embed" ProgID="Word.Picture.8"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承燕会所审专字（2020）第</w:t>
      </w:r>
      <w:r>
        <w:rPr>
          <w:rFonts w:ascii="仿宋" w:hAnsi="仿宋" w:eastAsia="仿宋"/>
          <w:b/>
          <w:sz w:val="24"/>
        </w:rPr>
        <w:t>270</w:t>
      </w:r>
      <w:r>
        <w:rPr>
          <w:rFonts w:hint="eastAsia" w:ascii="仿宋" w:hAnsi="仿宋" w:eastAsia="仿宋"/>
          <w:b/>
          <w:sz w:val="24"/>
        </w:rPr>
        <w:t>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15:color w:val="DBDBDB"/>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8"/>
            <w:tabs>
              <w:tab w:val="right" w:leader="dot" w:pos="8306"/>
            </w:tabs>
            <w:rPr>
              <w:sz w:val="28"/>
              <w:szCs w:val="28"/>
            </w:rPr>
          </w:pPr>
          <w:r>
            <w:fldChar w:fldCharType="begin"/>
          </w:r>
          <w:r>
            <w:instrText xml:space="preserve"> HYPERLINK \l "_Toc29161"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_Toc29161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"_Toc16492"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_Toc16492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"_Toc28460"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_Toc28460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"_Toc24251"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_Toc24251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"_Toc17854"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_Toc17854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"_Toc22483"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_Toc22483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"_Toc14121"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_Toc14121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"_Toc22422"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_Toc22422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"_Toc32118"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_Toc32118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"_Toc28435"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_Toc28435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"_Toc10663"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_Toc10663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"_Toc30520"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_Toc30520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"_Toc4537"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_Toc4537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"_Toc20292"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_Toc20292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"_Toc27497"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_Toc27497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"_Toc25820"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_Toc25820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"_Toc27218"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_Toc27218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"_Toc12847"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_Toc12847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"_Toc2246"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_Toc2246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"_Toc5546"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_Toc5546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"_Toc11124"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_Toc11124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"_Toc10598"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_Toc10598 \h </w:instrText>
          </w:r>
          <w:r>
            <w:rPr>
              <w:sz w:val="28"/>
              <w:szCs w:val="28"/>
            </w:rPr>
            <w:fldChar w:fldCharType="separate"/>
          </w:r>
          <w:r>
            <w:rPr>
              <w:sz w:val="28"/>
              <w:szCs w:val="28"/>
            </w:rPr>
            <w:t>23</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19920"/>
      <w:bookmarkStart w:id="1" w:name="_Toc32502"/>
      <w:bookmarkStart w:id="2" w:name="_Toc25062"/>
      <w:bookmarkStart w:id="3" w:name="_Toc7123"/>
      <w:r>
        <w:rPr>
          <w:rFonts w:hint="eastAsia" w:ascii="宋体" w:hAnsi="宋体" w:eastAsia="宋体" w:cs="宋体"/>
          <w:b/>
          <w:bCs/>
          <w:sz w:val="36"/>
          <w:szCs w:val="36"/>
        </w:rPr>
        <w:t>伊逊河围场县城段（10号蓄水区域）河道治理工程</w:t>
      </w:r>
      <w:bookmarkEnd w:id="0"/>
    </w:p>
    <w:p>
      <w:pPr>
        <w:jc w:val="center"/>
        <w:outlineLvl w:val="0"/>
        <w:rPr>
          <w:rFonts w:ascii="宋体" w:hAnsi="宋体" w:eastAsia="宋体" w:cs="宋体"/>
          <w:b/>
          <w:bCs/>
          <w:sz w:val="36"/>
          <w:szCs w:val="36"/>
        </w:rPr>
      </w:pPr>
      <w:bookmarkStart w:id="4" w:name="_Toc28973"/>
      <w:bookmarkStart w:id="5" w:name="_Toc26503"/>
      <w:bookmarkStart w:id="6" w:name="_Toc3241"/>
      <w:r>
        <w:rPr>
          <w:rFonts w:hint="eastAsia" w:ascii="宋体" w:hAnsi="宋体" w:eastAsia="宋体" w:cs="宋体"/>
          <w:b/>
          <w:bCs/>
          <w:sz w:val="36"/>
          <w:szCs w:val="36"/>
        </w:rPr>
        <w:t>一般债券资金绩效评价报告</w:t>
      </w:r>
      <w:bookmarkEnd w:id="1"/>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伊逊河围场县城段（10号蓄水区域）河道治理工程新增一般债券资金使用情况做绩效评价分析。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8932"/>
      <w:bookmarkStart w:id="8" w:name="_Toc29161"/>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1188"/>
      <w:bookmarkStart w:id="10" w:name="_Toc16492"/>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结合围场县政府2019年重点建设项目安排情况，围场县对2019年新增一般债券资金使用情况进行调整，经县政府同意，将新增一般债券使用项目重新进行安排。根据《中华人民共和国预算法》和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其中投入伊逊河围场县城段（10号蓄水区域）河道治理工程项目的债券资金共计433.99万元。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伊逊河围场县城段（10号蓄水区域）河道治理工程</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伊逊河围场县县城段</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围场县水务局伊逊河围场县城段河道治理工程建设处</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4.项目概况</w:t>
      </w:r>
    </w:p>
    <w:p>
      <w:pPr>
        <w:pStyle w:val="5"/>
        <w:ind w:left="0" w:firstLine="560" w:firstLineChars="200"/>
        <w:rPr>
          <w:rFonts w:ascii="宋体" w:hAnsi="宋体" w:eastAsia="宋体" w:cs="宋体"/>
        </w:rPr>
      </w:pPr>
      <w:r>
        <w:rPr>
          <w:rFonts w:hint="eastAsia" w:ascii="宋体" w:hAnsi="宋体" w:eastAsia="宋体" w:cs="宋体"/>
        </w:rPr>
        <w:t>本工程建设地点为围场县城，伊逊河围场县城段（10号蓄水区域）河道治理工程内容包括：建筑工程、施工临时工程、围场县10#橡胶坝东岸绿化、设计变更及合同外洽商等。</w:t>
      </w:r>
    </w:p>
    <w:p>
      <w:pPr>
        <w:pStyle w:val="5"/>
        <w:ind w:left="0" w:firstLine="560" w:firstLineChars="200"/>
        <w:rPr>
          <w:rFonts w:ascii="宋体" w:hAnsi="宋体" w:eastAsia="宋体" w:cs="宋体"/>
        </w:rPr>
      </w:pPr>
      <w:r>
        <w:rPr>
          <w:rFonts w:hint="eastAsia" w:ascii="宋体" w:hAnsi="宋体" w:eastAsia="宋体" w:cs="宋体"/>
        </w:rPr>
        <w:t>建筑工程主要内容：土方开挖、土方回填、护坡混凝土浇筑、护底混凝土浇筑、钢筋制作安装、粗砂垫层铺设、土工膜铺设、闭孔塑料板安装、橡胶止水带安装、膨胀止水条安装、预制混凝土砖拆除、混凝土表面凿毛、右岸排水管道安装、高镀锌钢丝石笼拆除及重新制安、碎石垫层拆除及重新铺设、栏杆安装、模板安拆、木栈道等。</w:t>
      </w:r>
    </w:p>
    <w:p>
      <w:pPr>
        <w:pStyle w:val="5"/>
        <w:ind w:left="0" w:firstLine="560" w:firstLineChars="200"/>
        <w:rPr>
          <w:rFonts w:ascii="宋体" w:hAnsi="宋体" w:eastAsia="宋体" w:cs="宋体"/>
        </w:rPr>
      </w:pPr>
      <w:r>
        <w:rPr>
          <w:rFonts w:hint="eastAsia" w:ascii="宋体" w:hAnsi="宋体" w:eastAsia="宋体" w:cs="宋体"/>
        </w:rPr>
        <w:t>临时工程主要内容：导流围堰填筑及拆除、场内交通道路、仓库、办公、生活及文化福利建筑、其他施工临时工程等。</w:t>
      </w:r>
    </w:p>
    <w:p>
      <w:pPr>
        <w:pStyle w:val="5"/>
        <w:ind w:left="0" w:firstLine="560" w:firstLineChars="200"/>
        <w:rPr>
          <w:rFonts w:ascii="宋体" w:hAnsi="宋体" w:eastAsia="宋体" w:cs="宋体"/>
        </w:rPr>
      </w:pPr>
      <w:r>
        <w:rPr>
          <w:rFonts w:hint="eastAsia" w:ascii="宋体" w:hAnsi="宋体" w:eastAsia="宋体" w:cs="宋体"/>
        </w:rPr>
        <w:t>围场县10#橡胶坝东岸绿化主要内容：土方开挖及土方回填，种植土换填，景观台阶砌筑，点风景石安装，造型油松，暴马丁香等乔木的栽植及养护，金叶榆篱、四季玫瑰等绿篱的栽植及养护，爬山虎的栽植及养护，八宝景天、万寿菊等花卉的栽植及养护等。</w:t>
      </w:r>
    </w:p>
    <w:p>
      <w:pPr>
        <w:pStyle w:val="5"/>
        <w:ind w:left="0" w:firstLine="560" w:firstLineChars="200"/>
        <w:rPr>
          <w:rFonts w:ascii="宋体" w:hAnsi="宋体" w:eastAsia="宋体" w:cs="宋体"/>
        </w:rPr>
      </w:pPr>
      <w:r>
        <w:rPr>
          <w:rFonts w:hint="eastAsia" w:ascii="宋体" w:hAnsi="宋体" w:eastAsia="宋体" w:cs="宋体"/>
        </w:rPr>
        <w:t>设计变更的主要内容：污水管道处护坡混凝土浇筑、钢筋制作安装、闭孔塑料板安装、橡胶止水带安装、模板安拆，铁塔处护坡混凝土浇筑、钢筋制作安装、闭孔塑料板安装、橡胶止水带安装、模板安拆及护底混凝土浇筑等，水文站处护坡混凝土浇筑、钢筋制作安装、闭孔塑料板安装、橡胶止水带安装、模板安拆及护底混凝土浇筑等，雨水管道下游顺延处土方开挖、土方回填及余方弃置、护坡混凝土浇筑、钢筋制作安装、检查井砌筑、闭孔塑料板安装等。</w:t>
      </w:r>
    </w:p>
    <w:p>
      <w:pPr>
        <w:ind w:firstLine="560" w:firstLineChars="200"/>
        <w:rPr>
          <w:rFonts w:ascii="宋体" w:hAnsi="宋体" w:eastAsia="宋体" w:cs="宋体"/>
          <w:sz w:val="28"/>
          <w:szCs w:val="28"/>
        </w:rPr>
      </w:pPr>
      <w:r>
        <w:rPr>
          <w:rFonts w:hint="eastAsia" w:ascii="宋体" w:hAnsi="宋体" w:eastAsia="宋体" w:cs="宋体"/>
          <w:sz w:val="28"/>
          <w:szCs w:val="28"/>
        </w:rPr>
        <w:t>合同外洽商主要内容：护角下空洞浇筑混凝土、变更护坡下方增加C15混凝土垫层、增厚河底粗砂垫层、河底淤泥开挖及土方回填、土方外运等。</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5.工程总投资及资金来源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工程总投资2846.61万元，资金由县财政支出，其中使用政府一般债券资金433.99万元。</w:t>
      </w:r>
    </w:p>
    <w:p>
      <w:pPr>
        <w:spacing w:line="600" w:lineRule="exact"/>
        <w:ind w:firstLine="643" w:firstLineChars="200"/>
        <w:outlineLvl w:val="1"/>
        <w:rPr>
          <w:rFonts w:ascii="楷体" w:hAnsi="楷体" w:eastAsia="楷体" w:cs="楷体"/>
          <w:b/>
          <w:sz w:val="32"/>
          <w:szCs w:val="32"/>
        </w:rPr>
      </w:pPr>
      <w:bookmarkStart w:id="11" w:name="_Toc28460"/>
      <w:r>
        <w:rPr>
          <w:rFonts w:hint="eastAsia" w:ascii="楷体" w:hAnsi="楷体" w:eastAsia="楷体" w:cs="楷体"/>
          <w:b/>
          <w:sz w:val="32"/>
          <w:szCs w:val="32"/>
        </w:rPr>
        <w:t>（二）项目绩效目标</w:t>
      </w:r>
      <w:bookmarkEnd w:id="11"/>
    </w:p>
    <w:p>
      <w:pPr>
        <w:spacing w:line="600" w:lineRule="exact"/>
        <w:ind w:firstLine="560" w:firstLineChars="200"/>
        <w:outlineLvl w:val="1"/>
        <w:rPr>
          <w:rFonts w:ascii="宋体" w:hAnsi="宋体" w:eastAsia="宋体" w:cs="宋体"/>
          <w:sz w:val="28"/>
          <w:szCs w:val="28"/>
        </w:rPr>
      </w:pPr>
      <w:bookmarkStart w:id="12" w:name="_Toc11974"/>
      <w:bookmarkStart w:id="13" w:name="_Toc30152"/>
      <w:bookmarkStart w:id="14" w:name="_Toc10859"/>
      <w:bookmarkStart w:id="15" w:name="_Toc12271"/>
      <w:r>
        <w:rPr>
          <w:rFonts w:hint="eastAsia" w:ascii="宋体" w:hAnsi="宋体" w:eastAsia="宋体" w:cs="宋体"/>
          <w:sz w:val="28"/>
          <w:szCs w:val="28"/>
        </w:rPr>
        <w:t>新建10号橡胶坝坝长94m，分两孔布置，单孔坝长47m，坝高3.0m，蓄水位834.15m,蓄水长度约530m，蓄水深度0.8-3.0m，形成水面面积约5.5万㎡。</w:t>
      </w:r>
      <w:bookmarkEnd w:id="12"/>
      <w:bookmarkEnd w:id="13"/>
      <w:bookmarkEnd w:id="14"/>
      <w:bookmarkStart w:id="16" w:name="_Toc28894"/>
    </w:p>
    <w:p>
      <w:pPr>
        <w:spacing w:line="600" w:lineRule="exact"/>
        <w:ind w:firstLine="560" w:firstLineChars="200"/>
        <w:outlineLvl w:val="1"/>
        <w:rPr>
          <w:rFonts w:ascii="宋体" w:hAnsi="宋体" w:eastAsia="宋体" w:cs="宋体"/>
          <w:sz w:val="28"/>
          <w:szCs w:val="28"/>
        </w:rPr>
      </w:pPr>
      <w:bookmarkStart w:id="17" w:name="_Toc31830"/>
      <w:bookmarkStart w:id="18" w:name="_Toc10011"/>
      <w:bookmarkStart w:id="19" w:name="_Toc31882"/>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6"/>
      <w:bookmarkEnd w:id="17"/>
      <w:bookmarkEnd w:id="18"/>
      <w:bookmarkEnd w:id="19"/>
    </w:p>
    <w:p>
      <w:pPr>
        <w:spacing w:line="600" w:lineRule="exact"/>
        <w:ind w:firstLine="643" w:firstLineChars="200"/>
        <w:outlineLvl w:val="1"/>
        <w:rPr>
          <w:rFonts w:ascii="楷体" w:hAnsi="楷体" w:eastAsia="楷体" w:cs="楷体"/>
          <w:b/>
          <w:sz w:val="32"/>
          <w:szCs w:val="32"/>
        </w:rPr>
      </w:pPr>
      <w:bookmarkStart w:id="20" w:name="_Toc24251"/>
      <w:r>
        <w:rPr>
          <w:rFonts w:hint="eastAsia" w:ascii="楷体" w:hAnsi="楷体" w:eastAsia="楷体" w:cs="楷体"/>
          <w:b/>
          <w:sz w:val="32"/>
          <w:szCs w:val="32"/>
        </w:rPr>
        <w:t>（三）评价对象和时段</w:t>
      </w:r>
      <w:bookmarkEnd w:id="15"/>
      <w:bookmarkEnd w:id="20"/>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本次考核评价对象：伊逊河围场县城段（10号蓄水区域）河道治理工程。从项目投入、管理、产出、效益等方面进行全面的评价考核。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21" w:name="_Toc17854"/>
      <w:r>
        <w:rPr>
          <w:rFonts w:hint="eastAsia" w:ascii="黑体" w:hAnsi="黑体" w:eastAsia="黑体" w:cs="黑体"/>
          <w:b/>
          <w:bCs/>
          <w:sz w:val="32"/>
          <w:szCs w:val="32"/>
        </w:rPr>
        <w:t>二、绩效评价工作开展情况</w:t>
      </w:r>
      <w:bookmarkEnd w:id="21"/>
    </w:p>
    <w:p>
      <w:pPr>
        <w:ind w:firstLine="643" w:firstLineChars="200"/>
        <w:outlineLvl w:val="1"/>
        <w:rPr>
          <w:rFonts w:ascii="楷体" w:hAnsi="楷体" w:eastAsia="楷体" w:cs="楷体"/>
          <w:b/>
          <w:bCs/>
          <w:sz w:val="32"/>
          <w:szCs w:val="32"/>
        </w:rPr>
      </w:pPr>
      <w:bookmarkStart w:id="22" w:name="_Toc22483"/>
      <w:r>
        <w:rPr>
          <w:rFonts w:hint="eastAsia" w:ascii="楷体" w:hAnsi="楷体" w:eastAsia="楷体" w:cs="楷体"/>
          <w:b/>
          <w:bCs/>
          <w:sz w:val="32"/>
          <w:szCs w:val="32"/>
        </w:rPr>
        <w:t>（一）绩效评价指标权重和绩效评价指标体系</w:t>
      </w:r>
      <w:bookmarkEnd w:id="22"/>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2333"/>
        <w:gridCol w:w="2941"/>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123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2333"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一级指标</w:t>
            </w:r>
          </w:p>
        </w:tc>
        <w:tc>
          <w:tcPr>
            <w:tcW w:w="2941"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二级指标</w:t>
            </w:r>
          </w:p>
        </w:tc>
        <w:tc>
          <w:tcPr>
            <w:tcW w:w="1726"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2333"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94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726"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2333"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94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726"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continue"/>
            <w:vAlign w:val="center"/>
          </w:tcPr>
          <w:p>
            <w:pPr>
              <w:jc w:val="center"/>
            </w:pPr>
          </w:p>
        </w:tc>
        <w:tc>
          <w:tcPr>
            <w:tcW w:w="2333" w:type="dxa"/>
            <w:vMerge w:val="continue"/>
            <w:tcBorders>
              <w:right w:val="single" w:color="auto" w:sz="4" w:space="0"/>
            </w:tcBorders>
            <w:vAlign w:val="center"/>
          </w:tcPr>
          <w:p>
            <w:pPr>
              <w:jc w:val="center"/>
            </w:pPr>
          </w:p>
        </w:tc>
        <w:tc>
          <w:tcPr>
            <w:tcW w:w="294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726"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2333"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94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726"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2333"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94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726"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continue"/>
            <w:vAlign w:val="center"/>
          </w:tcPr>
          <w:p>
            <w:pPr>
              <w:jc w:val="center"/>
            </w:pPr>
          </w:p>
        </w:tc>
        <w:tc>
          <w:tcPr>
            <w:tcW w:w="2333" w:type="dxa"/>
            <w:vMerge w:val="continue"/>
            <w:tcBorders>
              <w:right w:val="single" w:color="auto" w:sz="4" w:space="0"/>
            </w:tcBorders>
            <w:vAlign w:val="center"/>
          </w:tcPr>
          <w:p>
            <w:pPr>
              <w:jc w:val="center"/>
            </w:pPr>
          </w:p>
        </w:tc>
        <w:tc>
          <w:tcPr>
            <w:tcW w:w="294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726"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exact"/>
          <w:jc w:val="center"/>
        </w:trPr>
        <w:tc>
          <w:tcPr>
            <w:tcW w:w="3571" w:type="dxa"/>
            <w:gridSpan w:val="2"/>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4667" w:type="dxa"/>
            <w:gridSpan w:val="2"/>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23" w:name="_Toc12872"/>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5"/>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outlineLvl w:val="1"/>
        <w:rPr>
          <w:rFonts w:ascii="楷体" w:hAnsi="楷体" w:eastAsia="楷体" w:cs="楷体"/>
          <w:b/>
          <w:kern w:val="0"/>
          <w:sz w:val="32"/>
          <w:szCs w:val="32"/>
        </w:rPr>
      </w:pPr>
    </w:p>
    <w:p>
      <w:pPr>
        <w:ind w:firstLine="643" w:firstLineChars="200"/>
        <w:outlineLvl w:val="1"/>
        <w:rPr>
          <w:rFonts w:ascii="楷体" w:hAnsi="楷体" w:eastAsia="楷体" w:cs="楷体"/>
          <w:b/>
          <w:kern w:val="0"/>
          <w:sz w:val="32"/>
          <w:szCs w:val="32"/>
        </w:rPr>
      </w:pPr>
      <w:bookmarkStart w:id="24" w:name="_Toc14121"/>
      <w:r>
        <w:rPr>
          <w:rFonts w:hint="eastAsia" w:ascii="楷体" w:hAnsi="楷体" w:eastAsia="楷体" w:cs="楷体"/>
          <w:b/>
          <w:kern w:val="0"/>
          <w:sz w:val="32"/>
          <w:szCs w:val="32"/>
        </w:rPr>
        <w:t>（二）绩效评价目的和依据</w:t>
      </w:r>
      <w:bookmarkEnd w:id="23"/>
      <w:bookmarkEnd w:id="24"/>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pStyle w:val="5"/>
        <w:ind w:left="0" w:firstLine="560" w:firstLineChars="200"/>
        <w:rPr>
          <w:rFonts w:ascii="仿宋" w:hAnsi="仿宋" w:eastAsia="仿宋" w:cs="仿宋"/>
          <w:sz w:val="32"/>
          <w:szCs w:val="32"/>
        </w:rPr>
      </w:pPr>
      <w:r>
        <w:rPr>
          <w:rFonts w:hint="eastAsia" w:ascii="宋体" w:hAnsi="宋体" w:eastAsia="宋体" w:cs="宋体"/>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pStyle w:val="5"/>
        <w:ind w:left="0" w:firstLine="560" w:firstLineChars="200"/>
        <w:rPr>
          <w:rFonts w:ascii="宋体" w:hAnsi="宋体" w:eastAsia="宋体" w:cs="宋体"/>
        </w:rPr>
      </w:pPr>
      <w:r>
        <w:rPr>
          <w:rFonts w:hint="eastAsia" w:ascii="宋体" w:hAnsi="宋体" w:eastAsia="宋体" w:cs="宋体"/>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ind w:left="0" w:firstLine="560" w:firstLineChars="200"/>
        <w:rPr>
          <w:rFonts w:ascii="宋体" w:hAnsi="宋体" w:eastAsia="宋体" w:cs="宋体"/>
        </w:rPr>
      </w:pPr>
      <w:r>
        <w:rPr>
          <w:rFonts w:hint="eastAsia" w:ascii="宋体" w:hAnsi="宋体" w:eastAsia="宋体" w:cs="宋体"/>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ind w:left="0" w:firstLine="560" w:firstLineChars="200"/>
        <w:rPr>
          <w:rFonts w:ascii="仿宋" w:hAnsi="仿宋" w:eastAsia="仿宋" w:cs="仿宋"/>
          <w:sz w:val="32"/>
          <w:szCs w:val="32"/>
        </w:rPr>
      </w:pPr>
      <w:r>
        <w:rPr>
          <w:rFonts w:hint="eastAsia" w:ascii="宋体" w:hAnsi="宋体" w:eastAsia="宋体" w:cs="宋体"/>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pStyle w:val="5"/>
        <w:ind w:left="0" w:firstLine="560" w:firstLineChars="200"/>
        <w:rPr>
          <w:rFonts w:ascii="仿宋" w:hAnsi="仿宋" w:eastAsia="仿宋" w:cs="仿宋"/>
          <w:sz w:val="32"/>
          <w:szCs w:val="32"/>
        </w:rPr>
      </w:pPr>
      <w:r>
        <w:rPr>
          <w:rFonts w:hint="eastAsia" w:ascii="宋体" w:hAnsi="宋体" w:eastAsia="宋体" w:cs="宋体"/>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《中华人民共和国预算法》（2018年修正）</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《中华人民共和国环境保护法》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《中华人民共和国合同法》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《中华人民共和国建筑法》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《中华人民共和国会计法》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《中华人民共和国公司法》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《中华人民共和国招标投标法》</w:t>
      </w:r>
    </w:p>
    <w:p>
      <w:pPr>
        <w:pStyle w:val="5"/>
        <w:spacing w:line="530" w:lineRule="exact"/>
        <w:ind w:left="0" w:firstLine="56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spacing w:before="156" w:after="156"/>
              <w:ind w:firstLine="0" w:firstLineChars="0"/>
              <w:jc w:val="center"/>
              <w:rPr>
                <w:rFonts w:ascii="宋体" w:hAnsi="宋体" w:eastAsia="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财预〔2015〕47号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《地方政府一般债券预算管理办法》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6"/>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25" w:name="_Toc22990"/>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bookmarkStart w:id="26" w:name="_Toc22422"/>
      <w:r>
        <w:rPr>
          <w:rFonts w:ascii="楷体" w:hAnsi="楷体" w:eastAsia="楷体" w:cs="楷体"/>
          <w:szCs w:val="32"/>
        </w:rPr>
        <w:t>（三）绩效评价工作内容和范围</w:t>
      </w:r>
      <w:bookmarkEnd w:id="25"/>
      <w:bookmarkEnd w:id="26"/>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水务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pStyle w:val="5"/>
        <w:spacing w:line="530" w:lineRule="exact"/>
        <w:ind w:left="0" w:firstLine="560" w:firstLineChars="200"/>
        <w:rPr>
          <w:rFonts w:ascii="宋体" w:hAnsi="宋体" w:eastAsia="宋体" w:cs="宋体"/>
        </w:rPr>
      </w:pPr>
      <w:r>
        <w:rPr>
          <w:rFonts w:hint="eastAsia" w:ascii="宋体" w:hAnsi="宋体" w:eastAsia="宋体" w:cs="宋体"/>
        </w:rPr>
        <w:t>评价内容包括：</w:t>
      </w:r>
    </w:p>
    <w:p>
      <w:pPr>
        <w:pStyle w:val="5"/>
        <w:spacing w:line="530" w:lineRule="exact"/>
        <w:ind w:left="0" w:firstLine="560" w:firstLineChars="200"/>
        <w:rPr>
          <w:rFonts w:ascii="宋体" w:hAnsi="宋体" w:eastAsia="宋体" w:cs="宋体"/>
        </w:rPr>
      </w:pPr>
      <w:r>
        <w:rPr>
          <w:rFonts w:hint="eastAsia" w:ascii="宋体" w:hAnsi="宋体" w:eastAsia="宋体" w:cs="宋体"/>
        </w:rPr>
        <w:t>1.决策情况；</w:t>
      </w:r>
    </w:p>
    <w:p>
      <w:pPr>
        <w:pStyle w:val="5"/>
        <w:spacing w:line="530" w:lineRule="exact"/>
        <w:ind w:left="0" w:firstLine="560" w:firstLineChars="200"/>
        <w:rPr>
          <w:rFonts w:ascii="宋体" w:hAnsi="宋体" w:eastAsia="宋体" w:cs="宋体"/>
        </w:rPr>
      </w:pPr>
      <w:r>
        <w:rPr>
          <w:rFonts w:hint="eastAsia" w:ascii="宋体" w:hAnsi="宋体" w:eastAsia="宋体" w:cs="宋体"/>
        </w:rPr>
        <w:t>2.资金管理和使用情况；</w:t>
      </w:r>
    </w:p>
    <w:p>
      <w:pPr>
        <w:pStyle w:val="5"/>
        <w:spacing w:line="530" w:lineRule="exact"/>
        <w:ind w:left="0" w:firstLine="560" w:firstLineChars="200"/>
        <w:rPr>
          <w:rFonts w:ascii="宋体" w:hAnsi="宋体" w:eastAsia="宋体" w:cs="宋体"/>
        </w:rPr>
      </w:pPr>
      <w:r>
        <w:rPr>
          <w:rFonts w:hint="eastAsia" w:ascii="宋体" w:hAnsi="宋体" w:eastAsia="宋体" w:cs="宋体"/>
        </w:rPr>
        <w:t>3.相关管理制度办法的健全性及执行情况；</w:t>
      </w:r>
    </w:p>
    <w:p>
      <w:pPr>
        <w:pStyle w:val="5"/>
        <w:spacing w:line="530" w:lineRule="exact"/>
        <w:ind w:left="0" w:firstLine="560" w:firstLineChars="200"/>
        <w:rPr>
          <w:rFonts w:ascii="宋体" w:hAnsi="宋体" w:eastAsia="宋体" w:cs="宋体"/>
        </w:rPr>
      </w:pPr>
      <w:r>
        <w:rPr>
          <w:rFonts w:hint="eastAsia" w:ascii="宋体" w:hAnsi="宋体" w:eastAsia="宋体" w:cs="宋体"/>
        </w:rPr>
        <w:t>4.实现的产出情况；</w:t>
      </w:r>
    </w:p>
    <w:p>
      <w:pPr>
        <w:pStyle w:val="5"/>
        <w:spacing w:line="530" w:lineRule="exact"/>
        <w:ind w:left="0" w:firstLine="560" w:firstLineChars="200"/>
        <w:rPr>
          <w:rFonts w:ascii="宋体" w:hAnsi="宋体" w:eastAsia="宋体" w:cs="宋体"/>
        </w:rPr>
      </w:pPr>
      <w:r>
        <w:rPr>
          <w:rFonts w:hint="eastAsia" w:ascii="宋体" w:hAnsi="宋体" w:eastAsia="宋体" w:cs="宋体"/>
        </w:rPr>
        <w:t>5.取得的效益情况；</w:t>
      </w:r>
    </w:p>
    <w:p>
      <w:pPr>
        <w:pStyle w:val="5"/>
        <w:spacing w:line="530" w:lineRule="exact"/>
        <w:ind w:left="0" w:firstLine="560" w:firstLineChars="200"/>
        <w:rPr>
          <w:rFonts w:ascii="宋体" w:hAnsi="宋体" w:eastAsia="宋体" w:cs="宋体"/>
        </w:rPr>
      </w:pPr>
      <w:r>
        <w:rPr>
          <w:rFonts w:hint="eastAsia" w:ascii="宋体" w:hAnsi="宋体" w:eastAsia="宋体" w:cs="宋体"/>
        </w:rPr>
        <w:t>6.其他相关内容；</w:t>
      </w:r>
    </w:p>
    <w:p>
      <w:pPr>
        <w:pStyle w:val="5"/>
        <w:spacing w:line="530" w:lineRule="exact"/>
        <w:ind w:left="0" w:firstLine="560" w:firstLineChars="200"/>
        <w:rPr>
          <w:rFonts w:ascii="宋体" w:hAnsi="宋体" w:eastAsia="宋体" w:cs="宋体"/>
        </w:rPr>
      </w:pPr>
      <w:r>
        <w:rPr>
          <w:rFonts w:hint="eastAsia" w:ascii="宋体" w:hAnsi="宋体" w:eastAsia="宋体" w:cs="宋体"/>
        </w:rPr>
        <w:t>评价范围包括2019年度围场县地方政府新增一般债</w:t>
      </w:r>
      <w:r>
        <w:rPr>
          <w:rFonts w:hint="eastAsia" w:ascii="宋体" w:hAnsi="宋体" w:eastAsia="宋体" w:cs="宋体"/>
          <w:lang w:eastAsia="zh-CN"/>
        </w:rPr>
        <w:t>券</w:t>
      </w:r>
      <w:r>
        <w:rPr>
          <w:rFonts w:hint="eastAsia" w:ascii="宋体" w:hAnsi="宋体" w:eastAsia="宋体" w:cs="宋体"/>
        </w:rPr>
        <w:t>资金的预算投入、支出情况。</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7" w:name="_Toc32118"/>
      <w:bookmarkStart w:id="28" w:name="_Toc30379"/>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7"/>
      <w:bookmarkEnd w:id="28"/>
    </w:p>
    <w:p>
      <w:pPr>
        <w:ind w:firstLine="560" w:firstLineChars="200"/>
        <w:rPr>
          <w:rFonts w:ascii="宋体" w:hAnsi="宋体" w:eastAsia="宋体" w:cs="宋体"/>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hAnsi="宋体" w:eastAsia="宋体" w:cs="宋体"/>
          <w:sz w:val="28"/>
          <w:szCs w:val="28"/>
        </w:rPr>
      </w:pPr>
      <w:r>
        <w:rPr>
          <w:rFonts w:hint="eastAsia" w:ascii="宋体" w:hAnsi="宋体" w:eastAsia="宋体" w:cs="宋体"/>
          <w:sz w:val="28"/>
          <w:szCs w:val="28"/>
        </w:rPr>
        <w:t>评价方法：</w:t>
      </w:r>
    </w:p>
    <w:p>
      <w:pPr>
        <w:ind w:firstLine="560" w:firstLineChars="200"/>
        <w:rPr>
          <w:rFonts w:ascii="宋体" w:hAnsi="宋体" w:eastAsia="宋体" w:cs="宋体"/>
          <w:sz w:val="28"/>
          <w:szCs w:val="28"/>
        </w:rPr>
      </w:pPr>
      <w:r>
        <w:rPr>
          <w:rFonts w:hint="eastAsia" w:ascii="宋体" w:hAnsi="宋体" w:eastAsia="宋体" w:cs="宋体"/>
          <w:sz w:val="28"/>
          <w:szCs w:val="28"/>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hAnsi="宋体" w:eastAsia="宋体" w:cs="宋体"/>
          <w:sz w:val="28"/>
          <w:szCs w:val="28"/>
        </w:rPr>
      </w:pPr>
      <w:r>
        <w:rPr>
          <w:rFonts w:hint="eastAsia" w:ascii="宋体" w:hAnsi="宋体" w:eastAsia="宋体" w:cs="宋体"/>
          <w:sz w:val="28"/>
          <w:szCs w:val="28"/>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9" w:name="_Toc8164"/>
      <w:bookmarkStart w:id="30" w:name="_Toc12042"/>
      <w:bookmarkStart w:id="31" w:name="_Toc28435"/>
      <w:bookmarkStart w:id="32"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9"/>
      <w:bookmarkEnd w:id="30"/>
      <w:bookmarkEnd w:id="31"/>
    </w:p>
    <w:p>
      <w:pPr>
        <w:adjustRightInd w:val="0"/>
        <w:snapToGrid w:val="0"/>
        <w:spacing w:line="600" w:lineRule="exact"/>
        <w:ind w:firstLine="560" w:firstLineChars="200"/>
        <w:outlineLvl w:val="0"/>
        <w:rPr>
          <w:rFonts w:ascii="宋体" w:hAnsi="宋体" w:eastAsia="宋体" w:cs="宋体"/>
          <w:sz w:val="28"/>
          <w:szCs w:val="28"/>
        </w:rPr>
      </w:pPr>
      <w:bookmarkStart w:id="33" w:name="_Toc2087"/>
      <w:bookmarkStart w:id="34" w:name="_Toc17563"/>
      <w:bookmarkStart w:id="35" w:name="_Toc18780"/>
      <w:bookmarkStart w:id="36" w:name="_Toc18037"/>
      <w:bookmarkStart w:id="37" w:name="_Toc13042"/>
      <w:bookmarkStart w:id="38" w:name="_Toc22556"/>
      <w:bookmarkStart w:id="39" w:name="_Toc31807"/>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对伊逊河围场县城段（10号蓄水区域）河道治理工程做以下工作：</w:t>
      </w:r>
      <w:bookmarkEnd w:id="33"/>
      <w:bookmarkEnd w:id="34"/>
      <w:bookmarkEnd w:id="35"/>
      <w:bookmarkEnd w:id="36"/>
      <w:bookmarkEnd w:id="37"/>
      <w:bookmarkEnd w:id="38"/>
      <w:bookmarkEnd w:id="39"/>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0" w:name="_Toc27413"/>
      <w:bookmarkStart w:id="41" w:name="_Toc24529"/>
      <w:bookmarkStart w:id="42" w:name="_Toc31186"/>
      <w:bookmarkStart w:id="43" w:name="_Toc19058"/>
      <w:bookmarkStart w:id="44" w:name="_Toc14572"/>
      <w:bookmarkStart w:id="45" w:name="_Toc15494"/>
      <w:bookmarkStart w:id="46" w:name="_Toc24311"/>
      <w:bookmarkStart w:id="47" w:name="_Toc24972"/>
      <w:bookmarkStart w:id="48" w:name="_Toc14297"/>
      <w:bookmarkStart w:id="49" w:name="_Toc1487"/>
      <w:bookmarkStart w:id="50" w:name="_Toc17036"/>
      <w:r>
        <w:rPr>
          <w:rFonts w:hint="eastAsia" w:ascii="宋体" w:hAnsi="宋体" w:eastAsia="宋体" w:cs="宋体"/>
          <w:b/>
          <w:bCs/>
          <w:kern w:val="0"/>
          <w:sz w:val="28"/>
          <w:szCs w:val="28"/>
        </w:rPr>
        <w:t>1、明确项目团队的职责与分工</w:t>
      </w:r>
      <w:bookmarkEnd w:id="40"/>
      <w:bookmarkEnd w:id="41"/>
      <w:bookmarkEnd w:id="42"/>
      <w:bookmarkEnd w:id="43"/>
      <w:bookmarkEnd w:id="44"/>
      <w:bookmarkEnd w:id="45"/>
      <w:bookmarkEnd w:id="46"/>
      <w:bookmarkEnd w:id="47"/>
      <w:bookmarkEnd w:id="48"/>
      <w:bookmarkEnd w:id="49"/>
      <w:bookmarkEnd w:id="50"/>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5"/>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51" w:name="_Toc28394"/>
      <w:bookmarkStart w:id="52" w:name="_Toc27143"/>
      <w:bookmarkStart w:id="53" w:name="_Toc25494"/>
      <w:bookmarkStart w:id="54" w:name="_Toc6642"/>
      <w:bookmarkStart w:id="55" w:name="_Toc29931"/>
      <w:bookmarkStart w:id="56" w:name="_Toc31637"/>
      <w:bookmarkStart w:id="57" w:name="_Toc14499"/>
      <w:r>
        <w:rPr>
          <w:rFonts w:hint="eastAsia" w:ascii="宋体" w:hAnsi="宋体" w:eastAsia="宋体" w:cs="宋体"/>
          <w:b/>
          <w:bCs/>
          <w:kern w:val="0"/>
          <w:sz w:val="28"/>
          <w:szCs w:val="28"/>
        </w:rPr>
        <w:t>2、评价工作各相关当事方的职责</w:t>
      </w:r>
      <w:bookmarkEnd w:id="51"/>
      <w:bookmarkEnd w:id="52"/>
      <w:bookmarkEnd w:id="53"/>
      <w:bookmarkEnd w:id="54"/>
      <w:bookmarkEnd w:id="55"/>
      <w:bookmarkEnd w:id="56"/>
      <w:bookmarkEnd w:id="5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58" w:name="_Toc24530"/>
      <w:bookmarkStart w:id="59" w:name="_Toc8486"/>
      <w:bookmarkStart w:id="60" w:name="_Toc27067"/>
      <w:bookmarkStart w:id="61" w:name="_Toc17781"/>
      <w:bookmarkStart w:id="62" w:name="_Toc332"/>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8"/>
      <w:bookmarkEnd w:id="59"/>
      <w:bookmarkEnd w:id="60"/>
      <w:bookmarkEnd w:id="61"/>
      <w:bookmarkEnd w:id="62"/>
    </w:p>
    <w:p>
      <w:pPr>
        <w:adjustRightInd w:val="0"/>
        <w:snapToGrid w:val="0"/>
        <w:spacing w:line="600" w:lineRule="exact"/>
        <w:ind w:firstLine="640" w:firstLineChars="200"/>
        <w:outlineLvl w:val="0"/>
        <w:rPr>
          <w:rFonts w:ascii="黑体" w:hAnsi="黑体" w:eastAsia="黑体" w:cs="黑体"/>
          <w:sz w:val="32"/>
          <w:szCs w:val="32"/>
        </w:rPr>
      </w:pPr>
      <w:bookmarkStart w:id="63" w:name="_Toc10663"/>
      <w:r>
        <w:rPr>
          <w:rFonts w:hint="eastAsia" w:ascii="黑体" w:hAnsi="黑体" w:eastAsia="黑体" w:cs="黑体"/>
          <w:sz w:val="32"/>
          <w:szCs w:val="32"/>
        </w:rPr>
        <w:t>三、</w:t>
      </w:r>
      <w:bookmarkEnd w:id="32"/>
      <w:r>
        <w:rPr>
          <w:rFonts w:hint="eastAsia" w:ascii="黑体" w:hAnsi="黑体" w:eastAsia="黑体" w:cs="黑体"/>
          <w:sz w:val="32"/>
          <w:szCs w:val="32"/>
        </w:rPr>
        <w:t>项目实施及资金使用情况</w:t>
      </w:r>
      <w:bookmarkEnd w:id="63"/>
    </w:p>
    <w:p>
      <w:pPr>
        <w:ind w:firstLine="643" w:firstLineChars="200"/>
        <w:outlineLvl w:val="1"/>
        <w:rPr>
          <w:rFonts w:ascii="楷体" w:hAnsi="楷体" w:eastAsia="楷体" w:cs="楷体"/>
          <w:b/>
          <w:bCs/>
          <w:sz w:val="32"/>
          <w:szCs w:val="32"/>
          <w:highlight w:val="yellow"/>
        </w:rPr>
      </w:pPr>
      <w:bookmarkStart w:id="64" w:name="_Toc30520"/>
      <w:bookmarkStart w:id="65" w:name="_Toc6786"/>
      <w:r>
        <w:rPr>
          <w:rFonts w:hint="eastAsia" w:ascii="楷体" w:hAnsi="楷体" w:eastAsia="楷体" w:cs="楷体"/>
          <w:b/>
          <w:bCs/>
          <w:sz w:val="32"/>
          <w:szCs w:val="32"/>
        </w:rPr>
        <w:t>（一）项目实施情况</w:t>
      </w:r>
      <w:bookmarkEnd w:id="64"/>
      <w:bookmarkEnd w:id="65"/>
    </w:p>
    <w:p>
      <w:pPr>
        <w:pStyle w:val="5"/>
        <w:ind w:left="0" w:firstLine="560" w:firstLineChars="200"/>
        <w:rPr>
          <w:rFonts w:ascii="宋体" w:hAnsi="宋体" w:eastAsia="宋体" w:cs="宋体"/>
        </w:rPr>
      </w:pPr>
      <w:r>
        <w:rPr>
          <w:rFonts w:hint="eastAsia" w:ascii="宋体" w:hAnsi="宋体" w:eastAsia="宋体" w:cs="宋体"/>
        </w:rPr>
        <w:t>2017年5月31日，在围场满族蒙古族自治县公共资源交易中心公开开标，遵照《中华人民共和国招标投标法》和本项目招标文件规定评标办法，经评标委员会评审，确定任丘市水利建筑工程公司为伊逊河围场县城段（10号蓄水区域）河道治理工程的中标单位，中标价：11777355.00元。并于2017年6月20日与围场县水务局伊逊河围场县城段河道治理工程建设处签订了施工合同。</w:t>
      </w:r>
    </w:p>
    <w:p>
      <w:pPr>
        <w:pStyle w:val="5"/>
        <w:ind w:left="0" w:firstLine="560" w:firstLineChars="200"/>
        <w:rPr>
          <w:rFonts w:ascii="宋体" w:hAnsi="宋体" w:eastAsia="宋体" w:cs="宋体"/>
        </w:rPr>
      </w:pPr>
      <w:r>
        <w:rPr>
          <w:rFonts w:hint="eastAsia" w:ascii="宋体" w:hAnsi="宋体" w:eastAsia="宋体" w:cs="宋体"/>
        </w:rPr>
        <w:t>合同工程建设过程时间：</w:t>
      </w:r>
    </w:p>
    <w:p>
      <w:pPr>
        <w:pStyle w:val="5"/>
        <w:ind w:left="0" w:firstLine="560" w:firstLineChars="200"/>
        <w:rPr>
          <w:rFonts w:ascii="宋体" w:hAnsi="宋体" w:eastAsia="宋体" w:cs="宋体"/>
        </w:rPr>
      </w:pPr>
      <w:r>
        <w:rPr>
          <w:rFonts w:hint="eastAsia" w:ascii="宋体" w:hAnsi="宋体" w:eastAsia="宋体" w:cs="宋体"/>
        </w:rPr>
        <w:t>开工日期：2017年6月28日</w:t>
      </w:r>
    </w:p>
    <w:p>
      <w:pPr>
        <w:pStyle w:val="5"/>
        <w:ind w:left="0" w:firstLine="560" w:firstLineChars="200"/>
        <w:rPr>
          <w:rFonts w:ascii="宋体" w:hAnsi="宋体" w:eastAsia="宋体" w:cs="宋体"/>
        </w:rPr>
      </w:pPr>
      <w:r>
        <w:rPr>
          <w:rFonts w:hint="eastAsia" w:ascii="宋体" w:hAnsi="宋体" w:eastAsia="宋体" w:cs="宋体"/>
        </w:rPr>
        <w:t>完工日期：2018年6月10日</w:t>
      </w:r>
    </w:p>
    <w:p>
      <w:pPr>
        <w:ind w:firstLine="643" w:firstLineChars="200"/>
        <w:outlineLvl w:val="1"/>
        <w:rPr>
          <w:rFonts w:ascii="楷体" w:hAnsi="楷体" w:eastAsia="楷体" w:cs="楷体"/>
          <w:b/>
          <w:bCs/>
          <w:sz w:val="32"/>
          <w:szCs w:val="32"/>
          <w:highlight w:val="yellow"/>
        </w:rPr>
      </w:pPr>
      <w:bookmarkStart w:id="66" w:name="_Toc4537"/>
      <w:bookmarkStart w:id="67" w:name="_Toc14809"/>
      <w:r>
        <w:rPr>
          <w:rFonts w:hint="eastAsia" w:ascii="楷体" w:hAnsi="楷体" w:eastAsia="楷体" w:cs="楷体"/>
          <w:b/>
          <w:bCs/>
          <w:sz w:val="32"/>
          <w:szCs w:val="32"/>
        </w:rPr>
        <w:t>（二）资金使用情况</w:t>
      </w:r>
      <w:bookmarkEnd w:id="66"/>
      <w:bookmarkEnd w:id="67"/>
    </w:p>
    <w:p>
      <w:pPr>
        <w:pStyle w:val="5"/>
        <w:ind w:left="0" w:firstLine="560" w:firstLineChars="200"/>
        <w:rPr>
          <w:rFonts w:ascii="宋体" w:hAnsi="宋体" w:eastAsia="宋体" w:cs="宋体"/>
        </w:rPr>
      </w:pPr>
      <w:bookmarkStart w:id="68" w:name="_Toc15054"/>
      <w:bookmarkStart w:id="69" w:name="_Toc13622"/>
      <w:r>
        <w:rPr>
          <w:rFonts w:hint="eastAsia" w:ascii="宋体" w:hAnsi="宋体" w:eastAsia="宋体" w:cs="宋体"/>
        </w:rPr>
        <w:t>2019年10月22日，围场县水务局伊逊河围场县城段河道治理工程建设处收到围场满族蒙古族自治县水务局拨付的（10号蓄水区域）河道治理工程款353万元。</w:t>
      </w:r>
    </w:p>
    <w:p>
      <w:pPr>
        <w:pStyle w:val="5"/>
        <w:ind w:left="0" w:firstLine="560" w:firstLineChars="200"/>
        <w:rPr>
          <w:rFonts w:ascii="宋体" w:hAnsi="宋体" w:eastAsia="宋体" w:cs="宋体"/>
        </w:rPr>
      </w:pPr>
      <w:r>
        <w:rPr>
          <w:rFonts w:hint="eastAsia" w:ascii="宋体" w:hAnsi="宋体" w:eastAsia="宋体" w:cs="宋体"/>
        </w:rPr>
        <w:t>2020年1月16日，围场县水务局伊逊河围场县城段河道治理工程建设处收到围场满族蒙古族自治县水务局拨付的（10号蓄水区域）河道治理工程款80.986058万元。</w:t>
      </w:r>
    </w:p>
    <w:p>
      <w:pPr>
        <w:pStyle w:val="5"/>
        <w:ind w:left="0" w:firstLine="560" w:firstLineChars="200"/>
        <w:rPr>
          <w:rFonts w:ascii="宋体" w:hAnsi="宋体" w:eastAsia="宋体" w:cs="宋体"/>
        </w:rPr>
      </w:pPr>
      <w:r>
        <w:rPr>
          <w:rFonts w:hint="eastAsia" w:ascii="宋体" w:hAnsi="宋体" w:eastAsia="宋体" w:cs="宋体"/>
        </w:rPr>
        <w:t>2019年10月23日，结算工程款434.739639万元，其中支付任丘市水利建筑工程公司工程款353万元，质保金21.736974万元，应付工程款60.002665万元。</w:t>
      </w:r>
    </w:p>
    <w:p>
      <w:pPr>
        <w:pStyle w:val="5"/>
        <w:ind w:left="0" w:firstLine="560" w:firstLineChars="200"/>
        <w:rPr>
          <w:rFonts w:ascii="楷体" w:hAnsi="楷体" w:eastAsia="楷体" w:cs="楷体"/>
          <w:b/>
          <w:bCs/>
          <w:sz w:val="32"/>
          <w:szCs w:val="32"/>
        </w:rPr>
      </w:pPr>
      <w:r>
        <w:rPr>
          <w:rFonts w:hint="eastAsia" w:ascii="宋体" w:hAnsi="宋体" w:eastAsia="宋体" w:cs="宋体"/>
        </w:rPr>
        <w:t>2020年1月16日，支付任丘市水利建筑工程公司工程款80.986058万元。</w:t>
      </w:r>
      <w:bookmarkEnd w:id="68"/>
      <w:bookmarkEnd w:id="69"/>
    </w:p>
    <w:p>
      <w:pPr>
        <w:ind w:firstLine="640" w:firstLineChars="200"/>
        <w:outlineLvl w:val="0"/>
        <w:rPr>
          <w:rFonts w:ascii="黑体" w:hAnsi="黑体" w:eastAsia="黑体" w:cs="黑体"/>
          <w:sz w:val="32"/>
          <w:szCs w:val="32"/>
        </w:rPr>
      </w:pPr>
      <w:bookmarkStart w:id="70" w:name="_Toc20292"/>
      <w:r>
        <w:rPr>
          <w:rFonts w:hint="eastAsia" w:ascii="黑体" w:hAnsi="黑体" w:eastAsia="黑体" w:cs="黑体"/>
          <w:sz w:val="32"/>
          <w:szCs w:val="32"/>
        </w:rPr>
        <w:t>四、绩效评价分析与结论</w:t>
      </w:r>
      <w:bookmarkEnd w:id="70"/>
    </w:p>
    <w:p>
      <w:pPr>
        <w:adjustRightInd w:val="0"/>
        <w:snapToGrid w:val="0"/>
        <w:spacing w:line="360" w:lineRule="auto"/>
        <w:ind w:firstLine="643" w:firstLineChars="200"/>
        <w:outlineLvl w:val="1"/>
        <w:rPr>
          <w:rFonts w:ascii="楷体" w:hAnsi="楷体" w:eastAsia="楷体" w:cs="楷体"/>
          <w:b/>
          <w:kern w:val="0"/>
          <w:sz w:val="32"/>
          <w:szCs w:val="32"/>
        </w:rPr>
      </w:pPr>
      <w:bookmarkStart w:id="71" w:name="_Toc16548"/>
      <w:bookmarkStart w:id="72" w:name="_Toc27497"/>
      <w:r>
        <w:rPr>
          <w:rFonts w:hint="eastAsia" w:ascii="楷体" w:hAnsi="楷体" w:eastAsia="楷体" w:cs="楷体"/>
          <w:b/>
          <w:kern w:val="0"/>
          <w:sz w:val="32"/>
          <w:szCs w:val="32"/>
        </w:rPr>
        <w:t>（一）绩效评价分析</w:t>
      </w:r>
      <w:bookmarkEnd w:id="71"/>
      <w:bookmarkEnd w:id="72"/>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本项目规划批准文件号：围发改字〔2015〕14号，设立过程符合政策规定。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伊逊河围场县城段（10号蓄水区域）河道治理工程在满足防洪要求的前提下，通过修建拦蓄工程，形成人工水面，改善了河流生态环境，可行性研究报告中的经济评价内部收益率为8.14%，大于8%；国民经济净现值为31.72万元，大于0；经济效益费用比为1.01，大于1。从经济上分析是可行的。建设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本项目根据《防洪标准》，结合已实施的围场县城段河道治理工程防洪标准均为20年一遇，本次工程防洪标准确定为20年一遇，工程等级为Ⅳ等，建筑物级别为4级。因此本项目建成后的持续性很强。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伊逊河围场县城段（10号蓄水区域）河道治理工程绩效评价涉及到的相关资料基本齐全。</w:t>
      </w:r>
    </w:p>
    <w:p>
      <w:pPr>
        <w:ind w:firstLine="560" w:firstLineChars="200"/>
        <w:rPr>
          <w:rFonts w:ascii="宋体" w:hAnsi="宋体" w:eastAsia="宋体" w:cs="宋体"/>
          <w:sz w:val="28"/>
          <w:szCs w:val="28"/>
        </w:rPr>
      </w:pPr>
      <w:r>
        <w:rPr>
          <w:rFonts w:hint="eastAsia" w:ascii="宋体" w:hAnsi="宋体" w:eastAsia="宋体" w:cs="宋体"/>
          <w:sz w:val="28"/>
          <w:szCs w:val="28"/>
        </w:rPr>
        <w:t>②项目公开招投标指标标准分值为6分，考评得分6分。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本项目新增债券资金安排的情况均已公示，项目通过正规程序公开招标，本项目没有发现应该招标没有招标的情况。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本项目债券资金使用部分项目变更控制情况较好，没有对工程进度造成影响，项目能够按照资金使用情况顺利进行。</w:t>
      </w:r>
    </w:p>
    <w:p>
      <w:pPr>
        <w:ind w:firstLine="560" w:firstLineChars="200"/>
        <w:rPr>
          <w:rFonts w:ascii="宋体" w:hAnsi="宋体" w:eastAsia="宋体" w:cs="宋体"/>
          <w:sz w:val="28"/>
          <w:szCs w:val="28"/>
        </w:rPr>
      </w:pPr>
      <w:r>
        <w:rPr>
          <w:rFonts w:hint="eastAsia" w:ascii="宋体" w:hAnsi="宋体" w:eastAsia="宋体" w:cs="宋体"/>
          <w:sz w:val="28"/>
          <w:szCs w:val="28"/>
        </w:rPr>
        <w:t>（2）财务管理指标绩效评价设定分值为15分，考评得分</w:t>
      </w:r>
      <w:r>
        <w:rPr>
          <w:rFonts w:hint="eastAsia" w:hAnsi="宋体" w:cs="宋体"/>
          <w:sz w:val="28"/>
          <w:szCs w:val="28"/>
        </w:rPr>
        <w:t>15</w:t>
      </w:r>
      <w:r>
        <w:rPr>
          <w:rFonts w:hint="eastAsia" w:ascii="宋体" w:hAnsi="宋体" w:eastAsia="宋体" w:cs="宋体"/>
          <w:sz w:val="28"/>
          <w:szCs w:val="28"/>
        </w:rPr>
        <w:t>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经我方人员核实，本项目债券资金均未用于经常性支出，全部用于伊逊河围场县城段（10号蓄水区域）河道治理工程</w:t>
      </w:r>
      <w:r>
        <w:rPr>
          <w:rFonts w:hint="eastAsia" w:ascii="宋体" w:hAnsi="宋体" w:eastAsia="宋体" w:cs="宋体"/>
          <w:sz w:val="28"/>
          <w:szCs w:val="28"/>
          <w:lang w:val="en-US" w:eastAsia="zh-CN"/>
        </w:rPr>
        <w:t>的</w:t>
      </w:r>
      <w:bookmarkStart w:id="104" w:name="_GoBack"/>
      <w:bookmarkEnd w:id="104"/>
      <w:r>
        <w:rPr>
          <w:rFonts w:hint="eastAsia" w:ascii="宋体" w:hAnsi="宋体" w:eastAsia="宋体" w:cs="宋体"/>
          <w:sz w:val="28"/>
          <w:szCs w:val="28"/>
        </w:rPr>
        <w:t>工程款支付，未用于中央明令禁止的项目支出，资金使用合规。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本项目依据国库集中支付制度要求，按照工程进度在县级财政集中支付，从目前工程款支付情况分析，未出现资金拖欠现象。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本项目债券资金部分未发现资金有挪用、抽逃、延迟支付现象，项目建设资金使用合理，账务处理基本合规。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产出指标绩效评价设定分值为30分，考评得分28分。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本项目已完成的工程投资与计划实施的实际工程总投资基本吻合，完成的工程范围与设计要求相符，主要工程量按照要求全部完成。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本工程项目合同计划开工日期2017年6月28日，计划竣工日期2017年11月22日，我方在查阅项目资料时发现工程验收鉴定书中项目完工时间为2018年6月10日，与合同约定完工时间出现滞后，此项考核指标扣减2分。</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2019年3月25日，围场县水务局伊逊河围场县城段河道治理工程建设处组织本项目工程验收，验收结论：验收工作组查看了施工现场，该合同工程已按合同文件约定，完成了全部施工任务，工程质量符合合同、设计和规范要求，验收资料齐全并满足验收要求。验收工作组同意该合同工程通过验收，本合同工程质量等级为合格。</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效益指标绩效评价设定分值为30分，考评得分29分。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完工项目按批复设定的总体目标全面实现，达到预期目标。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本工程项目建成后将提高项目区防洪保安的标准，改善生态环境状况。由于环境宜人，形象改善，将直接促进招商引资、景观房产开发和休闲旅游。因此该项目的建设具有巨大的社会效益。</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伊逊河围场县城段（10号蓄水区域）河道治理工程是社会公益性工程，在满足防洪要求的前提下，通过修建拦蓄工程，形成人工水面，改善了河流两岸的生态环境，提升县城品味，为沿河区域创造良好的生态环境，将吸引更多的旅游者。项目运行期不会对环境产生不利影响，蓄水后可增大河道蓄水面积，美化环境，所造成的不利环境影响主要在施工期间，采取一些必要措施是可以避免的。通过对伊逊河围场县城段河道治理工程项目的建设，对目前围场县的社会环境也有所改善，对周边居民的生活环境也有提升。</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（2）经济效益指标绩效评价设定分值为10分，考评得分9分。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本项目的投入会产生很好的社会和经济效益，本项目属于公益性投入，产生的直接经济效益不明显。</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工程主要效益为防洪保安、改善水环境及由居住环境改善带来的河道周边土地升值、农业增收、旅游收入、农业增加等，国民经济效益和社会效益巨大，有利于招商引资，促进区域经济社会发展。</w:t>
      </w:r>
    </w:p>
    <w:p>
      <w:pPr>
        <w:adjustRightInd w:val="0"/>
        <w:snapToGrid w:val="0"/>
        <w:spacing w:line="360" w:lineRule="auto"/>
        <w:ind w:firstLine="643" w:firstLineChars="200"/>
        <w:outlineLvl w:val="1"/>
        <w:rPr>
          <w:rFonts w:ascii="楷体" w:hAnsi="楷体" w:eastAsia="楷体" w:cs="楷体"/>
          <w:b/>
          <w:kern w:val="0"/>
          <w:sz w:val="32"/>
          <w:szCs w:val="32"/>
        </w:rPr>
      </w:pPr>
      <w:bookmarkStart w:id="73" w:name="_Toc25820"/>
      <w:bookmarkStart w:id="74" w:name="_Toc14098"/>
      <w:r>
        <w:rPr>
          <w:rFonts w:hint="eastAsia" w:ascii="楷体" w:hAnsi="楷体" w:eastAsia="楷体" w:cs="楷体"/>
          <w:b/>
          <w:kern w:val="0"/>
          <w:sz w:val="32"/>
          <w:szCs w:val="32"/>
        </w:rPr>
        <w:t>（二）绩效评价结论</w:t>
      </w:r>
      <w:bookmarkEnd w:id="73"/>
      <w:bookmarkEnd w:id="74"/>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绩效评价指标综合得分情况：</w:t>
      </w:r>
    </w:p>
    <w:p>
      <w:pPr>
        <w:ind w:firstLine="560" w:firstLineChars="200"/>
        <w:rPr>
          <w:rFonts w:ascii="仿宋" w:hAnsi="仿宋" w:eastAsia="仿宋" w:cs="宋体"/>
          <w:bCs/>
          <w:kern w:val="0"/>
          <w:sz w:val="32"/>
          <w:szCs w:val="32"/>
          <w:highlight w:val="yellow"/>
        </w:rPr>
      </w:pPr>
      <w:r>
        <w:rPr>
          <w:rFonts w:hint="eastAsia" w:ascii="宋体" w:hAnsi="宋体" w:eastAsia="宋体" w:cs="宋体"/>
          <w:sz w:val="28"/>
          <w:szCs w:val="28"/>
        </w:rPr>
        <w:t>伊逊河围场县城段（10号蓄水区域）河道治理工程绩效考评结果，其中：投入指标考评得分10分、管理指标考评得分30分、产出指标考评得分28分、效益指标考评得分29分。</w:t>
      </w:r>
      <w:r>
        <w:rPr>
          <w:rFonts w:hint="eastAsia" w:ascii="宋体" w:hAnsi="宋体" w:eastAsia="宋体" w:cs="宋体"/>
          <w:bCs/>
          <w:kern w:val="0"/>
          <w:sz w:val="28"/>
          <w:szCs w:val="28"/>
        </w:rPr>
        <w:t>通过对各项指标的具体分析评价，汇总得出本次绩效评价考核综合得分为97分，总体评价为“优”。</w:t>
      </w:r>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通过项目建设，对社会效益影响是长期的，促进了围场县的经济繁荣。</w:t>
      </w:r>
    </w:p>
    <w:p>
      <w:pPr>
        <w:adjustRightInd w:val="0"/>
        <w:snapToGrid w:val="0"/>
        <w:spacing w:line="360" w:lineRule="auto"/>
        <w:ind w:firstLine="560" w:firstLineChars="200"/>
        <w:rPr>
          <w:rFonts w:ascii="仿宋" w:hAnsi="仿宋" w:eastAsia="仿宋"/>
          <w:sz w:val="28"/>
          <w:szCs w:val="28"/>
        </w:rPr>
      </w:pPr>
      <w:r>
        <w:rPr>
          <w:rFonts w:hint="eastAsia" w:ascii="宋体" w:hAnsi="宋体" w:eastAsia="宋体" w:cs="宋体"/>
          <w:sz w:val="28"/>
          <w:szCs w:val="28"/>
        </w:rPr>
        <w:t>评价结果表明，伊逊河围场县城段（10号蓄水区域）河道治理工程组织和管理较好地执行了相关规定要求，组织管理有序，对项目资金的监督管理总体有效，资金使用合理合规，实施的经济效益和持续性明显。为社会的经济发展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75" w:name="_Toc32395"/>
      <w:bookmarkStart w:id="76" w:name="_Toc27218"/>
      <w:r>
        <w:rPr>
          <w:rFonts w:hint="eastAsia" w:ascii="黑体" w:hAnsi="黑体" w:eastAsia="黑体" w:cs="黑体"/>
          <w:bCs/>
          <w:kern w:val="0"/>
          <w:sz w:val="32"/>
          <w:szCs w:val="32"/>
        </w:rPr>
        <w:t>五、</w:t>
      </w:r>
      <w:bookmarkEnd w:id="75"/>
      <w:r>
        <w:rPr>
          <w:rFonts w:hint="eastAsia" w:ascii="黑体" w:hAnsi="黑体" w:eastAsia="黑体" w:cs="黑体"/>
          <w:bCs/>
          <w:kern w:val="0"/>
          <w:sz w:val="32"/>
          <w:szCs w:val="32"/>
        </w:rPr>
        <w:t>意见及建议</w:t>
      </w:r>
      <w:bookmarkEnd w:id="76"/>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line="240" w:lineRule="auto"/>
        <w:ind w:firstLine="643" w:firstLineChars="200"/>
        <w:rPr>
          <w:rFonts w:ascii="楷体" w:hAnsi="楷体" w:eastAsia="楷体" w:cs="楷体"/>
        </w:rPr>
      </w:pPr>
      <w:bookmarkStart w:id="77" w:name="_Toc31396"/>
      <w:bookmarkStart w:id="78" w:name="_Toc5786"/>
      <w:bookmarkStart w:id="79" w:name="_Toc26763"/>
      <w:bookmarkStart w:id="80" w:name="_Toc12847"/>
      <w:bookmarkStart w:id="81" w:name="_Toc7010"/>
      <w:bookmarkStart w:id="82" w:name="_Toc25821"/>
      <w:r>
        <w:rPr>
          <w:rFonts w:hint="eastAsia" w:ascii="楷体" w:hAnsi="楷体" w:eastAsia="楷体" w:cs="楷体"/>
        </w:rPr>
        <w:t>（一）强化绩效理念，深入推进评价工作</w:t>
      </w:r>
      <w:bookmarkEnd w:id="77"/>
      <w:bookmarkEnd w:id="78"/>
      <w:bookmarkEnd w:id="79"/>
      <w:bookmarkEnd w:id="80"/>
      <w:bookmarkEnd w:id="81"/>
      <w:bookmarkEnd w:id="82"/>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83" w:name="_Toc2246"/>
      <w:bookmarkStart w:id="84" w:name="_Toc14241"/>
      <w:bookmarkStart w:id="85" w:name="_Toc21411"/>
      <w:bookmarkStart w:id="86" w:name="_Toc10505"/>
      <w:bookmarkStart w:id="87" w:name="_Toc6863"/>
      <w:bookmarkStart w:id="88" w:name="_Toc11860"/>
      <w:r>
        <w:rPr>
          <w:rFonts w:hint="eastAsia" w:ascii="楷体" w:hAnsi="楷体" w:eastAsia="楷体" w:cs="楷体"/>
        </w:rPr>
        <w:t>（二）强化事前准备，切实提升评价质量</w:t>
      </w:r>
      <w:bookmarkEnd w:id="83"/>
      <w:bookmarkEnd w:id="84"/>
      <w:bookmarkEnd w:id="85"/>
      <w:bookmarkEnd w:id="86"/>
      <w:bookmarkEnd w:id="87"/>
      <w:bookmarkEnd w:id="88"/>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9" w:name="_Toc21034"/>
      <w:bookmarkStart w:id="90" w:name="_Toc30061"/>
      <w:bookmarkStart w:id="91" w:name="_Toc11787"/>
      <w:bookmarkStart w:id="92" w:name="_Toc3001"/>
      <w:bookmarkStart w:id="93" w:name="_Toc10592"/>
    </w:p>
    <w:p>
      <w:pPr>
        <w:pStyle w:val="3"/>
        <w:spacing w:line="240" w:lineRule="auto"/>
        <w:ind w:firstLine="643" w:firstLineChars="200"/>
        <w:rPr>
          <w:rFonts w:ascii="楷体" w:hAnsi="楷体" w:eastAsia="楷体" w:cs="楷体"/>
        </w:rPr>
      </w:pPr>
      <w:bookmarkStart w:id="94" w:name="_Toc5546"/>
      <w:r>
        <w:rPr>
          <w:rFonts w:hint="eastAsia" w:ascii="楷体" w:hAnsi="楷体" w:eastAsia="楷体" w:cs="楷体"/>
        </w:rPr>
        <w:t>（三）强化结果应用，不断巩固评价</w:t>
      </w:r>
      <w:bookmarkEnd w:id="89"/>
      <w:bookmarkEnd w:id="90"/>
      <w:bookmarkEnd w:id="91"/>
      <w:bookmarkEnd w:id="92"/>
      <w:bookmarkEnd w:id="93"/>
      <w:r>
        <w:rPr>
          <w:rFonts w:hint="eastAsia" w:ascii="楷体" w:hAnsi="楷体" w:eastAsia="楷体" w:cs="楷体"/>
        </w:rPr>
        <w:t>成效</w:t>
      </w:r>
      <w:bookmarkEnd w:id="94"/>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95" w:name="_Toc11124"/>
      <w:r>
        <w:rPr>
          <w:rFonts w:hint="eastAsia" w:ascii="黑体" w:hAnsi="黑体" w:eastAsia="黑体" w:cs="黑体"/>
          <w:bCs/>
          <w:kern w:val="0"/>
          <w:sz w:val="32"/>
          <w:szCs w:val="32"/>
        </w:rPr>
        <w:t>六、附件</w:t>
      </w:r>
      <w:bookmarkEnd w:id="95"/>
    </w:p>
    <w:p>
      <w:pPr>
        <w:pStyle w:val="3"/>
        <w:rPr>
          <w:rFonts w:ascii="楷体" w:hAnsi="楷体" w:eastAsia="楷体" w:cs="楷体"/>
        </w:rPr>
      </w:pPr>
      <w:bookmarkStart w:id="96" w:name="_Toc10598"/>
      <w:r>
        <w:rPr>
          <w:rFonts w:hint="eastAsia" w:ascii="楷体" w:hAnsi="楷体" w:eastAsia="楷体" w:cs="楷体"/>
        </w:rPr>
        <w:t>绩效评价指标体系得分表</w:t>
      </w:r>
      <w:bookmarkEnd w:id="96"/>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adjustRightInd w:val="0"/>
        <w:snapToGrid w:val="0"/>
        <w:spacing w:line="540" w:lineRule="exact"/>
        <w:outlineLvl w:val="0"/>
        <w:rPr>
          <w:rFonts w:asciiTheme="minorEastAsia" w:hAnsiTheme="minorEastAsia"/>
          <w:sz w:val="32"/>
          <w:szCs w:val="32"/>
        </w:rPr>
      </w:pPr>
      <w:bookmarkStart w:id="97" w:name="_Toc15162"/>
      <w:bookmarkStart w:id="98" w:name="_Toc21391"/>
      <w:r>
        <w:rPr>
          <w:rFonts w:hint="eastAsia" w:asciiTheme="minorEastAsia" w:hAnsiTheme="minorEastAsia"/>
          <w:sz w:val="32"/>
          <w:szCs w:val="32"/>
        </w:rPr>
        <w:t>承德燕山会计师事务所         中国注册会计师：崔春华</w:t>
      </w:r>
      <w:bookmarkEnd w:id="97"/>
      <w:bookmarkEnd w:id="98"/>
    </w:p>
    <w:p>
      <w:pPr>
        <w:adjustRightInd w:val="0"/>
        <w:snapToGrid w:val="0"/>
        <w:spacing w:line="540" w:lineRule="exact"/>
        <w:ind w:firstLine="640" w:firstLineChars="200"/>
        <w:outlineLvl w:val="0"/>
        <w:rPr>
          <w:rFonts w:asciiTheme="minorEastAsia" w:hAnsiTheme="minorEastAsia"/>
          <w:sz w:val="32"/>
          <w:szCs w:val="32"/>
        </w:rPr>
      </w:pPr>
      <w:bookmarkStart w:id="99" w:name="_Toc834"/>
      <w:bookmarkStart w:id="100" w:name="_Toc14815"/>
      <w:r>
        <w:rPr>
          <w:rFonts w:hint="eastAsia" w:asciiTheme="minorEastAsia" w:hAnsiTheme="minorEastAsia"/>
          <w:sz w:val="32"/>
          <w:szCs w:val="32"/>
        </w:rPr>
        <w:t>有限责任公司</w:t>
      </w:r>
      <w:bookmarkEnd w:id="99"/>
      <w:bookmarkEnd w:id="100"/>
    </w:p>
    <w:p>
      <w:pPr>
        <w:ind w:firstLine="640" w:firstLineChars="200"/>
        <w:outlineLvl w:val="0"/>
        <w:rPr>
          <w:rFonts w:asciiTheme="minorEastAsia" w:hAnsiTheme="minorEastAsia"/>
          <w:sz w:val="32"/>
          <w:szCs w:val="32"/>
        </w:rPr>
      </w:pPr>
      <w:bookmarkStart w:id="101" w:name="_Toc23314"/>
      <w:bookmarkStart w:id="102" w:name="_Toc13463"/>
      <w:r>
        <w:rPr>
          <w:rFonts w:hint="eastAsia" w:asciiTheme="minorEastAsia" w:hAnsiTheme="minorEastAsia"/>
          <w:sz w:val="32"/>
          <w:szCs w:val="32"/>
        </w:rPr>
        <w:t>河北·承德               中国注册会计师：白秀云</w:t>
      </w:r>
      <w:bookmarkEnd w:id="101"/>
      <w:bookmarkEnd w:id="102"/>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p>
    <w:p>
      <w:pPr>
        <w:ind w:firstLine="640" w:firstLineChars="200"/>
        <w:rPr>
          <w:rFonts w:asciiTheme="minorEastAsia" w:hAnsiTheme="minorEastAsia"/>
          <w:sz w:val="32"/>
          <w:szCs w:val="32"/>
        </w:rPr>
      </w:pPr>
    </w:p>
    <w:p>
      <w:pPr>
        <w:rPr>
          <w:rFonts w:ascii="楷体" w:hAnsi="楷体" w:eastAsia="楷体" w:cs="楷体"/>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 xml:space="preserve">  </w:t>
      </w:r>
      <w:bookmarkStart w:id="103" w:name="_Toc29542"/>
      <w:r>
        <w:rPr>
          <w:rFonts w:hint="eastAsia" w:asciiTheme="minorEastAsia" w:hAnsiTheme="minorEastAsia"/>
          <w:sz w:val="32"/>
          <w:szCs w:val="32"/>
        </w:rPr>
        <w:t xml:space="preserve">                       二○二〇年十二月二十八日</w:t>
      </w:r>
      <w:bookmarkEnd w:id="103"/>
    </w:p>
    <w:p>
      <w:pPr>
        <w:jc w:val="center"/>
        <w:rPr>
          <w:rFonts w:ascii="宋体" w:hAnsi="宋体" w:eastAsia="宋体" w:cs="宋体"/>
          <w:b/>
          <w:bCs/>
          <w:sz w:val="28"/>
          <w:szCs w:val="28"/>
          <w:highlight w:val="yellow"/>
        </w:rPr>
      </w:pPr>
      <w:r>
        <w:rPr>
          <w:rFonts w:hint="eastAsia" w:ascii="宋体" w:hAnsi="宋体" w:eastAsia="宋体" w:cs="宋体"/>
          <w:b/>
          <w:bCs/>
          <w:sz w:val="28"/>
          <w:szCs w:val="28"/>
        </w:rPr>
        <w:t>伊逊河围场县城段（10号蓄水区域）河道治理工程绩效评价指标体系得分表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97</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442F34"/>
    <w:rsid w:val="008046E9"/>
    <w:rsid w:val="00822A83"/>
    <w:rsid w:val="008302B0"/>
    <w:rsid w:val="00AE04ED"/>
    <w:rsid w:val="03906ECE"/>
    <w:rsid w:val="03B73450"/>
    <w:rsid w:val="047E3D7B"/>
    <w:rsid w:val="06B3136F"/>
    <w:rsid w:val="09903D31"/>
    <w:rsid w:val="09DF3A36"/>
    <w:rsid w:val="0A617961"/>
    <w:rsid w:val="0B152065"/>
    <w:rsid w:val="0C184195"/>
    <w:rsid w:val="0CF76258"/>
    <w:rsid w:val="0E252CA5"/>
    <w:rsid w:val="0FF14209"/>
    <w:rsid w:val="1007583F"/>
    <w:rsid w:val="105259B6"/>
    <w:rsid w:val="105E04DB"/>
    <w:rsid w:val="11CA6AB4"/>
    <w:rsid w:val="13426D82"/>
    <w:rsid w:val="13440023"/>
    <w:rsid w:val="134C1C6E"/>
    <w:rsid w:val="13D04FA7"/>
    <w:rsid w:val="15406BE0"/>
    <w:rsid w:val="1671287C"/>
    <w:rsid w:val="167B16E8"/>
    <w:rsid w:val="178D6B51"/>
    <w:rsid w:val="179E01C8"/>
    <w:rsid w:val="18596D27"/>
    <w:rsid w:val="18B14196"/>
    <w:rsid w:val="19B12636"/>
    <w:rsid w:val="19BA7A76"/>
    <w:rsid w:val="1B4C0C87"/>
    <w:rsid w:val="1C0818FD"/>
    <w:rsid w:val="1DCB30AC"/>
    <w:rsid w:val="1E3912B7"/>
    <w:rsid w:val="1F3109C5"/>
    <w:rsid w:val="21C358CA"/>
    <w:rsid w:val="23265249"/>
    <w:rsid w:val="23962522"/>
    <w:rsid w:val="23EF5E50"/>
    <w:rsid w:val="25B37B6B"/>
    <w:rsid w:val="27DD72F2"/>
    <w:rsid w:val="284D6241"/>
    <w:rsid w:val="299A0DB6"/>
    <w:rsid w:val="2A2E1F00"/>
    <w:rsid w:val="2B284D4B"/>
    <w:rsid w:val="2C137100"/>
    <w:rsid w:val="327F7BC1"/>
    <w:rsid w:val="341D133B"/>
    <w:rsid w:val="39FB1AB6"/>
    <w:rsid w:val="3A130773"/>
    <w:rsid w:val="3B943A5F"/>
    <w:rsid w:val="3BB5552B"/>
    <w:rsid w:val="3D7533AC"/>
    <w:rsid w:val="3EE432ED"/>
    <w:rsid w:val="40A00F76"/>
    <w:rsid w:val="41764DEF"/>
    <w:rsid w:val="41A52C9E"/>
    <w:rsid w:val="46056165"/>
    <w:rsid w:val="46437D54"/>
    <w:rsid w:val="47C37A03"/>
    <w:rsid w:val="48771478"/>
    <w:rsid w:val="495C6C5B"/>
    <w:rsid w:val="49C5006E"/>
    <w:rsid w:val="4A924A90"/>
    <w:rsid w:val="4BDD4F47"/>
    <w:rsid w:val="4DF57240"/>
    <w:rsid w:val="4E150C2E"/>
    <w:rsid w:val="4F5D274A"/>
    <w:rsid w:val="4F8B1069"/>
    <w:rsid w:val="54252E1D"/>
    <w:rsid w:val="569318BE"/>
    <w:rsid w:val="57147DE6"/>
    <w:rsid w:val="577B4A42"/>
    <w:rsid w:val="58541FD9"/>
    <w:rsid w:val="591A7C75"/>
    <w:rsid w:val="5C180F8A"/>
    <w:rsid w:val="5E2D1621"/>
    <w:rsid w:val="5FD6603C"/>
    <w:rsid w:val="62280465"/>
    <w:rsid w:val="634A07FA"/>
    <w:rsid w:val="684610AA"/>
    <w:rsid w:val="68AE658A"/>
    <w:rsid w:val="6EC845C2"/>
    <w:rsid w:val="710016B0"/>
    <w:rsid w:val="75840E38"/>
    <w:rsid w:val="772B6771"/>
    <w:rsid w:val="77AB17FD"/>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autoRedefine/>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autoRedefine/>
    <w:qFormat/>
    <w:uiPriority w:val="0"/>
    <w:pPr>
      <w:keepNext/>
      <w:keepLines/>
      <w:ind w:left="840" w:leftChars="400"/>
      <w:outlineLvl w:val="2"/>
    </w:pPr>
    <w:rPr>
      <w:rFonts w:hint="eastAsia" w:cs="Times New Roman"/>
      <w:b/>
      <w:sz w:val="32"/>
    </w:rPr>
  </w:style>
  <w:style w:type="character" w:default="1" w:styleId="13">
    <w:name w:val="Default Paragraph Font"/>
    <w:autoRedefine/>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autoRedefine/>
    <w:qFormat/>
    <w:uiPriority w:val="1"/>
    <w:pPr>
      <w:ind w:left="520"/>
    </w:pPr>
    <w:rPr>
      <w:rFonts w:ascii="Noto Sans CJK JP Black" w:hAnsi="Noto Sans CJK JP Black" w:eastAsia="Noto Sans CJK JP Black" w:cs="Noto Sans CJK JP Black"/>
      <w:sz w:val="28"/>
      <w:szCs w:val="2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autoRedefine/>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autoRedefine/>
    <w:qFormat/>
    <w:uiPriority w:val="99"/>
    <w:pPr>
      <w:ind w:firstLine="420"/>
    </w:pPr>
  </w:style>
  <w:style w:type="paragraph" w:styleId="16">
    <w:name w:val="List Paragraph"/>
    <w:basedOn w:val="1"/>
    <w:autoRedefine/>
    <w:unhideWhenUsed/>
    <w:qFormat/>
    <w:uiPriority w:val="99"/>
    <w:pPr>
      <w:ind w:firstLine="420" w:firstLineChars="200"/>
    </w:pPr>
  </w:style>
  <w:style w:type="paragraph" w:customStyle="1" w:styleId="17">
    <w:name w:val="WPSOffice手动目录 1"/>
    <w:autoRedefine/>
    <w:qFormat/>
    <w:uiPriority w:val="0"/>
    <w:rPr>
      <w:rFonts w:ascii="Times New Roman" w:hAnsi="Times New Roman" w:eastAsia="宋体" w:cs="Times New Roman"/>
      <w:lang w:val="en-US" w:eastAsia="zh-CN" w:bidi="ar-SA"/>
    </w:rPr>
  </w:style>
  <w:style w:type="paragraph" w:customStyle="1" w:styleId="18">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2182</Words>
  <Characters>12442</Characters>
  <Lines>103</Lines>
  <Paragraphs>29</Paragraphs>
  <TotalTime>6</TotalTime>
  <ScaleCrop>false</ScaleCrop>
  <LinksUpToDate>false</LinksUpToDate>
  <CharactersWithSpaces>14595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2023-12-28T01:19:10Z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60CF1FAC2AAB417AA0CC00FD96E22BB9</vt:lpwstr>
  </property>
</Properties>
</file>