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52"/>
          <w:szCs w:val="52"/>
        </w:rPr>
      </w:pPr>
      <w:r>
        <w:rPr>
          <w:rFonts w:hint="eastAsia" w:ascii="宋体" w:hAnsi="宋体" w:eastAsia="宋体" w:cs="宋体"/>
          <w:b/>
          <w:bCs/>
          <w:sz w:val="52"/>
          <w:szCs w:val="52"/>
        </w:rPr>
        <w:t>围场县公安局河东警务站工程项目</w:t>
      </w:r>
    </w:p>
    <w:p>
      <w:pPr>
        <w:jc w:val="center"/>
        <w:rPr>
          <w:rFonts w:ascii="宋体" w:hAnsi="宋体" w:eastAsia="宋体" w:cs="宋体"/>
          <w:b/>
          <w:bCs/>
          <w:sz w:val="52"/>
          <w:szCs w:val="52"/>
        </w:rPr>
      </w:pPr>
      <w:r>
        <w:rPr>
          <w:rFonts w:hint="eastAsia" w:ascii="宋体" w:hAnsi="宋体" w:eastAsia="宋体" w:cs="宋体"/>
          <w:b/>
          <w:bCs/>
          <w:sz w:val="52"/>
          <w:szCs w:val="52"/>
        </w:rPr>
        <w:t>（一般债券资金）</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r>
        <w:rPr>
          <w:rFonts w:hint="eastAsia" w:ascii="宋体" w:hAnsi="宋体" w:eastAsia="宋体" w:cs="宋体"/>
          <w:b/>
          <w:bCs/>
          <w:sz w:val="52"/>
          <w:szCs w:val="52"/>
        </w:rPr>
        <w:t>绩效评价报告</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rPr>
          <w:rFonts w:ascii="宋体" w:hAnsi="宋体" w:eastAsia="宋体" w:cs="宋体"/>
          <w:b/>
          <w:bCs/>
          <w:sz w:val="52"/>
          <w:szCs w:val="52"/>
        </w:rPr>
      </w:pPr>
    </w:p>
    <w:p>
      <w:pPr>
        <w:jc w:val="center"/>
        <w:rPr>
          <w:rFonts w:ascii="宋体" w:hAnsi="宋体" w:eastAsia="宋体" w:cs="宋体"/>
          <w:b/>
          <w:bCs/>
          <w:sz w:val="52"/>
          <w:szCs w:val="52"/>
        </w:rPr>
      </w:pPr>
    </w:p>
    <w:p>
      <w:pPr>
        <w:pStyle w:val="14"/>
        <w:ind w:firstLine="964" w:firstLineChars="300"/>
        <w:jc w:val="both"/>
        <w:rPr>
          <w:b/>
          <w:bCs/>
          <w:sz w:val="32"/>
          <w:szCs w:val="32"/>
          <w:u w:val="single"/>
        </w:rPr>
      </w:pPr>
      <w:r>
        <w:rPr>
          <w:rFonts w:hint="eastAsia"/>
          <w:b/>
          <w:bCs/>
          <w:sz w:val="32"/>
          <w:szCs w:val="32"/>
        </w:rPr>
        <w:t>编制机构：</w:t>
      </w:r>
      <w:r>
        <w:rPr>
          <w:rFonts w:hint="eastAsia" w:asciiTheme="minorHAnsi" w:hAnsiTheme="minorHAnsi" w:eastAsiaTheme="minorEastAsia" w:cstheme="minorBidi"/>
          <w:b/>
          <w:bCs/>
          <w:kern w:val="2"/>
          <w:sz w:val="32"/>
          <w:szCs w:val="32"/>
          <w:u w:val="single"/>
        </w:rPr>
        <w:t>承德燕山会计师事务所有限责任公司</w:t>
      </w:r>
    </w:p>
    <w:p>
      <w:pPr>
        <w:ind w:firstLine="964" w:firstLineChars="300"/>
        <w:rPr>
          <w:b/>
          <w:bCs/>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b/>
          <w:bCs/>
          <w:sz w:val="32"/>
          <w:szCs w:val="32"/>
        </w:rPr>
        <w:t>编制时间：</w:t>
      </w:r>
      <w:r>
        <w:rPr>
          <w:rFonts w:hint="eastAsia" w:asciiTheme="minorEastAsia" w:hAnsiTheme="minorEastAsia" w:cstheme="minorEastAsia"/>
          <w:b/>
          <w:bCs/>
          <w:sz w:val="32"/>
          <w:szCs w:val="32"/>
          <w:u w:val="single"/>
        </w:rPr>
        <w:t xml:space="preserve">  202</w:t>
      </w:r>
      <w:r>
        <w:rPr>
          <w:rFonts w:asciiTheme="minorEastAsia" w:hAnsiTheme="minorEastAsia" w:cstheme="minorEastAsia"/>
          <w:b/>
          <w:bCs/>
          <w:sz w:val="32"/>
          <w:szCs w:val="32"/>
          <w:u w:val="single"/>
        </w:rPr>
        <w:t>0</w:t>
      </w:r>
      <w:r>
        <w:rPr>
          <w:rFonts w:hint="eastAsia" w:asciiTheme="minorEastAsia" w:hAnsiTheme="minorEastAsia" w:cstheme="minorEastAsia"/>
          <w:b/>
          <w:bCs/>
          <w:sz w:val="32"/>
          <w:szCs w:val="32"/>
          <w:u w:val="single"/>
        </w:rPr>
        <w:t xml:space="preserve">  </w:t>
      </w:r>
      <w:r>
        <w:rPr>
          <w:rFonts w:hint="eastAsia" w:asciiTheme="minorEastAsia" w:hAnsiTheme="minorEastAsia" w:cstheme="minorEastAsia"/>
          <w:b/>
          <w:bCs/>
          <w:sz w:val="32"/>
          <w:szCs w:val="32"/>
        </w:rPr>
        <w:t>年</w:t>
      </w:r>
      <w:r>
        <w:rPr>
          <w:rFonts w:hint="eastAsia" w:asciiTheme="minorEastAsia" w:hAnsiTheme="minorEastAsia" w:cstheme="minorEastAsia"/>
          <w:b/>
          <w:bCs/>
          <w:sz w:val="32"/>
          <w:szCs w:val="32"/>
          <w:u w:val="single"/>
        </w:rPr>
        <w:t xml:space="preserve">  </w:t>
      </w:r>
      <w:r>
        <w:rPr>
          <w:rFonts w:asciiTheme="minorEastAsia" w:hAnsiTheme="minorEastAsia" w:cstheme="minorEastAsia"/>
          <w:b/>
          <w:bCs/>
          <w:sz w:val="32"/>
          <w:szCs w:val="32"/>
          <w:u w:val="single"/>
        </w:rPr>
        <w:t>12</w:t>
      </w:r>
      <w:r>
        <w:rPr>
          <w:rFonts w:hint="eastAsia" w:asciiTheme="minorEastAsia" w:hAnsiTheme="minorEastAsia" w:cstheme="minorEastAsia"/>
          <w:b/>
          <w:bCs/>
          <w:sz w:val="32"/>
          <w:szCs w:val="32"/>
          <w:u w:val="single"/>
        </w:rPr>
        <w:t xml:space="preserve">  </w:t>
      </w:r>
      <w:r>
        <w:rPr>
          <w:rFonts w:hint="eastAsia" w:asciiTheme="minorEastAsia" w:hAnsiTheme="minorEastAsia" w:cstheme="minorEastAsia"/>
          <w:b/>
          <w:bCs/>
          <w:sz w:val="32"/>
          <w:szCs w:val="32"/>
        </w:rPr>
        <w:t>月</w:t>
      </w:r>
      <w:r>
        <w:rPr>
          <w:rFonts w:hint="eastAsia" w:asciiTheme="minorEastAsia" w:hAnsiTheme="minorEastAsia" w:cstheme="minorEastAsia"/>
          <w:b/>
          <w:bCs/>
          <w:sz w:val="32"/>
          <w:szCs w:val="32"/>
          <w:u w:val="single"/>
        </w:rPr>
        <w:t xml:space="preserve">  </w:t>
      </w:r>
      <w:r>
        <w:rPr>
          <w:rFonts w:asciiTheme="minorEastAsia" w:hAnsiTheme="minorEastAsia" w:cstheme="minorEastAsia"/>
          <w:b/>
          <w:bCs/>
          <w:sz w:val="32"/>
          <w:szCs w:val="32"/>
          <w:u w:val="single"/>
        </w:rPr>
        <w:t>26</w:t>
      </w:r>
      <w:r>
        <w:rPr>
          <w:rFonts w:hint="eastAsia" w:asciiTheme="minorEastAsia" w:hAnsiTheme="minorEastAsia" w:cstheme="minorEastAsia"/>
          <w:b/>
          <w:bCs/>
          <w:sz w:val="32"/>
          <w:szCs w:val="32"/>
          <w:u w:val="single"/>
        </w:rPr>
        <w:t xml:space="preserve">  </w:t>
      </w:r>
      <w:r>
        <w:rPr>
          <w:rFonts w:hint="eastAsia" w:asciiTheme="minorEastAsia" w:hAnsiTheme="minorEastAsia" w:cstheme="minorEastAsia"/>
          <w:b/>
          <w:bCs/>
          <w:sz w:val="32"/>
          <w:szCs w:val="32"/>
        </w:rPr>
        <w:t>日</w:t>
      </w:r>
    </w:p>
    <w:p>
      <w:pPr>
        <w:rPr>
          <w:rFonts w:ascii="宋体" w:hAnsi="宋体" w:eastAsia="宋体" w:cs="宋体"/>
          <w:b/>
          <w:bCs/>
          <w:sz w:val="32"/>
          <w:szCs w:val="32"/>
        </w:rPr>
      </w:pPr>
    </w:p>
    <w:p>
      <w:pPr>
        <w:rPr>
          <w:rFonts w:ascii="宋体" w:hAnsi="宋体" w:eastAsia="宋体" w:cs="宋体"/>
          <w:b/>
          <w:bCs/>
          <w:sz w:val="32"/>
          <w:szCs w:val="32"/>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sz w:val="32"/>
          <w:szCs w:val="32"/>
        </w:rPr>
      </w:pPr>
      <w:r>
        <w:rPr>
          <w:rFonts w:hint="eastAsia"/>
          <w:sz w:val="32"/>
          <w:szCs w:val="32"/>
        </w:rPr>
        <w:t>受托单位：承德燕山会计师事务所有限责任公司</w:t>
      </w:r>
    </w:p>
    <w:p>
      <w:pPr>
        <w:ind w:firstLine="960" w:firstLineChars="300"/>
        <w:rPr>
          <w:sz w:val="32"/>
          <w:szCs w:val="32"/>
        </w:rPr>
      </w:pPr>
      <w:r>
        <w:rPr>
          <w:rFonts w:hint="eastAsia"/>
          <w:sz w:val="32"/>
          <w:szCs w:val="32"/>
        </w:rPr>
        <w:t>报告文号：承燕会所审专字（202</w:t>
      </w:r>
      <w:r>
        <w:rPr>
          <w:sz w:val="32"/>
          <w:szCs w:val="32"/>
        </w:rPr>
        <w:t>0</w:t>
      </w:r>
      <w:r>
        <w:rPr>
          <w:rFonts w:hint="eastAsia"/>
          <w:sz w:val="32"/>
          <w:szCs w:val="32"/>
        </w:rPr>
        <w:t>）第</w:t>
      </w:r>
      <w:r>
        <w:rPr>
          <w:sz w:val="32"/>
          <w:szCs w:val="32"/>
        </w:rPr>
        <w:t>258</w:t>
      </w:r>
      <w:r>
        <w:rPr>
          <w:rFonts w:hint="eastAsia"/>
          <w:sz w:val="32"/>
          <w:szCs w:val="32"/>
        </w:rPr>
        <w:t>号</w:t>
      </w:r>
    </w:p>
    <w:p>
      <w:pPr>
        <w:ind w:firstLine="960" w:firstLineChars="300"/>
        <w:rPr>
          <w:sz w:val="32"/>
          <w:szCs w:val="32"/>
        </w:rPr>
      </w:pPr>
      <w:r>
        <w:rPr>
          <w:rFonts w:hint="eastAsia"/>
          <w:sz w:val="32"/>
          <w:szCs w:val="32"/>
        </w:rPr>
        <w:t>报告日期：202</w:t>
      </w:r>
      <w:r>
        <w:rPr>
          <w:sz w:val="32"/>
          <w:szCs w:val="32"/>
        </w:rPr>
        <w:t>0</w:t>
      </w:r>
      <w:r>
        <w:rPr>
          <w:rFonts w:hint="eastAsia"/>
          <w:sz w:val="32"/>
          <w:szCs w:val="32"/>
        </w:rPr>
        <w:t>-</w:t>
      </w:r>
      <w:r>
        <w:rPr>
          <w:sz w:val="32"/>
          <w:szCs w:val="32"/>
        </w:rPr>
        <w:t>12</w:t>
      </w:r>
      <w:r>
        <w:rPr>
          <w:rFonts w:hint="eastAsia"/>
          <w:sz w:val="32"/>
          <w:szCs w:val="32"/>
        </w:rPr>
        <w:t>-</w:t>
      </w:r>
      <w:r>
        <w:rPr>
          <w:sz w:val="32"/>
          <w:szCs w:val="32"/>
        </w:rPr>
        <w:t>26</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rPr>
          <w:rFonts w:ascii="宋体" w:hAnsi="宋体" w:eastAsia="宋体" w:cs="宋体"/>
          <w:b/>
          <w:bCs/>
          <w:sz w:val="32"/>
          <w:szCs w:val="32"/>
        </w:rPr>
      </w:pPr>
      <w:r>
        <w:rPr>
          <w:rFonts w:hint="eastAsia"/>
          <w:sz w:val="30"/>
          <w:szCs w:val="30"/>
        </w:rPr>
        <w:t>联系电话：0314-2021210/2282221</w:t>
      </w:r>
    </w:p>
    <w:p>
      <w:pPr>
        <w:rPr>
          <w:rFonts w:ascii="宋体" w:hAnsi="宋体" w:eastAsia="宋体" w:cs="宋体"/>
          <w:b/>
          <w:bCs/>
          <w:sz w:val="32"/>
          <w:szCs w:val="32"/>
        </w:rPr>
      </w:pPr>
    </w:p>
    <w:p>
      <w:pPr>
        <w:rPr>
          <w:rFonts w:ascii="宋体" w:hAnsi="宋体" w:eastAsia="宋体" w:cs="宋体"/>
          <w:b/>
          <w:bCs/>
          <w:sz w:val="32"/>
          <w:szCs w:val="32"/>
        </w:rPr>
      </w:pPr>
    </w:p>
    <w:p>
      <w:pPr>
        <w:spacing w:line="440" w:lineRule="exact"/>
        <w:rPr>
          <w:rFonts w:ascii="仿宋" w:hAnsi="仿宋" w:eastAsia="仿宋"/>
          <w:b/>
          <w:bCs/>
          <w:sz w:val="28"/>
          <w:szCs w:val="28"/>
        </w:rPr>
        <w:sectPr>
          <w:footerReference r:id="rId4" w:type="default"/>
          <w:pgSz w:w="11906" w:h="16838"/>
          <w:pgMar w:top="1440" w:right="1800" w:bottom="1440" w:left="1800" w:header="851" w:footer="992" w:gutter="0"/>
          <w:pgNumType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10" o:title=""/>
            <o:lock v:ext="edit" aspectratio="t"/>
            <w10:wrap type="square"/>
          </v:shape>
          <o:OLEObject Type="Embed" ProgID="Word.Picture.8" ShapeID="_x0000_s1026" DrawAspect="Content" ObjectID="_1468075725" r:id="rId9">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620" w:firstLineChars="2200"/>
        <w:rPr>
          <w:rFonts w:ascii="仿宋" w:hAnsi="仿宋" w:eastAsia="仿宋" w:cs="仿宋_GB2312"/>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承燕会所审专字（202</w:t>
      </w:r>
      <w:r>
        <w:rPr>
          <w:rFonts w:ascii="仿宋" w:hAnsi="仿宋" w:eastAsia="仿宋"/>
          <w:b/>
          <w:sz w:val="24"/>
        </w:rPr>
        <w:t>0</w:t>
      </w:r>
      <w:r>
        <w:rPr>
          <w:rFonts w:hint="eastAsia" w:ascii="仿宋" w:hAnsi="仿宋" w:eastAsia="仿宋"/>
          <w:b/>
          <w:sz w:val="24"/>
        </w:rPr>
        <w:t>）第</w:t>
      </w:r>
      <w:r>
        <w:rPr>
          <w:rFonts w:ascii="仿宋" w:hAnsi="仿宋" w:eastAsia="仿宋"/>
          <w:b/>
          <w:sz w:val="24"/>
        </w:rPr>
        <w:t>258</w:t>
      </w:r>
      <w:r>
        <w:rPr>
          <w:rFonts w:hint="eastAsia" w:ascii="仿宋" w:hAnsi="仿宋" w:eastAsia="仿宋"/>
          <w:b/>
          <w:sz w:val="24"/>
        </w:rPr>
        <w:t>号</w:t>
      </w:r>
    </w:p>
    <w:p>
      <w:pPr>
        <w:rPr>
          <w:rFonts w:ascii="宋体" w:hAnsi="宋体" w:eastAsia="宋体" w:cs="宋体"/>
          <w:b/>
          <w:bCs/>
          <w:sz w:val="32"/>
          <w:szCs w:val="32"/>
        </w:rPr>
      </w:pPr>
    </w:p>
    <w:p>
      <w:pPr>
        <w:rPr>
          <w:rFonts w:ascii="宋体" w:hAnsi="宋体" w:eastAsia="宋体" w:cs="宋体"/>
          <w:b/>
          <w:bCs/>
          <w:sz w:val="32"/>
          <w:szCs w:val="32"/>
        </w:rPr>
      </w:pPr>
    </w:p>
    <w:sdt>
      <w:sdtPr>
        <w:rPr>
          <w:rFonts w:ascii="宋体" w:hAnsi="宋体" w:eastAsia="宋体"/>
          <w:sz w:val="28"/>
          <w:szCs w:val="28"/>
        </w:rPr>
        <w:id w:val="147470155"/>
        <w15:color w:val="DBDBDB"/>
        <w:docPartObj>
          <w:docPartGallery w:val="Table of Contents"/>
          <w:docPartUnique/>
        </w:docPartObj>
      </w:sdtPr>
      <w:sdtEndPr>
        <w:rPr>
          <w:rFonts w:hint="eastAsia" w:ascii="宋体" w:hAnsi="宋体" w:eastAsia="宋体" w:cs="宋体"/>
          <w:b/>
          <w:bCs/>
          <w:sz w:val="21"/>
          <w:szCs w:val="32"/>
        </w:rPr>
      </w:sdtEndPr>
      <w:sdtContent>
        <w:p>
          <w:pPr>
            <w:jc w:val="center"/>
            <w:rPr>
              <w:sz w:val="28"/>
              <w:szCs w:val="28"/>
            </w:rPr>
          </w:pPr>
          <w:r>
            <w:rPr>
              <w:rFonts w:ascii="宋体" w:hAnsi="宋体" w:eastAsia="宋体"/>
              <w:b/>
              <w:bCs/>
              <w:sz w:val="32"/>
              <w:szCs w:val="32"/>
            </w:rPr>
            <w:t>目</w:t>
          </w:r>
          <w:r>
            <w:rPr>
              <w:rFonts w:hint="eastAsia" w:ascii="宋体" w:hAnsi="宋体" w:eastAsia="宋体"/>
              <w:b/>
              <w:bCs/>
              <w:sz w:val="32"/>
              <w:szCs w:val="32"/>
            </w:rPr>
            <w:t xml:space="preserve"> </w:t>
          </w:r>
          <w:r>
            <w:rPr>
              <w:rFonts w:ascii="宋体" w:hAnsi="宋体" w:eastAsia="宋体"/>
              <w:b/>
              <w:bCs/>
              <w:sz w:val="32"/>
              <w:szCs w:val="32"/>
            </w:rPr>
            <w:t>录</w:t>
          </w:r>
        </w:p>
        <w:p>
          <w:pPr>
            <w:pStyle w:val="8"/>
            <w:tabs>
              <w:tab w:val="right" w:leader="dot" w:pos="8306"/>
            </w:tabs>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"1-2" \h \u </w:instrText>
          </w:r>
          <w:r>
            <w:rPr>
              <w:rFonts w:hint="eastAsia" w:ascii="宋体" w:hAnsi="宋体" w:eastAsia="宋体" w:cs="宋体"/>
              <w:b/>
              <w:bCs/>
              <w:sz w:val="28"/>
              <w:szCs w:val="28"/>
            </w:rPr>
            <w:fldChar w:fldCharType="separate"/>
          </w:r>
        </w:p>
        <w:p>
          <w:pPr>
            <w:pStyle w:val="8"/>
            <w:tabs>
              <w:tab w:val="right" w:leader="dot" w:pos="8306"/>
            </w:tabs>
            <w:rPr>
              <w:sz w:val="28"/>
              <w:szCs w:val="28"/>
            </w:rPr>
          </w:pPr>
          <w:r>
            <w:fldChar w:fldCharType="begin"/>
          </w:r>
          <w:r>
            <w:instrText xml:space="preserve"> HYPERLINK \l "_Toc12978" </w:instrText>
          </w:r>
          <w:r>
            <w:fldChar w:fldCharType="separate"/>
          </w:r>
          <w:r>
            <w:rPr>
              <w:rFonts w:hint="eastAsia" w:ascii="黑体" w:hAnsi="黑体" w:eastAsia="黑体" w:cs="黑体"/>
              <w:sz w:val="28"/>
              <w:szCs w:val="28"/>
            </w:rPr>
            <w:t>一、项目基本情况</w:t>
          </w:r>
          <w:r>
            <w:rPr>
              <w:sz w:val="28"/>
              <w:szCs w:val="28"/>
            </w:rPr>
            <w:tab/>
          </w:r>
          <w:r>
            <w:rPr>
              <w:sz w:val="28"/>
              <w:szCs w:val="28"/>
            </w:rPr>
            <w:fldChar w:fldCharType="begin"/>
          </w:r>
          <w:r>
            <w:rPr>
              <w:sz w:val="28"/>
              <w:szCs w:val="28"/>
            </w:rPr>
            <w:instrText xml:space="preserve"> PAGEREF _Toc12978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"_Toc19537" </w:instrText>
          </w:r>
          <w:r>
            <w:fldChar w:fldCharType="separate"/>
          </w:r>
          <w:r>
            <w:rPr>
              <w:rFonts w:hint="eastAsia" w:ascii="楷体" w:hAnsi="楷体" w:eastAsia="楷体" w:cs="楷体"/>
              <w:sz w:val="28"/>
              <w:szCs w:val="28"/>
            </w:rPr>
            <w:t>（一）项目概况</w:t>
          </w:r>
          <w:r>
            <w:rPr>
              <w:sz w:val="28"/>
              <w:szCs w:val="28"/>
            </w:rPr>
            <w:tab/>
          </w:r>
          <w:r>
            <w:rPr>
              <w:sz w:val="28"/>
              <w:szCs w:val="28"/>
            </w:rPr>
            <w:fldChar w:fldCharType="begin"/>
          </w:r>
          <w:r>
            <w:rPr>
              <w:sz w:val="28"/>
              <w:szCs w:val="28"/>
            </w:rPr>
            <w:instrText xml:space="preserve"> PAGEREF _Toc19537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"_Toc32081" </w:instrText>
          </w:r>
          <w:r>
            <w:fldChar w:fldCharType="separate"/>
          </w:r>
          <w:r>
            <w:rPr>
              <w:rFonts w:hint="eastAsia" w:ascii="楷体" w:hAnsi="楷体" w:eastAsia="楷体" w:cs="楷体"/>
              <w:sz w:val="28"/>
              <w:szCs w:val="28"/>
            </w:rPr>
            <w:t>（二）项目绩效目标</w:t>
          </w:r>
          <w:r>
            <w:rPr>
              <w:sz w:val="28"/>
              <w:szCs w:val="28"/>
            </w:rPr>
            <w:tab/>
          </w:r>
          <w:r>
            <w:rPr>
              <w:sz w:val="28"/>
              <w:szCs w:val="28"/>
            </w:rPr>
            <w:fldChar w:fldCharType="begin"/>
          </w:r>
          <w:r>
            <w:rPr>
              <w:sz w:val="28"/>
              <w:szCs w:val="28"/>
            </w:rPr>
            <w:instrText xml:space="preserve"> PAGEREF _Toc32081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"_Toc32743" </w:instrText>
          </w:r>
          <w:r>
            <w:fldChar w:fldCharType="separate"/>
          </w:r>
          <w:r>
            <w:rPr>
              <w:rFonts w:hint="eastAsia" w:ascii="楷体" w:hAnsi="楷体" w:eastAsia="楷体" w:cs="楷体"/>
              <w:sz w:val="28"/>
              <w:szCs w:val="28"/>
            </w:rPr>
            <w:t>（三）评价对象和时段</w:t>
          </w:r>
          <w:r>
            <w:rPr>
              <w:sz w:val="28"/>
              <w:szCs w:val="28"/>
            </w:rPr>
            <w:tab/>
          </w:r>
          <w:r>
            <w:rPr>
              <w:sz w:val="28"/>
              <w:szCs w:val="28"/>
            </w:rPr>
            <w:fldChar w:fldCharType="begin"/>
          </w:r>
          <w:r>
            <w:rPr>
              <w:sz w:val="28"/>
              <w:szCs w:val="28"/>
            </w:rPr>
            <w:instrText xml:space="preserve"> PAGEREF _Toc32743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"_Toc2271" </w:instrText>
          </w:r>
          <w:r>
            <w:fldChar w:fldCharType="separate"/>
          </w:r>
          <w:r>
            <w:rPr>
              <w:rFonts w:hint="eastAsia" w:ascii="黑体" w:hAnsi="黑体" w:eastAsia="黑体" w:cs="黑体"/>
              <w:bCs/>
              <w:sz w:val="28"/>
              <w:szCs w:val="28"/>
            </w:rPr>
            <w:t>二、绩效评价工作开展情况</w:t>
          </w:r>
          <w:r>
            <w:rPr>
              <w:sz w:val="28"/>
              <w:szCs w:val="28"/>
            </w:rPr>
            <w:tab/>
          </w:r>
          <w:r>
            <w:rPr>
              <w:sz w:val="28"/>
              <w:szCs w:val="28"/>
            </w:rPr>
            <w:fldChar w:fldCharType="begin"/>
          </w:r>
          <w:r>
            <w:rPr>
              <w:sz w:val="28"/>
              <w:szCs w:val="28"/>
            </w:rPr>
            <w:instrText xml:space="preserve"> PAGEREF _Toc2271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"_Toc12898" </w:instrText>
          </w:r>
          <w:r>
            <w:fldChar w:fldCharType="separate"/>
          </w:r>
          <w:r>
            <w:rPr>
              <w:rFonts w:hint="eastAsia" w:ascii="楷体" w:hAnsi="楷体" w:eastAsia="楷体" w:cs="楷体"/>
              <w:bCs/>
              <w:sz w:val="28"/>
              <w:szCs w:val="28"/>
            </w:rPr>
            <w:t>（一）绩效评价指标体系</w:t>
          </w:r>
          <w:r>
            <w:rPr>
              <w:sz w:val="28"/>
              <w:szCs w:val="28"/>
            </w:rPr>
            <w:tab/>
          </w:r>
          <w:r>
            <w:rPr>
              <w:sz w:val="28"/>
              <w:szCs w:val="28"/>
            </w:rPr>
            <w:fldChar w:fldCharType="begin"/>
          </w:r>
          <w:r>
            <w:rPr>
              <w:sz w:val="28"/>
              <w:szCs w:val="28"/>
            </w:rPr>
            <w:instrText xml:space="preserve"> PAGEREF _Toc12898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"_Toc29702" </w:instrText>
          </w:r>
          <w:r>
            <w:fldChar w:fldCharType="separate"/>
          </w:r>
          <w:r>
            <w:rPr>
              <w:rFonts w:hint="eastAsia" w:ascii="楷体" w:hAnsi="楷体" w:eastAsia="楷体" w:cs="楷体"/>
              <w:kern w:val="0"/>
              <w:sz w:val="28"/>
              <w:szCs w:val="28"/>
            </w:rPr>
            <w:t>（二）绩效评价目的和依据</w:t>
          </w:r>
          <w:r>
            <w:rPr>
              <w:sz w:val="28"/>
              <w:szCs w:val="28"/>
            </w:rPr>
            <w:tab/>
          </w:r>
          <w:r>
            <w:rPr>
              <w:sz w:val="28"/>
              <w:szCs w:val="28"/>
            </w:rPr>
            <w:fldChar w:fldCharType="begin"/>
          </w:r>
          <w:r>
            <w:rPr>
              <w:sz w:val="28"/>
              <w:szCs w:val="28"/>
            </w:rPr>
            <w:instrText xml:space="preserve"> PAGEREF _Toc29702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"_Toc4677" </w:instrText>
          </w:r>
          <w:r>
            <w:fldChar w:fldCharType="separate"/>
          </w:r>
          <w:r>
            <w:rPr>
              <w:rFonts w:hint="eastAsia" w:ascii="楷体" w:hAnsi="楷体" w:eastAsia="楷体" w:cs="楷体"/>
              <w:sz w:val="28"/>
              <w:szCs w:val="28"/>
            </w:rPr>
            <w:t>（三）绩效评价工作内容和范围</w:t>
          </w:r>
          <w:r>
            <w:rPr>
              <w:sz w:val="28"/>
              <w:szCs w:val="28"/>
            </w:rPr>
            <w:tab/>
          </w:r>
          <w:r>
            <w:rPr>
              <w:sz w:val="28"/>
              <w:szCs w:val="28"/>
            </w:rPr>
            <w:fldChar w:fldCharType="begin"/>
          </w:r>
          <w:r>
            <w:rPr>
              <w:sz w:val="28"/>
              <w:szCs w:val="28"/>
            </w:rPr>
            <w:instrText xml:space="preserve"> PAGEREF _Toc4677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"_Toc29936" </w:instrText>
          </w:r>
          <w:r>
            <w:fldChar w:fldCharType="separate"/>
          </w:r>
          <w:r>
            <w:rPr>
              <w:rFonts w:hint="eastAsia" w:ascii="楷体" w:hAnsi="楷体" w:eastAsia="楷体" w:cs="楷体"/>
              <w:bCs/>
              <w:sz w:val="28"/>
              <w:szCs w:val="28"/>
            </w:rPr>
            <w:t>（四）绩效评价标准和方法</w:t>
          </w:r>
          <w:r>
            <w:rPr>
              <w:sz w:val="28"/>
              <w:szCs w:val="28"/>
            </w:rPr>
            <w:tab/>
          </w:r>
          <w:r>
            <w:rPr>
              <w:sz w:val="28"/>
              <w:szCs w:val="28"/>
            </w:rPr>
            <w:fldChar w:fldCharType="begin"/>
          </w:r>
          <w:r>
            <w:rPr>
              <w:sz w:val="28"/>
              <w:szCs w:val="28"/>
            </w:rPr>
            <w:instrText xml:space="preserve"> PAGEREF _Toc29936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"_Toc8164" </w:instrText>
          </w:r>
          <w:r>
            <w:fldChar w:fldCharType="separate"/>
          </w:r>
          <w:r>
            <w:rPr>
              <w:rFonts w:hint="eastAsia" w:ascii="楷体" w:hAnsi="楷体" w:eastAsia="楷体" w:cs="楷体"/>
              <w:bCs/>
              <w:sz w:val="28"/>
              <w:szCs w:val="28"/>
            </w:rPr>
            <w:t>（五）绩效评价工作过程</w:t>
          </w:r>
          <w:r>
            <w:rPr>
              <w:sz w:val="28"/>
              <w:szCs w:val="28"/>
            </w:rPr>
            <w:tab/>
          </w:r>
          <w:r>
            <w:rPr>
              <w:sz w:val="28"/>
              <w:szCs w:val="28"/>
            </w:rPr>
            <w:fldChar w:fldCharType="begin"/>
          </w:r>
          <w:r>
            <w:rPr>
              <w:sz w:val="28"/>
              <w:szCs w:val="28"/>
            </w:rPr>
            <w:instrText xml:space="preserve"> PAGEREF _Toc8164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"_Toc25099" </w:instrText>
          </w:r>
          <w:r>
            <w:fldChar w:fldCharType="separate"/>
          </w:r>
          <w:r>
            <w:rPr>
              <w:rFonts w:hint="eastAsia" w:ascii="黑体" w:hAnsi="黑体" w:eastAsia="黑体" w:cs="黑体"/>
              <w:sz w:val="28"/>
              <w:szCs w:val="28"/>
            </w:rPr>
            <w:t>三、项目实施及资金使用情况</w:t>
          </w:r>
          <w:r>
            <w:rPr>
              <w:sz w:val="28"/>
              <w:szCs w:val="28"/>
            </w:rPr>
            <w:tab/>
          </w:r>
          <w:r>
            <w:rPr>
              <w:sz w:val="28"/>
              <w:szCs w:val="28"/>
            </w:rPr>
            <w:fldChar w:fldCharType="begin"/>
          </w:r>
          <w:r>
            <w:rPr>
              <w:sz w:val="28"/>
              <w:szCs w:val="28"/>
            </w:rPr>
            <w:instrText xml:space="preserve"> PAGEREF _Toc25099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"_Toc6786" </w:instrText>
          </w:r>
          <w:r>
            <w:fldChar w:fldCharType="separate"/>
          </w:r>
          <w:r>
            <w:rPr>
              <w:rFonts w:hint="eastAsia" w:ascii="楷体" w:hAnsi="楷体" w:eastAsia="楷体" w:cs="楷体"/>
              <w:bCs/>
              <w:sz w:val="28"/>
              <w:szCs w:val="28"/>
            </w:rPr>
            <w:t>（一）项目实施情况</w:t>
          </w:r>
          <w:r>
            <w:rPr>
              <w:sz w:val="28"/>
              <w:szCs w:val="28"/>
            </w:rPr>
            <w:tab/>
          </w:r>
          <w:r>
            <w:rPr>
              <w:sz w:val="28"/>
              <w:szCs w:val="28"/>
            </w:rPr>
            <w:fldChar w:fldCharType="begin"/>
          </w:r>
          <w:r>
            <w:rPr>
              <w:sz w:val="28"/>
              <w:szCs w:val="28"/>
            </w:rPr>
            <w:instrText xml:space="preserve"> PAGEREF _Toc6786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"_Toc14809" </w:instrText>
          </w:r>
          <w:r>
            <w:fldChar w:fldCharType="separate"/>
          </w:r>
          <w:r>
            <w:rPr>
              <w:rFonts w:hint="eastAsia" w:ascii="楷体" w:hAnsi="楷体" w:eastAsia="楷体" w:cs="楷体"/>
              <w:bCs/>
              <w:sz w:val="28"/>
              <w:szCs w:val="28"/>
            </w:rPr>
            <w:t>（二）资金使用情况</w:t>
          </w:r>
          <w:r>
            <w:rPr>
              <w:sz w:val="28"/>
              <w:szCs w:val="28"/>
            </w:rPr>
            <w:tab/>
          </w:r>
          <w:r>
            <w:rPr>
              <w:sz w:val="28"/>
              <w:szCs w:val="28"/>
            </w:rPr>
            <w:fldChar w:fldCharType="begin"/>
          </w:r>
          <w:r>
            <w:rPr>
              <w:sz w:val="28"/>
              <w:szCs w:val="28"/>
            </w:rPr>
            <w:instrText xml:space="preserve"> PAGEREF _Toc14809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8"/>
            <w:tabs>
              <w:tab w:val="right" w:leader="dot" w:pos="8306"/>
            </w:tabs>
            <w:rPr>
              <w:rFonts w:ascii="宋体" w:hAnsi="宋体" w:eastAsia="宋体" w:cs="宋体"/>
              <w:bCs/>
              <w:sz w:val="28"/>
              <w:szCs w:val="28"/>
            </w:rPr>
            <w:sectPr>
              <w:footerReference r:id="rId5" w:type="default"/>
              <w:pgSz w:w="11906" w:h="16838"/>
              <w:pgMar w:top="1440" w:right="1800" w:bottom="1440" w:left="1800" w:header="851" w:footer="992" w:gutter="0"/>
              <w:pgNumType w:start="1"/>
              <w:cols w:space="425" w:num="1"/>
              <w:docGrid w:type="lines" w:linePitch="312" w:charSpace="0"/>
            </w:sectPr>
          </w:pPr>
        </w:p>
        <w:p>
          <w:pPr>
            <w:pStyle w:val="8"/>
            <w:tabs>
              <w:tab w:val="right" w:leader="dot" w:pos="8306"/>
            </w:tabs>
            <w:rPr>
              <w:sz w:val="28"/>
              <w:szCs w:val="28"/>
            </w:rPr>
          </w:pPr>
          <w:r>
            <w:fldChar w:fldCharType="begin"/>
          </w:r>
          <w:r>
            <w:instrText xml:space="preserve"> HYPERLINK \l "_Toc12146" </w:instrText>
          </w:r>
          <w:r>
            <w:fldChar w:fldCharType="separate"/>
          </w:r>
          <w:r>
            <w:rPr>
              <w:rFonts w:hint="eastAsia" w:ascii="黑体" w:hAnsi="黑体" w:eastAsia="黑体" w:cs="黑体"/>
              <w:sz w:val="28"/>
              <w:szCs w:val="28"/>
            </w:rPr>
            <w:t>四、绩效评价分析与结论</w:t>
          </w:r>
          <w:r>
            <w:rPr>
              <w:sz w:val="28"/>
              <w:szCs w:val="28"/>
            </w:rPr>
            <w:tab/>
          </w:r>
          <w:r>
            <w:rPr>
              <w:sz w:val="28"/>
              <w:szCs w:val="28"/>
            </w:rPr>
            <w:fldChar w:fldCharType="begin"/>
          </w:r>
          <w:r>
            <w:rPr>
              <w:sz w:val="28"/>
              <w:szCs w:val="28"/>
            </w:rPr>
            <w:instrText xml:space="preserve"> PAGEREF _Toc12146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"_Toc28082" </w:instrText>
          </w:r>
          <w:r>
            <w:fldChar w:fldCharType="separate"/>
          </w:r>
          <w:r>
            <w:rPr>
              <w:rFonts w:hint="eastAsia" w:ascii="楷体" w:hAnsi="楷体" w:eastAsia="楷体" w:cs="楷体"/>
              <w:kern w:val="0"/>
              <w:sz w:val="28"/>
              <w:szCs w:val="28"/>
            </w:rPr>
            <w:t>（一）绩效评价分析</w:t>
          </w:r>
          <w:r>
            <w:rPr>
              <w:sz w:val="28"/>
              <w:szCs w:val="28"/>
            </w:rPr>
            <w:tab/>
          </w:r>
          <w:r>
            <w:rPr>
              <w:sz w:val="28"/>
              <w:szCs w:val="28"/>
            </w:rPr>
            <w:fldChar w:fldCharType="begin"/>
          </w:r>
          <w:r>
            <w:rPr>
              <w:sz w:val="28"/>
              <w:szCs w:val="28"/>
            </w:rPr>
            <w:instrText xml:space="preserve"> PAGEREF _Toc28082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"_Toc5722" </w:instrText>
          </w:r>
          <w:r>
            <w:fldChar w:fldCharType="separate"/>
          </w:r>
          <w:r>
            <w:rPr>
              <w:rFonts w:hint="eastAsia" w:ascii="楷体" w:hAnsi="楷体" w:eastAsia="楷体" w:cs="楷体"/>
              <w:kern w:val="0"/>
              <w:sz w:val="28"/>
              <w:szCs w:val="28"/>
            </w:rPr>
            <w:t>（二）绩效评价结论</w:t>
          </w:r>
          <w:r>
            <w:rPr>
              <w:sz w:val="28"/>
              <w:szCs w:val="28"/>
            </w:rPr>
            <w:tab/>
          </w:r>
          <w:r>
            <w:rPr>
              <w:sz w:val="28"/>
              <w:szCs w:val="28"/>
            </w:rPr>
            <w:fldChar w:fldCharType="begin"/>
          </w:r>
          <w:r>
            <w:rPr>
              <w:sz w:val="28"/>
              <w:szCs w:val="28"/>
            </w:rPr>
            <w:instrText xml:space="preserve"> PAGEREF _Toc5722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"_Toc2650" </w:instrText>
          </w:r>
          <w:r>
            <w:fldChar w:fldCharType="separate"/>
          </w:r>
          <w:r>
            <w:rPr>
              <w:rFonts w:hint="eastAsia" w:ascii="黑体" w:hAnsi="黑体" w:eastAsia="黑体" w:cs="黑体"/>
              <w:bCs/>
              <w:kern w:val="0"/>
              <w:sz w:val="28"/>
              <w:szCs w:val="28"/>
            </w:rPr>
            <w:t>五、存在的问题及建议</w:t>
          </w:r>
          <w:r>
            <w:rPr>
              <w:sz w:val="28"/>
              <w:szCs w:val="28"/>
            </w:rPr>
            <w:tab/>
          </w:r>
          <w:r>
            <w:rPr>
              <w:sz w:val="28"/>
              <w:szCs w:val="28"/>
            </w:rPr>
            <w:fldChar w:fldCharType="begin"/>
          </w:r>
          <w:r>
            <w:rPr>
              <w:sz w:val="28"/>
              <w:szCs w:val="28"/>
            </w:rPr>
            <w:instrText xml:space="preserve"> PAGEREF _Toc2650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"_Toc23523" </w:instrText>
          </w:r>
          <w:r>
            <w:fldChar w:fldCharType="separate"/>
          </w:r>
          <w:r>
            <w:rPr>
              <w:rFonts w:hint="eastAsia" w:ascii="楷体" w:hAnsi="楷体" w:eastAsia="楷体" w:cs="楷体"/>
              <w:bCs/>
              <w:sz w:val="28"/>
              <w:szCs w:val="28"/>
            </w:rPr>
            <w:t>（一）强化绩效理念，深入推进评价工作</w:t>
          </w:r>
          <w:r>
            <w:rPr>
              <w:sz w:val="28"/>
              <w:szCs w:val="28"/>
            </w:rPr>
            <w:tab/>
          </w:r>
          <w:r>
            <w:rPr>
              <w:sz w:val="28"/>
              <w:szCs w:val="28"/>
            </w:rPr>
            <w:fldChar w:fldCharType="begin"/>
          </w:r>
          <w:r>
            <w:rPr>
              <w:sz w:val="28"/>
              <w:szCs w:val="28"/>
            </w:rPr>
            <w:instrText xml:space="preserve"> PAGEREF _Toc23523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"_Toc14425" </w:instrText>
          </w:r>
          <w:r>
            <w:fldChar w:fldCharType="separate"/>
          </w:r>
          <w:r>
            <w:rPr>
              <w:rFonts w:hint="eastAsia" w:ascii="楷体" w:hAnsi="楷体" w:eastAsia="楷体" w:cs="楷体"/>
              <w:bCs/>
              <w:sz w:val="28"/>
              <w:szCs w:val="28"/>
            </w:rPr>
            <w:t>（二）强化事前准备，切实提升评价质量</w:t>
          </w:r>
          <w:r>
            <w:rPr>
              <w:sz w:val="28"/>
              <w:szCs w:val="28"/>
            </w:rPr>
            <w:tab/>
          </w:r>
          <w:r>
            <w:rPr>
              <w:sz w:val="28"/>
              <w:szCs w:val="28"/>
            </w:rPr>
            <w:fldChar w:fldCharType="begin"/>
          </w:r>
          <w:r>
            <w:rPr>
              <w:sz w:val="28"/>
              <w:szCs w:val="28"/>
            </w:rPr>
            <w:instrText xml:space="preserve"> PAGEREF _Toc14425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"_Toc25271" </w:instrText>
          </w:r>
          <w:r>
            <w:fldChar w:fldCharType="separate"/>
          </w:r>
          <w:r>
            <w:rPr>
              <w:rFonts w:hint="eastAsia" w:ascii="楷体" w:hAnsi="楷体" w:eastAsia="楷体" w:cs="楷体"/>
              <w:bCs/>
              <w:sz w:val="28"/>
              <w:szCs w:val="28"/>
            </w:rPr>
            <w:t>（三）强化结果应用，不断巩固评价成效</w:t>
          </w:r>
          <w:r>
            <w:rPr>
              <w:sz w:val="28"/>
              <w:szCs w:val="28"/>
            </w:rPr>
            <w:tab/>
          </w:r>
          <w:r>
            <w:rPr>
              <w:sz w:val="28"/>
              <w:szCs w:val="28"/>
            </w:rPr>
            <w:fldChar w:fldCharType="begin"/>
          </w:r>
          <w:r>
            <w:rPr>
              <w:sz w:val="28"/>
              <w:szCs w:val="28"/>
            </w:rPr>
            <w:instrText xml:space="preserve"> PAGEREF _Toc25271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"_Toc19341" </w:instrText>
          </w:r>
          <w:r>
            <w:fldChar w:fldCharType="separate"/>
          </w:r>
          <w:r>
            <w:rPr>
              <w:rFonts w:hint="eastAsia" w:ascii="黑体" w:hAnsi="黑体" w:eastAsia="黑体" w:cs="黑体"/>
              <w:bCs/>
              <w:kern w:val="0"/>
              <w:sz w:val="28"/>
              <w:szCs w:val="28"/>
            </w:rPr>
            <w:t>六、附件</w:t>
          </w:r>
          <w:r>
            <w:rPr>
              <w:sz w:val="28"/>
              <w:szCs w:val="28"/>
            </w:rPr>
            <w:tab/>
          </w:r>
          <w:r>
            <w:rPr>
              <w:sz w:val="28"/>
              <w:szCs w:val="28"/>
            </w:rPr>
            <w:fldChar w:fldCharType="begin"/>
          </w:r>
          <w:r>
            <w:rPr>
              <w:sz w:val="28"/>
              <w:szCs w:val="28"/>
            </w:rPr>
            <w:instrText xml:space="preserve"> PAGEREF _Toc19341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"_Toc9133" </w:instrText>
          </w:r>
          <w:r>
            <w:fldChar w:fldCharType="separate"/>
          </w:r>
          <w:r>
            <w:rPr>
              <w:rFonts w:hint="eastAsia" w:ascii="楷体" w:hAnsi="楷体" w:eastAsia="楷体" w:cs="楷体"/>
              <w:sz w:val="28"/>
              <w:szCs w:val="28"/>
            </w:rPr>
            <w:t>绩效评价指标体系得分表</w:t>
          </w:r>
          <w:r>
            <w:rPr>
              <w:sz w:val="28"/>
              <w:szCs w:val="28"/>
            </w:rPr>
            <w:tab/>
          </w:r>
          <w:r>
            <w:rPr>
              <w:sz w:val="28"/>
              <w:szCs w:val="28"/>
            </w:rPr>
            <w:fldChar w:fldCharType="begin"/>
          </w:r>
          <w:r>
            <w:rPr>
              <w:sz w:val="28"/>
              <w:szCs w:val="28"/>
            </w:rPr>
            <w:instrText xml:space="preserve"> PAGEREF _Toc9133 </w:instrText>
          </w:r>
          <w:r>
            <w:rPr>
              <w:sz w:val="28"/>
              <w:szCs w:val="28"/>
            </w:rPr>
            <w:fldChar w:fldCharType="separate"/>
          </w:r>
          <w:r>
            <w:rPr>
              <w:sz w:val="28"/>
              <w:szCs w:val="28"/>
            </w:rPr>
            <w:t>21</w:t>
          </w:r>
          <w:r>
            <w:rPr>
              <w:sz w:val="28"/>
              <w:szCs w:val="28"/>
            </w:rPr>
            <w:fldChar w:fldCharType="end"/>
          </w:r>
          <w:r>
            <w:rPr>
              <w:sz w:val="28"/>
              <w:szCs w:val="28"/>
            </w:rPr>
            <w:fldChar w:fldCharType="end"/>
          </w:r>
        </w:p>
        <w:p>
          <w:pPr>
            <w:rPr>
              <w:rFonts w:ascii="宋体" w:hAnsi="宋体" w:eastAsia="宋体" w:cs="宋体"/>
              <w:b/>
              <w:bCs/>
              <w:sz w:val="32"/>
              <w:szCs w:val="32"/>
            </w:rPr>
          </w:pPr>
          <w:r>
            <w:rPr>
              <w:rFonts w:hint="eastAsia" w:ascii="宋体" w:hAnsi="宋体" w:eastAsia="宋体" w:cs="宋体"/>
              <w:bCs/>
              <w:szCs w:val="28"/>
            </w:rPr>
            <w:fldChar w:fldCharType="end"/>
          </w:r>
        </w:p>
      </w:sdtContent>
    </w:sdt>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sectPr>
          <w:footerReference r:id="rId6" w:type="default"/>
          <w:pgSz w:w="11906" w:h="16838"/>
          <w:pgMar w:top="1440" w:right="1800" w:bottom="1440" w:left="1800" w:header="851" w:footer="992" w:gutter="0"/>
          <w:pgNumType w:start="1"/>
          <w:cols w:space="425" w:num="1"/>
          <w:docGrid w:type="lines" w:linePitch="312" w:charSpace="0"/>
        </w:sectPr>
      </w:pPr>
    </w:p>
    <w:p>
      <w:pPr>
        <w:rPr>
          <w:rFonts w:ascii="宋体" w:hAnsi="宋体" w:eastAsia="宋体" w:cs="宋体"/>
          <w:b/>
          <w:bCs/>
          <w:sz w:val="32"/>
          <w:szCs w:val="32"/>
        </w:rPr>
      </w:pPr>
    </w:p>
    <w:p>
      <w:pPr>
        <w:jc w:val="center"/>
        <w:outlineLvl w:val="0"/>
        <w:rPr>
          <w:rFonts w:ascii="宋体" w:hAnsi="宋体" w:eastAsia="宋体" w:cs="宋体"/>
          <w:b/>
          <w:bCs/>
          <w:sz w:val="44"/>
          <w:szCs w:val="44"/>
        </w:rPr>
      </w:pPr>
      <w:bookmarkStart w:id="0" w:name="_Toc5313"/>
      <w:bookmarkStart w:id="1" w:name="_Toc26695"/>
      <w:r>
        <w:rPr>
          <w:rFonts w:hint="eastAsia" w:ascii="宋体" w:hAnsi="宋体" w:eastAsia="宋体" w:cs="宋体"/>
          <w:b/>
          <w:bCs/>
          <w:sz w:val="44"/>
          <w:szCs w:val="44"/>
        </w:rPr>
        <w:t>围场县公安局河东警务站工程</w:t>
      </w:r>
      <w:bookmarkEnd w:id="0"/>
      <w:bookmarkEnd w:id="1"/>
    </w:p>
    <w:p>
      <w:pPr>
        <w:jc w:val="center"/>
        <w:outlineLvl w:val="0"/>
        <w:rPr>
          <w:rFonts w:ascii="宋体" w:hAnsi="宋体" w:eastAsia="宋体" w:cs="宋体"/>
          <w:b/>
          <w:bCs/>
          <w:sz w:val="44"/>
          <w:szCs w:val="44"/>
        </w:rPr>
      </w:pPr>
      <w:bookmarkStart w:id="2" w:name="_Toc1712"/>
      <w:bookmarkStart w:id="3" w:name="_Toc17914"/>
      <w:bookmarkStart w:id="4" w:name="_Toc32502"/>
      <w:bookmarkStart w:id="5" w:name="_Toc25062"/>
      <w:bookmarkStart w:id="6" w:name="_Toc7123"/>
      <w:r>
        <w:rPr>
          <w:rFonts w:hint="eastAsia" w:ascii="宋体" w:hAnsi="宋体" w:eastAsia="宋体" w:cs="宋体"/>
          <w:b/>
          <w:bCs/>
          <w:sz w:val="44"/>
          <w:szCs w:val="44"/>
        </w:rPr>
        <w:t>一般债券资金绩效评价报告</w:t>
      </w:r>
      <w:bookmarkEnd w:id="2"/>
      <w:bookmarkEnd w:id="3"/>
      <w:bookmarkEnd w:id="4"/>
      <w:bookmarkEnd w:id="5"/>
      <w:bookmarkEnd w:id="6"/>
    </w:p>
    <w:p>
      <w:pPr>
        <w:spacing w:line="600" w:lineRule="exact"/>
        <w:ind w:right="-31" w:rightChars="-15"/>
        <w:rPr>
          <w:rFonts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ind w:firstLine="560" w:firstLineChars="200"/>
        <w:rPr>
          <w:rFonts w:ascii="宋体" w:hAnsi="宋体" w:eastAsia="宋体" w:cs="宋体"/>
          <w:sz w:val="28"/>
          <w:szCs w:val="28"/>
        </w:rPr>
      </w:pPr>
      <w:r>
        <w:rPr>
          <w:rFonts w:hint="eastAsia" w:ascii="宋体" w:hAnsi="宋体" w:eastAsia="宋体" w:cs="宋体"/>
          <w:color w:val="222222"/>
          <w:sz w:val="28"/>
          <w:szCs w:val="28"/>
          <w:shd w:val="clear" w:color="auto" w:fill="FFFFFF"/>
        </w:rPr>
        <w:t>根据《围场满族蒙古族自治县财政局内部财政资金拨付程序》，参照《</w:t>
      </w:r>
      <w:r>
        <w:rPr>
          <w:rFonts w:hint="eastAsia" w:ascii="宋体" w:hAnsi="宋体" w:eastAsia="宋体" w:cs="宋体"/>
          <w:sz w:val="28"/>
          <w:szCs w:val="28"/>
        </w:rPr>
        <w:t>地方政府一般债券预算管理办法》和财政部《项目支出绩效评价管理办法》（财预〔2020〕10号）等文件规定，承德燕山会计师事务所有限责任公司接受围场满族蒙古族自治县财政局委托，成立了绩效评价小组，对围场县公安局河东警务站工程项目新增一般债券资金使用情况做绩效评价工作。</w:t>
      </w:r>
    </w:p>
    <w:p>
      <w:pPr>
        <w:ind w:firstLine="560" w:firstLineChars="200"/>
        <w:rPr>
          <w:rFonts w:ascii="宋体" w:hAnsi="宋体" w:eastAsia="宋体" w:cs="宋体"/>
          <w:sz w:val="28"/>
          <w:szCs w:val="28"/>
        </w:rPr>
      </w:pPr>
      <w:r>
        <w:rPr>
          <w:rFonts w:hint="eastAsia" w:ascii="宋体" w:hAnsi="宋体" w:eastAsia="宋体" w:cs="宋体"/>
          <w:sz w:val="28"/>
          <w:szCs w:val="28"/>
        </w:rPr>
        <w:t>本次绩效评价所涉及到的债券资金使用部分工程项目资料、财务数据以及其他与本评价项目相关资料的真实性、合法性、完整性、有效性由被评价单位负责并提供给我方。根据2019年度围场县地方政府新增一般债</w:t>
      </w:r>
      <w:r>
        <w:rPr>
          <w:rFonts w:hint="eastAsia" w:ascii="宋体" w:hAnsi="宋体" w:eastAsia="宋体" w:cs="宋体"/>
          <w:sz w:val="28"/>
          <w:szCs w:val="28"/>
          <w:lang w:eastAsia="zh-CN"/>
        </w:rPr>
        <w:t>券</w:t>
      </w:r>
      <w:r>
        <w:rPr>
          <w:rFonts w:hint="eastAsia" w:ascii="宋体" w:hAnsi="宋体" w:eastAsia="宋体" w:cs="宋体"/>
          <w:sz w:val="28"/>
          <w:szCs w:val="28"/>
        </w:rPr>
        <w:t>资金项目的投入情况，我们将进行全面综合的绩效考评工作。现将有关情况报告如下：</w:t>
      </w:r>
    </w:p>
    <w:p>
      <w:pPr>
        <w:spacing w:line="600" w:lineRule="exact"/>
        <w:ind w:firstLine="643" w:firstLineChars="200"/>
        <w:outlineLvl w:val="0"/>
        <w:rPr>
          <w:rFonts w:ascii="黑体" w:hAnsi="黑体" w:eastAsia="黑体" w:cs="黑体"/>
          <w:b/>
          <w:sz w:val="32"/>
          <w:szCs w:val="32"/>
        </w:rPr>
      </w:pPr>
      <w:bookmarkStart w:id="7" w:name="_Toc8932"/>
      <w:bookmarkStart w:id="8" w:name="_Toc12978"/>
      <w:r>
        <w:rPr>
          <w:rFonts w:hint="eastAsia" w:ascii="黑体" w:hAnsi="黑体" w:eastAsia="黑体" w:cs="黑体"/>
          <w:b/>
          <w:sz w:val="32"/>
          <w:szCs w:val="32"/>
        </w:rPr>
        <w:t>一、项目基本情况</w:t>
      </w:r>
      <w:bookmarkEnd w:id="7"/>
      <w:bookmarkEnd w:id="8"/>
    </w:p>
    <w:p>
      <w:pPr>
        <w:spacing w:line="600" w:lineRule="exact"/>
        <w:ind w:firstLine="643" w:firstLineChars="200"/>
        <w:outlineLvl w:val="1"/>
        <w:rPr>
          <w:rFonts w:ascii="楷体" w:hAnsi="楷体" w:eastAsia="楷体" w:cs="楷体"/>
          <w:b/>
          <w:sz w:val="32"/>
          <w:szCs w:val="32"/>
        </w:rPr>
      </w:pPr>
      <w:bookmarkStart w:id="9" w:name="_Toc19537"/>
      <w:bookmarkStart w:id="10" w:name="_Toc1188"/>
      <w:r>
        <w:rPr>
          <w:rFonts w:hint="eastAsia" w:ascii="楷体" w:hAnsi="楷体" w:eastAsia="楷体" w:cs="楷体"/>
          <w:b/>
          <w:sz w:val="32"/>
          <w:szCs w:val="32"/>
        </w:rPr>
        <w:t>（一）项目概况</w:t>
      </w:r>
      <w:bookmarkEnd w:id="9"/>
      <w:bookmarkEnd w:id="10"/>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根据围场满族蒙古族自治县人民政府文件（围政〔2019〕100号）精神，围场县人民政府做了关于2019年新增地方政府债券限额管理及使用方案的报告。根据河北省财政厅《关于下达2019年市县第三批新增政府债券资金的通知》（冀财债〔2019〕27号）下达围场县新增政府一般债券资金40000万元。</w:t>
      </w:r>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结合围场县政府2019年重点建设项目安排情况，围场县对2019年新增一般债券资金使用情况进行调整，经县政府同意，将新增一般债券使用项目重新进行安排。根据《中华人民共和国</w:t>
      </w:r>
      <w:bookmarkStart w:id="85" w:name="_GoBack"/>
      <w:bookmarkEnd w:id="85"/>
      <w:r>
        <w:rPr>
          <w:rFonts w:hint="eastAsia" w:ascii="宋体" w:hAnsi="宋体" w:eastAsia="宋体" w:cs="宋体"/>
          <w:sz w:val="28"/>
          <w:szCs w:val="28"/>
        </w:rPr>
        <w:t>预算法》和</w:t>
      </w:r>
      <w:r>
        <w:rPr>
          <w:rFonts w:ascii="宋体" w:hAnsi="宋体" w:eastAsia="宋体" w:cs="宋体"/>
          <w:sz w:val="28"/>
          <w:szCs w:val="28"/>
        </w:rPr>
        <w:t>《国务院关于加强地方政府性债务管理的意见》</w:t>
      </w:r>
      <w:r>
        <w:rPr>
          <w:rFonts w:hint="eastAsia" w:ascii="宋体" w:hAnsi="宋体" w:eastAsia="宋体" w:cs="宋体"/>
          <w:sz w:val="28"/>
          <w:szCs w:val="28"/>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其中投入围场县公安局河东警务站工程项目的债券资金共计31.33万元。</w:t>
      </w:r>
    </w:p>
    <w:p>
      <w:pPr>
        <w:ind w:firstLine="560" w:firstLineChars="200"/>
        <w:rPr>
          <w:rFonts w:ascii="宋体" w:hAnsi="宋体" w:eastAsia="宋体" w:cs="宋体"/>
          <w:sz w:val="28"/>
          <w:szCs w:val="28"/>
        </w:rPr>
      </w:pPr>
      <w:r>
        <w:rPr>
          <w:rFonts w:hint="eastAsia" w:ascii="宋体" w:hAnsi="宋体" w:eastAsia="宋体" w:cs="宋体"/>
          <w:sz w:val="28"/>
          <w:szCs w:val="28"/>
        </w:rPr>
        <w:t>1.项目名称</w:t>
      </w:r>
    </w:p>
    <w:p>
      <w:pPr>
        <w:ind w:firstLine="560" w:firstLineChars="200"/>
        <w:rPr>
          <w:rFonts w:ascii="宋体" w:hAnsi="宋体" w:eastAsia="宋体" w:cs="宋体"/>
          <w:sz w:val="28"/>
          <w:szCs w:val="28"/>
        </w:rPr>
      </w:pPr>
      <w:r>
        <w:rPr>
          <w:rFonts w:hint="eastAsia" w:ascii="宋体" w:hAnsi="宋体" w:eastAsia="宋体" w:cs="宋体"/>
          <w:sz w:val="28"/>
          <w:szCs w:val="28"/>
        </w:rPr>
        <w:t>围场县公安局河东警务站工程</w:t>
      </w:r>
    </w:p>
    <w:p>
      <w:pPr>
        <w:ind w:firstLine="560" w:firstLineChars="200"/>
        <w:rPr>
          <w:rFonts w:ascii="宋体" w:hAnsi="宋体" w:eastAsia="宋体" w:cs="宋体"/>
          <w:sz w:val="28"/>
          <w:szCs w:val="28"/>
        </w:rPr>
      </w:pPr>
      <w:r>
        <w:rPr>
          <w:rFonts w:hint="eastAsia" w:ascii="宋体" w:hAnsi="宋体" w:eastAsia="宋体" w:cs="宋体"/>
          <w:sz w:val="28"/>
          <w:szCs w:val="28"/>
        </w:rPr>
        <w:t>2.项目类型</w:t>
      </w:r>
    </w:p>
    <w:p>
      <w:pPr>
        <w:ind w:firstLine="560" w:firstLineChars="200"/>
        <w:rPr>
          <w:rFonts w:ascii="宋体" w:hAnsi="宋体" w:eastAsia="宋体" w:cs="宋体"/>
          <w:sz w:val="28"/>
          <w:szCs w:val="28"/>
        </w:rPr>
      </w:pPr>
      <w:r>
        <w:rPr>
          <w:rFonts w:hint="eastAsia" w:ascii="宋体" w:hAnsi="宋体" w:eastAsia="宋体" w:cs="宋体"/>
          <w:sz w:val="28"/>
          <w:szCs w:val="28"/>
        </w:rPr>
        <w:t>新建项目</w:t>
      </w:r>
    </w:p>
    <w:p>
      <w:pPr>
        <w:ind w:firstLine="560" w:firstLineChars="200"/>
        <w:rPr>
          <w:rFonts w:ascii="宋体" w:hAnsi="宋体" w:eastAsia="宋体" w:cs="宋体"/>
          <w:sz w:val="28"/>
          <w:szCs w:val="28"/>
        </w:rPr>
      </w:pPr>
      <w:r>
        <w:rPr>
          <w:rFonts w:hint="eastAsia" w:ascii="宋体" w:hAnsi="宋体" w:eastAsia="宋体" w:cs="宋体"/>
          <w:sz w:val="28"/>
          <w:szCs w:val="28"/>
        </w:rPr>
        <w:t>3.建设地点</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围场满族蒙古族自治县境内</w:t>
      </w:r>
    </w:p>
    <w:p>
      <w:pPr>
        <w:ind w:firstLine="560" w:firstLineChars="200"/>
        <w:rPr>
          <w:rFonts w:ascii="宋体" w:hAnsi="宋体" w:eastAsia="宋体" w:cs="宋体"/>
          <w:sz w:val="28"/>
          <w:szCs w:val="28"/>
        </w:rPr>
      </w:pPr>
      <w:r>
        <w:rPr>
          <w:rFonts w:hint="eastAsia" w:ascii="宋体" w:hAnsi="宋体" w:eastAsia="宋体" w:cs="宋体"/>
          <w:sz w:val="28"/>
          <w:szCs w:val="28"/>
        </w:rPr>
        <w:t>4.建设单位</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围场满族蒙古族自治县公安局</w:t>
      </w:r>
    </w:p>
    <w:p>
      <w:pPr>
        <w:ind w:firstLine="560" w:firstLineChars="200"/>
        <w:rPr>
          <w:rFonts w:ascii="宋体" w:hAnsi="宋体" w:eastAsia="宋体" w:cs="宋体"/>
          <w:sz w:val="28"/>
          <w:szCs w:val="28"/>
        </w:rPr>
      </w:pPr>
      <w:r>
        <w:rPr>
          <w:rFonts w:hint="eastAsia" w:ascii="宋体" w:hAnsi="宋体" w:eastAsia="宋体" w:cs="宋体"/>
          <w:sz w:val="28"/>
          <w:szCs w:val="28"/>
        </w:rPr>
        <w:t>5.项目概况</w:t>
      </w:r>
    </w:p>
    <w:p>
      <w:pPr>
        <w:ind w:firstLine="560" w:firstLineChars="200"/>
        <w:rPr>
          <w:rFonts w:ascii="宋体" w:hAnsi="宋体" w:eastAsia="宋体" w:cs="宋体"/>
          <w:sz w:val="28"/>
          <w:szCs w:val="28"/>
        </w:rPr>
      </w:pPr>
      <w:r>
        <w:rPr>
          <w:rFonts w:hint="eastAsia" w:ascii="宋体" w:hAnsi="宋体" w:eastAsia="宋体" w:cs="宋体"/>
          <w:sz w:val="28"/>
          <w:szCs w:val="28"/>
        </w:rPr>
        <w:t>本项目建设单位为围场满族蒙古族自治县公安局，工程监理单位为围场县信诚工程建设监理有限公司。项目建设内容包括警务室建筑、结构、装饰及配套的电气、电热膜采暖及室外附属工程。</w:t>
      </w:r>
    </w:p>
    <w:p>
      <w:pPr>
        <w:ind w:firstLine="560" w:firstLineChars="200"/>
        <w:rPr>
          <w:rFonts w:ascii="宋体" w:hAnsi="宋体" w:eastAsia="宋体" w:cs="宋体"/>
          <w:sz w:val="28"/>
          <w:szCs w:val="28"/>
        </w:rPr>
      </w:pPr>
      <w:r>
        <w:rPr>
          <w:rFonts w:hint="eastAsia" w:ascii="宋体" w:hAnsi="宋体" w:eastAsia="宋体" w:cs="宋体"/>
          <w:sz w:val="28"/>
          <w:szCs w:val="28"/>
        </w:rPr>
        <w:t>本项目的建设具备“治安巡控、接警处警、服务群众、动态掌握、法制宣传、备勤处突”等职能，将对维护社会稳定，树立城市形象具有重要意义。项目的建设为警方巡逻防控、交通管理、便民服务、宣传警示等提供了服务。警务工作站所发挥的作用打击犯罪、维护治安、管理交通、服务群众是警务工作站的锐利剑锋。</w:t>
      </w:r>
    </w:p>
    <w:p>
      <w:pPr>
        <w:ind w:firstLine="560" w:firstLineChars="200"/>
        <w:rPr>
          <w:rFonts w:ascii="宋体" w:hAnsi="宋体" w:eastAsia="宋体" w:cs="宋体"/>
          <w:sz w:val="28"/>
          <w:szCs w:val="28"/>
        </w:rPr>
      </w:pPr>
      <w:r>
        <w:rPr>
          <w:rFonts w:hint="eastAsia" w:ascii="宋体" w:hAnsi="宋体" w:eastAsia="宋体" w:cs="宋体"/>
          <w:sz w:val="28"/>
          <w:szCs w:val="28"/>
        </w:rPr>
        <w:t>工程期限为2019年8月24日至2019年10月22日，工期两个月。</w:t>
      </w:r>
    </w:p>
    <w:p>
      <w:pPr>
        <w:ind w:firstLine="560" w:firstLineChars="200"/>
        <w:rPr>
          <w:rFonts w:ascii="宋体" w:hAnsi="宋体" w:eastAsia="宋体" w:cs="宋体"/>
          <w:sz w:val="28"/>
          <w:szCs w:val="28"/>
        </w:rPr>
      </w:pPr>
      <w:r>
        <w:rPr>
          <w:rFonts w:hint="eastAsia" w:ascii="宋体" w:hAnsi="宋体" w:eastAsia="宋体" w:cs="宋体"/>
          <w:sz w:val="28"/>
          <w:szCs w:val="28"/>
        </w:rPr>
        <w:t>6.项目总投资及资金来源</w:t>
      </w:r>
    </w:p>
    <w:p>
      <w:pPr>
        <w:ind w:firstLine="560" w:firstLineChars="200"/>
        <w:rPr>
          <w:rFonts w:ascii="宋体" w:hAnsi="宋体" w:eastAsia="宋体" w:cs="宋体"/>
          <w:sz w:val="28"/>
          <w:szCs w:val="28"/>
        </w:rPr>
      </w:pPr>
      <w:r>
        <w:rPr>
          <w:rFonts w:ascii="宋体" w:hAnsi="宋体" w:eastAsia="宋体" w:cs="宋体"/>
          <w:sz w:val="28"/>
          <w:szCs w:val="28"/>
        </w:rPr>
        <w:t>本项目总投资为</w:t>
      </w:r>
      <w:r>
        <w:rPr>
          <w:rFonts w:hint="eastAsia" w:ascii="宋体" w:hAnsi="宋体" w:eastAsia="宋体" w:cs="宋体"/>
          <w:sz w:val="28"/>
          <w:szCs w:val="28"/>
        </w:rPr>
        <w:t>31万元</w:t>
      </w:r>
      <w:r>
        <w:rPr>
          <w:rFonts w:ascii="宋体" w:hAnsi="宋体" w:eastAsia="宋体" w:cs="宋体"/>
          <w:sz w:val="28"/>
          <w:szCs w:val="28"/>
        </w:rPr>
        <w:t>，</w:t>
      </w:r>
      <w:r>
        <w:rPr>
          <w:rFonts w:hint="eastAsia" w:ascii="宋体" w:hAnsi="宋体" w:eastAsia="宋体" w:cs="宋体"/>
          <w:sz w:val="28"/>
          <w:szCs w:val="28"/>
        </w:rPr>
        <w:t>使用政府新增一般债券资金</w:t>
      </w:r>
      <w:r>
        <w:rPr>
          <w:rFonts w:ascii="宋体" w:hAnsi="宋体" w:eastAsia="宋体" w:cs="宋体"/>
          <w:sz w:val="28"/>
          <w:szCs w:val="28"/>
        </w:rPr>
        <w:t>。</w:t>
      </w:r>
    </w:p>
    <w:p>
      <w:pPr>
        <w:spacing w:line="600" w:lineRule="exact"/>
        <w:ind w:firstLine="643" w:firstLineChars="200"/>
        <w:outlineLvl w:val="1"/>
        <w:rPr>
          <w:rFonts w:ascii="楷体" w:hAnsi="楷体" w:eastAsia="楷体" w:cs="楷体"/>
          <w:b/>
          <w:sz w:val="32"/>
          <w:szCs w:val="32"/>
        </w:rPr>
      </w:pPr>
      <w:bookmarkStart w:id="11" w:name="_Toc13583"/>
      <w:bookmarkStart w:id="12" w:name="_Toc9204"/>
      <w:bookmarkStart w:id="13" w:name="_Toc32081"/>
      <w:bookmarkStart w:id="14" w:name="_Toc13984"/>
      <w:r>
        <w:rPr>
          <w:rFonts w:hint="eastAsia" w:ascii="楷体" w:hAnsi="楷体" w:eastAsia="楷体" w:cs="楷体"/>
          <w:b/>
          <w:sz w:val="32"/>
          <w:szCs w:val="32"/>
        </w:rPr>
        <w:t>（二）项目绩效目标</w:t>
      </w:r>
      <w:bookmarkEnd w:id="11"/>
      <w:bookmarkEnd w:id="12"/>
      <w:bookmarkEnd w:id="13"/>
      <w:bookmarkEnd w:id="14"/>
    </w:p>
    <w:p>
      <w:pPr>
        <w:spacing w:line="600" w:lineRule="exact"/>
        <w:ind w:firstLine="560" w:firstLineChars="200"/>
        <w:outlineLvl w:val="1"/>
        <w:rPr>
          <w:rFonts w:ascii="宋体" w:hAnsi="宋体" w:eastAsia="宋体" w:cs="宋体"/>
          <w:color w:val="000000"/>
          <w:kern w:val="0"/>
          <w:sz w:val="28"/>
          <w:szCs w:val="28"/>
        </w:rPr>
      </w:pPr>
      <w:bookmarkStart w:id="15" w:name="_Toc22820"/>
      <w:bookmarkStart w:id="16" w:name="_Toc6570"/>
      <w:bookmarkStart w:id="17" w:name="_Toc28894"/>
      <w:r>
        <w:rPr>
          <w:rFonts w:hint="eastAsia" w:ascii="宋体" w:hAnsi="宋体" w:eastAsia="宋体" w:cs="宋体"/>
          <w:bCs/>
          <w:sz w:val="28"/>
          <w:szCs w:val="28"/>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r>
        <w:rPr>
          <w:rFonts w:hint="eastAsia" w:ascii="宋体" w:hAnsi="宋体" w:eastAsia="宋体" w:cs="宋体"/>
          <w:color w:val="000000"/>
          <w:kern w:val="0"/>
          <w:sz w:val="28"/>
          <w:szCs w:val="28"/>
        </w:rPr>
        <w:t>。</w:t>
      </w:r>
      <w:bookmarkEnd w:id="15"/>
      <w:bookmarkEnd w:id="16"/>
      <w:bookmarkEnd w:id="17"/>
    </w:p>
    <w:p>
      <w:pPr>
        <w:spacing w:line="600" w:lineRule="exact"/>
        <w:ind w:firstLine="643" w:firstLineChars="200"/>
        <w:outlineLvl w:val="1"/>
        <w:rPr>
          <w:rFonts w:ascii="楷体" w:hAnsi="楷体" w:eastAsia="楷体" w:cs="楷体"/>
          <w:b/>
          <w:sz w:val="32"/>
          <w:szCs w:val="32"/>
        </w:rPr>
      </w:pPr>
      <w:bookmarkStart w:id="18" w:name="_Toc32743"/>
      <w:bookmarkStart w:id="19" w:name="_Toc12271"/>
      <w:r>
        <w:rPr>
          <w:rFonts w:hint="eastAsia" w:ascii="楷体" w:hAnsi="楷体" w:eastAsia="楷体" w:cs="楷体"/>
          <w:b/>
          <w:sz w:val="32"/>
          <w:szCs w:val="32"/>
        </w:rPr>
        <w:t>（三）评价对象和时段</w:t>
      </w:r>
      <w:bookmarkEnd w:id="18"/>
      <w:bookmarkEnd w:id="19"/>
    </w:p>
    <w:p>
      <w:pPr>
        <w:ind w:firstLine="560" w:firstLineChars="200"/>
        <w:rPr>
          <w:rFonts w:ascii="宋体" w:hAnsi="宋体" w:eastAsia="宋体" w:cs="宋体"/>
          <w:sz w:val="28"/>
          <w:szCs w:val="28"/>
        </w:rPr>
      </w:pPr>
      <w:r>
        <w:rPr>
          <w:rFonts w:hint="eastAsia" w:ascii="宋体" w:hAnsi="宋体" w:eastAsia="宋体" w:cs="宋体"/>
          <w:sz w:val="28"/>
          <w:szCs w:val="28"/>
        </w:rPr>
        <w:t>本次考核评价对象：围场县公安局河东警务站工程。从项目投入、管理、产出、效益等方面进行全面的评价考核。</w:t>
      </w:r>
    </w:p>
    <w:p>
      <w:pPr>
        <w:ind w:firstLine="560" w:firstLineChars="200"/>
        <w:rPr>
          <w:rFonts w:ascii="宋体" w:hAnsi="宋体" w:eastAsia="宋体" w:cs="宋体"/>
          <w:sz w:val="28"/>
          <w:szCs w:val="28"/>
        </w:rPr>
      </w:pPr>
      <w:r>
        <w:rPr>
          <w:rFonts w:hint="eastAsia" w:ascii="宋体" w:hAnsi="宋体" w:eastAsia="宋体" w:cs="宋体"/>
          <w:sz w:val="28"/>
          <w:szCs w:val="28"/>
        </w:rPr>
        <w:t>考核时段：从项目决策阶段立项开始，经过项目实施阶段到最后的项目结束竣工验收。</w:t>
      </w:r>
    </w:p>
    <w:p>
      <w:pPr>
        <w:ind w:firstLine="643" w:firstLineChars="200"/>
        <w:outlineLvl w:val="0"/>
        <w:rPr>
          <w:rFonts w:ascii="黑体" w:hAnsi="黑体" w:eastAsia="黑体" w:cs="黑体"/>
          <w:b/>
          <w:bCs/>
          <w:sz w:val="32"/>
          <w:szCs w:val="32"/>
        </w:rPr>
      </w:pPr>
      <w:bookmarkStart w:id="20" w:name="_Toc2271"/>
      <w:r>
        <w:rPr>
          <w:rFonts w:hint="eastAsia" w:ascii="黑体" w:hAnsi="黑体" w:eastAsia="黑体" w:cs="黑体"/>
          <w:b/>
          <w:bCs/>
          <w:sz w:val="32"/>
          <w:szCs w:val="32"/>
        </w:rPr>
        <w:t>二、绩效评价工作开展情况</w:t>
      </w:r>
      <w:bookmarkEnd w:id="20"/>
    </w:p>
    <w:p>
      <w:pPr>
        <w:ind w:firstLine="643" w:firstLineChars="200"/>
        <w:outlineLvl w:val="1"/>
        <w:rPr>
          <w:rFonts w:ascii="楷体" w:hAnsi="楷体" w:eastAsia="楷体" w:cs="楷体"/>
          <w:b/>
          <w:bCs/>
          <w:sz w:val="32"/>
          <w:szCs w:val="32"/>
        </w:rPr>
      </w:pPr>
      <w:bookmarkStart w:id="21" w:name="_Toc12898"/>
      <w:r>
        <w:rPr>
          <w:rFonts w:hint="eastAsia" w:ascii="楷体" w:hAnsi="楷体" w:eastAsia="楷体" w:cs="楷体"/>
          <w:b/>
          <w:bCs/>
          <w:sz w:val="32"/>
          <w:szCs w:val="32"/>
        </w:rPr>
        <w:t>（一）绩效评价指标体系</w:t>
      </w:r>
      <w:bookmarkEnd w:id="21"/>
    </w:p>
    <w:p>
      <w:pPr>
        <w:ind w:firstLine="562" w:firstLineChars="200"/>
        <w:rPr>
          <w:rFonts w:ascii="仿宋" w:hAnsi="仿宋" w:eastAsia="仿宋" w:cs="仿宋"/>
          <w:b/>
          <w:bCs/>
          <w:sz w:val="28"/>
          <w:szCs w:val="28"/>
        </w:rPr>
      </w:pPr>
      <w:r>
        <w:rPr>
          <w:rFonts w:hint="eastAsia" w:ascii="仿宋" w:hAnsi="仿宋" w:eastAsia="仿宋" w:cs="仿宋"/>
          <w:b/>
          <w:bCs/>
          <w:sz w:val="28"/>
          <w:szCs w:val="28"/>
        </w:rPr>
        <w:t>1.绩效评价指标体系权重</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148"/>
        <w:gridCol w:w="2028"/>
        <w:gridCol w:w="2557"/>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1077"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76" w:type="dxa"/>
            <w:gridSpan w:val="2"/>
            <w:tcBorders>
              <w:right w:val="single" w:color="auto" w:sz="4" w:space="0"/>
            </w:tcBorders>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7" w:type="dxa"/>
            <w:shd w:val="clear" w:color="auto" w:fill="CFCECE" w:themeFill="background2" w:themeFillShade="E5"/>
            <w:vAlign w:val="center"/>
          </w:tcPr>
          <w:p>
            <w:pPr>
              <w:jc w:val="center"/>
              <w:rPr>
                <w:rFonts w:asciiTheme="minorEastAsia" w:hAnsiTheme="minorEastAsia" w:cstheme="minorEastAsia"/>
                <w:b/>
                <w:bCs/>
                <w:kern w:val="0"/>
                <w:sz w:val="28"/>
                <w:szCs w:val="28"/>
              </w:rPr>
            </w:pPr>
          </w:p>
        </w:tc>
        <w:tc>
          <w:tcPr>
            <w:tcW w:w="1448"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8"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投入指标10分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项目立项管理10分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管理指标30分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业务管理15分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jc w:val="center"/>
            </w:pPr>
          </w:p>
        </w:tc>
        <w:tc>
          <w:tcPr>
            <w:tcW w:w="1148" w:type="dxa"/>
            <w:vMerge w:val="continue"/>
            <w:vAlign w:val="center"/>
          </w:tcPr>
          <w:p>
            <w:pPr>
              <w:jc w:val="center"/>
            </w:pPr>
          </w:p>
        </w:tc>
        <w:tc>
          <w:tcPr>
            <w:tcW w:w="2028"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财务管理15分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产出指标30分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项目产出管理30分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效益指标30分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社会效益情况20分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jc w:val="center"/>
            </w:pPr>
          </w:p>
        </w:tc>
        <w:tc>
          <w:tcPr>
            <w:tcW w:w="1148" w:type="dxa"/>
            <w:vMerge w:val="continue"/>
            <w:vAlign w:val="center"/>
          </w:tcPr>
          <w:p>
            <w:pPr>
              <w:jc w:val="center"/>
            </w:pPr>
          </w:p>
        </w:tc>
        <w:tc>
          <w:tcPr>
            <w:tcW w:w="2028"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经济效益情况10分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exact"/>
          <w:jc w:val="center"/>
        </w:trPr>
        <w:tc>
          <w:tcPr>
            <w:tcW w:w="4253" w:type="dxa"/>
            <w:gridSpan w:val="3"/>
            <w:tcBorders>
              <w:right w:val="single" w:color="auto" w:sz="4" w:space="0"/>
            </w:tcBorders>
            <w:vAlign w:val="center"/>
          </w:tcPr>
          <w:p>
            <w:pPr>
              <w:ind w:firstLine="560"/>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7" w:type="dxa"/>
            <w:vAlign w:val="center"/>
          </w:tcPr>
          <w:p>
            <w:pPr>
              <w:jc w:val="center"/>
              <w:rPr>
                <w:rFonts w:asciiTheme="minorEastAsia" w:hAnsiTheme="minorEastAsia" w:cstheme="minorEastAsia"/>
                <w:kern w:val="0"/>
                <w:sz w:val="28"/>
                <w:szCs w:val="28"/>
              </w:rPr>
            </w:pP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ind w:firstLine="562" w:firstLineChars="200"/>
        <w:rPr>
          <w:rFonts w:ascii="仿宋" w:hAnsi="仿宋" w:eastAsia="仿宋" w:cs="仿宋"/>
          <w:b/>
          <w:bCs/>
          <w:sz w:val="28"/>
          <w:szCs w:val="28"/>
        </w:rPr>
      </w:pP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2.绩效评价指标体系考核表</w:t>
      </w:r>
    </w:p>
    <w:tbl>
      <w:tblPr>
        <w:tblStyle w:val="12"/>
        <w:tblW w:w="4845"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1251"/>
        <w:gridCol w:w="3149"/>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6"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57"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906"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60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trPr>
        <w:tc>
          <w:tcPr>
            <w:tcW w:w="726" w:type="pct"/>
            <w:vMerge w:val="restar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投入指标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6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26"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5、政务公开情况（3分）；</w:t>
            </w:r>
          </w:p>
        </w:tc>
        <w:tc>
          <w:tcPr>
            <w:tcW w:w="16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制定公示制度、建立公示平台、应该招标项目必须进行招标得3分，每缺少一项扣1分；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6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7、项目实施方案编制情况（3分）；</w:t>
            </w:r>
          </w:p>
        </w:tc>
        <w:tc>
          <w:tcPr>
            <w:tcW w:w="16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方案编制合理、可行得3分，每有一项不合理扣减0.5分；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8、资金使用合规性（4分）</w:t>
            </w:r>
          </w:p>
        </w:tc>
        <w:tc>
          <w:tcPr>
            <w:tcW w:w="16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债券资金未用于经常性支出，未用于中央明令禁止的项目支出得4分，发现资金使用不合规每有一项扣1分；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9、县级财政国库集中支付情况（7分）；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及时拨付项目资金得7分，未及时拨付每发现一次扣1分；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10、会计制度执行情况（4分）；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26"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11、工程完工情况（10分）；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12、工期控制情况（10分）；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13、完工项目验收情况（10分）；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726"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14、总体目标实现情况（8分）；</w:t>
            </w:r>
          </w:p>
        </w:tc>
        <w:tc>
          <w:tcPr>
            <w:tcW w:w="1609"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15、社会效益实现情况（8分）；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16、社会环境（生态环境等）改善情况（4分）；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17、项目建设带来的直接经济效益（3分）；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18、项目建设带来的间接经济效益（7分）；</w:t>
            </w:r>
          </w:p>
        </w:tc>
        <w:tc>
          <w:tcPr>
            <w:tcW w:w="1609" w:type="pct"/>
          </w:tcPr>
          <w:p>
            <w:pPr>
              <w:pStyle w:val="15"/>
              <w:kinsoku w:val="0"/>
              <w:overflowPunct w:val="0"/>
              <w:autoSpaceDE w:val="0"/>
              <w:autoSpaceDN w:val="0"/>
              <w:adjustRightInd w:val="0"/>
              <w:snapToGrid w:val="0"/>
              <w:spacing w:before="163" w:after="163"/>
              <w:ind w:firstLine="0"/>
              <w:rPr>
                <w:rFonts w:ascii="宋体" w:hAnsi="宋体" w:eastAsia="宋体" w:cs="Times New Roman"/>
                <w:bCs/>
                <w:sz w:val="24"/>
                <w:lang w:bidi="ar"/>
              </w:rPr>
            </w:pPr>
            <w:r>
              <w:rPr>
                <w:rFonts w:hint="eastAsia" w:ascii="宋体" w:hAnsi="宋体" w:eastAsia="宋体" w:cs="Times New Roman"/>
                <w:bCs/>
                <w:sz w:val="24"/>
                <w:lang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6"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57"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3515"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r>
    </w:tbl>
    <w:p>
      <w:pPr>
        <w:ind w:firstLine="643" w:firstLineChars="200"/>
        <w:outlineLvl w:val="1"/>
        <w:rPr>
          <w:rFonts w:ascii="楷体" w:hAnsi="楷体" w:eastAsia="楷体" w:cs="楷体"/>
          <w:b/>
          <w:kern w:val="0"/>
          <w:sz w:val="32"/>
          <w:szCs w:val="32"/>
        </w:rPr>
      </w:pPr>
      <w:bookmarkStart w:id="22" w:name="_Toc29702"/>
      <w:bookmarkStart w:id="23" w:name="_Toc12872"/>
      <w:r>
        <w:rPr>
          <w:rFonts w:hint="eastAsia" w:ascii="楷体" w:hAnsi="楷体" w:eastAsia="楷体" w:cs="楷体"/>
          <w:b/>
          <w:kern w:val="0"/>
          <w:sz w:val="32"/>
          <w:szCs w:val="32"/>
        </w:rPr>
        <w:t>（二）绩效评价目的和依据</w:t>
      </w:r>
      <w:bookmarkEnd w:id="22"/>
      <w:bookmarkEnd w:id="23"/>
    </w:p>
    <w:p>
      <w:pPr>
        <w:ind w:firstLine="562" w:firstLineChars="200"/>
        <w:rPr>
          <w:rFonts w:ascii="仿宋" w:hAnsi="仿宋" w:eastAsia="仿宋" w:cs="仿宋"/>
          <w:b/>
          <w:bCs/>
          <w:sz w:val="28"/>
          <w:szCs w:val="28"/>
        </w:rPr>
      </w:pPr>
      <w:r>
        <w:rPr>
          <w:rFonts w:hint="eastAsia" w:ascii="仿宋" w:hAnsi="仿宋" w:eastAsia="仿宋" w:cs="仿宋"/>
          <w:b/>
          <w:bCs/>
          <w:sz w:val="28"/>
          <w:szCs w:val="28"/>
        </w:rPr>
        <w:t>1.评价目的</w:t>
      </w:r>
    </w:p>
    <w:p>
      <w:pPr>
        <w:pStyle w:val="5"/>
        <w:spacing w:line="530" w:lineRule="exact"/>
        <w:ind w:left="0" w:firstLine="560" w:firstLineChars="200"/>
        <w:rPr>
          <w:rFonts w:ascii="仿宋" w:hAnsi="仿宋" w:eastAsia="仿宋" w:cs="仿宋"/>
          <w:sz w:val="32"/>
          <w:szCs w:val="32"/>
        </w:rPr>
      </w:pPr>
      <w:r>
        <w:rPr>
          <w:rFonts w:hint="eastAsia" w:ascii="宋体" w:hAnsi="宋体" w:eastAsia="宋体" w:cs="宋体"/>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pStyle w:val="5"/>
        <w:spacing w:line="530" w:lineRule="exact"/>
        <w:ind w:left="0" w:firstLine="560" w:firstLineChars="200"/>
        <w:rPr>
          <w:rFonts w:ascii="宋体" w:hAnsi="宋体" w:eastAsia="宋体" w:cs="宋体"/>
        </w:rPr>
      </w:pPr>
      <w:r>
        <w:rPr>
          <w:rFonts w:hint="eastAsia" w:ascii="宋体" w:hAnsi="宋体" w:eastAsia="宋体" w:cs="宋体"/>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pStyle w:val="5"/>
        <w:spacing w:line="530" w:lineRule="exact"/>
        <w:ind w:left="0" w:firstLine="560" w:firstLineChars="200"/>
        <w:rPr>
          <w:rFonts w:ascii="宋体" w:hAnsi="宋体" w:eastAsia="宋体" w:cs="宋体"/>
        </w:rPr>
      </w:pPr>
      <w:r>
        <w:rPr>
          <w:rFonts w:hint="eastAsia" w:ascii="宋体" w:hAnsi="宋体" w:eastAsia="宋体" w:cs="宋体"/>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pStyle w:val="5"/>
        <w:spacing w:line="530" w:lineRule="exact"/>
        <w:ind w:left="0" w:firstLine="560" w:firstLineChars="200"/>
        <w:rPr>
          <w:rFonts w:ascii="仿宋" w:hAnsi="仿宋" w:eastAsia="仿宋" w:cs="仿宋"/>
          <w:sz w:val="32"/>
          <w:szCs w:val="32"/>
        </w:rPr>
      </w:pPr>
      <w:r>
        <w:rPr>
          <w:rFonts w:hint="eastAsia" w:ascii="宋体" w:hAnsi="宋体" w:eastAsia="宋体" w:cs="宋体"/>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2.评价依据</w:t>
      </w:r>
    </w:p>
    <w:p>
      <w:pPr>
        <w:pStyle w:val="5"/>
        <w:spacing w:line="530" w:lineRule="exact"/>
        <w:ind w:left="0" w:firstLine="560" w:firstLineChars="200"/>
        <w:rPr>
          <w:rFonts w:ascii="仿宋" w:hAnsi="仿宋" w:eastAsia="仿宋" w:cs="仿宋"/>
          <w:sz w:val="32"/>
          <w:szCs w:val="32"/>
        </w:rPr>
      </w:pPr>
      <w:r>
        <w:rPr>
          <w:rFonts w:hint="eastAsia" w:ascii="宋体" w:hAnsi="宋体" w:eastAsia="宋体" w:cs="宋体"/>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spacing w:line="530" w:lineRule="exact"/>
        <w:ind w:left="0" w:firstLine="562" w:firstLineChars="20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（1）法律依据</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《中华人民共和国预算法》（2018年修正）</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《中华人民共和国环境保护法》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《中华人民共和国合同法》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《中华人民共和国建筑法》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《中华人民共和国会计法》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《中华人民共和国公司法》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《中华人民共和国招标投标法》</w:t>
      </w:r>
    </w:p>
    <w:p>
      <w:pPr>
        <w:pStyle w:val="5"/>
        <w:spacing w:line="530" w:lineRule="exact"/>
        <w:ind w:left="0" w:firstLine="56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宋体" w:hAnsi="宋体" w:eastAsia="宋体" w:cs="宋体"/>
        </w:rPr>
        <w:t>《中华人民共和国政府采购法》</w:t>
      </w:r>
    </w:p>
    <w:p>
      <w:pPr>
        <w:pStyle w:val="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rPr>
        <w:t>（2）法规依据</w:t>
      </w:r>
    </w:p>
    <w:tbl>
      <w:tblPr>
        <w:tblStyle w:val="12"/>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50" w:type="dxa"/>
            <w:shd w:val="clear" w:color="auto" w:fill="BEBEBE" w:themeFill="background1" w:themeFillShade="BF"/>
            <w:vAlign w:val="center"/>
          </w:tcPr>
          <w:p>
            <w:pPr>
              <w:pStyle w:val="16"/>
              <w:spacing w:before="156" w:after="156"/>
              <w:ind w:firstLine="0" w:firstLineChars="0"/>
              <w:jc w:val="center"/>
              <w:rPr>
                <w:rFonts w:ascii="宋体" w:hAnsi="宋体" w:eastAsia="宋体"/>
                <w:b/>
                <w:kern w:val="0"/>
                <w:sz w:val="24"/>
              </w:rPr>
            </w:pPr>
            <w:r>
              <w:rPr>
                <w:rFonts w:hint="eastAsia" w:ascii="宋体" w:hAnsi="宋体" w:eastAsia="宋体"/>
                <w:b/>
                <w:kern w:val="0"/>
                <w:sz w:val="24"/>
              </w:rPr>
              <w:t>文号</w:t>
            </w:r>
          </w:p>
        </w:tc>
        <w:tc>
          <w:tcPr>
            <w:tcW w:w="5950" w:type="dxa"/>
            <w:shd w:val="clear" w:color="auto" w:fill="BEBEBE" w:themeFill="background1" w:themeFillShade="BF"/>
            <w:vAlign w:val="center"/>
          </w:tcPr>
          <w:p>
            <w:pPr>
              <w:pStyle w:val="16"/>
              <w:spacing w:before="156" w:after="156"/>
              <w:ind w:firstLine="0" w:firstLineChars="0"/>
              <w:jc w:val="center"/>
              <w:rPr>
                <w:rFonts w:ascii="宋体" w:hAnsi="宋体" w:eastAsia="宋体"/>
                <w:b/>
                <w:kern w:val="0"/>
                <w:sz w:val="24"/>
              </w:rPr>
            </w:pPr>
            <w:r>
              <w:rPr>
                <w:rFonts w:hint="eastAsia" w:ascii="宋体" w:hAnsi="宋体" w:eastAsia="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6"/>
              <w:spacing w:before="156" w:after="156"/>
              <w:ind w:firstLine="0" w:firstLineChars="0"/>
              <w:jc w:val="center"/>
              <w:rPr>
                <w:rFonts w:ascii="宋体" w:hAnsi="宋体" w:eastAsia="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国务院令第714</w:t>
            </w:r>
            <w:r>
              <w:rPr>
                <w:rFonts w:ascii="宋体" w:hAnsi="宋体" w:eastAsia="宋体"/>
                <w:kern w:val="0"/>
                <w:sz w:val="24"/>
              </w:rPr>
              <w:t>号</w:t>
            </w:r>
          </w:p>
        </w:tc>
        <w:tc>
          <w:tcPr>
            <w:tcW w:w="5950" w:type="dxa"/>
            <w:vAlign w:val="center"/>
          </w:tcPr>
          <w:p>
            <w:pPr>
              <w:pStyle w:val="16"/>
              <w:spacing w:before="156" w:after="156"/>
              <w:ind w:firstLine="0" w:firstLineChars="0"/>
              <w:rPr>
                <w:rFonts w:ascii="宋体" w:hAnsi="宋体" w:eastAsia="宋体"/>
                <w:kern w:val="0"/>
                <w:sz w:val="24"/>
              </w:rPr>
            </w:pPr>
            <w:r>
              <w:rPr>
                <w:rFonts w:hint="eastAsia" w:ascii="宋体" w:hAnsi="宋体" w:eastAsia="宋体"/>
                <w:kern w:val="0"/>
                <w:sz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国务院令第393</w:t>
            </w:r>
            <w:r>
              <w:rPr>
                <w:rFonts w:ascii="宋体" w:hAnsi="宋体" w:eastAsia="宋体"/>
                <w:kern w:val="0"/>
                <w:sz w:val="24"/>
              </w:rPr>
              <w:t>号</w:t>
            </w:r>
          </w:p>
        </w:tc>
        <w:tc>
          <w:tcPr>
            <w:tcW w:w="5950" w:type="dxa"/>
            <w:vAlign w:val="center"/>
          </w:tcPr>
          <w:p>
            <w:pPr>
              <w:pStyle w:val="16"/>
              <w:spacing w:before="156" w:after="156"/>
              <w:ind w:firstLine="0" w:firstLineChars="0"/>
              <w:rPr>
                <w:rFonts w:ascii="宋体" w:hAnsi="宋体" w:eastAsia="宋体"/>
                <w:kern w:val="0"/>
                <w:sz w:val="24"/>
              </w:rPr>
            </w:pPr>
            <w:r>
              <w:rPr>
                <w:rFonts w:hint="eastAsia" w:ascii="宋体" w:hAnsi="宋体" w:eastAsia="宋体"/>
                <w:kern w:val="0"/>
                <w:sz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国务院令第712号</w:t>
            </w:r>
          </w:p>
        </w:tc>
        <w:tc>
          <w:tcPr>
            <w:tcW w:w="59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spacing w:before="156" w:after="156"/>
              <w:ind w:firstLine="0" w:firstLineChars="0"/>
              <w:jc w:val="left"/>
              <w:rPr>
                <w:rFonts w:ascii="宋体" w:hAnsi="宋体" w:eastAsia="宋体"/>
                <w:kern w:val="0"/>
                <w:sz w:val="24"/>
              </w:rPr>
            </w:pPr>
            <w:r>
              <w:rPr>
                <w:rFonts w:ascii="宋体" w:hAnsi="宋体" w:eastAsia="宋体"/>
                <w:kern w:val="0"/>
                <w:sz w:val="24"/>
              </w:rPr>
              <w:t>国发</w:t>
            </w:r>
            <w:r>
              <w:rPr>
                <w:rFonts w:hint="eastAsia" w:ascii="宋体" w:hAnsi="宋体" w:eastAsia="宋体"/>
                <w:kern w:val="0"/>
                <w:sz w:val="24"/>
              </w:rPr>
              <w:t>〔</w:t>
            </w:r>
            <w:r>
              <w:rPr>
                <w:rFonts w:ascii="宋体" w:hAnsi="宋体" w:eastAsia="宋体"/>
                <w:kern w:val="0"/>
                <w:sz w:val="24"/>
              </w:rPr>
              <w:t>2014</w:t>
            </w:r>
            <w:r>
              <w:rPr>
                <w:rFonts w:hint="eastAsia" w:ascii="宋体" w:hAnsi="宋体" w:eastAsia="宋体"/>
                <w:kern w:val="0"/>
                <w:sz w:val="24"/>
              </w:rPr>
              <w:t>〕</w:t>
            </w:r>
            <w:r>
              <w:rPr>
                <w:rFonts w:ascii="宋体" w:hAnsi="宋体" w:eastAsia="宋体"/>
                <w:kern w:val="0"/>
                <w:sz w:val="24"/>
              </w:rPr>
              <w:t>4</w:t>
            </w:r>
            <w:r>
              <w:rPr>
                <w:rFonts w:hint="eastAsia" w:ascii="宋体" w:hAnsi="宋体" w:eastAsia="宋体"/>
                <w:kern w:val="0"/>
                <w:sz w:val="24"/>
              </w:rPr>
              <w:t>3</w:t>
            </w:r>
            <w:r>
              <w:rPr>
                <w:rFonts w:ascii="宋体" w:hAnsi="宋体" w:eastAsia="宋体"/>
                <w:kern w:val="0"/>
                <w:sz w:val="24"/>
              </w:rPr>
              <w:t>号</w:t>
            </w:r>
          </w:p>
        </w:tc>
        <w:tc>
          <w:tcPr>
            <w:tcW w:w="5950" w:type="dxa"/>
            <w:vAlign w:val="center"/>
          </w:tcPr>
          <w:p>
            <w:pPr>
              <w:pStyle w:val="16"/>
              <w:spacing w:before="156" w:after="156"/>
              <w:ind w:firstLine="0" w:firstLineChars="0"/>
              <w:rPr>
                <w:rFonts w:ascii="宋体" w:hAnsi="宋体" w:eastAsia="宋体"/>
                <w:kern w:val="0"/>
                <w:sz w:val="24"/>
              </w:rPr>
            </w:pPr>
            <w:r>
              <w:rPr>
                <w:rFonts w:ascii="宋体" w:hAnsi="宋体" w:eastAsia="宋体"/>
                <w:kern w:val="0"/>
                <w:sz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中发〔</w:t>
            </w:r>
            <w:r>
              <w:rPr>
                <w:rFonts w:ascii="宋体" w:hAnsi="宋体" w:eastAsia="宋体"/>
                <w:kern w:val="0"/>
                <w:sz w:val="24"/>
              </w:rPr>
              <w:t>201</w:t>
            </w:r>
            <w:r>
              <w:rPr>
                <w:rFonts w:hint="eastAsia" w:ascii="宋体" w:hAnsi="宋体" w:eastAsia="宋体"/>
                <w:kern w:val="0"/>
                <w:sz w:val="24"/>
              </w:rPr>
              <w:t>8〕34号</w:t>
            </w:r>
          </w:p>
        </w:tc>
        <w:tc>
          <w:tcPr>
            <w:tcW w:w="59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《中共中央国务院关于全面实施预算绩效管理的意见》</w:t>
            </w:r>
          </w:p>
        </w:tc>
      </w:tr>
    </w:tbl>
    <w:p>
      <w:pPr>
        <w:spacing w:before="156" w:after="156"/>
        <w:ind w:firstLine="622" w:firstLineChars="200"/>
        <w:rPr>
          <w:rFonts w:asciiTheme="minorEastAsia" w:hAnsiTheme="minorEastAsia" w:cstheme="minorEastAsia"/>
          <w:b/>
          <w:bCs/>
          <w:spacing w:val="15"/>
          <w:sz w:val="28"/>
          <w:szCs w:val="28"/>
        </w:rPr>
      </w:pPr>
      <w:r>
        <w:rPr>
          <w:rFonts w:hint="eastAsia" w:asciiTheme="minorEastAsia" w:hAnsiTheme="minorEastAsia" w:cstheme="minorEastAsia"/>
          <w:b/>
          <w:bCs/>
          <w:spacing w:val="15"/>
          <w:sz w:val="28"/>
          <w:szCs w:val="28"/>
        </w:rPr>
        <w:t>（3）部门规章</w:t>
      </w:r>
    </w:p>
    <w:tbl>
      <w:tblPr>
        <w:tblStyle w:val="1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2575" w:type="dxa"/>
            <w:shd w:val="clear" w:color="auto" w:fill="BEBEBE" w:themeFill="background1" w:themeFillShade="BF"/>
            <w:vAlign w:val="center"/>
          </w:tcPr>
          <w:p>
            <w:pPr>
              <w:pStyle w:val="16"/>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文号</w:t>
            </w:r>
          </w:p>
        </w:tc>
        <w:tc>
          <w:tcPr>
            <w:tcW w:w="5721" w:type="dxa"/>
            <w:shd w:val="clear" w:color="auto" w:fill="BEBEBE" w:themeFill="background1" w:themeFillShade="BF"/>
            <w:vAlign w:val="center"/>
          </w:tcPr>
          <w:p>
            <w:pPr>
              <w:pStyle w:val="16"/>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财库〔2014〕214号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 xml:space="preserve">财政部关于印发《政府采购竞争性磋商采购方式管理暂行办法》的通知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财建〔2004〕729号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《财政部关于开展&lt;中央政府投资项目预算绩效评价工作指导意见&gt;的通知》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财预〔2020〕10号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财预〔2017〕50 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财预〔2016〕154号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财预〔2011〕207号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财预〔2011〕416号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财建〔2013〕165号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财预〔2014〕45号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财预〔2015〕82号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财办预〔2016〕123号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《关于中央部门项目支出绩效自评工作的通知》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财预〔2018〕4号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财综〔2018〕42号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财预〔2018〕69号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spacing w:before="156" w:after="156"/>
              <w:ind w:firstLine="0" w:firstLineChars="0"/>
              <w:jc w:val="center"/>
              <w:rPr>
                <w:rFonts w:ascii="宋体" w:hAnsi="宋体" w:eastAsia="宋体" w:cs="宋体"/>
                <w:kern w:val="0"/>
                <w:sz w:val="24"/>
              </w:rPr>
            </w:pPr>
            <w:r>
              <w:rPr>
                <w:rFonts w:hint="eastAsia" w:ascii="宋体" w:hAnsi="宋体" w:eastAsia="宋体" w:cs="宋体"/>
                <w:b/>
                <w:bCs/>
                <w:kern w:val="0"/>
                <w:sz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冀财金〔2015〕28号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《河北省财政厅印发关于财政助推金融创新支持经济发展的实施意见》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冀财综〔2018〕20号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《关于印发河北省政府购买服务第三方绩效评价实施暂行办法的通知》</w:t>
            </w:r>
          </w:p>
        </w:tc>
      </w:tr>
    </w:tbl>
    <w:p>
      <w:pPr>
        <w:pStyle w:val="16"/>
        <w:tabs>
          <w:tab w:val="left" w:pos="1623"/>
        </w:tabs>
        <w:spacing w:before="59"/>
        <w:ind w:left="560" w:firstLine="0" w:firstLineChars="0"/>
        <w:jc w:val="left"/>
        <w:rPr>
          <w:rFonts w:asciiTheme="minorEastAsia" w:hAnsiTheme="minorEastAsia" w:cstheme="minorEastAsia"/>
          <w:b/>
          <w:bCs/>
          <w:spacing w:val="-3"/>
          <w:sz w:val="28"/>
          <w:szCs w:val="28"/>
        </w:rPr>
      </w:pPr>
      <w:r>
        <w:rPr>
          <w:rFonts w:hint="eastAsia" w:asciiTheme="minorEastAsia" w:hAnsiTheme="minorEastAsia" w:cstheme="minorEastAsia"/>
          <w:b/>
          <w:bCs/>
          <w:spacing w:val="-3"/>
          <w:sz w:val="28"/>
          <w:szCs w:val="28"/>
        </w:rPr>
        <w:t>（4）相关资料</w:t>
      </w:r>
    </w:p>
    <w:tbl>
      <w:tblPr>
        <w:tblStyle w:val="11"/>
        <w:tblW w:w="8325" w:type="dxa"/>
        <w:tblInd w:w="92" w:type="dxa"/>
        <w:tblLayout w:type="fixed"/>
        <w:tblCellMar>
          <w:top w:w="0" w:type="dxa"/>
          <w:left w:w="108" w:type="dxa"/>
          <w:bottom w:w="0" w:type="dxa"/>
          <w:right w:w="108" w:type="dxa"/>
        </w:tblCellMar>
      </w:tblPr>
      <w:tblGrid>
        <w:gridCol w:w="1069"/>
        <w:gridCol w:w="7256"/>
      </w:tblGrid>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7256" w:type="dxa"/>
            <w:tcBorders>
              <w:top w:val="single" w:color="auto" w:sz="4" w:space="0"/>
              <w:left w:val="nil"/>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资料名称</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一</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项目前期工作资料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项目建议书、可行性研究报告及其批复</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项目实施方案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省、市、县政府及各部门相关文件（针对本项目）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4</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项目招标采购文件及中标通知书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5</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施工合同</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二</w:t>
            </w:r>
          </w:p>
        </w:tc>
        <w:tc>
          <w:tcPr>
            <w:tcW w:w="7256" w:type="dxa"/>
            <w:tcBorders>
              <w:top w:val="nil"/>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项目实施过程资料</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nil"/>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施工组织方案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质量管理文件</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资金收支凭证</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三</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b/>
                <w:bCs/>
                <w:color w:val="000000"/>
                <w:kern w:val="0"/>
                <w:sz w:val="24"/>
              </w:rPr>
              <w:t>竣工验收资料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工程质量保修书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施工单位竣工报告</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建设单位绩效评价自评报告</w:t>
            </w:r>
          </w:p>
        </w:tc>
      </w:tr>
    </w:tbl>
    <w:p>
      <w:pPr>
        <w:pStyle w:val="4"/>
        <w:ind w:left="0" w:leftChars="0" w:firstLine="643" w:firstLineChars="200"/>
        <w:rPr>
          <w:rFonts w:hint="default" w:ascii="楷体" w:hAnsi="楷体" w:eastAsia="楷体" w:cs="楷体"/>
          <w:szCs w:val="32"/>
        </w:rPr>
      </w:pPr>
      <w:bookmarkStart w:id="24" w:name="_Toc22990"/>
      <w:bookmarkStart w:id="25" w:name="_Toc4677"/>
      <w:r>
        <w:rPr>
          <w:rFonts w:ascii="楷体" w:hAnsi="楷体" w:eastAsia="楷体" w:cs="楷体"/>
          <w:szCs w:val="32"/>
        </w:rPr>
        <w:t>（三）绩效评价工作内容和范围</w:t>
      </w:r>
      <w:bookmarkEnd w:id="24"/>
      <w:bookmarkEnd w:id="25"/>
    </w:p>
    <w:p>
      <w:pPr>
        <w:ind w:firstLine="560" w:firstLineChars="200"/>
        <w:rPr>
          <w:rFonts w:ascii="仿宋" w:hAnsi="仿宋" w:eastAsia="仿宋" w:cs="仿宋"/>
          <w:sz w:val="32"/>
          <w:szCs w:val="32"/>
        </w:rPr>
      </w:pPr>
      <w:r>
        <w:rPr>
          <w:rFonts w:hint="eastAsia" w:ascii="宋体" w:hAnsi="宋体" w:eastAsia="宋体" w:cs="宋体"/>
          <w:sz w:val="28"/>
          <w:szCs w:val="28"/>
        </w:rPr>
        <w:t>我们对本项目2019年度债券资金使用部分的项目资料的完整性、有效性作出判断，走访调查相关部门当事人，对围场满族蒙古族自治县公安局提供的资料数据进行考察、核实，对绩效评价指标体系中的各项工作任务做出客观、公正的评判，不足之处究其原因作出响应</w:t>
      </w:r>
      <w:r>
        <w:rPr>
          <w:rFonts w:hint="eastAsia" w:ascii="仿宋" w:hAnsi="仿宋" w:eastAsia="仿宋" w:cs="仿宋"/>
          <w:sz w:val="32"/>
          <w:szCs w:val="32"/>
        </w:rPr>
        <w:t>。</w:t>
      </w:r>
    </w:p>
    <w:p>
      <w:pPr>
        <w:pStyle w:val="5"/>
        <w:spacing w:line="530" w:lineRule="exact"/>
        <w:ind w:left="0" w:firstLine="560" w:firstLineChars="200"/>
        <w:rPr>
          <w:rFonts w:ascii="宋体" w:hAnsi="宋体" w:eastAsia="宋体" w:cs="宋体"/>
        </w:rPr>
      </w:pPr>
      <w:r>
        <w:rPr>
          <w:rFonts w:hint="eastAsia" w:ascii="宋体" w:hAnsi="宋体" w:eastAsia="宋体" w:cs="宋体"/>
        </w:rPr>
        <w:t>评价内容包括：</w:t>
      </w:r>
    </w:p>
    <w:p>
      <w:pPr>
        <w:pStyle w:val="5"/>
        <w:spacing w:line="530" w:lineRule="exact"/>
        <w:ind w:left="0" w:firstLine="560" w:firstLineChars="200"/>
        <w:rPr>
          <w:rFonts w:ascii="宋体" w:hAnsi="宋体" w:eastAsia="宋体" w:cs="宋体"/>
        </w:rPr>
      </w:pPr>
      <w:r>
        <w:rPr>
          <w:rFonts w:hint="eastAsia" w:ascii="宋体" w:hAnsi="宋体" w:eastAsia="宋体" w:cs="宋体"/>
        </w:rPr>
        <w:t>1.决策情况；</w:t>
      </w:r>
    </w:p>
    <w:p>
      <w:pPr>
        <w:pStyle w:val="5"/>
        <w:spacing w:line="530" w:lineRule="exact"/>
        <w:ind w:left="0" w:firstLine="560" w:firstLineChars="200"/>
        <w:rPr>
          <w:rFonts w:ascii="宋体" w:hAnsi="宋体" w:eastAsia="宋体" w:cs="宋体"/>
        </w:rPr>
      </w:pPr>
      <w:r>
        <w:rPr>
          <w:rFonts w:hint="eastAsia" w:ascii="宋体" w:hAnsi="宋体" w:eastAsia="宋体" w:cs="宋体"/>
        </w:rPr>
        <w:t>2.资金管理和使用情况；</w:t>
      </w:r>
    </w:p>
    <w:p>
      <w:pPr>
        <w:pStyle w:val="5"/>
        <w:spacing w:line="530" w:lineRule="exact"/>
        <w:ind w:left="0" w:firstLine="560" w:firstLineChars="200"/>
        <w:rPr>
          <w:rFonts w:ascii="宋体" w:hAnsi="宋体" w:eastAsia="宋体" w:cs="宋体"/>
        </w:rPr>
      </w:pPr>
      <w:r>
        <w:rPr>
          <w:rFonts w:hint="eastAsia" w:ascii="宋体" w:hAnsi="宋体" w:eastAsia="宋体" w:cs="宋体"/>
        </w:rPr>
        <w:t>3.相关管理制度办法的健全性及执行情况；</w:t>
      </w:r>
    </w:p>
    <w:p>
      <w:pPr>
        <w:pStyle w:val="5"/>
        <w:spacing w:line="530" w:lineRule="exact"/>
        <w:ind w:left="0" w:firstLine="560" w:firstLineChars="200"/>
        <w:rPr>
          <w:rFonts w:ascii="宋体" w:hAnsi="宋体" w:eastAsia="宋体" w:cs="宋体"/>
        </w:rPr>
      </w:pPr>
      <w:r>
        <w:rPr>
          <w:rFonts w:hint="eastAsia" w:ascii="宋体" w:hAnsi="宋体" w:eastAsia="宋体" w:cs="宋体"/>
        </w:rPr>
        <w:t>4.实现的产出情况；</w:t>
      </w:r>
    </w:p>
    <w:p>
      <w:pPr>
        <w:pStyle w:val="5"/>
        <w:spacing w:line="530" w:lineRule="exact"/>
        <w:ind w:left="0" w:firstLine="560" w:firstLineChars="200"/>
        <w:rPr>
          <w:rFonts w:ascii="宋体" w:hAnsi="宋体" w:eastAsia="宋体" w:cs="宋体"/>
        </w:rPr>
      </w:pPr>
      <w:r>
        <w:rPr>
          <w:rFonts w:hint="eastAsia" w:ascii="宋体" w:hAnsi="宋体" w:eastAsia="宋体" w:cs="宋体"/>
        </w:rPr>
        <w:t>5.取得的效益情况；</w:t>
      </w:r>
    </w:p>
    <w:p>
      <w:pPr>
        <w:pStyle w:val="5"/>
        <w:spacing w:line="530" w:lineRule="exact"/>
        <w:ind w:left="0" w:firstLine="560" w:firstLineChars="200"/>
        <w:rPr>
          <w:rFonts w:ascii="宋体" w:hAnsi="宋体" w:eastAsia="宋体" w:cs="宋体"/>
        </w:rPr>
      </w:pPr>
      <w:r>
        <w:rPr>
          <w:rFonts w:hint="eastAsia" w:ascii="宋体" w:hAnsi="宋体" w:eastAsia="宋体" w:cs="宋体"/>
        </w:rPr>
        <w:t>6.其他相关内容；</w:t>
      </w:r>
    </w:p>
    <w:p>
      <w:pPr>
        <w:pStyle w:val="5"/>
        <w:spacing w:line="530" w:lineRule="exact"/>
        <w:ind w:left="0" w:firstLine="560" w:firstLineChars="200"/>
        <w:rPr>
          <w:rFonts w:ascii="仿宋" w:hAnsi="仿宋" w:eastAsia="仿宋" w:cs="仿宋"/>
          <w:sz w:val="32"/>
          <w:szCs w:val="32"/>
        </w:rPr>
      </w:pPr>
      <w:r>
        <w:rPr>
          <w:rFonts w:hint="eastAsia" w:ascii="宋体" w:hAnsi="宋体" w:eastAsia="宋体" w:cs="宋体"/>
        </w:rPr>
        <w:t>评价范围包括2019年度围场县地方政府新增一般债</w:t>
      </w:r>
      <w:r>
        <w:rPr>
          <w:rFonts w:hint="eastAsia" w:ascii="宋体" w:hAnsi="宋体" w:eastAsia="宋体" w:cs="宋体"/>
          <w:lang w:eastAsia="zh-CN"/>
        </w:rPr>
        <w:t>券</w:t>
      </w:r>
      <w:r>
        <w:rPr>
          <w:rFonts w:hint="eastAsia" w:ascii="宋体" w:hAnsi="宋体" w:eastAsia="宋体" w:cs="宋体"/>
        </w:rPr>
        <w:t>资金的预算投入、支出情况。</w:t>
      </w:r>
    </w:p>
    <w:p>
      <w:pPr>
        <w:pStyle w:val="10"/>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6" w:name="_Toc29936"/>
      <w:bookmarkStart w:id="27" w:name="_Toc30379"/>
      <w:r>
        <w:rPr>
          <w:rFonts w:hint="eastAsia" w:ascii="楷体" w:hAnsi="楷体" w:eastAsia="楷体" w:cs="楷体"/>
          <w:b/>
          <w:bCs/>
          <w:color w:val="000000" w:themeColor="text1"/>
          <w:kern w:val="2"/>
          <w:sz w:val="32"/>
          <w:szCs w:val="32"/>
          <w14:textFill>
            <w14:solidFill>
              <w14:schemeClr w14:val="tx1"/>
            </w14:solidFill>
          </w14:textFill>
        </w:rPr>
        <w:t>（四）绩效评价标准和方法</w:t>
      </w:r>
      <w:bookmarkEnd w:id="26"/>
      <w:bookmarkEnd w:id="27"/>
    </w:p>
    <w:p>
      <w:pPr>
        <w:pStyle w:val="5"/>
        <w:spacing w:line="530" w:lineRule="exact"/>
        <w:ind w:left="0" w:firstLine="560" w:firstLineChars="200"/>
        <w:rPr>
          <w:rFonts w:ascii="宋体" w:hAnsi="宋体" w:eastAsia="宋体" w:cs="宋体"/>
        </w:rPr>
      </w:pPr>
      <w:r>
        <w:rPr>
          <w:rFonts w:hint="eastAsia" w:ascii="宋体" w:hAnsi="宋体" w:eastAsia="宋体" w:cs="宋体"/>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18个三级指标。绩效评价采用百分制，满分为100分。考评结果等次：根据计算统计结果的分值，确定考评对象最后达到的等次，具体确定为：考评分值S≥80，为优；80＞S≥70，为良；70＞S≥60，为合格；S＜60，为不合格。</w:t>
      </w:r>
    </w:p>
    <w:p>
      <w:pPr>
        <w:pStyle w:val="5"/>
        <w:spacing w:line="530" w:lineRule="exact"/>
        <w:ind w:left="0" w:firstLine="560" w:firstLineChars="200"/>
        <w:rPr>
          <w:rFonts w:ascii="宋体" w:hAnsi="宋体" w:eastAsia="宋体" w:cs="宋体"/>
        </w:rPr>
      </w:pPr>
      <w:r>
        <w:rPr>
          <w:rFonts w:hint="eastAsia" w:ascii="宋体" w:hAnsi="宋体" w:eastAsia="宋体" w:cs="宋体"/>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pStyle w:val="5"/>
        <w:spacing w:line="530" w:lineRule="exact"/>
        <w:ind w:left="0" w:firstLine="560" w:firstLineChars="200"/>
        <w:rPr>
          <w:rFonts w:ascii="宋体" w:hAnsi="宋体" w:eastAsia="宋体" w:cs="宋体"/>
        </w:rPr>
      </w:pPr>
      <w:r>
        <w:rPr>
          <w:rFonts w:hint="eastAsia" w:ascii="宋体" w:hAnsi="宋体" w:eastAsia="宋体" w:cs="宋体"/>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pStyle w:val="5"/>
        <w:spacing w:line="530" w:lineRule="exact"/>
        <w:ind w:left="0" w:firstLine="560" w:firstLineChars="200"/>
        <w:rPr>
          <w:rFonts w:ascii="宋体" w:hAnsi="宋体" w:eastAsia="宋体" w:cs="宋体"/>
        </w:rPr>
      </w:pPr>
      <w:r>
        <w:rPr>
          <w:rFonts w:hint="eastAsia" w:ascii="宋体" w:hAnsi="宋体" w:eastAsia="宋体" w:cs="宋体"/>
        </w:rPr>
        <w:t>评价方法：</w:t>
      </w:r>
    </w:p>
    <w:p>
      <w:pPr>
        <w:pStyle w:val="5"/>
        <w:spacing w:line="530" w:lineRule="exact"/>
        <w:ind w:left="0" w:firstLine="560" w:firstLineChars="200"/>
        <w:rPr>
          <w:rFonts w:ascii="宋体" w:hAnsi="宋体" w:eastAsia="宋体" w:cs="宋体"/>
        </w:rPr>
      </w:pPr>
      <w:r>
        <w:rPr>
          <w:rFonts w:hint="eastAsia" w:ascii="宋体" w:hAnsi="宋体" w:eastAsia="宋体" w:cs="宋体"/>
        </w:rPr>
        <w:t>1、层次分析法</w:t>
      </w:r>
    </w:p>
    <w:p>
      <w:pPr>
        <w:pStyle w:val="5"/>
        <w:spacing w:line="530" w:lineRule="exact"/>
        <w:ind w:left="0" w:firstLine="560" w:firstLineChars="200"/>
        <w:rPr>
          <w:rFonts w:ascii="宋体" w:hAnsi="宋体" w:eastAsia="宋体" w:cs="宋体"/>
        </w:rPr>
      </w:pPr>
      <w:r>
        <w:rPr>
          <w:rFonts w:hint="eastAsia" w:ascii="宋体" w:hAnsi="宋体" w:eastAsia="宋体" w:cs="宋体"/>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pStyle w:val="5"/>
        <w:spacing w:line="530" w:lineRule="exact"/>
        <w:ind w:left="0" w:firstLine="560" w:firstLineChars="200"/>
        <w:rPr>
          <w:rFonts w:ascii="宋体" w:hAnsi="宋体" w:eastAsia="宋体" w:cs="宋体"/>
        </w:rPr>
      </w:pPr>
      <w:r>
        <w:rPr>
          <w:rFonts w:hint="eastAsia" w:ascii="宋体" w:hAnsi="宋体" w:eastAsia="宋体" w:cs="宋体"/>
        </w:rPr>
        <w:t>2、对比分析法</w:t>
      </w:r>
    </w:p>
    <w:p>
      <w:pPr>
        <w:pStyle w:val="5"/>
        <w:spacing w:line="530" w:lineRule="exact"/>
        <w:ind w:left="0" w:firstLine="560" w:firstLineChars="200"/>
        <w:rPr>
          <w:rFonts w:ascii="宋体" w:hAnsi="宋体" w:eastAsia="宋体" w:cs="宋体"/>
        </w:rPr>
      </w:pPr>
      <w:r>
        <w:rPr>
          <w:rFonts w:hint="eastAsia" w:ascii="宋体" w:hAnsi="宋体" w:eastAsia="宋体" w:cs="宋体"/>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pStyle w:val="5"/>
        <w:spacing w:line="530" w:lineRule="exact"/>
        <w:ind w:left="0" w:firstLine="560" w:firstLineChars="200"/>
        <w:rPr>
          <w:rFonts w:ascii="宋体" w:hAnsi="宋体" w:eastAsia="宋体" w:cs="宋体"/>
        </w:rPr>
      </w:pPr>
      <w:r>
        <w:rPr>
          <w:rFonts w:hint="eastAsia" w:ascii="宋体" w:hAnsi="宋体" w:eastAsia="宋体" w:cs="宋体"/>
        </w:rPr>
        <w:t>3、成本效益分析法。是指将投入与产出、效益进行关联性分析的方法。</w:t>
      </w:r>
    </w:p>
    <w:p>
      <w:pPr>
        <w:pStyle w:val="5"/>
        <w:spacing w:line="530" w:lineRule="exact"/>
        <w:ind w:left="0" w:firstLine="560" w:firstLineChars="200"/>
        <w:rPr>
          <w:rFonts w:ascii="宋体" w:hAnsi="宋体" w:eastAsia="宋体" w:cs="宋体"/>
        </w:rPr>
      </w:pPr>
      <w:r>
        <w:rPr>
          <w:rFonts w:hint="eastAsia" w:ascii="宋体" w:hAnsi="宋体" w:eastAsia="宋体" w:cs="宋体"/>
        </w:rPr>
        <w:t>4、因素分析法。是指综合分析影响绩效目标实现、实施效果的内外部因素的方法。</w:t>
      </w:r>
    </w:p>
    <w:p>
      <w:pPr>
        <w:pStyle w:val="5"/>
        <w:spacing w:line="530" w:lineRule="exact"/>
        <w:ind w:left="0" w:firstLine="560" w:firstLineChars="200"/>
        <w:rPr>
          <w:rFonts w:ascii="宋体" w:hAnsi="宋体" w:eastAsia="宋体" w:cs="宋体"/>
        </w:rPr>
      </w:pPr>
      <w:r>
        <w:rPr>
          <w:rFonts w:hint="eastAsia" w:ascii="宋体" w:hAnsi="宋体" w:eastAsia="宋体" w:cs="宋体"/>
        </w:rPr>
        <w:t>5、调查法</w:t>
      </w:r>
    </w:p>
    <w:p>
      <w:pPr>
        <w:ind w:firstLine="560" w:firstLineChars="200"/>
        <w:rPr>
          <w:rFonts w:ascii="宋体" w:hAnsi="宋体" w:eastAsia="宋体" w:cs="宋体"/>
          <w:sz w:val="28"/>
          <w:szCs w:val="28"/>
        </w:rPr>
      </w:pPr>
      <w:r>
        <w:rPr>
          <w:rFonts w:hint="eastAsia" w:ascii="宋体" w:hAnsi="宋体" w:eastAsia="宋体" w:cs="宋体"/>
          <w:sz w:val="28"/>
          <w:szCs w:val="28"/>
        </w:rPr>
        <w:t>掌握客观、真实的信息、数据是后评价工作的先决条件和基础，在很多项目中，经常采用收集档案资料、座谈、电话、走访及调查等方法相结合的方式。</w:t>
      </w:r>
    </w:p>
    <w:p>
      <w:pPr>
        <w:pStyle w:val="10"/>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8" w:name="_Toc12042"/>
      <w:bookmarkStart w:id="29" w:name="_Toc8164"/>
      <w:bookmarkStart w:id="30" w:name="_Toc29690"/>
      <w:r>
        <w:rPr>
          <w:rFonts w:hint="eastAsia" w:ascii="楷体" w:hAnsi="楷体" w:eastAsia="楷体" w:cs="楷体"/>
          <w:b/>
          <w:bCs/>
          <w:color w:val="000000" w:themeColor="text1"/>
          <w:kern w:val="2"/>
          <w:sz w:val="32"/>
          <w:szCs w:val="32"/>
          <w14:textFill>
            <w14:solidFill>
              <w14:schemeClr w14:val="tx1"/>
            </w14:solidFill>
          </w14:textFill>
        </w:rPr>
        <w:t>（五）绩效评价工作过程</w:t>
      </w:r>
      <w:bookmarkEnd w:id="28"/>
      <w:bookmarkEnd w:id="29"/>
    </w:p>
    <w:p>
      <w:pPr>
        <w:adjustRightInd w:val="0"/>
        <w:snapToGrid w:val="0"/>
        <w:spacing w:line="600" w:lineRule="exact"/>
        <w:ind w:firstLine="560" w:firstLineChars="200"/>
        <w:outlineLvl w:val="0"/>
        <w:rPr>
          <w:rFonts w:ascii="宋体" w:hAnsi="宋体" w:eastAsia="宋体" w:cs="宋体"/>
          <w:sz w:val="28"/>
          <w:szCs w:val="28"/>
        </w:rPr>
      </w:pPr>
      <w:bookmarkStart w:id="31" w:name="_Toc22556"/>
      <w:bookmarkStart w:id="32" w:name="_Toc17563"/>
      <w:bookmarkStart w:id="33" w:name="_Toc13042"/>
      <w:bookmarkStart w:id="34" w:name="_Toc31807"/>
      <w:r>
        <w:rPr>
          <w:rFonts w:hint="eastAsia" w:ascii="宋体" w:hAnsi="宋体" w:eastAsia="宋体" w:cs="宋体"/>
          <w:sz w:val="28"/>
          <w:szCs w:val="28"/>
        </w:rPr>
        <w:t>围场满族蒙古族自治县财政局委托承德燕山会计师事务所有限责任公司对本项目债券资金使用情况的经济性、规范性、效益性和可持续性等进行客观、公正的分析和评判。根据绩效评价工作要求，我方做以下工作：</w:t>
      </w:r>
      <w:bookmarkEnd w:id="31"/>
      <w:bookmarkEnd w:id="32"/>
      <w:bookmarkEnd w:id="33"/>
      <w:bookmarkEnd w:id="34"/>
    </w:p>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35" w:name="_Toc15494"/>
      <w:bookmarkStart w:id="36" w:name="_Toc27413"/>
      <w:bookmarkStart w:id="37" w:name="_Toc24311"/>
      <w:bookmarkStart w:id="38" w:name="_Toc17036"/>
      <w:bookmarkStart w:id="39" w:name="_Toc1487"/>
      <w:bookmarkStart w:id="40" w:name="_Toc24972"/>
      <w:bookmarkStart w:id="41" w:name="_Toc24529"/>
      <w:bookmarkStart w:id="42" w:name="_Toc19058"/>
      <w:r>
        <w:rPr>
          <w:rFonts w:hint="eastAsia" w:ascii="宋体" w:hAnsi="宋体" w:eastAsia="宋体" w:cs="宋体"/>
          <w:b/>
          <w:bCs/>
          <w:kern w:val="0"/>
          <w:sz w:val="28"/>
          <w:szCs w:val="28"/>
        </w:rPr>
        <w:t>1、明确项目团队的职责与分工</w:t>
      </w:r>
      <w:bookmarkEnd w:id="35"/>
      <w:bookmarkEnd w:id="36"/>
      <w:bookmarkEnd w:id="37"/>
      <w:bookmarkEnd w:id="38"/>
      <w:bookmarkEnd w:id="39"/>
      <w:bookmarkEnd w:id="40"/>
      <w:bookmarkEnd w:id="41"/>
      <w:bookmarkEnd w:id="42"/>
    </w:p>
    <w:tbl>
      <w:tblPr>
        <w:tblStyle w:val="12"/>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5"/>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负责人</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2</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5"/>
              <w:ind w:firstLine="0"/>
              <w:jc w:val="center"/>
              <w:rPr>
                <w:rFonts w:ascii="宋体" w:hAnsi="宋体" w:eastAsia="宋体" w:cs="宋体"/>
                <w:b/>
                <w:bCs/>
                <w:spacing w:val="15"/>
                <w:sz w:val="24"/>
                <w:highlight w:val="yellow"/>
              </w:rPr>
            </w:pPr>
            <w:r>
              <w:rPr>
                <w:rFonts w:hint="eastAsia" w:ascii="宋体" w:hAnsi="宋体" w:eastAsia="宋体" w:cs="宋体"/>
                <w:b/>
                <w:bCs/>
                <w:spacing w:val="15"/>
                <w:sz w:val="24"/>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5</w:t>
            </w:r>
          </w:p>
        </w:tc>
        <w:tc>
          <w:tcPr>
            <w:tcW w:w="1705" w:type="dxa"/>
            <w:vMerge w:val="restart"/>
            <w:vAlign w:val="center"/>
          </w:tcPr>
          <w:p>
            <w:pPr>
              <w:pStyle w:val="15"/>
              <w:ind w:firstLine="0"/>
              <w:jc w:val="center"/>
              <w:rPr>
                <w:rFonts w:ascii="宋体" w:hAnsi="宋体" w:eastAsia="宋体" w:cs="宋体"/>
                <w:kern w:val="0"/>
                <w:sz w:val="24"/>
              </w:rPr>
            </w:pPr>
            <w:r>
              <w:rPr>
                <w:rFonts w:hint="eastAsia" w:ascii="宋体" w:hAnsi="宋体" w:eastAsia="宋体" w:cs="宋体"/>
                <w:kern w:val="0"/>
                <w:sz w:val="24"/>
              </w:rPr>
              <w:t>监管审核</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资料检查、管理、归档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6</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崔春华</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现场调查、走访，出具绩效评价报告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8</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9</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10</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11</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杨莉洁</w:t>
            </w:r>
          </w:p>
        </w:tc>
        <w:tc>
          <w:tcPr>
            <w:tcW w:w="4311" w:type="dxa"/>
            <w:vMerge w:val="continue"/>
            <w:vAlign w:val="center"/>
          </w:tcPr>
          <w:p>
            <w:pPr>
              <w:jc w:val="center"/>
              <w:rPr>
                <w:rFonts w:ascii="宋体" w:hAnsi="宋体" w:eastAsia="宋体" w:cs="宋体"/>
                <w:kern w:val="0"/>
                <w:sz w:val="24"/>
              </w:rPr>
            </w:pPr>
          </w:p>
        </w:tc>
      </w:tr>
    </w:tbl>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43" w:name="_Toc27143"/>
      <w:bookmarkStart w:id="44" w:name="_Toc28394"/>
      <w:bookmarkStart w:id="45" w:name="_Toc29931"/>
      <w:bookmarkStart w:id="46" w:name="_Toc31637"/>
      <w:r>
        <w:rPr>
          <w:rFonts w:hint="eastAsia" w:ascii="宋体" w:hAnsi="宋体" w:eastAsia="宋体" w:cs="宋体"/>
          <w:b/>
          <w:bCs/>
          <w:kern w:val="0"/>
          <w:sz w:val="28"/>
          <w:szCs w:val="28"/>
        </w:rPr>
        <w:t>2、评价工作各相关当事方的职责</w:t>
      </w:r>
      <w:bookmarkEnd w:id="43"/>
      <w:bookmarkEnd w:id="44"/>
      <w:bookmarkEnd w:id="45"/>
      <w:bookmarkEnd w:id="46"/>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844"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序号</w:t>
            </w:r>
          </w:p>
        </w:tc>
        <w:tc>
          <w:tcPr>
            <w:tcW w:w="2263" w:type="dxa"/>
            <w:shd w:val="clear" w:color="auto" w:fill="BEBEBE"/>
            <w:vAlign w:val="center"/>
          </w:tcPr>
          <w:p>
            <w:pPr>
              <w:jc w:val="center"/>
              <w:rPr>
                <w:rFonts w:ascii="宋体" w:hAnsi="宋体" w:eastAsia="宋体"/>
                <w:b/>
                <w:bCs/>
                <w:kern w:val="0"/>
                <w:sz w:val="24"/>
              </w:rPr>
            </w:pPr>
            <w:r>
              <w:rPr>
                <w:rFonts w:hint="eastAsia" w:ascii="宋体" w:hAnsi="宋体" w:eastAsia="宋体"/>
                <w:b/>
                <w:bCs/>
                <w:spacing w:val="15"/>
                <w:kern w:val="0"/>
                <w:sz w:val="24"/>
              </w:rPr>
              <w:t>各相关当事方</w:t>
            </w:r>
          </w:p>
        </w:tc>
        <w:tc>
          <w:tcPr>
            <w:tcW w:w="5172"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1</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委托方</w:t>
            </w:r>
          </w:p>
        </w:tc>
        <w:tc>
          <w:tcPr>
            <w:tcW w:w="5172" w:type="dxa"/>
            <w:vAlign w:val="center"/>
          </w:tcPr>
          <w:p>
            <w:pPr>
              <w:numPr>
                <w:ilvl w:val="0"/>
                <w:numId w:val="1"/>
              </w:numPr>
              <w:rPr>
                <w:rFonts w:ascii="宋体" w:hAnsi="宋体" w:eastAsia="宋体" w:cs="宋体"/>
                <w:spacing w:val="15"/>
                <w:kern w:val="0"/>
                <w:sz w:val="24"/>
              </w:rPr>
            </w:pPr>
            <w:r>
              <w:rPr>
                <w:rFonts w:hint="eastAsia" w:ascii="宋体" w:hAnsi="宋体" w:eastAsia="宋体" w:cs="宋体"/>
                <w:spacing w:val="15"/>
                <w:kern w:val="0"/>
                <w:sz w:val="24"/>
              </w:rPr>
              <w:t>明确王雪同志参加绩效评价工作，负责与相关部门沟通协调，确保绩效评价工作正常开展。</w:t>
            </w:r>
          </w:p>
          <w:p>
            <w:pPr>
              <w:rPr>
                <w:rFonts w:ascii="宋体" w:hAnsi="宋体" w:eastAsia="宋体"/>
                <w:spacing w:val="15"/>
                <w:kern w:val="0"/>
                <w:sz w:val="24"/>
              </w:rPr>
            </w:pPr>
            <w:r>
              <w:rPr>
                <w:rFonts w:hint="eastAsia" w:ascii="宋体" w:hAnsi="宋体" w:eastAsia="宋体" w:cs="宋体"/>
                <w:spacing w:val="15"/>
                <w:kern w:val="0"/>
                <w:sz w:val="24"/>
              </w:rPr>
              <w:t>2.整理好由委托方提供的与该项目有关的相关资料。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2</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建设单位</w:t>
            </w:r>
          </w:p>
        </w:tc>
        <w:tc>
          <w:tcPr>
            <w:tcW w:w="5172"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3</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受托方</w:t>
            </w:r>
          </w:p>
        </w:tc>
        <w:tc>
          <w:tcPr>
            <w:tcW w:w="5172"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1.对</w:t>
            </w:r>
            <w:r>
              <w:rPr>
                <w:rFonts w:hint="eastAsia" w:ascii="宋体" w:hAnsi="宋体" w:eastAsia="宋体" w:cs="宋体"/>
                <w:sz w:val="24"/>
              </w:rPr>
              <w:t>本</w:t>
            </w:r>
            <w:r>
              <w:rPr>
                <w:rFonts w:hint="eastAsia" w:ascii="宋体" w:hAnsi="宋体" w:eastAsia="宋体" w:cs="宋体"/>
                <w:spacing w:val="15"/>
                <w:kern w:val="0"/>
                <w:sz w:val="24"/>
              </w:rPr>
              <w:t>项目资金安排的使用情况，组织实施情况和绩效目标实现程度及效果进行评价；</w:t>
            </w:r>
          </w:p>
          <w:p>
            <w:pPr>
              <w:rPr>
                <w:rFonts w:ascii="宋体" w:hAnsi="宋体" w:eastAsia="宋体"/>
                <w:spacing w:val="15"/>
                <w:kern w:val="0"/>
                <w:sz w:val="24"/>
              </w:rPr>
            </w:pPr>
            <w:r>
              <w:rPr>
                <w:rFonts w:hint="eastAsia" w:ascii="宋体" w:hAnsi="宋体" w:eastAsia="宋体" w:cs="宋体"/>
                <w:spacing w:val="15"/>
                <w:kern w:val="0"/>
                <w:sz w:val="24"/>
              </w:rPr>
              <w:t>2.对</w:t>
            </w:r>
            <w:r>
              <w:rPr>
                <w:rFonts w:hint="eastAsia" w:ascii="宋体" w:hAnsi="宋体" w:eastAsia="宋体" w:cs="宋体"/>
                <w:sz w:val="24"/>
              </w:rPr>
              <w:t>本</w:t>
            </w:r>
            <w:r>
              <w:rPr>
                <w:rFonts w:hint="eastAsia" w:ascii="宋体" w:hAnsi="宋体" w:eastAsia="宋体" w:cs="宋体"/>
                <w:spacing w:val="15"/>
                <w:kern w:val="0"/>
                <w:sz w:val="24"/>
              </w:rPr>
              <w:t>项目进行第三方绩效评价服务，并出具绩效评价报告；</w:t>
            </w:r>
          </w:p>
        </w:tc>
      </w:tr>
    </w:tbl>
    <w:p>
      <w:pPr>
        <w:ind w:firstLine="562" w:firstLineChars="200"/>
        <w:rPr>
          <w:rFonts w:ascii="宋体" w:hAnsi="宋体" w:eastAsia="宋体" w:cs="宋体"/>
          <w:b/>
          <w:bCs/>
          <w:sz w:val="28"/>
          <w:szCs w:val="28"/>
        </w:rPr>
      </w:pPr>
      <w:r>
        <w:rPr>
          <w:rFonts w:hint="eastAsia" w:ascii="宋体" w:hAnsi="宋体" w:eastAsia="宋体" w:cs="宋体"/>
          <w:b/>
          <w:bCs/>
          <w:sz w:val="28"/>
          <w:szCs w:val="28"/>
        </w:rPr>
        <w:t>3、资料收集与调查</w:t>
      </w:r>
    </w:p>
    <w:p>
      <w:pPr>
        <w:ind w:firstLine="560" w:firstLineChars="200"/>
        <w:rPr>
          <w:rFonts w:ascii="宋体" w:hAnsi="宋体" w:eastAsia="宋体" w:cs="宋体"/>
          <w:sz w:val="28"/>
          <w:szCs w:val="28"/>
        </w:rPr>
      </w:pPr>
      <w:r>
        <w:rPr>
          <w:rFonts w:hint="eastAsia" w:ascii="宋体" w:hAnsi="宋体" w:eastAsia="宋体" w:cs="宋体"/>
          <w:sz w:val="28"/>
          <w:szCs w:val="28"/>
        </w:rPr>
        <w:t>明确开展绩效评价工作所需的资料收集与调查方案，包括资料收集内容与途径、数据资料来源以及具体的调查方法。</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1）、资料调查法</w:t>
      </w:r>
    </w:p>
    <w:p>
      <w:pPr>
        <w:ind w:firstLine="560" w:firstLineChars="200"/>
        <w:rPr>
          <w:rFonts w:ascii="宋体" w:hAnsi="宋体" w:eastAsia="宋体" w:cs="宋体"/>
          <w:sz w:val="28"/>
          <w:szCs w:val="28"/>
        </w:rPr>
      </w:pPr>
      <w:r>
        <w:rPr>
          <w:rFonts w:hint="eastAsia" w:ascii="宋体" w:hAnsi="宋体" w:eastAsia="宋体" w:cs="宋体"/>
          <w:sz w:val="28"/>
          <w:szCs w:val="28"/>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2）、座谈调查法</w:t>
      </w:r>
    </w:p>
    <w:p>
      <w:pPr>
        <w:ind w:firstLine="560" w:firstLineChars="200"/>
        <w:rPr>
          <w:rFonts w:ascii="仿宋" w:hAnsi="仿宋" w:eastAsia="仿宋" w:cs="宋体"/>
          <w:bCs/>
          <w:kern w:val="0"/>
          <w:sz w:val="32"/>
          <w:szCs w:val="32"/>
        </w:rPr>
      </w:pPr>
      <w:r>
        <w:rPr>
          <w:rFonts w:hint="eastAsia" w:ascii="宋体" w:hAnsi="宋体" w:eastAsia="宋体" w:cs="宋体"/>
          <w:sz w:val="28"/>
          <w:szCs w:val="28"/>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3）、走访调查法</w:t>
      </w:r>
    </w:p>
    <w:p>
      <w:pPr>
        <w:ind w:firstLine="560" w:firstLineChars="200"/>
        <w:rPr>
          <w:rFonts w:ascii="宋体" w:hAnsi="宋体" w:eastAsia="宋体" w:cs="宋体"/>
          <w:sz w:val="28"/>
          <w:szCs w:val="28"/>
        </w:rPr>
      </w:pPr>
      <w:r>
        <w:rPr>
          <w:rFonts w:hint="eastAsia" w:ascii="宋体" w:hAnsi="宋体" w:eastAsia="宋体" w:cs="宋体"/>
          <w:sz w:val="28"/>
          <w:szCs w:val="28"/>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4、明确绩效评价工作质量控制措施</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整个实施过程中对具体绩效评价质量监控主要有外部监控和内部监控两个方面。</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外部监控主要包括财政部门或预算单位对评价小组成员评价工作组能力评价、第三方绩效评价方案的审核、评价实施过程的监控、评价报告的审核、评价质量评审；</w:t>
      </w:r>
    </w:p>
    <w:p>
      <w:pPr>
        <w:adjustRightInd w:val="0"/>
        <w:snapToGrid w:val="0"/>
        <w:spacing w:line="600" w:lineRule="exact"/>
        <w:ind w:firstLine="560" w:firstLineChars="200"/>
        <w:outlineLvl w:val="0"/>
        <w:rPr>
          <w:rFonts w:ascii="黑体" w:hAnsi="黑体" w:eastAsia="黑体" w:cs="黑体"/>
          <w:sz w:val="32"/>
          <w:szCs w:val="32"/>
        </w:rPr>
      </w:pPr>
      <w:bookmarkStart w:id="47" w:name="_Toc332"/>
      <w:bookmarkStart w:id="48" w:name="_Toc27067"/>
      <w:r>
        <w:rPr>
          <w:rFonts w:hint="eastAsia" w:ascii="宋体" w:hAnsi="宋体" w:eastAsia="宋体" w:cs="宋体"/>
          <w:sz w:val="28"/>
          <w:szCs w:val="28"/>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47"/>
      <w:bookmarkEnd w:id="48"/>
    </w:p>
    <w:bookmarkEnd w:id="30"/>
    <w:p>
      <w:pPr>
        <w:ind w:firstLine="640" w:firstLineChars="200"/>
        <w:outlineLvl w:val="0"/>
        <w:rPr>
          <w:rFonts w:ascii="黑体" w:hAnsi="黑体" w:eastAsia="黑体" w:cs="黑体"/>
          <w:sz w:val="32"/>
          <w:szCs w:val="32"/>
        </w:rPr>
      </w:pPr>
      <w:bookmarkStart w:id="49" w:name="_Toc25099"/>
      <w:r>
        <w:rPr>
          <w:rFonts w:hint="eastAsia" w:ascii="黑体" w:hAnsi="黑体" w:eastAsia="黑体" w:cs="黑体"/>
          <w:sz w:val="32"/>
          <w:szCs w:val="32"/>
        </w:rPr>
        <w:t>三、项目实施及资金使用情况</w:t>
      </w:r>
      <w:bookmarkEnd w:id="49"/>
    </w:p>
    <w:p>
      <w:pPr>
        <w:ind w:firstLine="643" w:firstLineChars="200"/>
        <w:outlineLvl w:val="1"/>
        <w:rPr>
          <w:rFonts w:ascii="楷体" w:hAnsi="楷体" w:eastAsia="楷体" w:cs="楷体"/>
          <w:b/>
          <w:bCs/>
          <w:sz w:val="32"/>
          <w:szCs w:val="32"/>
        </w:rPr>
      </w:pPr>
      <w:bookmarkStart w:id="50" w:name="_Toc6786"/>
      <w:r>
        <w:rPr>
          <w:rFonts w:hint="eastAsia" w:ascii="楷体" w:hAnsi="楷体" w:eastAsia="楷体" w:cs="楷体"/>
          <w:b/>
          <w:bCs/>
          <w:sz w:val="32"/>
          <w:szCs w:val="32"/>
        </w:rPr>
        <w:t>（一）项目实施情况</w:t>
      </w:r>
      <w:bookmarkEnd w:id="50"/>
    </w:p>
    <w:p>
      <w:pPr>
        <w:ind w:firstLine="560" w:firstLineChars="200"/>
        <w:rPr>
          <w:rFonts w:ascii="宋体" w:hAnsi="宋体" w:eastAsia="宋体" w:cs="宋体"/>
          <w:sz w:val="28"/>
          <w:szCs w:val="28"/>
        </w:rPr>
      </w:pPr>
      <w:r>
        <w:rPr>
          <w:rFonts w:hint="eastAsia" w:ascii="宋体" w:hAnsi="宋体" w:eastAsia="宋体" w:cs="宋体"/>
          <w:sz w:val="28"/>
          <w:szCs w:val="28"/>
        </w:rPr>
        <w:t>围场县公安局河东警务站工程，使用2019年政府一般债券资金31万元。</w:t>
      </w:r>
    </w:p>
    <w:p>
      <w:pPr>
        <w:adjustRightInd w:val="0"/>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本项目于2019年8月20日在围场满族蒙古族自治县公共资源交易中心公开招标，通过政府采购竞争性磋商的方式，经评标委员会评定，确定围场满族蒙古族自治县兴源建筑安装有限公司为中标单位，负责承建围场县公安局河东警务站工程，工程中标价为31、33万元，并于2019年8月24日与围场满族蒙古族自治县公安局签订了工程施工合同。</w:t>
      </w:r>
    </w:p>
    <w:p>
      <w:pPr>
        <w:ind w:firstLine="560" w:firstLineChars="200"/>
        <w:rPr>
          <w:rFonts w:ascii="宋体" w:hAnsi="宋体" w:eastAsia="宋体" w:cs="宋体"/>
          <w:sz w:val="28"/>
          <w:szCs w:val="28"/>
        </w:rPr>
      </w:pPr>
      <w:r>
        <w:rPr>
          <w:rFonts w:hint="eastAsia" w:ascii="宋体" w:hAnsi="宋体" w:eastAsia="宋体" w:cs="宋体"/>
          <w:sz w:val="28"/>
          <w:szCs w:val="28"/>
        </w:rPr>
        <w:t>工程于2019年10月22日竣工完成，2019年11月22日经建设单位组织相关部门验收，验收报告内容:本工程完成了设计项目全部内容，完成了合同约定全部内容，技术档案和施工管理资料齐全，试验报告齐全，施工单位签订了工程质量保修书，审查结果为合格工程。</w:t>
      </w:r>
    </w:p>
    <w:p>
      <w:pPr>
        <w:ind w:firstLine="643" w:firstLineChars="200"/>
        <w:outlineLvl w:val="1"/>
        <w:rPr>
          <w:rFonts w:ascii="楷体" w:hAnsi="楷体" w:eastAsia="楷体" w:cs="楷体"/>
          <w:b/>
          <w:bCs/>
          <w:sz w:val="32"/>
          <w:szCs w:val="32"/>
        </w:rPr>
      </w:pPr>
      <w:bookmarkStart w:id="51" w:name="_Toc14809"/>
      <w:r>
        <w:rPr>
          <w:rFonts w:hint="eastAsia" w:ascii="楷体" w:hAnsi="楷体" w:eastAsia="楷体" w:cs="楷体"/>
          <w:b/>
          <w:bCs/>
          <w:sz w:val="32"/>
          <w:szCs w:val="32"/>
        </w:rPr>
        <w:t>（二）资金使用情况</w:t>
      </w:r>
      <w:bookmarkEnd w:id="51"/>
    </w:p>
    <w:p>
      <w:pPr>
        <w:ind w:firstLine="560" w:firstLineChars="200"/>
        <w:outlineLvl w:val="0"/>
        <w:rPr>
          <w:rFonts w:ascii="宋体" w:hAnsi="宋体" w:eastAsia="宋体" w:cs="宋体"/>
          <w:sz w:val="28"/>
          <w:szCs w:val="28"/>
        </w:rPr>
      </w:pPr>
      <w:bookmarkStart w:id="52" w:name="_Toc15054"/>
      <w:bookmarkStart w:id="53" w:name="_Toc13622"/>
      <w:r>
        <w:rPr>
          <w:rFonts w:hint="eastAsia" w:ascii="宋体" w:hAnsi="宋体" w:eastAsia="宋体" w:cs="宋体"/>
          <w:sz w:val="28"/>
          <w:szCs w:val="28"/>
        </w:rPr>
        <w:t>2019年12月19日围场满族蒙古族自治县公安局收到围场县公安局河东警务站工程项目款28.197万元，同时支付给围场满族蒙古族自治县兴源建筑安装有限公司工程款28.197万元，剩余10%（3.133万元）留作质保金未支付。项目款支付凭证清晰，未发现有资金挪用、挤占现象，全部资金均用于本项目建设。</w:t>
      </w:r>
      <w:bookmarkEnd w:id="52"/>
      <w:bookmarkEnd w:id="53"/>
    </w:p>
    <w:p>
      <w:pPr>
        <w:ind w:firstLine="640" w:firstLineChars="200"/>
        <w:outlineLvl w:val="0"/>
        <w:rPr>
          <w:rFonts w:ascii="黑体" w:hAnsi="黑体" w:eastAsia="黑体" w:cs="黑体"/>
          <w:sz w:val="32"/>
          <w:szCs w:val="32"/>
        </w:rPr>
      </w:pPr>
      <w:bookmarkStart w:id="54" w:name="_Toc12146"/>
      <w:r>
        <w:rPr>
          <w:rFonts w:hint="eastAsia" w:ascii="黑体" w:hAnsi="黑体" w:eastAsia="黑体" w:cs="黑体"/>
          <w:sz w:val="32"/>
          <w:szCs w:val="32"/>
        </w:rPr>
        <w:t>四、绩效评价分析与结论</w:t>
      </w:r>
      <w:bookmarkEnd w:id="54"/>
    </w:p>
    <w:p>
      <w:pPr>
        <w:adjustRightInd w:val="0"/>
        <w:snapToGrid w:val="0"/>
        <w:spacing w:line="360" w:lineRule="auto"/>
        <w:ind w:firstLine="643" w:firstLineChars="200"/>
        <w:outlineLvl w:val="1"/>
        <w:rPr>
          <w:rFonts w:ascii="楷体" w:hAnsi="楷体" w:eastAsia="楷体" w:cs="楷体"/>
          <w:b/>
          <w:kern w:val="0"/>
          <w:sz w:val="32"/>
          <w:szCs w:val="32"/>
        </w:rPr>
      </w:pPr>
      <w:bookmarkStart w:id="55" w:name="_Toc28082"/>
      <w:bookmarkStart w:id="56" w:name="_Toc16548"/>
      <w:r>
        <w:rPr>
          <w:rFonts w:hint="eastAsia" w:ascii="楷体" w:hAnsi="楷体" w:eastAsia="楷体" w:cs="楷体"/>
          <w:b/>
          <w:kern w:val="0"/>
          <w:sz w:val="32"/>
          <w:szCs w:val="32"/>
        </w:rPr>
        <w:t>（一）绩效评价分析</w:t>
      </w:r>
      <w:bookmarkEnd w:id="55"/>
      <w:bookmarkEnd w:id="56"/>
    </w:p>
    <w:p>
      <w:pPr>
        <w:ind w:firstLine="560" w:firstLineChars="200"/>
        <w:rPr>
          <w:rFonts w:ascii="宋体" w:hAnsi="宋体" w:eastAsia="宋体" w:cs="宋体"/>
          <w:sz w:val="28"/>
          <w:szCs w:val="28"/>
        </w:rPr>
      </w:pPr>
      <w:r>
        <w:rPr>
          <w:rFonts w:hint="eastAsia" w:ascii="宋体" w:hAnsi="宋体" w:eastAsia="宋体" w:cs="宋体"/>
          <w:sz w:val="28"/>
          <w:szCs w:val="28"/>
        </w:rPr>
        <w:t>1.投入指标</w:t>
      </w:r>
    </w:p>
    <w:p>
      <w:pPr>
        <w:ind w:firstLine="560" w:firstLineChars="200"/>
        <w:rPr>
          <w:rFonts w:ascii="宋体" w:hAnsi="宋体" w:eastAsia="宋体" w:cs="宋体"/>
          <w:sz w:val="28"/>
          <w:szCs w:val="28"/>
        </w:rPr>
      </w:pPr>
      <w:r>
        <w:rPr>
          <w:rFonts w:hint="eastAsia" w:ascii="宋体" w:hAnsi="宋体" w:eastAsia="宋体" w:cs="宋体"/>
          <w:sz w:val="28"/>
          <w:szCs w:val="28"/>
        </w:rPr>
        <w:t>投入指标绩效评价设定分值为10分，考评得分 6分。</w:t>
      </w:r>
    </w:p>
    <w:p>
      <w:pPr>
        <w:ind w:firstLine="560" w:firstLineChars="200"/>
        <w:rPr>
          <w:rFonts w:ascii="宋体" w:hAnsi="宋体" w:eastAsia="宋体" w:cs="宋体"/>
          <w:sz w:val="28"/>
          <w:szCs w:val="28"/>
        </w:rPr>
      </w:pPr>
      <w:r>
        <w:rPr>
          <w:rFonts w:hint="eastAsia" w:ascii="宋体" w:hAnsi="宋体" w:eastAsia="宋体" w:cs="宋体"/>
          <w:sz w:val="28"/>
          <w:szCs w:val="28"/>
        </w:rPr>
        <w:t>（1）项目立项管理</w:t>
      </w:r>
    </w:p>
    <w:p>
      <w:pPr>
        <w:ind w:firstLine="560" w:firstLineChars="200"/>
        <w:rPr>
          <w:rFonts w:ascii="宋体" w:hAnsi="宋体" w:eastAsia="宋体" w:cs="宋体"/>
          <w:sz w:val="28"/>
          <w:szCs w:val="28"/>
        </w:rPr>
      </w:pPr>
      <w:r>
        <w:rPr>
          <w:rFonts w:hint="eastAsia" w:ascii="宋体" w:hAnsi="宋体" w:eastAsia="宋体" w:cs="宋体"/>
          <w:sz w:val="28"/>
          <w:szCs w:val="28"/>
        </w:rPr>
        <w:t>①项目立项合规性指标标准分值为5分，考评得分1分。</w:t>
      </w:r>
    </w:p>
    <w:p>
      <w:pPr>
        <w:ind w:firstLine="560" w:firstLineChars="200"/>
        <w:rPr>
          <w:rFonts w:ascii="宋体" w:hAnsi="宋体" w:eastAsia="宋体" w:cs="宋体"/>
          <w:sz w:val="28"/>
          <w:szCs w:val="28"/>
        </w:rPr>
      </w:pPr>
      <w:r>
        <w:rPr>
          <w:rFonts w:hint="eastAsia" w:ascii="宋体" w:hAnsi="宋体" w:eastAsia="宋体" w:cs="宋体"/>
          <w:sz w:val="28"/>
          <w:szCs w:val="28"/>
        </w:rPr>
        <w:t>本项目无可行性研究报告，无立项，也无实施方案，此项扣减4分，得1分。</w:t>
      </w:r>
    </w:p>
    <w:p>
      <w:pPr>
        <w:ind w:firstLine="560" w:firstLineChars="200"/>
        <w:rPr>
          <w:rFonts w:ascii="宋体" w:hAnsi="宋体" w:eastAsia="宋体" w:cs="宋体"/>
          <w:sz w:val="28"/>
          <w:szCs w:val="28"/>
        </w:rPr>
      </w:pPr>
      <w:r>
        <w:rPr>
          <w:rFonts w:hint="eastAsia" w:ascii="宋体" w:hAnsi="宋体" w:eastAsia="宋体" w:cs="宋体"/>
          <w:sz w:val="28"/>
          <w:szCs w:val="28"/>
        </w:rPr>
        <w:t>②项目投入经济性、筹资合规性指标标准分值为3分，考评得分3分。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实施单位按照计划，投入可行，资金来源合规，符合客观实际，能够达到设定的目标。</w:t>
      </w:r>
    </w:p>
    <w:p>
      <w:pPr>
        <w:ind w:firstLine="560" w:firstLineChars="200"/>
        <w:rPr>
          <w:rFonts w:ascii="宋体" w:hAnsi="宋体" w:eastAsia="宋体" w:cs="宋体"/>
          <w:sz w:val="28"/>
          <w:szCs w:val="28"/>
        </w:rPr>
      </w:pPr>
      <w:r>
        <w:rPr>
          <w:rFonts w:hint="eastAsia" w:ascii="宋体" w:hAnsi="宋体" w:eastAsia="宋体" w:cs="宋体"/>
          <w:sz w:val="28"/>
          <w:szCs w:val="28"/>
        </w:rPr>
        <w:t>③项目可持续性指标标准分值为2分，考评得分2分。</w:t>
      </w:r>
    </w:p>
    <w:p>
      <w:pPr>
        <w:ind w:firstLine="560" w:firstLineChars="200"/>
        <w:rPr>
          <w:rFonts w:ascii="宋体" w:hAnsi="宋体" w:eastAsia="宋体" w:cs="宋体"/>
          <w:sz w:val="28"/>
          <w:szCs w:val="28"/>
        </w:rPr>
      </w:pPr>
      <w:r>
        <w:rPr>
          <w:rFonts w:hint="eastAsia" w:ascii="宋体" w:hAnsi="宋体" w:eastAsia="宋体" w:cs="宋体"/>
          <w:sz w:val="28"/>
          <w:szCs w:val="28"/>
        </w:rPr>
        <w:t>围场县公安局河东警务站工程的建设能够保障当地社会的长期稳定，未来可持续发展能够得到保障。</w:t>
      </w:r>
    </w:p>
    <w:p>
      <w:pPr>
        <w:ind w:firstLine="560" w:firstLineChars="200"/>
        <w:rPr>
          <w:rFonts w:ascii="宋体" w:hAnsi="宋体" w:eastAsia="宋体" w:cs="宋体"/>
          <w:sz w:val="28"/>
          <w:szCs w:val="28"/>
        </w:rPr>
      </w:pPr>
      <w:r>
        <w:rPr>
          <w:rFonts w:hint="eastAsia" w:ascii="宋体" w:hAnsi="宋体" w:eastAsia="宋体" w:cs="宋体"/>
          <w:sz w:val="28"/>
          <w:szCs w:val="28"/>
        </w:rPr>
        <w:t>2.管理指标</w:t>
      </w:r>
    </w:p>
    <w:p>
      <w:pPr>
        <w:ind w:firstLine="560" w:firstLineChars="200"/>
        <w:rPr>
          <w:rFonts w:ascii="宋体" w:hAnsi="宋体" w:eastAsia="宋体" w:cs="宋体"/>
          <w:sz w:val="28"/>
          <w:szCs w:val="28"/>
        </w:rPr>
      </w:pPr>
      <w:r>
        <w:rPr>
          <w:rFonts w:hint="eastAsia" w:ascii="宋体" w:hAnsi="宋体" w:eastAsia="宋体" w:cs="宋体"/>
          <w:sz w:val="28"/>
          <w:szCs w:val="28"/>
        </w:rPr>
        <w:t>管理指标绩效评价设定分值为30分，考评得分25分。</w:t>
      </w:r>
    </w:p>
    <w:p>
      <w:pPr>
        <w:ind w:firstLine="560" w:firstLineChars="200"/>
        <w:rPr>
          <w:rFonts w:ascii="宋体" w:hAnsi="宋体" w:eastAsia="宋体" w:cs="宋体"/>
          <w:sz w:val="28"/>
          <w:szCs w:val="28"/>
        </w:rPr>
      </w:pPr>
      <w:r>
        <w:rPr>
          <w:rFonts w:hint="eastAsia" w:ascii="宋体" w:hAnsi="宋体" w:eastAsia="宋体" w:cs="宋体"/>
          <w:sz w:val="28"/>
          <w:szCs w:val="28"/>
        </w:rPr>
        <w:t>（1）业务管理指标绩效评价设定分值为15分，考评得分10分。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①项目资料的完整性指标标准分值为6分，考评得分4分。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本项目绩效评价涉及到的前期决策资料不齐全，无方案、无审批手续，扣减2分。</w:t>
      </w:r>
    </w:p>
    <w:p>
      <w:pPr>
        <w:ind w:firstLine="560" w:firstLineChars="200"/>
        <w:rPr>
          <w:rFonts w:ascii="宋体" w:hAnsi="宋体" w:eastAsia="宋体" w:cs="宋体"/>
          <w:sz w:val="28"/>
          <w:szCs w:val="28"/>
        </w:rPr>
      </w:pPr>
      <w:r>
        <w:rPr>
          <w:rFonts w:hint="eastAsia" w:ascii="宋体" w:hAnsi="宋体" w:eastAsia="宋体" w:cs="宋体"/>
          <w:sz w:val="28"/>
          <w:szCs w:val="28"/>
        </w:rPr>
        <w:t>②政务公开情况指标标准分值为3分，考评得分3分。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新增债券资金安排的情况均已公示，本项目没有发现应该招标没有招标的情况。</w:t>
      </w:r>
    </w:p>
    <w:p>
      <w:pPr>
        <w:ind w:firstLine="560" w:firstLineChars="200"/>
        <w:rPr>
          <w:rFonts w:ascii="宋体" w:hAnsi="宋体" w:eastAsia="宋体" w:cs="宋体"/>
          <w:sz w:val="28"/>
          <w:szCs w:val="28"/>
        </w:rPr>
      </w:pPr>
      <w:r>
        <w:rPr>
          <w:rFonts w:hint="eastAsia" w:ascii="宋体" w:hAnsi="宋体" w:eastAsia="宋体" w:cs="宋体"/>
          <w:sz w:val="28"/>
          <w:szCs w:val="28"/>
        </w:rPr>
        <w:t>③变更控制情况指标标准分值为3分，考评得分3分。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债券资金使用部分项目变更控制情况较好，没有对工程进度造成影响，项目能够按照资金使用情况顺利进行。</w:t>
      </w:r>
    </w:p>
    <w:p>
      <w:pPr>
        <w:ind w:firstLine="560" w:firstLineChars="200"/>
        <w:rPr>
          <w:rFonts w:ascii="宋体" w:hAnsi="宋体" w:eastAsia="宋体" w:cs="宋体"/>
          <w:sz w:val="28"/>
          <w:szCs w:val="28"/>
        </w:rPr>
      </w:pPr>
      <w:r>
        <w:rPr>
          <w:rFonts w:hint="eastAsia" w:ascii="宋体" w:hAnsi="宋体" w:eastAsia="宋体" w:cs="宋体"/>
          <w:sz w:val="28"/>
          <w:szCs w:val="28"/>
        </w:rPr>
        <w:t>④项目实施方案编制情况指标标准分值为3分，考评得分0分。</w:t>
      </w:r>
    </w:p>
    <w:p>
      <w:pPr>
        <w:ind w:firstLine="560" w:firstLineChars="200"/>
        <w:rPr>
          <w:sz w:val="28"/>
          <w:szCs w:val="28"/>
        </w:rPr>
      </w:pPr>
      <w:r>
        <w:rPr>
          <w:rFonts w:hint="eastAsia" w:ascii="宋体" w:hAnsi="宋体" w:eastAsia="宋体" w:cs="宋体"/>
          <w:sz w:val="28"/>
          <w:szCs w:val="28"/>
        </w:rPr>
        <w:t>围场县公安局河东警务站工程</w:t>
      </w:r>
      <w:r>
        <w:rPr>
          <w:rFonts w:hint="eastAsia"/>
          <w:sz w:val="28"/>
          <w:szCs w:val="28"/>
        </w:rPr>
        <w:t>项目无编制实施方案，此项不得分。</w:t>
      </w:r>
    </w:p>
    <w:p>
      <w:pPr>
        <w:pStyle w:val="14"/>
        <w:ind w:firstLine="560" w:firstLineChars="200"/>
        <w:jc w:val="both"/>
        <w:rPr>
          <w:rFonts w:hAnsi="宋体" w:cs="宋体"/>
          <w:kern w:val="2"/>
          <w:sz w:val="28"/>
          <w:szCs w:val="28"/>
        </w:rPr>
      </w:pPr>
      <w:r>
        <w:rPr>
          <w:rFonts w:hint="eastAsia" w:hAnsi="宋体" w:cs="宋体"/>
          <w:kern w:val="2"/>
          <w:sz w:val="28"/>
          <w:szCs w:val="28"/>
        </w:rPr>
        <w:t>（2）财务管理指标绩效评价设定分值为15分，考评得分15分。</w:t>
      </w:r>
    </w:p>
    <w:p>
      <w:pPr>
        <w:ind w:firstLine="560" w:firstLineChars="200"/>
        <w:rPr>
          <w:rFonts w:ascii="宋体" w:hAnsi="宋体" w:eastAsia="宋体" w:cs="宋体"/>
          <w:sz w:val="28"/>
          <w:szCs w:val="28"/>
        </w:rPr>
      </w:pPr>
      <w:r>
        <w:rPr>
          <w:rFonts w:hint="eastAsia" w:ascii="宋体" w:hAnsi="宋体" w:eastAsia="宋体" w:cs="宋体"/>
          <w:sz w:val="28"/>
          <w:szCs w:val="28"/>
        </w:rPr>
        <w:t>①资金使用合规性指标标准分值为4分，考评得分4分。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本项目债券资金均未用于经常性支出，未用于中央明令禁止的项目支出，资金使用合规。</w:t>
      </w:r>
    </w:p>
    <w:p>
      <w:pPr>
        <w:ind w:firstLine="560" w:firstLineChars="200"/>
        <w:rPr>
          <w:rFonts w:ascii="宋体" w:hAnsi="宋体" w:eastAsia="宋体" w:cs="宋体"/>
          <w:sz w:val="28"/>
          <w:szCs w:val="28"/>
        </w:rPr>
      </w:pPr>
      <w:r>
        <w:rPr>
          <w:rFonts w:hint="eastAsia" w:ascii="宋体" w:hAnsi="宋体" w:eastAsia="宋体" w:cs="宋体"/>
          <w:sz w:val="28"/>
          <w:szCs w:val="28"/>
        </w:rPr>
        <w:t>②县级财政国库集中支付情况指标标准分值为7分，考评得分7分。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本项目已按国库集中支付制度要求在县级财政集中支付，未出现资金拖欠现象。</w:t>
      </w:r>
    </w:p>
    <w:p>
      <w:pPr>
        <w:ind w:firstLine="560" w:firstLineChars="200"/>
        <w:rPr>
          <w:rFonts w:ascii="宋体" w:hAnsi="宋体" w:eastAsia="宋体" w:cs="宋体"/>
          <w:sz w:val="28"/>
          <w:szCs w:val="28"/>
        </w:rPr>
      </w:pPr>
      <w:r>
        <w:rPr>
          <w:rFonts w:hint="eastAsia" w:ascii="宋体" w:hAnsi="宋体" w:eastAsia="宋体" w:cs="宋体"/>
          <w:sz w:val="28"/>
          <w:szCs w:val="28"/>
        </w:rPr>
        <w:t>③会计制度执行情况（项目单位）指标标准分值为4分，考评得分4分。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未发现资金有挪用、抽逃、延迟支付现象，项目建设资金使用合规，账务处理基本合规。</w:t>
      </w:r>
    </w:p>
    <w:p>
      <w:pPr>
        <w:ind w:firstLine="560" w:firstLineChars="200"/>
        <w:rPr>
          <w:rFonts w:ascii="宋体" w:hAnsi="宋体" w:eastAsia="宋体" w:cs="宋体"/>
          <w:sz w:val="28"/>
          <w:szCs w:val="28"/>
        </w:rPr>
      </w:pPr>
      <w:r>
        <w:rPr>
          <w:rFonts w:hint="eastAsia" w:ascii="宋体" w:hAnsi="宋体" w:eastAsia="宋体" w:cs="宋体"/>
          <w:sz w:val="28"/>
          <w:szCs w:val="28"/>
        </w:rPr>
        <w:t>3.产出指标</w:t>
      </w:r>
    </w:p>
    <w:p>
      <w:pPr>
        <w:ind w:firstLine="560" w:firstLineChars="200"/>
        <w:rPr>
          <w:rFonts w:ascii="宋体" w:hAnsi="宋体" w:eastAsia="宋体" w:cs="宋体"/>
          <w:sz w:val="28"/>
          <w:szCs w:val="28"/>
        </w:rPr>
      </w:pPr>
      <w:r>
        <w:rPr>
          <w:rFonts w:hint="eastAsia" w:ascii="宋体" w:hAnsi="宋体" w:eastAsia="宋体" w:cs="宋体"/>
          <w:sz w:val="28"/>
          <w:szCs w:val="28"/>
        </w:rPr>
        <w:t>产出指标绩效评价设定分值为30分，考评得分30分。</w:t>
      </w:r>
    </w:p>
    <w:p>
      <w:pPr>
        <w:ind w:firstLine="560" w:firstLineChars="200"/>
        <w:rPr>
          <w:rFonts w:ascii="宋体" w:hAnsi="宋体" w:eastAsia="宋体" w:cs="宋体"/>
          <w:sz w:val="28"/>
          <w:szCs w:val="28"/>
        </w:rPr>
      </w:pPr>
      <w:r>
        <w:rPr>
          <w:rFonts w:hint="eastAsia" w:ascii="宋体" w:hAnsi="宋体" w:eastAsia="宋体" w:cs="宋体"/>
          <w:sz w:val="28"/>
          <w:szCs w:val="28"/>
        </w:rPr>
        <w:t>（1）项目产出管理</w:t>
      </w:r>
    </w:p>
    <w:p>
      <w:pPr>
        <w:ind w:firstLine="560" w:firstLineChars="200"/>
        <w:rPr>
          <w:rFonts w:ascii="宋体" w:hAnsi="宋体" w:eastAsia="宋体" w:cs="宋体"/>
          <w:sz w:val="28"/>
          <w:szCs w:val="28"/>
        </w:rPr>
      </w:pPr>
      <w:r>
        <w:rPr>
          <w:rFonts w:hint="eastAsia" w:ascii="宋体" w:hAnsi="宋体" w:eastAsia="宋体" w:cs="宋体"/>
          <w:sz w:val="28"/>
          <w:szCs w:val="28"/>
        </w:rPr>
        <w:t>①工程完工情况指标标准分值为10分，考评得分10分。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项目已完成的工程投资与计划实施的实际工程总投资基本吻合，主要工程量按照要求全部完成。</w:t>
      </w:r>
    </w:p>
    <w:p>
      <w:pPr>
        <w:ind w:firstLine="560" w:firstLineChars="200"/>
        <w:rPr>
          <w:rFonts w:ascii="宋体" w:hAnsi="宋体" w:eastAsia="宋体" w:cs="宋体"/>
          <w:sz w:val="28"/>
          <w:szCs w:val="28"/>
        </w:rPr>
      </w:pPr>
      <w:r>
        <w:rPr>
          <w:rFonts w:hint="eastAsia" w:ascii="宋体" w:hAnsi="宋体" w:eastAsia="宋体" w:cs="宋体"/>
          <w:sz w:val="28"/>
          <w:szCs w:val="28"/>
        </w:rPr>
        <w:t>②工期控制情况指标标准分值为10分，考评得分10分。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本工程项目能够按照合同约定计划工期完成施工进度，未出现工程滞后现象。</w:t>
      </w:r>
    </w:p>
    <w:p>
      <w:pPr>
        <w:ind w:firstLine="560" w:firstLineChars="200"/>
        <w:rPr>
          <w:rFonts w:ascii="宋体" w:hAnsi="宋体" w:eastAsia="宋体" w:cs="宋体"/>
          <w:sz w:val="28"/>
          <w:szCs w:val="28"/>
        </w:rPr>
      </w:pPr>
      <w:r>
        <w:rPr>
          <w:rFonts w:hint="eastAsia" w:ascii="宋体" w:hAnsi="宋体" w:eastAsia="宋体" w:cs="宋体"/>
          <w:sz w:val="28"/>
          <w:szCs w:val="28"/>
        </w:rPr>
        <w:t>③完工项目验收情况指标标准分值为10分，考评得分10分。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本工程于2019年10月22日竣工完成，2019年11月22日经建设单位组织相关部门验收，审查结果为合格工程。</w:t>
      </w:r>
    </w:p>
    <w:p>
      <w:pPr>
        <w:ind w:firstLine="560" w:firstLineChars="200"/>
        <w:rPr>
          <w:rFonts w:ascii="宋体" w:hAnsi="宋体" w:eastAsia="宋体" w:cs="宋体"/>
          <w:sz w:val="28"/>
          <w:szCs w:val="28"/>
        </w:rPr>
      </w:pPr>
      <w:r>
        <w:rPr>
          <w:rFonts w:hint="eastAsia" w:ascii="宋体" w:hAnsi="宋体" w:eastAsia="宋体" w:cs="宋体"/>
          <w:sz w:val="28"/>
          <w:szCs w:val="28"/>
        </w:rPr>
        <w:t>4.效益指标</w:t>
      </w:r>
    </w:p>
    <w:p>
      <w:pPr>
        <w:ind w:firstLine="560" w:firstLineChars="200"/>
        <w:rPr>
          <w:rFonts w:ascii="宋体" w:hAnsi="宋体" w:eastAsia="宋体" w:cs="宋体"/>
          <w:sz w:val="28"/>
          <w:szCs w:val="28"/>
        </w:rPr>
      </w:pPr>
      <w:r>
        <w:rPr>
          <w:rFonts w:hint="eastAsia" w:ascii="宋体" w:hAnsi="宋体" w:eastAsia="宋体" w:cs="宋体"/>
          <w:sz w:val="28"/>
          <w:szCs w:val="28"/>
        </w:rPr>
        <w:t>效益指标绩效评价设定分值为30分，考评得分28分。</w:t>
      </w:r>
    </w:p>
    <w:p>
      <w:pPr>
        <w:ind w:firstLine="560" w:firstLineChars="200"/>
        <w:rPr>
          <w:rFonts w:ascii="宋体" w:hAnsi="宋体" w:eastAsia="宋体" w:cs="宋体"/>
          <w:sz w:val="28"/>
          <w:szCs w:val="28"/>
        </w:rPr>
      </w:pPr>
      <w:r>
        <w:rPr>
          <w:rFonts w:hint="eastAsia" w:ascii="宋体" w:hAnsi="宋体" w:eastAsia="宋体" w:cs="宋体"/>
          <w:sz w:val="28"/>
          <w:szCs w:val="28"/>
        </w:rPr>
        <w:t>（1）社会效益指标绩效评价设定分值为20分，考评得分20分。</w:t>
      </w:r>
    </w:p>
    <w:p>
      <w:pPr>
        <w:ind w:firstLine="560" w:firstLineChars="200"/>
        <w:rPr>
          <w:rFonts w:ascii="宋体" w:hAnsi="宋体" w:eastAsia="宋体" w:cs="宋体"/>
          <w:sz w:val="28"/>
          <w:szCs w:val="28"/>
        </w:rPr>
      </w:pPr>
      <w:r>
        <w:rPr>
          <w:rFonts w:hint="eastAsia" w:ascii="宋体" w:hAnsi="宋体" w:eastAsia="宋体" w:cs="宋体"/>
          <w:sz w:val="28"/>
          <w:szCs w:val="28"/>
        </w:rPr>
        <w:t>①总体目标实现情况指标标准分值为8分，考评得分8分。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完工项目按设定的总体目标全面实现，达到预期目标。</w:t>
      </w:r>
    </w:p>
    <w:p>
      <w:pPr>
        <w:ind w:firstLine="560" w:firstLineChars="200"/>
        <w:rPr>
          <w:rFonts w:ascii="宋体" w:hAnsi="宋体" w:eastAsia="宋体" w:cs="宋体"/>
          <w:sz w:val="28"/>
          <w:szCs w:val="28"/>
        </w:rPr>
      </w:pPr>
      <w:r>
        <w:rPr>
          <w:rFonts w:hint="eastAsia" w:ascii="宋体" w:hAnsi="宋体" w:eastAsia="宋体" w:cs="宋体"/>
          <w:sz w:val="28"/>
          <w:szCs w:val="28"/>
        </w:rPr>
        <w:t>②社会效益实现情况指标标准分值为8分，考评得分8分。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项目建设完成后能够产生很好的社会效益，对社会的稳定发展起到了一定的作用</w:t>
      </w:r>
      <w:r>
        <w:rPr>
          <w:rFonts w:ascii="宋体" w:hAnsi="宋体" w:eastAsia="宋体" w:cs="宋体"/>
          <w:sz w:val="28"/>
          <w:szCs w:val="28"/>
        </w:rPr>
        <w:t>,</w:t>
      </w:r>
      <w:r>
        <w:rPr>
          <w:rFonts w:hint="eastAsia" w:ascii="宋体" w:hAnsi="宋体" w:eastAsia="宋体" w:cs="宋体"/>
          <w:sz w:val="28"/>
          <w:szCs w:val="28"/>
        </w:rPr>
        <w:t>社会效益明显提升。</w:t>
      </w:r>
    </w:p>
    <w:p>
      <w:pPr>
        <w:ind w:firstLine="560" w:firstLineChars="200"/>
        <w:rPr>
          <w:rFonts w:ascii="宋体" w:hAnsi="宋体" w:eastAsia="宋体" w:cs="宋体"/>
          <w:sz w:val="28"/>
          <w:szCs w:val="28"/>
        </w:rPr>
      </w:pPr>
      <w:r>
        <w:rPr>
          <w:rFonts w:hint="eastAsia" w:ascii="宋体" w:hAnsi="宋体" w:eastAsia="宋体" w:cs="宋体"/>
          <w:sz w:val="28"/>
          <w:szCs w:val="28"/>
        </w:rPr>
        <w:t>③社会环境（生态环境等）改善情况指标标准分值为4分，考评得分4分。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通过本项目的实施，对目前的社会环境和交通环境改善较大，保障了人们的出行安全，对周边居民的生活环境也有了很大幅度提升。</w:t>
      </w:r>
    </w:p>
    <w:p>
      <w:pPr>
        <w:ind w:firstLine="560" w:firstLineChars="200"/>
        <w:rPr>
          <w:rFonts w:ascii="宋体" w:hAnsi="宋体" w:eastAsia="宋体" w:cs="宋体"/>
          <w:sz w:val="28"/>
          <w:szCs w:val="28"/>
        </w:rPr>
      </w:pPr>
      <w:r>
        <w:rPr>
          <w:rFonts w:hint="eastAsia" w:ascii="宋体" w:hAnsi="宋体" w:eastAsia="宋体" w:cs="宋体"/>
          <w:sz w:val="28"/>
          <w:szCs w:val="28"/>
        </w:rPr>
        <w:t>（2）经济效益指标绩效评价设定分值为10分，考评得分8分。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①直接经济效益指标标准分值为3分，考评得分1分。</w:t>
      </w:r>
    </w:p>
    <w:p>
      <w:pPr>
        <w:ind w:firstLine="560" w:firstLineChars="200"/>
        <w:rPr>
          <w:rFonts w:ascii="宋体" w:hAnsi="宋体" w:eastAsia="宋体" w:cs="宋体"/>
          <w:sz w:val="28"/>
          <w:szCs w:val="28"/>
        </w:rPr>
      </w:pPr>
      <w:r>
        <w:rPr>
          <w:rFonts w:hint="eastAsia" w:ascii="宋体" w:hAnsi="宋体" w:eastAsia="宋体" w:cs="宋体"/>
          <w:sz w:val="28"/>
          <w:szCs w:val="28"/>
        </w:rPr>
        <w:t>由于债券资金投入的项目多为社会公益性项目，县公安局河东警务站的建设不产生直接经济效益，此项考评得1分。</w:t>
      </w:r>
    </w:p>
    <w:p>
      <w:pPr>
        <w:ind w:firstLine="560" w:firstLineChars="200"/>
        <w:rPr>
          <w:rFonts w:ascii="宋体" w:hAnsi="宋体" w:eastAsia="宋体" w:cs="宋体"/>
          <w:sz w:val="28"/>
          <w:szCs w:val="28"/>
        </w:rPr>
      </w:pPr>
      <w:r>
        <w:rPr>
          <w:rFonts w:hint="eastAsia" w:ascii="宋体" w:hAnsi="宋体" w:eastAsia="宋体" w:cs="宋体"/>
          <w:sz w:val="28"/>
          <w:szCs w:val="28"/>
        </w:rPr>
        <w:t>②间接经济效益指标标准分值7分，考评得分7分。</w:t>
      </w:r>
    </w:p>
    <w:p>
      <w:pPr>
        <w:ind w:firstLine="560" w:firstLineChars="200"/>
        <w:rPr>
          <w:rFonts w:ascii="宋体" w:hAnsi="宋体" w:eastAsia="宋体" w:cs="宋体"/>
          <w:sz w:val="28"/>
          <w:szCs w:val="28"/>
        </w:rPr>
      </w:pPr>
      <w:r>
        <w:rPr>
          <w:rFonts w:hint="eastAsia" w:ascii="宋体" w:hAnsi="宋体" w:eastAsia="宋体" w:cs="宋体"/>
          <w:sz w:val="28"/>
          <w:szCs w:val="28"/>
        </w:rPr>
        <w:t>项目建设带来的间接经济效益和社会效益非常明显，对社会治安环境的稳定有很大提升，并可持续发展，因此本项考核得分为7分。</w:t>
      </w:r>
    </w:p>
    <w:p>
      <w:pPr>
        <w:adjustRightInd w:val="0"/>
        <w:snapToGrid w:val="0"/>
        <w:spacing w:line="360" w:lineRule="auto"/>
        <w:ind w:firstLine="643" w:firstLineChars="200"/>
        <w:outlineLvl w:val="1"/>
        <w:rPr>
          <w:rFonts w:ascii="楷体" w:hAnsi="楷体" w:eastAsia="楷体" w:cs="楷体"/>
          <w:b/>
          <w:kern w:val="0"/>
          <w:sz w:val="32"/>
          <w:szCs w:val="32"/>
        </w:rPr>
      </w:pPr>
      <w:bookmarkStart w:id="57" w:name="_Toc5722"/>
      <w:bookmarkStart w:id="58" w:name="_Toc14098"/>
      <w:r>
        <w:rPr>
          <w:rFonts w:hint="eastAsia" w:ascii="楷体" w:hAnsi="楷体" w:eastAsia="楷体" w:cs="楷体"/>
          <w:b/>
          <w:kern w:val="0"/>
          <w:sz w:val="32"/>
          <w:szCs w:val="32"/>
        </w:rPr>
        <w:t>（二）绩效评价结论</w:t>
      </w:r>
      <w:bookmarkEnd w:id="57"/>
      <w:bookmarkEnd w:id="58"/>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绩效评价结果采取评分和评级相结合的方式，具体分值和等级可根据不同评价内容设定。总分一般设置为100分，等级一般划分为四档：80（含）-100分为优、70（含）-80分为良、60（含）-70分为合格、60分以下为不合格。</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绩效评价指标综合得分情况：</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围场县公安局河东警务站工程项目绩效考评结果，其中：投入指标考评得分6分、管理指标考评得分25分、产出指标考评得分30分、效益指标考评得分28分。通过对各项指标的具体分析评价，汇总得出本次绩效评价考核综合得分为89分，总体评价为“优”。</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通过项目建设，对社会效益影响是长期的，促进了围场县的经济繁荣。</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评价结果表明，围场县公安局河东警务站工程项目财务管理制度基本健全，对项目资金的监督管理总体有效，实施的经济效益和持续性较好。对周边人居生活环境有很大改善，带动旅游业发展，对社会治安环境的稳定有很大提升。</w:t>
      </w:r>
    </w:p>
    <w:p>
      <w:pPr>
        <w:adjustRightInd w:val="0"/>
        <w:snapToGrid w:val="0"/>
        <w:spacing w:line="360" w:lineRule="auto"/>
        <w:ind w:firstLine="640" w:firstLineChars="200"/>
        <w:outlineLvl w:val="0"/>
        <w:rPr>
          <w:rFonts w:ascii="黑体" w:hAnsi="黑体" w:eastAsia="黑体" w:cs="黑体"/>
          <w:bCs/>
          <w:kern w:val="0"/>
          <w:sz w:val="32"/>
          <w:szCs w:val="32"/>
        </w:rPr>
      </w:pPr>
      <w:bookmarkStart w:id="59" w:name="_Toc32395"/>
      <w:bookmarkStart w:id="60" w:name="_Toc2650"/>
      <w:r>
        <w:rPr>
          <w:rFonts w:hint="eastAsia" w:ascii="黑体" w:hAnsi="黑体" w:eastAsia="黑体" w:cs="黑体"/>
          <w:bCs/>
          <w:kern w:val="0"/>
          <w:sz w:val="32"/>
          <w:szCs w:val="32"/>
        </w:rPr>
        <w:t>五、存在的问题</w:t>
      </w:r>
      <w:bookmarkEnd w:id="59"/>
      <w:r>
        <w:rPr>
          <w:rFonts w:hint="eastAsia" w:ascii="黑体" w:hAnsi="黑体" w:eastAsia="黑体" w:cs="黑体"/>
          <w:bCs/>
          <w:kern w:val="0"/>
          <w:sz w:val="32"/>
          <w:szCs w:val="32"/>
        </w:rPr>
        <w:t>及建议</w:t>
      </w:r>
      <w:bookmarkEnd w:id="60"/>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本项目涉及债券资金31万元，在项目管理上存在一些问题，整个项目实施无方案、无审批，项目资料不规范、不完善。</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建议：加强项目管理、认真做好每一个项目的前期工作，加强建设程序及资金支付方面的管理。</w:t>
      </w:r>
    </w:p>
    <w:p>
      <w:pPr>
        <w:pStyle w:val="3"/>
        <w:spacing w:line="240" w:lineRule="auto"/>
        <w:ind w:firstLine="643" w:firstLineChars="200"/>
        <w:rPr>
          <w:rFonts w:ascii="楷体" w:hAnsi="楷体" w:eastAsia="楷体" w:cs="楷体"/>
        </w:rPr>
      </w:pPr>
      <w:bookmarkStart w:id="61" w:name="_Toc26763"/>
      <w:bookmarkStart w:id="62" w:name="_Toc31396"/>
      <w:bookmarkStart w:id="63" w:name="_Toc5786"/>
      <w:bookmarkStart w:id="64" w:name="_Toc23523"/>
      <w:bookmarkStart w:id="65" w:name="_Toc7010"/>
      <w:bookmarkStart w:id="66" w:name="_Toc25821"/>
      <w:r>
        <w:rPr>
          <w:rFonts w:hint="eastAsia" w:ascii="楷体" w:hAnsi="楷体" w:eastAsia="楷体" w:cs="楷体"/>
        </w:rPr>
        <w:t>（一）强化绩效理念，深入推进评价工作</w:t>
      </w:r>
      <w:bookmarkEnd w:id="61"/>
      <w:bookmarkEnd w:id="62"/>
      <w:bookmarkEnd w:id="63"/>
      <w:bookmarkEnd w:id="64"/>
      <w:bookmarkEnd w:id="65"/>
      <w:bookmarkEnd w:id="66"/>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进一步强化各部门绩效管理理念，健全完善制度办法，切实加强组织领导，深入推进评价工作，提升整体绩效管理水平。</w:t>
      </w:r>
    </w:p>
    <w:p>
      <w:pPr>
        <w:pStyle w:val="3"/>
        <w:spacing w:line="240" w:lineRule="auto"/>
        <w:ind w:firstLine="643" w:firstLineChars="200"/>
        <w:rPr>
          <w:rFonts w:ascii="楷体" w:hAnsi="楷体" w:eastAsia="楷体" w:cs="楷体"/>
        </w:rPr>
      </w:pPr>
      <w:bookmarkStart w:id="67" w:name="_Toc21411"/>
      <w:bookmarkStart w:id="68" w:name="_Toc6863"/>
      <w:bookmarkStart w:id="69" w:name="_Toc14241"/>
      <w:bookmarkStart w:id="70" w:name="_Toc11860"/>
      <w:bookmarkStart w:id="71" w:name="_Toc14425"/>
      <w:bookmarkStart w:id="72" w:name="_Toc10505"/>
      <w:r>
        <w:rPr>
          <w:rFonts w:hint="eastAsia" w:ascii="楷体" w:hAnsi="楷体" w:eastAsia="楷体" w:cs="楷体"/>
        </w:rPr>
        <w:t>（二）强化事前准备，切实提升评价质量</w:t>
      </w:r>
      <w:bookmarkEnd w:id="67"/>
      <w:bookmarkEnd w:id="68"/>
      <w:bookmarkEnd w:id="69"/>
      <w:bookmarkEnd w:id="70"/>
      <w:bookmarkEnd w:id="71"/>
      <w:bookmarkEnd w:id="72"/>
    </w:p>
    <w:p>
      <w:pPr>
        <w:widowControl/>
        <w:ind w:firstLine="560" w:firstLineChars="200"/>
        <w:jc w:val="left"/>
        <w:rPr>
          <w:rFonts w:ascii="宋体" w:hAnsi="宋体" w:eastAsia="宋体" w:cs="宋体"/>
          <w:sz w:val="28"/>
          <w:szCs w:val="28"/>
        </w:rPr>
      </w:pPr>
      <w:r>
        <w:rPr>
          <w:rFonts w:ascii="宋体" w:hAnsi="宋体" w:eastAsia="宋体" w:cs="宋体"/>
          <w:sz w:val="28"/>
          <w:szCs w:val="28"/>
        </w:rPr>
        <w:t>在推进自身评价工作开展时，结合评价工作实际，规范评价标准，确保绩效评价结果规范化、科学化，切实提高评价质量。</w:t>
      </w:r>
      <w:bookmarkStart w:id="73" w:name="_Toc10592"/>
      <w:bookmarkStart w:id="74" w:name="_Toc21034"/>
      <w:bookmarkStart w:id="75" w:name="_Toc3001"/>
      <w:bookmarkStart w:id="76" w:name="_Toc30061"/>
      <w:bookmarkStart w:id="77" w:name="_Toc11787"/>
    </w:p>
    <w:p>
      <w:pPr>
        <w:pStyle w:val="3"/>
        <w:spacing w:line="240" w:lineRule="auto"/>
        <w:ind w:firstLine="643" w:firstLineChars="200"/>
        <w:rPr>
          <w:rFonts w:ascii="楷体" w:hAnsi="楷体" w:eastAsia="楷体" w:cs="楷体"/>
        </w:rPr>
      </w:pPr>
      <w:bookmarkStart w:id="78" w:name="_Toc25271"/>
      <w:r>
        <w:rPr>
          <w:rFonts w:hint="eastAsia" w:ascii="楷体" w:hAnsi="楷体" w:eastAsia="楷体" w:cs="楷体"/>
        </w:rPr>
        <w:t>（三）强化结果应用，不断巩固评价</w:t>
      </w:r>
      <w:bookmarkEnd w:id="73"/>
      <w:bookmarkEnd w:id="74"/>
      <w:bookmarkEnd w:id="75"/>
      <w:bookmarkEnd w:id="76"/>
      <w:bookmarkEnd w:id="77"/>
      <w:r>
        <w:rPr>
          <w:rFonts w:hint="eastAsia" w:ascii="楷体" w:hAnsi="楷体" w:eastAsia="楷体" w:cs="楷体"/>
        </w:rPr>
        <w:t>成效</w:t>
      </w:r>
      <w:bookmarkEnd w:id="78"/>
    </w:p>
    <w:p>
      <w:pPr>
        <w:widowControl/>
        <w:ind w:firstLine="560" w:firstLineChars="200"/>
        <w:jc w:val="left"/>
        <w:rPr>
          <w:rFonts w:ascii="宋体" w:hAnsi="宋体" w:eastAsia="宋体" w:cs="宋体"/>
          <w:sz w:val="28"/>
          <w:szCs w:val="28"/>
        </w:rPr>
      </w:pPr>
      <w:r>
        <w:rPr>
          <w:rFonts w:ascii="宋体" w:hAnsi="宋体" w:eastAsia="宋体" w:cs="宋体"/>
          <w:sz w:val="28"/>
          <w:szCs w:val="28"/>
        </w:rPr>
        <w:t>加强评价结果的运用，将绩效评价结果纳入对区县和部门的年终考核中来，成为考核奖惩</w:t>
      </w:r>
      <w:r>
        <w:rPr>
          <w:rFonts w:hint="eastAsia" w:ascii="宋体" w:hAnsi="宋体" w:eastAsia="宋体" w:cs="宋体"/>
          <w:sz w:val="28"/>
          <w:szCs w:val="28"/>
        </w:rPr>
        <w:t>的</w:t>
      </w:r>
      <w:r>
        <w:rPr>
          <w:rFonts w:ascii="宋体" w:hAnsi="宋体" w:eastAsia="宋体" w:cs="宋体"/>
          <w:sz w:val="28"/>
          <w:szCs w:val="28"/>
        </w:rPr>
        <w:t>重要指标，区县和部门对绩效评价中发现的问题进一步整改落实，不断促进民生工程工作提质增效</w:t>
      </w:r>
      <w:r>
        <w:rPr>
          <w:rFonts w:hint="eastAsia" w:ascii="宋体" w:hAnsi="宋体" w:eastAsia="宋体" w:cs="宋体"/>
          <w:sz w:val="28"/>
          <w:szCs w:val="28"/>
        </w:rPr>
        <w:t>。</w:t>
      </w:r>
    </w:p>
    <w:p>
      <w:pPr>
        <w:adjustRightInd w:val="0"/>
        <w:snapToGrid w:val="0"/>
        <w:spacing w:line="360" w:lineRule="auto"/>
        <w:ind w:firstLine="640" w:firstLineChars="200"/>
        <w:outlineLvl w:val="0"/>
        <w:rPr>
          <w:rFonts w:ascii="黑体" w:hAnsi="黑体" w:eastAsia="黑体" w:cs="黑体"/>
          <w:bCs/>
          <w:kern w:val="0"/>
          <w:sz w:val="32"/>
          <w:szCs w:val="32"/>
        </w:rPr>
      </w:pPr>
      <w:bookmarkStart w:id="79" w:name="_Toc19341"/>
      <w:r>
        <w:rPr>
          <w:rFonts w:hint="eastAsia" w:ascii="黑体" w:hAnsi="黑体" w:eastAsia="黑体" w:cs="黑体"/>
          <w:bCs/>
          <w:kern w:val="0"/>
          <w:sz w:val="32"/>
          <w:szCs w:val="32"/>
        </w:rPr>
        <w:t>六、附件</w:t>
      </w:r>
      <w:bookmarkEnd w:id="79"/>
    </w:p>
    <w:p>
      <w:pPr>
        <w:pStyle w:val="3"/>
        <w:rPr>
          <w:rFonts w:ascii="楷体" w:hAnsi="楷体" w:eastAsia="楷体" w:cs="楷体"/>
        </w:rPr>
      </w:pPr>
      <w:bookmarkStart w:id="80" w:name="_Toc9133"/>
      <w:r>
        <w:rPr>
          <w:rFonts w:hint="eastAsia" w:ascii="楷体" w:hAnsi="楷体" w:eastAsia="楷体" w:cs="楷体"/>
        </w:rPr>
        <w:t>绩效评价指标体系得分表</w:t>
      </w:r>
      <w:bookmarkEnd w:id="80"/>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adjustRightInd w:val="0"/>
        <w:snapToGrid w:val="0"/>
        <w:spacing w:line="540" w:lineRule="exact"/>
        <w:outlineLvl w:val="0"/>
        <w:rPr>
          <w:rFonts w:asciiTheme="minorEastAsia" w:hAnsiTheme="minorEastAsia"/>
          <w:sz w:val="32"/>
          <w:szCs w:val="32"/>
        </w:rPr>
      </w:pPr>
      <w:bookmarkStart w:id="81" w:name="_Toc15162"/>
      <w:r>
        <w:rPr>
          <w:rFonts w:hint="eastAsia" w:asciiTheme="minorEastAsia" w:hAnsiTheme="minorEastAsia"/>
          <w:sz w:val="32"/>
          <w:szCs w:val="32"/>
        </w:rPr>
        <w:t>承德燕山会计师事务所         中国注册会计师：崔春华</w:t>
      </w:r>
      <w:bookmarkEnd w:id="81"/>
    </w:p>
    <w:p>
      <w:pPr>
        <w:adjustRightInd w:val="0"/>
        <w:snapToGrid w:val="0"/>
        <w:spacing w:line="540" w:lineRule="exact"/>
        <w:ind w:firstLine="640" w:firstLineChars="200"/>
        <w:outlineLvl w:val="0"/>
        <w:rPr>
          <w:rFonts w:asciiTheme="minorEastAsia" w:hAnsiTheme="minorEastAsia"/>
          <w:sz w:val="32"/>
          <w:szCs w:val="32"/>
        </w:rPr>
      </w:pPr>
      <w:bookmarkStart w:id="82" w:name="_Toc14815"/>
      <w:r>
        <w:rPr>
          <w:rFonts w:hint="eastAsia" w:asciiTheme="minorEastAsia" w:hAnsiTheme="minorEastAsia"/>
          <w:sz w:val="32"/>
          <w:szCs w:val="32"/>
        </w:rPr>
        <w:t>有限责任公司</w:t>
      </w:r>
      <w:bookmarkEnd w:id="82"/>
    </w:p>
    <w:p>
      <w:pPr>
        <w:ind w:firstLine="640" w:firstLineChars="200"/>
        <w:outlineLvl w:val="0"/>
        <w:rPr>
          <w:rFonts w:asciiTheme="minorEastAsia" w:hAnsiTheme="minorEastAsia"/>
          <w:sz w:val="32"/>
          <w:szCs w:val="32"/>
        </w:rPr>
      </w:pPr>
      <w:bookmarkStart w:id="83" w:name="_Toc13463"/>
      <w:r>
        <w:rPr>
          <w:rFonts w:hint="eastAsia" w:asciiTheme="minorEastAsia" w:hAnsiTheme="minorEastAsia"/>
          <w:sz w:val="32"/>
          <w:szCs w:val="32"/>
        </w:rPr>
        <w:t>河北·承德               中国注册会计师：白秀云</w:t>
      </w:r>
      <w:bookmarkEnd w:id="83"/>
    </w:p>
    <w:p>
      <w:pPr>
        <w:ind w:firstLine="640" w:firstLineChars="200"/>
        <w:rPr>
          <w:rFonts w:asciiTheme="minorEastAsia" w:hAnsiTheme="minorEastAsia"/>
          <w:sz w:val="32"/>
          <w:szCs w:val="32"/>
        </w:rPr>
      </w:pPr>
    </w:p>
    <w:p>
      <w:pPr>
        <w:ind w:firstLine="640" w:firstLineChars="200"/>
        <w:rPr>
          <w:rFonts w:asciiTheme="minorEastAsia" w:hAnsiTheme="minorEastAsia"/>
          <w:sz w:val="32"/>
          <w:szCs w:val="32"/>
        </w:rPr>
      </w:pPr>
    </w:p>
    <w:p>
      <w:pPr>
        <w:rPr>
          <w:rFonts w:ascii="楷体" w:hAnsi="楷体" w:eastAsia="楷体" w:cs="楷体"/>
        </w:rPr>
      </w:pPr>
      <w:r>
        <w:rPr>
          <w:rFonts w:hint="eastAsia" w:asciiTheme="minorEastAsia" w:hAnsiTheme="minorEastAsia"/>
          <w:sz w:val="32"/>
          <w:szCs w:val="32"/>
        </w:rPr>
        <w:t xml:space="preserve">                          </w:t>
      </w:r>
      <w:bookmarkStart w:id="84" w:name="_Toc29542"/>
      <w:r>
        <w:rPr>
          <w:rFonts w:hint="eastAsia" w:asciiTheme="minorEastAsia" w:hAnsiTheme="minorEastAsia"/>
          <w:sz w:val="32"/>
          <w:szCs w:val="32"/>
        </w:rPr>
        <w:t>二○二〇年十二月二十六日</w:t>
      </w:r>
      <w:bookmarkEnd w:id="84"/>
    </w:p>
    <w:p>
      <w:pPr>
        <w:ind w:firstLine="560" w:firstLineChars="200"/>
        <w:rPr>
          <w:rFonts w:ascii="宋体" w:hAnsi="宋体" w:eastAsia="宋体" w:cs="宋体"/>
          <w:sz w:val="28"/>
          <w:szCs w:val="28"/>
        </w:rPr>
      </w:pPr>
    </w:p>
    <w:p>
      <w:pPr>
        <w:ind w:firstLine="560" w:firstLineChars="200"/>
        <w:rPr>
          <w:rFonts w:ascii="宋体" w:hAnsi="宋体" w:eastAsia="宋体" w:cs="宋体"/>
          <w:sz w:val="28"/>
          <w:szCs w:val="28"/>
        </w:rPr>
        <w:sectPr>
          <w:footerReference r:id="rId7" w:type="default"/>
          <w:pgSz w:w="11906" w:h="16838"/>
          <w:pgMar w:top="1440" w:right="1800" w:bottom="1440" w:left="1800" w:header="851" w:footer="992" w:gutter="0"/>
          <w:pgNumType w:start="1"/>
          <w:cols w:space="425" w:num="1"/>
          <w:docGrid w:type="lines" w:linePitch="312" w:charSpace="0"/>
        </w:sectPr>
      </w:pPr>
    </w:p>
    <w:p>
      <w:pPr>
        <w:jc w:val="center"/>
        <w:rPr>
          <w:rFonts w:ascii="宋体" w:hAnsi="宋体" w:eastAsia="宋体" w:cs="宋体"/>
          <w:b/>
          <w:bCs/>
          <w:sz w:val="28"/>
          <w:szCs w:val="28"/>
          <w:highlight w:val="yellow"/>
        </w:rPr>
      </w:pPr>
      <w:r>
        <w:rPr>
          <w:rFonts w:hint="eastAsia" w:ascii="宋体" w:hAnsi="宋体" w:eastAsia="宋体" w:cs="宋体"/>
          <w:b/>
          <w:bCs/>
          <w:sz w:val="28"/>
          <w:szCs w:val="28"/>
        </w:rPr>
        <w:t>围场县公安局河东警务站工程项目绩效评价指标体系得分表</w:t>
      </w:r>
    </w:p>
    <w:tbl>
      <w:tblPr>
        <w:tblStyle w:val="12"/>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2137"/>
        <w:gridCol w:w="4802"/>
        <w:gridCol w:w="3357"/>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5"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7"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5、政务公开情况（3分）；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制定公示制度、建立公示平台、应该招标项目必须进行招标得3分，每缺少一项扣1分；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7、项目实施方案编制情况（3分）；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方案编制合理、可行得3分，每有一项不合理扣减0.5分；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8、资金使用合规性（4分）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债券资金未用于经常性支出，未用于中央明令禁止的项目支出得4分，发现资金使用不合规每有一项扣1分；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9、县级财政国库集中支付情况（7分）；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及时拨付项目资金得7分，未及时拨付每发现一次扣1分；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10、会计制度执行情况（4分）；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11、工程完工情况（10分）；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12、工期控制情况（10分）；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13、完工项目验收情况（10分）；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14、总体目标实现情况（8分）；</w:t>
            </w:r>
          </w:p>
        </w:tc>
        <w:tc>
          <w:tcPr>
            <w:tcW w:w="1207"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15、社会效益实现情况（</w:t>
            </w:r>
            <w:r>
              <w:rPr>
                <w:rFonts w:ascii="宋体" w:hAnsi="宋体" w:eastAsia="宋体" w:cs="宋体"/>
                <w:color w:val="000000"/>
                <w:sz w:val="24"/>
              </w:rPr>
              <w:t>8</w:t>
            </w:r>
            <w:r>
              <w:rPr>
                <w:rFonts w:hint="eastAsia" w:ascii="宋体" w:hAnsi="宋体" w:eastAsia="宋体" w:cs="宋体"/>
                <w:color w:val="000000"/>
                <w:sz w:val="24"/>
              </w:rPr>
              <w:t>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16、社会环境（生态环境等）改善情况（</w:t>
            </w:r>
            <w:r>
              <w:rPr>
                <w:rFonts w:ascii="宋体" w:hAnsi="宋体" w:eastAsia="宋体" w:cs="宋体"/>
                <w:color w:val="000000"/>
                <w:sz w:val="24"/>
              </w:rPr>
              <w:t>4</w:t>
            </w:r>
            <w:r>
              <w:rPr>
                <w:rFonts w:hint="eastAsia" w:ascii="宋体" w:hAnsi="宋体" w:eastAsia="宋体" w:cs="宋体"/>
                <w:color w:val="000000"/>
                <w:sz w:val="24"/>
              </w:rPr>
              <w:t>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项目建设对社会环境有明显提升得4分，提升不明显得2分，影响社会环境不得分；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17、项目建设带来的直接经济效益（3分）；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18、项目建设带来的间接经济效益（7分）；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项目建设能够持续带动当地间接经济效益明显提升得7分，经济效益不明显得5分；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5"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89</w:t>
            </w:r>
          </w:p>
        </w:tc>
      </w:tr>
    </w:tbl>
    <w:p>
      <w:pPr>
        <w:rPr>
          <w:rFonts w:ascii="宋体" w:hAnsi="宋体" w:eastAsia="宋体" w:cs="宋体"/>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2010609030101010101"/>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hkZTc0NjRhMjU1NjU1Y2NkNTk0NDgxZWRjZDYifQ=="/>
  </w:docVars>
  <w:rsids>
    <w:rsidRoot w:val="41A52C9E"/>
    <w:rsid w:val="00D005C3"/>
    <w:rsid w:val="00EC719B"/>
    <w:rsid w:val="00F427B4"/>
    <w:rsid w:val="03B73450"/>
    <w:rsid w:val="047E3D7B"/>
    <w:rsid w:val="053309F3"/>
    <w:rsid w:val="06B3136F"/>
    <w:rsid w:val="09DF3A36"/>
    <w:rsid w:val="0A617961"/>
    <w:rsid w:val="0BD056A5"/>
    <w:rsid w:val="0C9F3909"/>
    <w:rsid w:val="0E891FC9"/>
    <w:rsid w:val="0FF14209"/>
    <w:rsid w:val="11CA6AB4"/>
    <w:rsid w:val="12BF5E7C"/>
    <w:rsid w:val="13426D82"/>
    <w:rsid w:val="143E29E0"/>
    <w:rsid w:val="14EE2789"/>
    <w:rsid w:val="15B35575"/>
    <w:rsid w:val="1671287C"/>
    <w:rsid w:val="179E01C8"/>
    <w:rsid w:val="19B12636"/>
    <w:rsid w:val="1C0818FD"/>
    <w:rsid w:val="1DCB30AC"/>
    <w:rsid w:val="1E3912B7"/>
    <w:rsid w:val="21C358CA"/>
    <w:rsid w:val="27DD72F2"/>
    <w:rsid w:val="284D6241"/>
    <w:rsid w:val="2B284D4B"/>
    <w:rsid w:val="2C137100"/>
    <w:rsid w:val="327F7BC1"/>
    <w:rsid w:val="39FB1AB6"/>
    <w:rsid w:val="3BB5552B"/>
    <w:rsid w:val="3D7533AC"/>
    <w:rsid w:val="41A52C9E"/>
    <w:rsid w:val="41BD4066"/>
    <w:rsid w:val="46437D54"/>
    <w:rsid w:val="47C37A03"/>
    <w:rsid w:val="48771478"/>
    <w:rsid w:val="4A924A90"/>
    <w:rsid w:val="4D011B60"/>
    <w:rsid w:val="4D644CC1"/>
    <w:rsid w:val="4DED4B76"/>
    <w:rsid w:val="4DF57240"/>
    <w:rsid w:val="4F5D274A"/>
    <w:rsid w:val="54252E1D"/>
    <w:rsid w:val="55C61BB9"/>
    <w:rsid w:val="569318BE"/>
    <w:rsid w:val="579F073D"/>
    <w:rsid w:val="5C8A1200"/>
    <w:rsid w:val="69C570D0"/>
    <w:rsid w:val="6C606F9F"/>
    <w:rsid w:val="6DF46E2E"/>
    <w:rsid w:val="710016B0"/>
    <w:rsid w:val="711D197C"/>
    <w:rsid w:val="75840E38"/>
    <w:rsid w:val="77AB17FD"/>
    <w:rsid w:val="7B907C04"/>
    <w:rsid w:val="7D46624F"/>
    <w:rsid w:val="7D87276F"/>
    <w:rsid w:val="7FA62DC1"/>
    <w:rsid w:val="7FCB3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qFormat/>
    <w:uiPriority w:val="0"/>
    <w:pPr>
      <w:keepNext/>
      <w:keepLines/>
      <w:ind w:left="840" w:leftChars="400"/>
      <w:outlineLvl w:val="2"/>
    </w:pPr>
    <w:rPr>
      <w:rFonts w:hint="eastAsia" w:cs="Times New Roman"/>
      <w:b/>
      <w:sz w:val="32"/>
    </w:rPr>
  </w:style>
  <w:style w:type="character" w:default="1" w:styleId="13">
    <w:name w:val="Default Paragraph Font"/>
    <w:semiHidden/>
    <w:unhideWhenUsed/>
    <w:uiPriority w:val="1"/>
  </w:style>
  <w:style w:type="table" w:default="1" w:styleId="11">
    <w:name w:val="Normal Table"/>
    <w:autoRedefine/>
    <w:semiHidden/>
    <w:unhideWhenUsed/>
    <w:uiPriority w:val="99"/>
    <w:tblPr>
      <w:tblCellMar>
        <w:top w:w="0" w:type="dxa"/>
        <w:left w:w="108" w:type="dxa"/>
        <w:bottom w:w="0" w:type="dxa"/>
        <w:right w:w="108" w:type="dxa"/>
      </w:tblCellMar>
    </w:tbl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5">
    <w:name w:val="列出段落1"/>
    <w:basedOn w:val="1"/>
    <w:qFormat/>
    <w:uiPriority w:val="99"/>
    <w:pPr>
      <w:ind w:firstLine="420"/>
    </w:pPr>
  </w:style>
  <w:style w:type="paragraph" w:styleId="16">
    <w:name w:val="List Paragraph"/>
    <w:basedOn w:val="1"/>
    <w:unhideWhenUsed/>
    <w:qFormat/>
    <w:uiPriority w:val="99"/>
    <w:pPr>
      <w:ind w:firstLine="420" w:firstLineChars="200"/>
    </w:p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2028</Words>
  <Characters>11565</Characters>
  <Lines>96</Lines>
  <Paragraphs>27</Paragraphs>
  <TotalTime>5</TotalTime>
  <ScaleCrop>false</ScaleCrop>
  <LinksUpToDate>false</LinksUpToDate>
  <CharactersWithSpaces>13566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WPS_1551162903</cp:lastModifiedBy>
  <cp:lastPrinted>2021-03-04T00:55:00Z</cp:lastPrinted>
  <dcterms:modified xsi:type="dcterms:W3CDTF">2023-12-28T01:16:12Z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6B1AF7FB55E34BB19A98F7B135517836</vt:lpwstr>
  </property>
</Properties>
</file>