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围场县东山市民休闲公园项目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报告文号：承燕会所审专字（2020）第291号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 291号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24</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13259"/>
      <w:bookmarkStart w:id="1" w:name="_Toc29565"/>
      <w:bookmarkStart w:id="2" w:name="_Toc7123"/>
      <w:bookmarkStart w:id="3" w:name="_Toc32502"/>
      <w:bookmarkStart w:id="4" w:name="_Toc25062"/>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东山市民休闲公园建设项目</w:t>
      </w:r>
    </w:p>
    <w:p>
      <w:pPr>
        <w:jc w:val="center"/>
        <w:outlineLvl w:val="0"/>
        <w:rPr>
          <w:rFonts w:ascii="宋体" w:hAnsi="宋体" w:eastAsia="宋体" w:cs="宋体"/>
          <w:b/>
          <w:bCs/>
          <w:sz w:val="36"/>
          <w:szCs w:val="36"/>
        </w:rPr>
      </w:pPr>
      <w:bookmarkStart w:id="5" w:name="_Toc3241"/>
      <w:bookmarkStart w:id="6" w:name="_Toc26503"/>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东山市民休闲公园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27945"/>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188"/>
      <w:bookmarkStart w:id="10" w:name="_Toc3023"/>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w:t>
      </w:r>
      <w:bookmarkStart w:id="93" w:name="_GoBack"/>
      <w:bookmarkEnd w:id="93"/>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其中本次投入围场县东山市民休闲公园项目的债券资金共计471万元。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围场县东山市民休闲公园项目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围场满族蒙古族自治县城区</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4.项目背景</w:t>
      </w:r>
    </w:p>
    <w:p>
      <w:pPr>
        <w:pStyle w:val="5"/>
        <w:ind w:left="0" w:firstLine="560" w:firstLineChars="200"/>
        <w:rPr>
          <w:rFonts w:ascii="宋体" w:hAnsi="宋体" w:eastAsia="宋体" w:cs="宋体"/>
        </w:rPr>
      </w:pPr>
      <w:r>
        <w:rPr>
          <w:rFonts w:hint="eastAsia" w:ascii="宋体" w:hAnsi="宋体" w:eastAsia="宋体" w:cs="宋体"/>
        </w:rPr>
        <w:t>当今时代，竞争力已经成为一座城市乃至一个国家发展的决定性因素。生态环境是影响竞争力的主要因素之一。而城市绿化又是生态环境的重要内容。因此，包括道路、绿化、景观及室外休闲健身场所在内的环境建设也成为衡量一个地区综合实力的重要指标，决定着一个地区的经济发展后劲和发展活力。</w:t>
      </w:r>
    </w:p>
    <w:p>
      <w:pPr>
        <w:pStyle w:val="5"/>
        <w:ind w:left="0" w:firstLine="560" w:firstLineChars="200"/>
        <w:rPr>
          <w:rFonts w:ascii="宋体" w:hAnsi="宋体" w:eastAsia="宋体" w:cs="宋体"/>
        </w:rPr>
      </w:pPr>
      <w:r>
        <w:rPr>
          <w:rFonts w:hint="eastAsia" w:ascii="宋体" w:hAnsi="宋体" w:eastAsia="宋体" w:cs="宋体"/>
        </w:rPr>
        <w:t>围场满族蒙古族自治县隶属于河北省承德市，以“皇家、生态、民俗”为特色，被誉为“水的源头、云的故乡、花的世界、林的海洋、北方动植物的王国、摄影艺术家的天堂”。</w:t>
      </w:r>
    </w:p>
    <w:p>
      <w:pPr>
        <w:ind w:firstLine="560" w:firstLineChars="200"/>
        <w:rPr>
          <w:rFonts w:ascii="宋体" w:hAnsi="宋体" w:eastAsia="宋体" w:cs="宋体"/>
          <w:sz w:val="28"/>
          <w:szCs w:val="28"/>
        </w:rPr>
      </w:pPr>
      <w:r>
        <w:rPr>
          <w:rFonts w:hint="eastAsia" w:ascii="宋体" w:hAnsi="宋体" w:eastAsia="宋体" w:cs="宋体"/>
          <w:sz w:val="28"/>
          <w:szCs w:val="28"/>
        </w:rPr>
        <w:t>为了进一步提高城市绿化水平，促进城市经济、社会和环境的协调发展，根据围场满族蒙古族自治县城市绿化现状及城市人口数量和增长速度，提高人均绿地率，特提出了东山市民休闲公园建设项目。</w:t>
      </w:r>
    </w:p>
    <w:p>
      <w:pPr>
        <w:ind w:firstLine="560" w:firstLineChars="200"/>
        <w:rPr>
          <w:rFonts w:ascii="宋体" w:hAnsi="宋体" w:eastAsia="宋体" w:cs="宋体"/>
          <w:sz w:val="28"/>
          <w:szCs w:val="28"/>
        </w:rPr>
      </w:pPr>
      <w:r>
        <w:rPr>
          <w:rFonts w:hint="eastAsia" w:ascii="宋体" w:hAnsi="宋体" w:eastAsia="宋体" w:cs="宋体"/>
          <w:sz w:val="28"/>
          <w:szCs w:val="28"/>
        </w:rPr>
        <w:t>5.项目建设必要性</w:t>
      </w:r>
    </w:p>
    <w:p>
      <w:pPr>
        <w:pStyle w:val="5"/>
        <w:ind w:left="0" w:firstLine="560" w:firstLineChars="200"/>
        <w:rPr>
          <w:rFonts w:ascii="宋体" w:hAnsi="宋体" w:eastAsia="宋体" w:cs="宋体"/>
        </w:rPr>
      </w:pPr>
      <w:r>
        <w:rPr>
          <w:rFonts w:hint="eastAsia" w:ascii="宋体" w:hAnsi="宋体" w:eastAsia="宋体" w:cs="宋体"/>
        </w:rPr>
        <w:t>通过大力发展城市绿化工作，能够提高城市的品位和档次，树立良好的城市形象，增强城市的凝聚力和吸引力，聚集人才、聚集资金、聚集技术、聚集有利于发展的要素，提升城市综合竞争力，极大地推动改革开放和经济建设。</w:t>
      </w:r>
    </w:p>
    <w:p>
      <w:pPr>
        <w:pStyle w:val="5"/>
        <w:ind w:left="0" w:firstLine="560" w:firstLineChars="200"/>
        <w:rPr>
          <w:rFonts w:ascii="宋体" w:hAnsi="宋体" w:eastAsia="宋体" w:cs="宋体"/>
        </w:rPr>
      </w:pPr>
      <w:r>
        <w:rPr>
          <w:rFonts w:hint="eastAsia" w:ascii="宋体" w:hAnsi="宋体" w:eastAsia="宋体" w:cs="宋体"/>
        </w:rPr>
        <w:t>城市绿化是衡量一个城市现代化和文明程度的重要标志。注意生态保护、资源综合利用、人与自然和谐，不仅要有现代化的物质基础，还要有与之相配套的生态文明。加强城市绿化建设，努力为广大人民群众创造一个优美、舒适、宜居、方便的生活居住环境，是推进城市现代化和文明的重要指标。</w:t>
      </w:r>
    </w:p>
    <w:p>
      <w:pPr>
        <w:ind w:firstLine="560" w:firstLineChars="200"/>
        <w:rPr>
          <w:rFonts w:ascii="宋体" w:hAnsi="宋体" w:eastAsia="宋体" w:cs="宋体"/>
          <w:sz w:val="28"/>
          <w:szCs w:val="28"/>
        </w:rPr>
      </w:pPr>
      <w:r>
        <w:rPr>
          <w:rFonts w:hint="eastAsia" w:ascii="宋体" w:hAnsi="宋体" w:eastAsia="宋体" w:cs="宋体"/>
          <w:sz w:val="28"/>
          <w:szCs w:val="28"/>
        </w:rPr>
        <w:t>市民休闲公园的建设，不仅是满足人民生活水平不断提高的需要，也是落实十八大提出的全面建设小康社会宏伟目标的重要措施。通过东山市民休闲公园，着力打造城市特色，提升城市品位，构建社会主义和谐社会。</w:t>
      </w:r>
    </w:p>
    <w:p>
      <w:pPr>
        <w:ind w:firstLine="560" w:firstLineChars="200"/>
        <w:rPr>
          <w:rFonts w:ascii="宋体" w:hAnsi="宋体" w:eastAsia="宋体" w:cs="宋体"/>
          <w:sz w:val="28"/>
          <w:szCs w:val="28"/>
        </w:rPr>
      </w:pPr>
      <w:r>
        <w:rPr>
          <w:rFonts w:hint="eastAsia" w:ascii="宋体" w:hAnsi="宋体" w:eastAsia="宋体" w:cs="宋体"/>
          <w:sz w:val="28"/>
          <w:szCs w:val="28"/>
        </w:rPr>
        <w:t>6.工程概况</w:t>
      </w:r>
    </w:p>
    <w:p>
      <w:pPr>
        <w:pStyle w:val="5"/>
        <w:ind w:left="0" w:firstLine="560" w:firstLineChars="200"/>
        <w:rPr>
          <w:rFonts w:ascii="仿宋" w:hAnsi="仿宋" w:eastAsia="仿宋" w:cs="仿宋"/>
          <w:sz w:val="32"/>
          <w:szCs w:val="32"/>
        </w:rPr>
      </w:pPr>
      <w:r>
        <w:rPr>
          <w:rFonts w:hint="eastAsia" w:ascii="宋体" w:hAnsi="宋体" w:eastAsia="宋体" w:cs="宋体"/>
        </w:rPr>
        <w:t>东山市民休闲公园占地面积15.2公顷，主要建设内容为：水体工程建设面积3281平方米；绿化工程建设面积124268.6平方米，栽种不同种类的乔、灌木树种及人工草坪铺设；景观亭建设面积159.5平方米；廊架工程建设面积190.1平方米；运动场地建设面积3350平方米；道路7800平方米；安装路灯180套；其他配套建筑面积2015.8平方米；其他场地建设面积11000平方米。</w:t>
      </w:r>
    </w:p>
    <w:p>
      <w:pPr>
        <w:pStyle w:val="5"/>
        <w:ind w:left="0"/>
        <w:jc w:val="center"/>
        <w:rPr>
          <w:rFonts w:ascii="仿宋" w:hAnsi="仿宋" w:eastAsia="仿宋" w:cs="仿宋"/>
          <w:b/>
          <w:bCs/>
        </w:rPr>
      </w:pPr>
      <w:r>
        <w:rPr>
          <w:rFonts w:hint="eastAsia" w:ascii="仿宋" w:hAnsi="仿宋" w:eastAsia="仿宋" w:cs="仿宋"/>
          <w:b/>
          <w:bCs/>
        </w:rPr>
        <w:t>工程量一览表</w:t>
      </w:r>
    </w:p>
    <w:tbl>
      <w:tblPr>
        <w:tblStyle w:val="12"/>
        <w:tblW w:w="8018" w:type="dxa"/>
        <w:jc w:val="center"/>
        <w:tblLayout w:type="fixed"/>
        <w:tblCellMar>
          <w:top w:w="0" w:type="dxa"/>
          <w:left w:w="108" w:type="dxa"/>
          <w:bottom w:w="0" w:type="dxa"/>
          <w:right w:w="108" w:type="dxa"/>
        </w:tblCellMar>
      </w:tblPr>
      <w:tblGrid>
        <w:gridCol w:w="1520"/>
        <w:gridCol w:w="2862"/>
        <w:gridCol w:w="1818"/>
        <w:gridCol w:w="1818"/>
      </w:tblGrid>
      <w:tr>
        <w:tblPrEx>
          <w:tblCellMar>
            <w:top w:w="0" w:type="dxa"/>
            <w:left w:w="108" w:type="dxa"/>
            <w:bottom w:w="0" w:type="dxa"/>
            <w:right w:w="108" w:type="dxa"/>
          </w:tblCellMar>
        </w:tblPrEx>
        <w:trPr>
          <w:trHeight w:val="560" w:hRule="atLeast"/>
          <w:tblHeader/>
          <w:jc w:val="center"/>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分项工程名称</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8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56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86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color w:val="000000"/>
                <w:sz w:val="24"/>
              </w:rPr>
              <w:t>水体工程</w:t>
            </w:r>
          </w:p>
        </w:tc>
        <w:tc>
          <w:tcPr>
            <w:tcW w:w="181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3281</w:t>
            </w:r>
          </w:p>
        </w:tc>
      </w:tr>
      <w:tr>
        <w:tblPrEx>
          <w:tblCellMar>
            <w:top w:w="0" w:type="dxa"/>
            <w:left w:w="108" w:type="dxa"/>
            <w:bottom w:w="0" w:type="dxa"/>
            <w:right w:w="108" w:type="dxa"/>
          </w:tblCellMar>
        </w:tblPrEx>
        <w:trPr>
          <w:trHeight w:val="56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86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color w:val="000000"/>
                <w:sz w:val="24"/>
              </w:rPr>
              <w:t>绿化工程</w:t>
            </w:r>
          </w:p>
        </w:tc>
        <w:tc>
          <w:tcPr>
            <w:tcW w:w="181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124268.6</w:t>
            </w:r>
          </w:p>
        </w:tc>
      </w:tr>
      <w:tr>
        <w:tblPrEx>
          <w:tblCellMar>
            <w:top w:w="0" w:type="dxa"/>
            <w:left w:w="108" w:type="dxa"/>
            <w:bottom w:w="0" w:type="dxa"/>
            <w:right w:w="108" w:type="dxa"/>
          </w:tblCellMar>
        </w:tblPrEx>
        <w:trPr>
          <w:trHeight w:val="56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86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color w:val="000000"/>
                <w:sz w:val="24"/>
              </w:rPr>
              <w:t>景观亭</w:t>
            </w:r>
          </w:p>
        </w:tc>
        <w:tc>
          <w:tcPr>
            <w:tcW w:w="18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159.5</w:t>
            </w:r>
          </w:p>
        </w:tc>
      </w:tr>
      <w:tr>
        <w:tblPrEx>
          <w:tblCellMar>
            <w:top w:w="0" w:type="dxa"/>
            <w:left w:w="108" w:type="dxa"/>
            <w:bottom w:w="0" w:type="dxa"/>
            <w:right w:w="108" w:type="dxa"/>
          </w:tblCellMar>
        </w:tblPrEx>
        <w:trPr>
          <w:trHeight w:val="56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86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color w:val="000000"/>
                <w:sz w:val="24"/>
              </w:rPr>
              <w:t>廊架</w:t>
            </w:r>
          </w:p>
        </w:tc>
        <w:tc>
          <w:tcPr>
            <w:tcW w:w="18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190.1</w:t>
            </w:r>
          </w:p>
        </w:tc>
      </w:tr>
      <w:tr>
        <w:tblPrEx>
          <w:tblCellMar>
            <w:top w:w="0" w:type="dxa"/>
            <w:left w:w="108" w:type="dxa"/>
            <w:bottom w:w="0" w:type="dxa"/>
            <w:right w:w="108" w:type="dxa"/>
          </w:tblCellMar>
        </w:tblPrEx>
        <w:trPr>
          <w:trHeight w:val="56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86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color w:val="000000"/>
                <w:sz w:val="24"/>
              </w:rPr>
              <w:t>其他建筑</w:t>
            </w:r>
          </w:p>
        </w:tc>
        <w:tc>
          <w:tcPr>
            <w:tcW w:w="18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2015.8</w:t>
            </w:r>
          </w:p>
        </w:tc>
      </w:tr>
      <w:tr>
        <w:tblPrEx>
          <w:tblCellMar>
            <w:top w:w="0" w:type="dxa"/>
            <w:left w:w="108" w:type="dxa"/>
            <w:bottom w:w="0" w:type="dxa"/>
            <w:right w:w="108" w:type="dxa"/>
          </w:tblCellMar>
        </w:tblPrEx>
        <w:trPr>
          <w:trHeight w:val="56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86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color w:val="000000"/>
                <w:sz w:val="24"/>
              </w:rPr>
              <w:t>运动场地</w:t>
            </w:r>
          </w:p>
        </w:tc>
        <w:tc>
          <w:tcPr>
            <w:tcW w:w="18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3350</w:t>
            </w:r>
          </w:p>
        </w:tc>
      </w:tr>
      <w:tr>
        <w:tblPrEx>
          <w:tblCellMar>
            <w:top w:w="0" w:type="dxa"/>
            <w:left w:w="108" w:type="dxa"/>
            <w:bottom w:w="0" w:type="dxa"/>
            <w:right w:w="108" w:type="dxa"/>
          </w:tblCellMar>
        </w:tblPrEx>
        <w:trPr>
          <w:trHeight w:val="56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86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color w:val="000000"/>
                <w:sz w:val="24"/>
              </w:rPr>
              <w:t>其它场地</w:t>
            </w:r>
          </w:p>
        </w:tc>
        <w:tc>
          <w:tcPr>
            <w:tcW w:w="18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11000</w:t>
            </w:r>
          </w:p>
        </w:tc>
      </w:tr>
      <w:tr>
        <w:tblPrEx>
          <w:tblCellMar>
            <w:top w:w="0" w:type="dxa"/>
            <w:left w:w="108" w:type="dxa"/>
            <w:bottom w:w="0" w:type="dxa"/>
            <w:right w:w="108" w:type="dxa"/>
          </w:tblCellMar>
        </w:tblPrEx>
        <w:trPr>
          <w:trHeight w:val="56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86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color w:val="000000"/>
                <w:sz w:val="24"/>
              </w:rPr>
              <w:t>道路工程</w:t>
            </w:r>
          </w:p>
        </w:tc>
        <w:tc>
          <w:tcPr>
            <w:tcW w:w="18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7800</w:t>
            </w:r>
          </w:p>
        </w:tc>
      </w:tr>
      <w:tr>
        <w:tblPrEx>
          <w:tblCellMar>
            <w:top w:w="0" w:type="dxa"/>
            <w:left w:w="108" w:type="dxa"/>
            <w:bottom w:w="0" w:type="dxa"/>
            <w:right w:w="108" w:type="dxa"/>
          </w:tblCellMar>
        </w:tblPrEx>
        <w:trPr>
          <w:trHeight w:val="56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862"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color w:val="000000"/>
                <w:sz w:val="24"/>
              </w:rPr>
              <w:t>路灯工程</w:t>
            </w:r>
          </w:p>
        </w:tc>
        <w:tc>
          <w:tcPr>
            <w:tcW w:w="18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sz w:val="24"/>
              </w:rPr>
              <w:t>套</w:t>
            </w: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180</w:t>
            </w:r>
          </w:p>
        </w:tc>
      </w:tr>
      <w:tr>
        <w:tblPrEx>
          <w:tblCellMar>
            <w:top w:w="0" w:type="dxa"/>
            <w:left w:w="108" w:type="dxa"/>
            <w:bottom w:w="0" w:type="dxa"/>
            <w:right w:w="108" w:type="dxa"/>
          </w:tblCellMar>
        </w:tblPrEx>
        <w:trPr>
          <w:trHeight w:val="582" w:hRule="atLeast"/>
          <w:jc w:val="center"/>
        </w:trPr>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合计</w:t>
            </w:r>
          </w:p>
        </w:tc>
        <w:tc>
          <w:tcPr>
            <w:tcW w:w="286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p>
        </w:tc>
        <w:tc>
          <w:tcPr>
            <w:tcW w:w="181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color w:val="000000"/>
                <w:sz w:val="24"/>
              </w:rPr>
            </w:pPr>
            <w:r>
              <w:rPr>
                <w:rFonts w:hint="eastAsia"/>
                <w:color w:val="000000"/>
                <w:sz w:val="24"/>
              </w:rPr>
              <w:t>152245</w:t>
            </w:r>
          </w:p>
        </w:tc>
      </w:tr>
    </w:tbl>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r>
        <w:rPr>
          <w:rFonts w:hint="eastAsia" w:ascii="宋体" w:hAnsi="宋体" w:eastAsia="宋体" w:cs="宋体"/>
          <w:sz w:val="28"/>
          <w:szCs w:val="28"/>
        </w:rPr>
        <w:t>7.项目总投资及资金来源</w:t>
      </w:r>
    </w:p>
    <w:p>
      <w:pPr>
        <w:pStyle w:val="5"/>
        <w:ind w:left="0" w:firstLine="560" w:firstLineChars="200"/>
        <w:rPr>
          <w:rFonts w:ascii="宋体" w:hAnsi="宋体" w:eastAsia="宋体" w:cs="宋体"/>
        </w:rPr>
      </w:pPr>
      <w:r>
        <w:rPr>
          <w:rFonts w:hint="eastAsia" w:ascii="宋体" w:hAnsi="宋体" w:eastAsia="宋体" w:cs="宋体"/>
        </w:rPr>
        <w:t>2016年2月5日围场满族蒙古族自治县发展改革局对围场县东山市民休闲公园建设项目可行性研究报告做了批复。</w:t>
      </w:r>
    </w:p>
    <w:p>
      <w:pPr>
        <w:pStyle w:val="5"/>
        <w:ind w:left="0" w:firstLine="560" w:firstLineChars="200"/>
        <w:rPr>
          <w:rFonts w:ascii="宋体" w:hAnsi="宋体" w:eastAsia="宋体" w:cs="宋体"/>
        </w:rPr>
      </w:pPr>
      <w:r>
        <w:rPr>
          <w:rFonts w:hint="eastAsia" w:ascii="宋体" w:hAnsi="宋体" w:eastAsia="宋体" w:cs="宋体"/>
        </w:rPr>
        <w:t>项目总投资5000万元，其中工程费用3992.01万元，工程建设其他费用553.44万元，基本预备费用454.55万元。</w:t>
      </w:r>
    </w:p>
    <w:p>
      <w:pPr>
        <w:ind w:firstLine="560" w:firstLineChars="200"/>
        <w:rPr>
          <w:rFonts w:ascii="宋体" w:hAnsi="宋体" w:eastAsia="宋体" w:cs="宋体"/>
          <w:sz w:val="28"/>
          <w:szCs w:val="28"/>
        </w:rPr>
      </w:pPr>
      <w:r>
        <w:rPr>
          <w:rFonts w:hint="eastAsia" w:ascii="宋体" w:hAnsi="宋体" w:eastAsia="宋体" w:cs="宋体"/>
          <w:sz w:val="28"/>
          <w:szCs w:val="28"/>
        </w:rPr>
        <w:t>全部为财政投资，其中使用政府一般债券资金471万元。</w:t>
      </w:r>
    </w:p>
    <w:p>
      <w:pPr>
        <w:spacing w:line="600" w:lineRule="exact"/>
        <w:ind w:firstLine="643" w:firstLineChars="200"/>
        <w:outlineLvl w:val="1"/>
        <w:rPr>
          <w:rFonts w:ascii="宋体" w:hAnsi="宋体" w:eastAsia="宋体" w:cs="宋体"/>
          <w:sz w:val="28"/>
          <w:szCs w:val="28"/>
        </w:rPr>
      </w:pPr>
      <w:bookmarkStart w:id="11" w:name="_Toc25308"/>
      <w:r>
        <w:rPr>
          <w:rFonts w:hint="eastAsia" w:ascii="楷体" w:hAnsi="楷体" w:eastAsia="楷体" w:cs="楷体"/>
          <w:b/>
          <w:sz w:val="32"/>
          <w:szCs w:val="32"/>
        </w:rPr>
        <w:t>（二）项目绩效目标</w:t>
      </w:r>
      <w:bookmarkEnd w:id="11"/>
      <w:bookmarkStart w:id="12" w:name="_Toc28894"/>
      <w:bookmarkStart w:id="13" w:name="_Toc12271"/>
    </w:p>
    <w:p>
      <w:pPr>
        <w:spacing w:line="600" w:lineRule="exact"/>
        <w:ind w:firstLine="560" w:firstLineChars="200"/>
        <w:outlineLvl w:val="1"/>
        <w:rPr>
          <w:rFonts w:ascii="宋体" w:hAnsi="宋体" w:eastAsia="宋体" w:cs="宋体"/>
          <w:sz w:val="28"/>
          <w:szCs w:val="28"/>
        </w:rPr>
      </w:pPr>
      <w:bookmarkStart w:id="14" w:name="_Toc31882"/>
      <w:bookmarkStart w:id="15" w:name="_Toc1001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2"/>
      <w:bookmarkEnd w:id="14"/>
      <w:bookmarkEnd w:id="15"/>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3"/>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本次考核评价对象：围场县东山市民休闲公园项目。从项目投入、管理、产出、效益等方面进行全面的评价考核。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9" w:name="_Toc20068"/>
            <w:bookmarkStart w:id="20"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Theme="minorEastAsia" w:hAnsiTheme="minorEastAsia" w:cstheme="minorEastAsia"/>
          <w:color w:val="000000" w:themeColor="text1"/>
          <w:szCs w:val="28"/>
          <w14:textFill>
            <w14:solidFill>
              <w14:schemeClr w14:val="tx1"/>
            </w14:solidFill>
          </w14:textFill>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1" w:name="_Toc22990"/>
            <w:bookmarkStart w:id="22" w:name="_Toc20552"/>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30379"/>
      <w:bookmarkStart w:id="24"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8164"/>
      <w:bookmarkStart w:id="26" w:name="_Toc20778"/>
      <w:bookmarkStart w:id="27" w:name="_Toc12042"/>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2087"/>
      <w:bookmarkStart w:id="30" w:name="_Toc13042"/>
      <w:bookmarkStart w:id="31" w:name="_Toc17563"/>
      <w:bookmarkStart w:id="32" w:name="_Toc18780"/>
      <w:bookmarkStart w:id="33" w:name="_Toc22556"/>
      <w:bookmarkStart w:id="34" w:name="_Toc3180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14572"/>
      <w:bookmarkStart w:id="36" w:name="_Toc24311"/>
      <w:bookmarkStart w:id="37" w:name="_Toc24529"/>
      <w:bookmarkStart w:id="38" w:name="_Toc15494"/>
      <w:bookmarkStart w:id="39" w:name="_Toc14297"/>
      <w:bookmarkStart w:id="40" w:name="_Toc19058"/>
      <w:bookmarkStart w:id="41" w:name="_Toc1487"/>
      <w:bookmarkStart w:id="42" w:name="_Toc24972"/>
      <w:bookmarkStart w:id="43" w:name="_Toc17036"/>
      <w:bookmarkStart w:id="44" w:name="_Toc27413"/>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6642"/>
      <w:bookmarkStart w:id="46" w:name="_Toc27143"/>
      <w:bookmarkStart w:id="47" w:name="_Toc31637"/>
      <w:bookmarkStart w:id="48" w:name="_Toc29931"/>
      <w:bookmarkStart w:id="49" w:name="_Toc28394"/>
      <w:bookmarkStart w:id="50" w:name="_Toc25494"/>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spacing w:line="360" w:lineRule="auto"/>
        <w:ind w:firstLine="560" w:firstLineChars="200"/>
        <w:rPr>
          <w:rFonts w:ascii="宋体" w:hAnsi="宋体" w:eastAsia="宋体" w:cs="宋体"/>
          <w:sz w:val="28"/>
          <w:szCs w:val="28"/>
        </w:rPr>
      </w:pPr>
      <w:bookmarkStart w:id="51" w:name="_Toc17781"/>
      <w:bookmarkStart w:id="52" w:name="_Toc332"/>
      <w:bookmarkStart w:id="53" w:name="_Toc27067"/>
      <w:bookmarkStart w:id="54" w:name="_Toc24530"/>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ind w:firstLine="643" w:firstLineChars="200"/>
        <w:outlineLvl w:val="0"/>
        <w:rPr>
          <w:rFonts w:ascii="黑体" w:hAnsi="黑体" w:eastAsia="黑体" w:cs="黑体"/>
          <w:b/>
          <w:bCs/>
          <w:sz w:val="32"/>
          <w:szCs w:val="32"/>
        </w:rPr>
      </w:pPr>
      <w:bookmarkStart w:id="55" w:name="_Toc20611"/>
      <w:r>
        <w:rPr>
          <w:rFonts w:hint="eastAsia" w:ascii="黑体" w:hAnsi="黑体" w:eastAsia="黑体" w:cs="黑体"/>
          <w:b/>
          <w:bCs/>
          <w:sz w:val="32"/>
          <w:szCs w:val="32"/>
        </w:rPr>
        <w:t>三、</w:t>
      </w:r>
      <w:bookmarkEnd w:id="28"/>
      <w:r>
        <w:rPr>
          <w:rFonts w:hint="eastAsia" w:ascii="黑体" w:hAnsi="黑体" w:eastAsia="黑体" w:cs="黑体"/>
          <w:b/>
          <w:bCs/>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15753"/>
      <w:bookmarkStart w:id="57" w:name="_Toc6786"/>
      <w:r>
        <w:rPr>
          <w:rFonts w:hint="eastAsia" w:ascii="楷体" w:hAnsi="楷体" w:eastAsia="楷体" w:cs="楷体"/>
          <w:b/>
          <w:bCs/>
          <w:sz w:val="32"/>
          <w:szCs w:val="32"/>
        </w:rPr>
        <w:t>（一）项目实施情况</w:t>
      </w:r>
      <w:bookmarkEnd w:id="56"/>
      <w:bookmarkEnd w:id="57"/>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2016年2月25日，围场满族蒙古族自治县发展改革局对围场县东山市民休闲公园建设项目可行性研究报告做了批复。</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东山市民休闲公园占地面积15.2公顷，其他配套建筑面积2015.8平方米，其他场地建设面积11000平方米。</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2016年9月1日,围场满族蒙古族自治县住房和城乡规划建设局通过公开招标方式,经评标委员会专家评审，最终确定河北绿城园林绿化工程有限公司为东山市民休闲公园建设项目中标单位，中标价1571.409万元；并于2016年9月11日双方签订了建设工程施工合同，同时约定了工程承包范围、合同工期、质量标准、合同价款等相关事宜。</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计划开工日期：2016年9月16日；计划竣工日期：2016年12月27日；工期：103日历天。</w:t>
      </w:r>
    </w:p>
    <w:p>
      <w:pPr>
        <w:ind w:firstLine="560" w:firstLineChars="200"/>
        <w:rPr>
          <w:rFonts w:ascii="宋体" w:hAnsi="宋体" w:eastAsia="宋体" w:cs="宋体"/>
          <w:sz w:val="28"/>
          <w:szCs w:val="28"/>
        </w:rPr>
      </w:pPr>
      <w:r>
        <w:rPr>
          <w:rFonts w:hint="eastAsia" w:ascii="宋体" w:hAnsi="宋体" w:eastAsia="宋体" w:cs="宋体"/>
          <w:sz w:val="28"/>
          <w:szCs w:val="28"/>
        </w:rPr>
        <w:t>本项目于2017年10月30日竣工，建设完工后由建设单位组织，其他责任主体参加共同验收，竣工验收报告显示：本工程已按合同约定完成设计文件规定的内容，技术档案和施工管理资料齐全，主要建筑材料、构配件、设备试验报告齐全有效，施工单位组织自评质量为合格，同意竣工验收。</w:t>
      </w:r>
    </w:p>
    <w:p>
      <w:pPr>
        <w:adjustRightInd w:val="0"/>
        <w:snapToGrid w:val="0"/>
        <w:spacing w:line="360" w:lineRule="auto"/>
        <w:ind w:firstLine="643" w:firstLineChars="200"/>
        <w:outlineLvl w:val="1"/>
        <w:rPr>
          <w:rFonts w:ascii="楷体" w:hAnsi="楷体" w:eastAsia="楷体" w:cs="楷体"/>
          <w:b/>
          <w:kern w:val="0"/>
          <w:sz w:val="32"/>
          <w:szCs w:val="32"/>
        </w:rPr>
      </w:pPr>
      <w:bookmarkStart w:id="58" w:name="_Toc14809"/>
      <w:bookmarkStart w:id="59" w:name="_Toc11091"/>
      <w:r>
        <w:rPr>
          <w:rFonts w:hint="eastAsia" w:ascii="楷体" w:hAnsi="楷体" w:eastAsia="楷体" w:cs="楷体"/>
          <w:b/>
          <w:kern w:val="0"/>
          <w:sz w:val="32"/>
          <w:szCs w:val="32"/>
        </w:rPr>
        <w:t>（二）资金使用情况</w:t>
      </w:r>
      <w:bookmarkEnd w:id="58"/>
      <w:bookmarkEnd w:id="59"/>
    </w:p>
    <w:p>
      <w:pPr>
        <w:ind w:firstLine="560" w:firstLineChars="200"/>
        <w:rPr>
          <w:rFonts w:ascii="宋体" w:hAnsi="宋体" w:eastAsia="宋体" w:cs="宋体"/>
          <w:sz w:val="28"/>
          <w:szCs w:val="28"/>
        </w:rPr>
      </w:pPr>
      <w:bookmarkStart w:id="60" w:name="_Toc15054"/>
      <w:bookmarkStart w:id="61" w:name="_Toc13622"/>
      <w:r>
        <w:rPr>
          <w:rFonts w:hint="eastAsia" w:ascii="宋体" w:hAnsi="宋体" w:eastAsia="宋体" w:cs="宋体"/>
          <w:sz w:val="28"/>
          <w:szCs w:val="28"/>
        </w:rPr>
        <w:t>2017年10月23日，财政拨付债券专项资金2000万元。</w:t>
      </w:r>
    </w:p>
    <w:p>
      <w:pPr>
        <w:ind w:firstLine="560" w:firstLineChars="200"/>
        <w:rPr>
          <w:rFonts w:ascii="宋体" w:hAnsi="宋体" w:eastAsia="宋体" w:cs="宋体"/>
          <w:sz w:val="28"/>
          <w:szCs w:val="28"/>
        </w:rPr>
      </w:pPr>
      <w:r>
        <w:rPr>
          <w:rFonts w:hint="eastAsia" w:ascii="宋体" w:hAnsi="宋体" w:eastAsia="宋体" w:cs="宋体"/>
          <w:sz w:val="28"/>
          <w:szCs w:val="28"/>
        </w:rPr>
        <w:t>2017年12月25日，围场县住房和城乡规划建设局支付河北绿城园林绿化工程有限公司工程款471.422696万元。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使用债券资金清晰，支付凭证和发票齐全。</w:t>
      </w:r>
      <w:bookmarkEnd w:id="60"/>
      <w:bookmarkEnd w:id="61"/>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427"/>
      <w:bookmarkStart w:id="64" w:name="_Toc16548"/>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2016年2月25日，围场满族蒙古族自治县发展改革局对围场县东山市民休闲公园建设项目可行性研究报告做了批复。本项目立项合规、方案可行、设立过程符合政策规定。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方案实施，依据绩效目标设定的绩效指标清晰、合理、细化、可衡量。通过对围场县东山市民休闲公园建设项目的分析，我方认为方案可行，设施功能完善，建成后能够满足居民正常使用，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围场县东山市民休闲公园建设项目绩效评价所需资料基本齐全，财务凭证有效，但竣工验收报告内容描述过于简单且无竣工验收具体时间，我方最终给予此项考核指标扣减1分。</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本项目债券资金全部用于东山市民休闲公园建设项目，均未用于经常性支出，未用于中央明令禁止的项目支出，资金使用合规。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本项目已按国库集中支付制度要求，按照围政〔2019〕100号文件分配方案在县级财政集中支付，支付凭证完整有效。</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我方绩效评价小组在对该项目财务资料检查时未发现资金有挪用、抽逃、延迟支付现象，项目建设资金使用合理，账务处理基本合规。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由于本项目中标日期为9月中旬，围场地区气温开始转凉，导致一些栽植工程无法进行，部分项目需转到次年才能施工，我方通过查阅本工程项目竣工验收报告，竣工时间为2017年10月30日，竣工时间出现严重滞后，我方给予此项考核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完工后，建设单位组织验收，设计、施工、监理单位参加。项目已完成总承包合同约定的所有工程量，资料齐全，主要建筑材料合格，复试合格，施工单位组织自评质量为合格，但此竣工验收报告最终验收结论不详，我方给予此项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围场县东山市民休闲公园建设项目完工部分按批复设定的总体目标全面实现，达到预期目标。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项目建设完成后能够大大提升景观效益，对周边地区发展十分有利，居民生活质量明显提升，可增加一些就业机会，通过公园建设可以组织一些有意义的文化宣传和科普教育活动，提升项目的多样性功能。</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东山市民休闲公园项目建设，可以涵养水源、调节局部气候、净化空气、控制水土流失、生物多样性资源保护，生态环境明显提升。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由于东山市民休闲公园建设项目的投入为社会公益性项目，因此不产生直接经济效益。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可带动围场县城旅游业发展，促进社会进步，还可以为招商引资创造极佳条件，拉动围场满族蒙古族自治县经济发展，另外可以带动周边地价的上涨，随着后续项目的开发建设，会带来一定的间接经济效益。</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14098"/>
      <w:bookmarkStart w:id="66" w:name="_Toc22148"/>
      <w:r>
        <w:rPr>
          <w:rFonts w:hint="eastAsia" w:ascii="楷体" w:hAnsi="楷体" w:eastAsia="楷体" w:cs="楷体"/>
          <w:b/>
          <w:kern w:val="0"/>
          <w:sz w:val="32"/>
          <w:szCs w:val="32"/>
        </w:rPr>
        <w:t>（二）绩效评价结论</w:t>
      </w:r>
      <w:bookmarkEnd w:id="65"/>
      <w:bookmarkEnd w:id="6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东山市民休闲公园建设项目绩效考评结果，其中：投入指标考评得分10分、管理指标考评得分29分、产出指标考评得分26分、效益指标考评得分26分。通过对各项指标的具体分析评价，汇总得出本次绩效评价考核综合得分为91分，总体评价为“优”。</w:t>
      </w:r>
    </w:p>
    <w:p>
      <w:pPr>
        <w:widowControl/>
        <w:ind w:firstLine="560" w:firstLineChars="200"/>
        <w:jc w:val="left"/>
        <w:rPr>
          <w:rFonts w:ascii="宋体" w:hAnsi="宋体" w:eastAsia="宋体" w:cs="宋体"/>
          <w:bCs/>
          <w:kern w:val="0"/>
          <w:sz w:val="28"/>
          <w:szCs w:val="28"/>
        </w:rPr>
      </w:pPr>
      <w:r>
        <w:rPr>
          <w:rFonts w:hint="eastAsia" w:ascii="宋体" w:hAnsi="宋体" w:eastAsia="宋体" w:cs="宋体"/>
          <w:sz w:val="28"/>
          <w:szCs w:val="28"/>
        </w:rPr>
        <w:t>通过项目建设，对社会效益影响是长期的，促进了围场县的经济繁荣和稳定发展。</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评价结果表明，围场县东山市民休闲公园建设项目组织和管理能够较好地执行相关规定要求，对项目资金的监督管理总体有效，本项目实施持续性较明显。资金使用合理合规，为围场县的经济繁荣作出了贡献。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7" w:name="_Toc32395"/>
      <w:bookmarkStart w:id="68" w:name="_Toc29435"/>
      <w:r>
        <w:rPr>
          <w:rFonts w:hint="eastAsia" w:ascii="黑体" w:hAnsi="黑体" w:eastAsia="黑体" w:cs="黑体"/>
          <w:bCs/>
          <w:kern w:val="0"/>
          <w:sz w:val="32"/>
          <w:szCs w:val="32"/>
        </w:rPr>
        <w:t>五、</w:t>
      </w:r>
      <w:bookmarkEnd w:id="67"/>
      <w:r>
        <w:rPr>
          <w:rFonts w:hint="eastAsia" w:ascii="黑体" w:hAnsi="黑体" w:eastAsia="黑体" w:cs="黑体"/>
          <w:bCs/>
          <w:kern w:val="0"/>
          <w:sz w:val="32"/>
          <w:szCs w:val="32"/>
        </w:rPr>
        <w:t>意见及建议</w:t>
      </w:r>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69" w:name="_Toc26763"/>
      <w:bookmarkStart w:id="70" w:name="_Toc7010"/>
      <w:bookmarkStart w:id="71" w:name="_Toc15246"/>
      <w:bookmarkStart w:id="72" w:name="_Toc5786"/>
      <w:bookmarkStart w:id="73" w:name="_Toc25821"/>
      <w:bookmarkStart w:id="74" w:name="_Toc31396"/>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14241"/>
      <w:bookmarkStart w:id="76" w:name="_Toc19932"/>
      <w:bookmarkStart w:id="77" w:name="_Toc10505"/>
      <w:bookmarkStart w:id="78" w:name="_Toc21411"/>
      <w:bookmarkStart w:id="79" w:name="_Toc6863"/>
      <w:bookmarkStart w:id="80" w:name="_Toc11860"/>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11787"/>
      <w:bookmarkStart w:id="82" w:name="_Toc3001"/>
      <w:bookmarkStart w:id="83" w:name="_Toc30061"/>
      <w:bookmarkStart w:id="84" w:name="_Toc21034"/>
      <w:bookmarkStart w:id="85" w:name="_Toc10592"/>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7" w:name="_Toc24195"/>
      <w:r>
        <w:rPr>
          <w:rFonts w:hint="eastAsia" w:ascii="黑体" w:hAnsi="黑体" w:eastAsia="黑体" w:cs="黑体"/>
          <w:bCs/>
          <w:kern w:val="0"/>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adjustRightInd w:val="0"/>
        <w:snapToGrid w:val="0"/>
        <w:spacing w:line="540" w:lineRule="exact"/>
        <w:outlineLvl w:val="0"/>
        <w:rPr>
          <w:rFonts w:asciiTheme="minorEastAsia" w:hAnsiTheme="minorEastAsia"/>
          <w:sz w:val="32"/>
          <w:szCs w:val="32"/>
        </w:rPr>
      </w:pPr>
      <w:bookmarkStart w:id="89" w:name="_Toc15162"/>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rPr>
        <w:t>崔春华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asciiTheme="minorEastAsia" w:hAnsiTheme="minorEastAsia"/>
          <w:sz w:val="32"/>
          <w:szCs w:val="32"/>
        </w:rPr>
      </w:pPr>
      <w:bookmarkStart w:id="91" w:name="_Toc13463"/>
      <w:r>
        <w:rPr>
          <w:rFonts w:hint="eastAsia" w:asciiTheme="minorEastAsia" w:hAnsiTheme="minorEastAsia"/>
          <w:sz w:val="32"/>
          <w:szCs w:val="32"/>
        </w:rPr>
        <w:t>河北·承德               中国注册会计师：</w:t>
      </w:r>
      <w:bookmarkEnd w:id="91"/>
      <w:r>
        <w:rPr>
          <w:rFonts w:hint="eastAsia" w:asciiTheme="minorEastAsia" w:hAnsiTheme="minorEastAsia"/>
          <w:sz w:val="32"/>
          <w:szCs w:val="32"/>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bookmarkStart w:id="92" w:name="_Toc29542"/>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二○二〇年十二月二十八日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围场县东山市民休闲公园建设项目绩效评价指标体系得分表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91</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400C36"/>
    <w:rsid w:val="009B3D78"/>
    <w:rsid w:val="009F4926"/>
    <w:rsid w:val="00AD3B34"/>
    <w:rsid w:val="00BE1595"/>
    <w:rsid w:val="00F71DFB"/>
    <w:rsid w:val="0241670B"/>
    <w:rsid w:val="03906ECE"/>
    <w:rsid w:val="03A306CD"/>
    <w:rsid w:val="03B73450"/>
    <w:rsid w:val="047E3D7B"/>
    <w:rsid w:val="06B3136F"/>
    <w:rsid w:val="09DF3A36"/>
    <w:rsid w:val="0A0A7811"/>
    <w:rsid w:val="0A617961"/>
    <w:rsid w:val="0BA22D9D"/>
    <w:rsid w:val="0CF76258"/>
    <w:rsid w:val="0D892288"/>
    <w:rsid w:val="0FF14209"/>
    <w:rsid w:val="105E04DB"/>
    <w:rsid w:val="11CA6AB4"/>
    <w:rsid w:val="12192A13"/>
    <w:rsid w:val="13426D82"/>
    <w:rsid w:val="155D51F4"/>
    <w:rsid w:val="1671287C"/>
    <w:rsid w:val="179E01C8"/>
    <w:rsid w:val="18B14196"/>
    <w:rsid w:val="19B12636"/>
    <w:rsid w:val="1C0818FD"/>
    <w:rsid w:val="1DCB30AC"/>
    <w:rsid w:val="1E3912B7"/>
    <w:rsid w:val="21C358CA"/>
    <w:rsid w:val="25D00022"/>
    <w:rsid w:val="261A33D3"/>
    <w:rsid w:val="27DD72F2"/>
    <w:rsid w:val="284D6241"/>
    <w:rsid w:val="297639A8"/>
    <w:rsid w:val="2B052CF6"/>
    <w:rsid w:val="2B284D4B"/>
    <w:rsid w:val="2C137100"/>
    <w:rsid w:val="2FE473B6"/>
    <w:rsid w:val="30DA7549"/>
    <w:rsid w:val="327F7BC1"/>
    <w:rsid w:val="32FF511F"/>
    <w:rsid w:val="36DC7BF1"/>
    <w:rsid w:val="39FB1AB6"/>
    <w:rsid w:val="3BB5552B"/>
    <w:rsid w:val="3D7533AC"/>
    <w:rsid w:val="3EE432ED"/>
    <w:rsid w:val="41A52C9E"/>
    <w:rsid w:val="429E3EAA"/>
    <w:rsid w:val="46437D54"/>
    <w:rsid w:val="47C37A03"/>
    <w:rsid w:val="48771478"/>
    <w:rsid w:val="48E449AC"/>
    <w:rsid w:val="4A924A90"/>
    <w:rsid w:val="4B440C85"/>
    <w:rsid w:val="4C1C24FD"/>
    <w:rsid w:val="4D6E4357"/>
    <w:rsid w:val="4DF57240"/>
    <w:rsid w:val="4EE8726C"/>
    <w:rsid w:val="4F5D274A"/>
    <w:rsid w:val="4F887C83"/>
    <w:rsid w:val="518B1CD9"/>
    <w:rsid w:val="51BE417B"/>
    <w:rsid w:val="53AD2E58"/>
    <w:rsid w:val="54252E1D"/>
    <w:rsid w:val="569318BE"/>
    <w:rsid w:val="577B4A42"/>
    <w:rsid w:val="59204C76"/>
    <w:rsid w:val="5B267031"/>
    <w:rsid w:val="5DFA18B2"/>
    <w:rsid w:val="6A236F78"/>
    <w:rsid w:val="6A7944CD"/>
    <w:rsid w:val="6F886C32"/>
    <w:rsid w:val="70443140"/>
    <w:rsid w:val="710016B0"/>
    <w:rsid w:val="73B7023C"/>
    <w:rsid w:val="73F80939"/>
    <w:rsid w:val="75840E38"/>
    <w:rsid w:val="772B6771"/>
    <w:rsid w:val="77AB17FD"/>
    <w:rsid w:val="7C7712BF"/>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outlineLvl w:val="0"/>
    </w:pPr>
    <w:rPr>
      <w:rFonts w:ascii="黑体" w:hAnsi="黑体" w:eastAsia="宋体" w:cs="黑体"/>
      <w:b/>
      <w:bCs/>
      <w:kern w:val="44"/>
      <w:sz w:val="28"/>
      <w:szCs w:val="28"/>
    </w:rPr>
  </w:style>
  <w:style w:type="paragraph" w:styleId="3">
    <w:name w:val="heading 2"/>
    <w:basedOn w:val="1"/>
    <w:next w:val="1"/>
    <w:autoRedefine/>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autoRedefine/>
    <w:qFormat/>
    <w:uiPriority w:val="0"/>
    <w:pPr>
      <w:keepNext/>
      <w:keepLines/>
      <w:ind w:left="840" w:leftChars="400"/>
      <w:outlineLvl w:val="2"/>
    </w:pPr>
    <w:rPr>
      <w:rFonts w:hint="eastAsia" w:cs="Times New Roman"/>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autoRedefine/>
    <w:qFormat/>
    <w:uiPriority w:val="99"/>
    <w:pPr>
      <w:ind w:firstLine="420"/>
    </w:pPr>
  </w:style>
  <w:style w:type="paragraph" w:styleId="17">
    <w:name w:val="List Paragraph"/>
    <w:basedOn w:val="1"/>
    <w:autoRedefine/>
    <w:unhideWhenUsed/>
    <w:qFormat/>
    <w:uiPriority w:val="99"/>
    <w:pPr>
      <w:ind w:firstLine="420" w:firstLineChars="200"/>
    </w:p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字符"/>
    <w:basedOn w:val="14"/>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2215</Words>
  <Characters>12632</Characters>
  <Lines>105</Lines>
  <Paragraphs>29</Paragraphs>
  <TotalTime>9</TotalTime>
  <ScaleCrop>false</ScaleCrop>
  <LinksUpToDate>false</LinksUpToDate>
  <CharactersWithSpaces>14818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2021-04-25T03:16:00Z</cp:lastPrinted>
  <dcterms:modified xsi:type="dcterms:W3CDTF">2023-12-28T00:21:10Z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DAA1F51971B6458FBEE3EC10A69D4F46</vt:lpwstr>
  </property>
</Properties>
</file>