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899B6">
      <w:pPr>
        <w:tabs>
          <w:tab w:val="left" w:pos="3840"/>
        </w:tabs>
        <w:spacing w:line="240" w:lineRule="auto"/>
        <w:ind w:firstLine="0" w:firstLineChars="0"/>
        <w:jc w:val="center"/>
        <w:rPr>
          <w:rFonts w:hint="eastAsia" w:ascii="宋体" w:hAnsi="宋体" w:eastAsia="宋体" w:cs="宋体"/>
          <w:b/>
          <w:sz w:val="44"/>
          <w:szCs w:val="44"/>
          <w:lang w:val="en-US" w:eastAsia="zh-CN"/>
        </w:rPr>
      </w:pPr>
    </w:p>
    <w:p w14:paraId="3C91F788">
      <w:pPr>
        <w:pStyle w:val="23"/>
        <w:rPr>
          <w:rFonts w:hint="eastAsia"/>
          <w:lang w:val="en-US" w:eastAsia="zh-CN"/>
        </w:rPr>
      </w:pPr>
    </w:p>
    <w:p w14:paraId="55F20F89">
      <w:pPr>
        <w:pStyle w:val="23"/>
        <w:rPr>
          <w:rFonts w:hint="eastAsia"/>
          <w:lang w:val="en-US" w:eastAsia="zh-CN"/>
        </w:rPr>
      </w:pPr>
    </w:p>
    <w:p w14:paraId="68F71906">
      <w:pPr>
        <w:pStyle w:val="23"/>
        <w:rPr>
          <w:rFonts w:hint="eastAsia" w:ascii="宋体" w:hAnsi="宋体" w:eastAsia="宋体" w:cs="宋体"/>
          <w:b/>
          <w:sz w:val="44"/>
          <w:szCs w:val="44"/>
          <w:lang w:val="en-US" w:eastAsia="zh-CN"/>
        </w:rPr>
      </w:pPr>
    </w:p>
    <w:p w14:paraId="328E4D91">
      <w:pPr>
        <w:widowControl/>
        <w:jc w:val="center"/>
        <w:outlineLvl w:val="0"/>
        <w:rPr>
          <w:rFonts w:hint="eastAsia"/>
          <w:b/>
          <w:bCs/>
          <w:sz w:val="44"/>
          <w:szCs w:val="44"/>
          <w:lang w:val="en-US" w:eastAsia="zh-CN"/>
        </w:rPr>
      </w:pPr>
      <w:r>
        <w:rPr>
          <w:rFonts w:hint="eastAsia"/>
          <w:b/>
          <w:bCs/>
          <w:sz w:val="44"/>
          <w:szCs w:val="44"/>
          <w:lang w:val="en-US" w:eastAsia="zh-CN"/>
        </w:rPr>
        <w:t>塞罕坝社会综合治理信息化平台项目</w:t>
      </w:r>
    </w:p>
    <w:p w14:paraId="1FC4FB90">
      <w:pPr>
        <w:widowControl/>
        <w:jc w:val="center"/>
        <w:outlineLvl w:val="0"/>
        <w:rPr>
          <w:rFonts w:hint="eastAsia" w:ascii="宋体" w:hAnsi="宋体" w:eastAsia="宋体" w:cs="宋体"/>
          <w:b/>
          <w:sz w:val="44"/>
          <w:szCs w:val="44"/>
          <w:highlight w:val="none"/>
          <w:lang w:val="en-US" w:eastAsia="zh-CN"/>
        </w:rPr>
      </w:pPr>
      <w:r>
        <w:rPr>
          <w:rFonts w:hint="eastAsia"/>
          <w:b/>
          <w:bCs/>
          <w:sz w:val="44"/>
          <w:szCs w:val="44"/>
          <w:lang w:val="en-US" w:eastAsia="zh-CN"/>
        </w:rPr>
        <w:t>（7600万元专项债）</w:t>
      </w:r>
      <w:bookmarkStart w:id="0" w:name="_Toc30256"/>
      <w:r>
        <w:rPr>
          <w:rFonts w:hint="eastAsia" w:ascii="宋体" w:hAnsi="宋体" w:eastAsia="宋体" w:cs="宋体"/>
          <w:b/>
          <w:sz w:val="44"/>
          <w:szCs w:val="44"/>
          <w:highlight w:val="none"/>
          <w:lang w:val="en-US" w:eastAsia="zh-CN"/>
        </w:rPr>
        <w:t>支出绩效重点评价报告</w:t>
      </w:r>
      <w:bookmarkEnd w:id="0"/>
    </w:p>
    <w:p w14:paraId="12B4B080">
      <w:pPr>
        <w:pStyle w:val="10"/>
        <w:rPr>
          <w:rFonts w:hint="eastAsia" w:ascii="宋体" w:hAnsi="宋体" w:eastAsia="宋体" w:cs="宋体"/>
          <w:b/>
          <w:sz w:val="44"/>
          <w:szCs w:val="44"/>
          <w:lang w:val="en-US" w:eastAsia="zh-CN"/>
        </w:rPr>
      </w:pPr>
    </w:p>
    <w:p w14:paraId="1BB165C0">
      <w:pPr>
        <w:pStyle w:val="10"/>
        <w:rPr>
          <w:rFonts w:hint="eastAsia" w:ascii="宋体" w:hAnsi="宋体" w:eastAsia="宋体" w:cs="宋体"/>
          <w:b/>
          <w:sz w:val="44"/>
          <w:szCs w:val="44"/>
          <w:lang w:val="en-US" w:eastAsia="zh-CN"/>
        </w:rPr>
      </w:pPr>
    </w:p>
    <w:p w14:paraId="5E1E59E7">
      <w:pPr>
        <w:pStyle w:val="10"/>
        <w:ind w:left="0" w:leftChars="0" w:firstLine="0" w:firstLineChars="0"/>
        <w:jc w:val="center"/>
        <w:rPr>
          <w:rFonts w:hint="eastAsia" w:ascii="宋体" w:hAnsi="宋体" w:eastAsia="宋体" w:cs="宋体"/>
          <w:b/>
          <w:sz w:val="44"/>
          <w:szCs w:val="44"/>
          <w:lang w:val="en-US" w:eastAsia="zh-CN"/>
        </w:rPr>
      </w:pPr>
    </w:p>
    <w:p w14:paraId="462D31AC">
      <w:pPr>
        <w:rPr>
          <w:rFonts w:hint="eastAsia" w:ascii="宋体" w:hAnsi="宋体" w:eastAsia="宋体" w:cs="宋体"/>
          <w:b/>
          <w:sz w:val="44"/>
          <w:szCs w:val="44"/>
          <w:lang w:val="en-US" w:eastAsia="zh-CN"/>
        </w:rPr>
      </w:pPr>
    </w:p>
    <w:p w14:paraId="71AA2AF6">
      <w:pPr>
        <w:pStyle w:val="23"/>
        <w:rPr>
          <w:rFonts w:hint="eastAsia" w:ascii="宋体" w:hAnsi="宋体" w:eastAsia="宋体" w:cs="宋体"/>
          <w:b/>
          <w:sz w:val="44"/>
          <w:szCs w:val="44"/>
          <w:lang w:val="en-US" w:eastAsia="zh-CN"/>
        </w:rPr>
      </w:pPr>
      <w:r>
        <w:rPr>
          <w:rFonts w:hint="eastAsia" w:ascii="宋体" w:hAnsi="宋体" w:eastAsia="宋体" w:cs="宋体"/>
          <w:b/>
          <w:sz w:val="44"/>
          <w:szCs w:val="44"/>
          <w:lang w:val="en-US" w:eastAsia="zh-CN"/>
        </w:rPr>
        <w:drawing>
          <wp:inline distT="0" distB="0" distL="114300" distR="114300">
            <wp:extent cx="4109720" cy="2580640"/>
            <wp:effectExtent l="0" t="0" r="5080" b="10160"/>
            <wp:docPr id="3" name="图片 3" descr="90341ef3b9cc4572bd7d8803350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0341ef3b9cc4572bd7d88033503297"/>
                    <pic:cNvPicPr>
                      <a:picLocks noChangeAspect="1"/>
                    </pic:cNvPicPr>
                  </pic:nvPicPr>
                  <pic:blipFill>
                    <a:blip r:embed="rId9"/>
                    <a:stretch>
                      <a:fillRect/>
                    </a:stretch>
                  </pic:blipFill>
                  <pic:spPr>
                    <a:xfrm>
                      <a:off x="0" y="0"/>
                      <a:ext cx="4109720" cy="2580640"/>
                    </a:xfrm>
                    <a:prstGeom prst="rect">
                      <a:avLst/>
                    </a:prstGeom>
                  </pic:spPr>
                </pic:pic>
              </a:graphicData>
            </a:graphic>
          </wp:inline>
        </w:drawing>
      </w:r>
    </w:p>
    <w:p w14:paraId="3A38A515">
      <w:pPr>
        <w:pStyle w:val="23"/>
        <w:rPr>
          <w:rFonts w:hint="eastAsia" w:ascii="宋体" w:hAnsi="宋体" w:eastAsia="宋体" w:cs="宋体"/>
          <w:b/>
          <w:sz w:val="44"/>
          <w:szCs w:val="44"/>
          <w:lang w:val="en-US" w:eastAsia="zh-CN"/>
        </w:rPr>
      </w:pPr>
    </w:p>
    <w:p w14:paraId="71ACBF54">
      <w:pPr>
        <w:ind w:firstLine="643" w:firstLineChars="200"/>
        <w:jc w:val="both"/>
        <w:rPr>
          <w:rFonts w:hint="eastAsia" w:ascii="宋体" w:hAnsi="宋体" w:eastAsia="宋体" w:cs="宋体"/>
          <w:b/>
          <w:bCs w:val="0"/>
          <w:sz w:val="32"/>
          <w:szCs w:val="32"/>
          <w:lang w:val="en-US" w:eastAsia="zh-CN"/>
        </w:rPr>
      </w:pPr>
      <w:r>
        <w:rPr>
          <w:rFonts w:hint="eastAsia" w:ascii="宋体" w:hAnsi="宋体" w:eastAsia="宋体" w:cs="宋体"/>
          <w:b/>
          <w:bCs w:val="0"/>
          <w:sz w:val="32"/>
          <w:szCs w:val="32"/>
          <w:lang w:val="en-US" w:eastAsia="zh-CN"/>
        </w:rPr>
        <w:t xml:space="preserve"> </w:t>
      </w:r>
    </w:p>
    <w:p w14:paraId="73DA43E9">
      <w:pPr>
        <w:pStyle w:val="23"/>
        <w:rPr>
          <w:rFonts w:hint="default"/>
          <w:lang w:val="en-US"/>
        </w:rPr>
      </w:pPr>
    </w:p>
    <w:p w14:paraId="1F16BF75">
      <w:pPr>
        <w:spacing w:line="240" w:lineRule="auto"/>
        <w:ind w:firstLine="904" w:firstLineChars="300"/>
        <w:jc w:val="both"/>
        <w:outlineLvl w:val="0"/>
        <w:rPr>
          <w:rFonts w:hint="eastAsia" w:ascii="宋体" w:hAnsi="宋体" w:eastAsia="宋体" w:cs="宋体"/>
          <w:b/>
          <w:sz w:val="30"/>
          <w:szCs w:val="30"/>
          <w:lang w:eastAsia="zh-CN"/>
        </w:rPr>
      </w:pPr>
      <w:bookmarkStart w:id="1" w:name="_Toc29601"/>
      <w:r>
        <w:rPr>
          <w:rFonts w:hint="eastAsia" w:ascii="宋体" w:hAnsi="宋体" w:eastAsia="宋体" w:cs="宋体"/>
          <w:b/>
          <w:sz w:val="30"/>
          <w:szCs w:val="30"/>
        </w:rPr>
        <w:t>委托人：</w:t>
      </w:r>
      <w:bookmarkEnd w:id="1"/>
      <w:r>
        <w:rPr>
          <w:rFonts w:hint="eastAsia" w:ascii="宋体" w:hAnsi="宋体" w:eastAsia="宋体" w:cs="宋体"/>
          <w:b/>
          <w:sz w:val="30"/>
          <w:szCs w:val="30"/>
          <w:lang w:eastAsia="zh-CN"/>
        </w:rPr>
        <w:t>围场满族蒙古族自治县财政局</w:t>
      </w:r>
    </w:p>
    <w:p w14:paraId="0EE04584">
      <w:pPr>
        <w:spacing w:line="240" w:lineRule="auto"/>
        <w:ind w:firstLine="904" w:firstLineChars="300"/>
        <w:jc w:val="both"/>
        <w:outlineLvl w:val="0"/>
        <w:rPr>
          <w:rFonts w:hint="eastAsia" w:ascii="宋体" w:hAnsi="宋体" w:eastAsia="宋体" w:cs="宋体"/>
          <w:b/>
          <w:sz w:val="30"/>
          <w:szCs w:val="30"/>
          <w:lang w:eastAsia="zh-CN"/>
        </w:rPr>
      </w:pPr>
      <w:bookmarkStart w:id="2" w:name="_Toc11669"/>
      <w:r>
        <w:rPr>
          <w:rFonts w:hint="eastAsia" w:ascii="宋体" w:hAnsi="宋体" w:eastAsia="宋体" w:cs="宋体"/>
          <w:b/>
          <w:sz w:val="30"/>
          <w:szCs w:val="30"/>
        </w:rPr>
        <w:t>受托人：</w:t>
      </w:r>
      <w:bookmarkEnd w:id="2"/>
      <w:r>
        <w:rPr>
          <w:rFonts w:hint="eastAsia" w:ascii="宋体" w:hAnsi="宋体" w:eastAsia="宋体" w:cs="宋体"/>
          <w:b/>
          <w:sz w:val="30"/>
          <w:szCs w:val="30"/>
          <w:lang w:eastAsia="zh-CN"/>
        </w:rPr>
        <w:t>河北中宏胜泰工程项目管理有限公司</w:t>
      </w:r>
    </w:p>
    <w:p w14:paraId="3DC911B8">
      <w:pPr>
        <w:spacing w:line="240" w:lineRule="auto"/>
        <w:ind w:firstLine="904" w:firstLineChars="300"/>
        <w:jc w:val="both"/>
        <w:outlineLvl w:val="0"/>
        <w:rPr>
          <w:rFonts w:hint="eastAsia" w:ascii="宋体" w:hAnsi="宋体" w:eastAsia="宋体" w:cs="宋体"/>
          <w:b/>
          <w:sz w:val="30"/>
          <w:szCs w:val="30"/>
          <w:highlight w:val="none"/>
        </w:rPr>
      </w:pPr>
      <w:bookmarkStart w:id="3" w:name="_Toc8974"/>
      <w:r>
        <w:rPr>
          <w:rFonts w:hint="eastAsia" w:ascii="宋体" w:hAnsi="宋体" w:eastAsia="宋体" w:cs="宋体"/>
          <w:b/>
          <w:sz w:val="30"/>
          <w:szCs w:val="30"/>
          <w:highlight w:val="none"/>
          <w:lang w:eastAsia="zh-CN"/>
        </w:rPr>
        <w:t>日</w:t>
      </w:r>
      <w:r>
        <w:rPr>
          <w:rFonts w:hint="eastAsia" w:ascii="宋体" w:hAnsi="宋体" w:eastAsia="宋体" w:cs="宋体"/>
          <w:b/>
          <w:sz w:val="30"/>
          <w:szCs w:val="30"/>
          <w:highlight w:val="none"/>
          <w:lang w:val="en-US" w:eastAsia="zh-CN"/>
        </w:rPr>
        <w:t xml:space="preserve">  </w:t>
      </w:r>
      <w:r>
        <w:rPr>
          <w:rFonts w:hint="eastAsia" w:ascii="宋体" w:hAnsi="宋体" w:eastAsia="宋体" w:cs="宋体"/>
          <w:b/>
          <w:sz w:val="30"/>
          <w:szCs w:val="30"/>
          <w:highlight w:val="none"/>
          <w:lang w:eastAsia="zh-CN"/>
        </w:rPr>
        <w:t>期</w:t>
      </w:r>
      <w:r>
        <w:rPr>
          <w:rFonts w:hint="eastAsia" w:ascii="宋体" w:hAnsi="宋体" w:eastAsia="宋体" w:cs="宋体"/>
          <w:b/>
          <w:sz w:val="30"/>
          <w:szCs w:val="30"/>
          <w:highlight w:val="none"/>
        </w:rPr>
        <w:t>：二〇二</w:t>
      </w:r>
      <w:r>
        <w:rPr>
          <w:rFonts w:hint="eastAsia" w:ascii="宋体" w:hAnsi="宋体" w:eastAsia="宋体" w:cs="宋体"/>
          <w:b/>
          <w:sz w:val="30"/>
          <w:szCs w:val="30"/>
          <w:highlight w:val="none"/>
          <w:lang w:val="en-US" w:eastAsia="zh-CN"/>
        </w:rPr>
        <w:t>四</w:t>
      </w:r>
      <w:r>
        <w:rPr>
          <w:rFonts w:hint="eastAsia" w:ascii="宋体" w:hAnsi="宋体" w:eastAsia="宋体" w:cs="宋体"/>
          <w:b/>
          <w:sz w:val="30"/>
          <w:szCs w:val="30"/>
          <w:highlight w:val="none"/>
        </w:rPr>
        <w:t>年</w:t>
      </w:r>
      <w:r>
        <w:rPr>
          <w:rFonts w:hint="eastAsia" w:ascii="宋体" w:hAnsi="宋体" w:eastAsia="宋体" w:cs="宋体"/>
          <w:b/>
          <w:sz w:val="30"/>
          <w:szCs w:val="30"/>
          <w:highlight w:val="none"/>
          <w:lang w:val="en-US" w:eastAsia="zh-CN"/>
        </w:rPr>
        <w:t>六</w:t>
      </w:r>
      <w:r>
        <w:rPr>
          <w:rFonts w:hint="eastAsia" w:ascii="宋体" w:hAnsi="宋体" w:eastAsia="宋体" w:cs="宋体"/>
          <w:b/>
          <w:sz w:val="30"/>
          <w:szCs w:val="30"/>
          <w:highlight w:val="none"/>
        </w:rPr>
        <w:t>月</w:t>
      </w:r>
      <w:bookmarkEnd w:id="3"/>
    </w:p>
    <w:p w14:paraId="2D739D7C">
      <w:pPr>
        <w:widowControl/>
        <w:jc w:val="center"/>
        <w:rPr>
          <w:rFonts w:hint="eastAsia" w:ascii="仿宋" w:hAnsi="仿宋" w:eastAsia="仿宋" w:cs="仿宋"/>
          <w:b/>
          <w:bCs/>
          <w:sz w:val="32"/>
          <w:szCs w:val="32"/>
        </w:rPr>
      </w:pPr>
    </w:p>
    <w:p w14:paraId="60AA2A14">
      <w:pPr>
        <w:widowControl/>
        <w:jc w:val="center"/>
        <w:rPr>
          <w:rFonts w:ascii="仿宋" w:hAnsi="仿宋" w:eastAsia="仿宋" w:cs="仿宋"/>
          <w:b/>
          <w:bCs/>
          <w:sz w:val="32"/>
          <w:szCs w:val="32"/>
        </w:rPr>
      </w:pPr>
      <w:r>
        <w:rPr>
          <w:rFonts w:hint="eastAsia" w:ascii="仿宋" w:hAnsi="仿宋" w:eastAsia="仿宋" w:cs="仿宋"/>
          <w:b/>
          <w:bCs/>
          <w:sz w:val="32"/>
          <w:szCs w:val="32"/>
        </w:rPr>
        <w:t>声  明  书</w:t>
      </w:r>
    </w:p>
    <w:p w14:paraId="53842854">
      <w:pPr>
        <w:widowControl/>
        <w:ind w:firstLine="560" w:firstLineChars="200"/>
        <w:rPr>
          <w:rFonts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color w:val="000000"/>
          <w:kern w:val="0"/>
          <w:sz w:val="28"/>
          <w:szCs w:val="28"/>
          <w:lang w:val="en-US" w:eastAsia="zh-CN"/>
        </w:rPr>
        <w:t>塞罕坝社会综合治理信息化平台项目（7600万元专项债）</w:t>
      </w:r>
      <w:r>
        <w:rPr>
          <w:rFonts w:hint="eastAsia" w:ascii="仿宋" w:hAnsi="仿宋" w:eastAsia="仿宋" w:cs="仿宋"/>
          <w:sz w:val="28"/>
          <w:szCs w:val="28"/>
          <w:lang w:eastAsia="zh-CN"/>
        </w:rPr>
        <w:t>》相关资料</w:t>
      </w:r>
      <w:r>
        <w:rPr>
          <w:rFonts w:hint="eastAsia" w:ascii="仿宋" w:hAnsi="仿宋" w:eastAsia="仿宋" w:cs="仿宋"/>
          <w:sz w:val="28"/>
          <w:szCs w:val="28"/>
        </w:rPr>
        <w:t>，为</w:t>
      </w:r>
      <w:r>
        <w:rPr>
          <w:rFonts w:hint="eastAsia" w:ascii="仿宋" w:hAnsi="仿宋" w:eastAsia="仿宋" w:cs="仿宋"/>
          <w:sz w:val="28"/>
          <w:szCs w:val="28"/>
          <w:lang w:eastAsia="zh-CN"/>
        </w:rPr>
        <w:t>围场满族蒙古族自治县公安局提供给</w:t>
      </w:r>
      <w:r>
        <w:rPr>
          <w:rFonts w:hint="eastAsia" w:ascii="仿宋" w:hAnsi="仿宋" w:eastAsia="仿宋" w:cs="仿宋"/>
          <w:bCs/>
          <w:sz w:val="28"/>
          <w:szCs w:val="28"/>
          <w:lang w:eastAsia="zh-CN"/>
        </w:rPr>
        <w:t>河北中宏胜泰工程项目管理有限公司</w:t>
      </w:r>
      <w:r>
        <w:rPr>
          <w:rFonts w:hint="eastAsia" w:ascii="仿宋" w:hAnsi="仿宋" w:eastAsia="仿宋" w:cs="仿宋"/>
          <w:sz w:val="28"/>
          <w:szCs w:val="28"/>
        </w:rPr>
        <w:t>的重</w:t>
      </w:r>
      <w:r>
        <w:rPr>
          <w:rFonts w:hint="eastAsia" w:ascii="仿宋" w:hAnsi="仿宋" w:eastAsia="仿宋" w:cs="仿宋"/>
          <w:sz w:val="28"/>
          <w:szCs w:val="28"/>
          <w:lang w:eastAsia="zh-CN"/>
        </w:rPr>
        <w:t>点</w:t>
      </w:r>
      <w:r>
        <w:rPr>
          <w:rFonts w:hint="eastAsia" w:ascii="仿宋" w:hAnsi="仿宋" w:eastAsia="仿宋" w:cs="仿宋"/>
          <w:sz w:val="28"/>
          <w:szCs w:val="28"/>
        </w:rPr>
        <w:t>资料。无论以书面、电邮或任何其他形式获得本文件的所有收件人，只要接收本文件即意味着其对</w:t>
      </w:r>
      <w:r>
        <w:rPr>
          <w:rFonts w:hint="eastAsia" w:ascii="仿宋" w:hAnsi="仿宋" w:eastAsia="仿宋" w:cs="仿宋"/>
          <w:sz w:val="28"/>
          <w:szCs w:val="28"/>
          <w:lang w:eastAsia="zh-CN"/>
        </w:rPr>
        <w:t>相关资料</w:t>
      </w:r>
      <w:r>
        <w:rPr>
          <w:rFonts w:hint="eastAsia" w:ascii="仿宋" w:hAnsi="仿宋" w:eastAsia="仿宋" w:cs="仿宋"/>
          <w:sz w:val="28"/>
          <w:szCs w:val="28"/>
        </w:rPr>
        <w:t>承担严格保密的义务，未经</w:t>
      </w:r>
      <w:r>
        <w:rPr>
          <w:rFonts w:hint="eastAsia" w:ascii="仿宋" w:hAnsi="仿宋" w:eastAsia="仿宋" w:cs="仿宋"/>
          <w:sz w:val="28"/>
          <w:szCs w:val="28"/>
          <w:lang w:eastAsia="zh-CN"/>
        </w:rPr>
        <w:t>围场满族蒙古族自治县财政局、县公安局</w:t>
      </w:r>
      <w:r>
        <w:rPr>
          <w:rFonts w:hint="eastAsia" w:ascii="仿宋" w:hAnsi="仿宋" w:eastAsia="仿宋" w:cs="仿宋"/>
          <w:sz w:val="28"/>
          <w:szCs w:val="28"/>
        </w:rPr>
        <w:t>书面同意，不得将本项目相关资料的部分或全部内容以任何方式披露给任何第三方。《</w:t>
      </w:r>
      <w:r>
        <w:rPr>
          <w:rFonts w:hint="eastAsia" w:ascii="仿宋" w:hAnsi="仿宋" w:eastAsia="仿宋" w:cs="仿宋"/>
          <w:color w:val="000000"/>
          <w:kern w:val="0"/>
          <w:sz w:val="28"/>
          <w:szCs w:val="28"/>
          <w:lang w:val="en-US" w:eastAsia="zh-CN"/>
        </w:rPr>
        <w:t>塞罕坝社会综合治理信息化平台项目（7600万元专项债）</w:t>
      </w:r>
      <w:r>
        <w:rPr>
          <w:rFonts w:hint="eastAsia" w:ascii="仿宋" w:hAnsi="仿宋" w:eastAsia="仿宋" w:cs="仿宋"/>
          <w:b w:val="0"/>
          <w:bCs w:val="0"/>
          <w:sz w:val="28"/>
          <w:szCs w:val="28"/>
          <w:lang w:val="en-US" w:eastAsia="zh-CN"/>
        </w:rPr>
        <w:t>支出绩效重点评价报告</w:t>
      </w:r>
      <w:r>
        <w:rPr>
          <w:rFonts w:hint="eastAsia" w:ascii="仿宋" w:hAnsi="仿宋" w:eastAsia="仿宋" w:cs="仿宋"/>
          <w:color w:val="000000"/>
          <w:kern w:val="0"/>
          <w:sz w:val="28"/>
          <w:szCs w:val="28"/>
        </w:rPr>
        <w:t>》</w:t>
      </w:r>
      <w:r>
        <w:rPr>
          <w:rFonts w:hint="eastAsia" w:ascii="仿宋" w:hAnsi="仿宋" w:eastAsia="仿宋" w:cs="仿宋"/>
          <w:sz w:val="28"/>
          <w:szCs w:val="28"/>
        </w:rPr>
        <w:t>，为</w:t>
      </w:r>
      <w:r>
        <w:rPr>
          <w:rFonts w:hint="eastAsia" w:ascii="仿宋" w:hAnsi="仿宋" w:eastAsia="仿宋" w:cs="仿宋"/>
          <w:bCs/>
          <w:sz w:val="28"/>
          <w:szCs w:val="28"/>
          <w:lang w:eastAsia="zh-CN"/>
        </w:rPr>
        <w:t>河北中宏胜泰工程项目管理有限公司</w:t>
      </w:r>
      <w:r>
        <w:rPr>
          <w:rFonts w:hint="eastAsia" w:ascii="仿宋" w:hAnsi="仿宋" w:eastAsia="仿宋" w:cs="仿宋"/>
          <w:sz w:val="28"/>
          <w:szCs w:val="28"/>
        </w:rPr>
        <w:t>提供给河北省</w:t>
      </w:r>
      <w:r>
        <w:rPr>
          <w:rFonts w:hint="eastAsia" w:ascii="仿宋" w:hAnsi="仿宋" w:eastAsia="仿宋" w:cs="仿宋"/>
          <w:sz w:val="28"/>
          <w:szCs w:val="28"/>
          <w:lang w:eastAsia="zh-CN"/>
        </w:rPr>
        <w:t>围场满族蒙古族自治县公安局</w:t>
      </w:r>
      <w:r>
        <w:rPr>
          <w:rFonts w:hint="eastAsia" w:ascii="仿宋" w:hAnsi="仿宋" w:eastAsia="仿宋" w:cs="仿宋"/>
          <w:sz w:val="28"/>
          <w:szCs w:val="28"/>
        </w:rPr>
        <w:t>的重要资料。无论以书面、电邮或任何其他形式获得本文件的所有收件人，只要接收本文件即意味着其对本文件承担严格保密的义务，未经</w:t>
      </w:r>
      <w:r>
        <w:rPr>
          <w:rFonts w:hint="eastAsia" w:ascii="仿宋" w:hAnsi="仿宋" w:eastAsia="仿宋" w:cs="仿宋"/>
          <w:sz w:val="28"/>
          <w:szCs w:val="28"/>
          <w:lang w:eastAsia="zh-CN"/>
        </w:rPr>
        <w:t>河北中宏胜泰工程项目管理有限公司</w:t>
      </w:r>
      <w:r>
        <w:rPr>
          <w:rFonts w:hint="eastAsia" w:ascii="仿宋" w:hAnsi="仿宋" w:eastAsia="仿宋" w:cs="仿宋"/>
          <w:sz w:val="28"/>
          <w:szCs w:val="28"/>
        </w:rPr>
        <w:t>书面同意，不得将本报告的部分或全部内容以任何方式披露给任何第三方。</w:t>
      </w:r>
    </w:p>
    <w:p w14:paraId="48B613BE">
      <w:pPr>
        <w:pStyle w:val="7"/>
        <w:ind w:firstLine="560" w:firstLineChars="200"/>
        <w:rPr>
          <w:rFonts w:ascii="仿宋" w:hAnsi="仿宋" w:eastAsia="仿宋" w:cs="仿宋"/>
          <w:sz w:val="28"/>
          <w:szCs w:val="28"/>
        </w:rPr>
      </w:pPr>
      <w:r>
        <w:rPr>
          <w:rFonts w:hint="eastAsia" w:ascii="仿宋" w:hAnsi="仿宋" w:eastAsia="仿宋" w:cs="仿宋"/>
          <w:sz w:val="28"/>
          <w:szCs w:val="28"/>
        </w:rPr>
        <w:t>2、本</w:t>
      </w:r>
      <w:r>
        <w:rPr>
          <w:rFonts w:hint="eastAsia" w:ascii="仿宋" w:hAnsi="仿宋" w:eastAsia="仿宋" w:cs="仿宋"/>
          <w:sz w:val="28"/>
          <w:szCs w:val="28"/>
          <w:lang w:eastAsia="zh-CN"/>
        </w:rPr>
        <w:t>报告</w:t>
      </w:r>
      <w:r>
        <w:rPr>
          <w:rFonts w:hint="eastAsia" w:ascii="仿宋" w:hAnsi="仿宋" w:eastAsia="仿宋" w:cs="仿宋"/>
          <w:sz w:val="28"/>
          <w:szCs w:val="28"/>
        </w:rPr>
        <w:t>是基于所评价项目各方主体提供的各项资料、数据及</w:t>
      </w:r>
      <w:r>
        <w:rPr>
          <w:rFonts w:hint="eastAsia" w:ascii="仿宋" w:hAnsi="仿宋" w:eastAsia="仿宋" w:cs="仿宋"/>
          <w:sz w:val="28"/>
          <w:szCs w:val="28"/>
          <w:lang w:eastAsia="zh-CN"/>
        </w:rPr>
        <w:t>河北中宏胜泰工程项目管理有限公司</w:t>
      </w:r>
      <w:r>
        <w:rPr>
          <w:rFonts w:hint="eastAsia" w:ascii="仿宋" w:hAnsi="仿宋" w:eastAsia="仿宋" w:cs="仿宋"/>
          <w:sz w:val="28"/>
          <w:szCs w:val="28"/>
        </w:rPr>
        <w:t>依据绩效评价相关政策及</w:t>
      </w:r>
      <w:r>
        <w:rPr>
          <w:rFonts w:hint="eastAsia" w:ascii="仿宋" w:hAnsi="仿宋" w:eastAsia="仿宋" w:cs="仿宋"/>
          <w:sz w:val="28"/>
          <w:szCs w:val="28"/>
          <w:lang w:eastAsia="zh-CN"/>
        </w:rPr>
        <w:t>其</w:t>
      </w:r>
      <w:r>
        <w:rPr>
          <w:rFonts w:hint="eastAsia" w:ascii="仿宋" w:hAnsi="仿宋" w:eastAsia="仿宋" w:cs="仿宋"/>
          <w:sz w:val="28"/>
          <w:szCs w:val="28"/>
        </w:rPr>
        <w:t>专业技能</w:t>
      </w:r>
      <w:r>
        <w:rPr>
          <w:rFonts w:hint="eastAsia" w:ascii="仿宋" w:hAnsi="仿宋" w:eastAsia="仿宋" w:cs="仿宋"/>
          <w:sz w:val="28"/>
          <w:szCs w:val="28"/>
          <w:lang w:eastAsia="zh-CN"/>
        </w:rPr>
        <w:t>，经绩效评价小组研究后</w:t>
      </w:r>
      <w:r>
        <w:rPr>
          <w:rFonts w:hint="eastAsia" w:ascii="仿宋" w:hAnsi="仿宋" w:eastAsia="仿宋" w:cs="仿宋"/>
          <w:sz w:val="28"/>
          <w:szCs w:val="28"/>
        </w:rPr>
        <w:t>予以出具的，对于相关数据或资料需要调整和修改，必须</w:t>
      </w:r>
      <w:r>
        <w:rPr>
          <w:rFonts w:hint="eastAsia" w:ascii="仿宋" w:hAnsi="仿宋" w:eastAsia="仿宋" w:cs="仿宋"/>
          <w:sz w:val="28"/>
          <w:szCs w:val="28"/>
          <w:lang w:eastAsia="zh-CN"/>
        </w:rPr>
        <w:t>得到围场满族蒙古族自治县财政局、县公安局</w:t>
      </w:r>
      <w:r>
        <w:rPr>
          <w:rFonts w:hint="eastAsia" w:ascii="仿宋" w:hAnsi="仿宋" w:eastAsia="仿宋" w:cs="仿宋"/>
          <w:sz w:val="28"/>
          <w:szCs w:val="28"/>
        </w:rPr>
        <w:t>的书面确认后</w:t>
      </w:r>
      <w:r>
        <w:rPr>
          <w:rFonts w:hint="eastAsia" w:ascii="仿宋" w:hAnsi="仿宋" w:eastAsia="仿宋" w:cs="仿宋"/>
          <w:sz w:val="28"/>
          <w:szCs w:val="28"/>
          <w:lang w:eastAsia="zh-CN"/>
        </w:rPr>
        <w:t>，河北中宏胜泰工程项目管理有限公司</w:t>
      </w:r>
      <w:r>
        <w:rPr>
          <w:rFonts w:hint="eastAsia" w:ascii="仿宋" w:hAnsi="仿宋" w:eastAsia="仿宋" w:cs="仿宋"/>
          <w:sz w:val="28"/>
          <w:szCs w:val="28"/>
        </w:rPr>
        <w:t>方可对本</w:t>
      </w:r>
      <w:r>
        <w:rPr>
          <w:rFonts w:hint="eastAsia" w:ascii="仿宋" w:hAnsi="仿宋" w:eastAsia="仿宋" w:cs="仿宋"/>
          <w:sz w:val="28"/>
          <w:szCs w:val="28"/>
          <w:lang w:eastAsia="zh-CN"/>
        </w:rPr>
        <w:t>报告</w:t>
      </w:r>
      <w:r>
        <w:rPr>
          <w:rFonts w:hint="eastAsia" w:ascii="仿宋" w:hAnsi="仿宋" w:eastAsia="仿宋" w:cs="仿宋"/>
          <w:sz w:val="28"/>
          <w:szCs w:val="28"/>
        </w:rPr>
        <w:t>相关数据予以调整。</w:t>
      </w:r>
    </w:p>
    <w:p w14:paraId="28D835AE">
      <w:pPr>
        <w:widowControl/>
        <w:ind w:firstLine="560"/>
        <w:jc w:val="both"/>
        <w:outlineLvl w:val="0"/>
        <w:rPr>
          <w:rFonts w:hint="eastAsia" w:ascii="宋体" w:hAnsi="宋体" w:eastAsia="宋体" w:cs="宋体"/>
          <w:b/>
          <w:bCs/>
          <w:sz w:val="32"/>
          <w:szCs w:val="32"/>
        </w:rPr>
      </w:pPr>
      <w:bookmarkStart w:id="4" w:name="_Toc10855"/>
      <w:r>
        <w:rPr>
          <w:rFonts w:hint="eastAsia" w:ascii="仿宋" w:hAnsi="仿宋" w:eastAsia="仿宋" w:cs="仿宋"/>
          <w:sz w:val="28"/>
          <w:szCs w:val="28"/>
        </w:rPr>
        <w:t>3、本</w:t>
      </w:r>
      <w:r>
        <w:rPr>
          <w:rFonts w:hint="eastAsia" w:ascii="仿宋" w:hAnsi="仿宋" w:eastAsia="仿宋" w:cs="仿宋"/>
          <w:sz w:val="28"/>
          <w:szCs w:val="28"/>
          <w:lang w:eastAsia="zh-CN"/>
        </w:rPr>
        <w:t>报告</w:t>
      </w:r>
      <w:r>
        <w:rPr>
          <w:rFonts w:hint="eastAsia" w:ascii="仿宋" w:hAnsi="仿宋" w:eastAsia="仿宋" w:cs="仿宋"/>
          <w:sz w:val="28"/>
          <w:szCs w:val="28"/>
        </w:rPr>
        <w:t>由</w:t>
      </w:r>
      <w:r>
        <w:rPr>
          <w:rFonts w:hint="eastAsia" w:ascii="仿宋" w:hAnsi="仿宋" w:eastAsia="仿宋" w:cs="仿宋"/>
          <w:sz w:val="28"/>
          <w:szCs w:val="28"/>
          <w:lang w:eastAsia="zh-CN"/>
        </w:rPr>
        <w:t>河北中宏胜泰工程项目管理有限公司</w:t>
      </w:r>
      <w:r>
        <w:rPr>
          <w:rFonts w:hint="eastAsia" w:ascii="仿宋" w:hAnsi="仿宋" w:eastAsia="仿宋" w:cs="仿宋"/>
          <w:sz w:val="28"/>
          <w:szCs w:val="28"/>
        </w:rPr>
        <w:t>负责解释</w:t>
      </w:r>
      <w:r>
        <w:rPr>
          <w:rFonts w:hint="eastAsia" w:ascii="仿宋" w:hAnsi="仿宋" w:eastAsia="仿宋" w:cs="仿宋"/>
          <w:sz w:val="28"/>
          <w:szCs w:val="28"/>
          <w:lang w:eastAsia="zh-CN"/>
        </w:rPr>
        <w:t>说明。</w:t>
      </w:r>
      <w:bookmarkEnd w:id="4"/>
    </w:p>
    <w:p w14:paraId="75BF38C4">
      <w:pPr>
        <w:pStyle w:val="23"/>
        <w:rPr>
          <w:rFonts w:hint="eastAsia" w:ascii="宋体" w:hAnsi="宋体" w:cs="Arial"/>
          <w:b/>
          <w:bCs/>
          <w:sz w:val="32"/>
          <w:szCs w:val="32"/>
        </w:rPr>
        <w:sectPr>
          <w:headerReference r:id="rId3" w:type="default"/>
          <w:pgSz w:w="11906" w:h="16838"/>
          <w:pgMar w:top="1440" w:right="1800" w:bottom="1440" w:left="1800" w:header="851" w:footer="992" w:gutter="0"/>
          <w:pgNumType w:fmt="upperRoman" w:start="1"/>
          <w:cols w:space="425" w:num="1"/>
          <w:docGrid w:type="lines" w:linePitch="312" w:charSpace="0"/>
        </w:sectPr>
      </w:pPr>
    </w:p>
    <w:p w14:paraId="1EF679DB">
      <w:pPr>
        <w:keepNext w:val="0"/>
        <w:keepLines w:val="0"/>
        <w:widowControl/>
        <w:suppressLineNumbers w:val="0"/>
        <w:jc w:val="center"/>
        <w:rPr>
          <w:rFonts w:hint="eastAsia" w:ascii="仿宋" w:hAnsi="仿宋" w:eastAsia="仿宋" w:cs="仿宋"/>
          <w:b/>
          <w:bCs/>
          <w:color w:val="000000"/>
          <w:kern w:val="0"/>
          <w:sz w:val="32"/>
          <w:szCs w:val="32"/>
          <w:lang w:val="en-US" w:eastAsia="zh-CN"/>
        </w:rPr>
      </w:pPr>
      <w:bookmarkStart w:id="5" w:name="_Toc2936"/>
      <w:r>
        <w:rPr>
          <w:rFonts w:hint="eastAsia" w:ascii="仿宋" w:hAnsi="仿宋" w:eastAsia="仿宋" w:cs="仿宋"/>
          <w:b/>
          <w:bCs/>
          <w:color w:val="000000"/>
          <w:kern w:val="0"/>
          <w:sz w:val="32"/>
          <w:szCs w:val="32"/>
          <w:lang w:val="en-US" w:eastAsia="zh-CN"/>
        </w:rPr>
        <w:t>《塞罕坝社会综合治理信息化平台项目（7600万元专项债）</w:t>
      </w:r>
    </w:p>
    <w:p w14:paraId="2BBAE383">
      <w:pPr>
        <w:keepNext w:val="0"/>
        <w:keepLines w:val="0"/>
        <w:widowControl/>
        <w:suppressLineNumbers w:val="0"/>
        <w:jc w:val="center"/>
        <w:rPr>
          <w:rFonts w:hint="eastAsia" w:ascii="仿宋" w:hAnsi="仿宋" w:eastAsia="仿宋" w:cs="仿宋"/>
          <w:b/>
          <w:bCs/>
          <w:color w:val="000000"/>
          <w:kern w:val="0"/>
          <w:sz w:val="32"/>
          <w:szCs w:val="32"/>
          <w:lang w:eastAsia="zh-CN"/>
        </w:rPr>
      </w:pPr>
      <w:r>
        <w:rPr>
          <w:rFonts w:hint="eastAsia" w:ascii="仿宋" w:hAnsi="仿宋" w:eastAsia="仿宋" w:cs="仿宋"/>
          <w:b/>
          <w:bCs/>
          <w:color w:val="000000"/>
          <w:kern w:val="0"/>
          <w:sz w:val="32"/>
          <w:szCs w:val="32"/>
          <w:lang w:eastAsia="zh-CN"/>
        </w:rPr>
        <w:t>支出绩效重点评价报告</w:t>
      </w:r>
      <w:r>
        <w:rPr>
          <w:rFonts w:hint="eastAsia" w:ascii="仿宋" w:hAnsi="仿宋" w:eastAsia="仿宋" w:cs="仿宋"/>
          <w:b/>
          <w:bCs/>
          <w:color w:val="000000"/>
          <w:kern w:val="0"/>
          <w:sz w:val="32"/>
          <w:szCs w:val="32"/>
          <w:lang w:val="en-US" w:eastAsia="zh-CN"/>
        </w:rPr>
        <w:t>》</w:t>
      </w:r>
    </w:p>
    <w:p w14:paraId="22FB3956">
      <w:pPr>
        <w:keepNext w:val="0"/>
        <w:keepLines w:val="0"/>
        <w:widowControl/>
        <w:suppressLineNumbers w:val="0"/>
        <w:jc w:val="center"/>
        <w:rPr>
          <w:rFonts w:hint="eastAsia"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形成过程的说明</w:t>
      </w:r>
    </w:p>
    <w:p w14:paraId="759F77A4">
      <w:pPr>
        <w:pStyle w:val="23"/>
        <w:rPr>
          <w:rFonts w:hint="eastAsia"/>
          <w:lang w:eastAsia="zh-CN"/>
        </w:rPr>
      </w:pPr>
    </w:p>
    <w:p w14:paraId="66A7F538">
      <w:pPr>
        <w:keepNext w:val="0"/>
        <w:keepLines w:val="0"/>
        <w:pageBreakBefore w:val="0"/>
        <w:widowControl/>
        <w:kinsoku/>
        <w:wordWrap/>
        <w:overflowPunct/>
        <w:topLinePunct w:val="0"/>
        <w:bidi w:val="0"/>
        <w:adjustRightInd w:val="0"/>
        <w:snapToGrid w:val="0"/>
        <w:spacing w:line="480" w:lineRule="auto"/>
        <w:ind w:firstLine="560" w:firstLineChars="200"/>
        <w:textAlignment w:val="auto"/>
        <w:rPr>
          <w:rFonts w:hint="eastAsia" w:ascii="仿宋" w:hAnsi="仿宋" w:eastAsia="仿宋" w:cs="仿宋"/>
          <w:sz w:val="28"/>
          <w:szCs w:val="28"/>
          <w:highlight w:val="yellow"/>
        </w:rPr>
      </w:pPr>
      <w:r>
        <w:rPr>
          <w:rFonts w:hint="eastAsia" w:ascii="仿宋" w:hAnsi="仿宋" w:eastAsia="仿宋" w:cs="仿宋"/>
          <w:sz w:val="28"/>
          <w:szCs w:val="28"/>
          <w:lang w:val="en-US" w:eastAsia="zh-CN"/>
        </w:rPr>
        <w:t>《塞罕坝社会综合治理信息化平台项目（7600万元专项债）支出绩效重点评价实施方案》，</w:t>
      </w:r>
      <w:r>
        <w:rPr>
          <w:rFonts w:hint="eastAsia" w:ascii="仿宋" w:hAnsi="仿宋" w:eastAsia="仿宋" w:cs="仿宋"/>
          <w:sz w:val="28"/>
          <w:szCs w:val="28"/>
        </w:rPr>
        <w:t>经围场满族蒙古族自治县财政局、</w:t>
      </w:r>
      <w:r>
        <w:rPr>
          <w:rFonts w:hint="eastAsia" w:ascii="仿宋" w:hAnsi="仿宋" w:eastAsia="仿宋" w:cs="仿宋"/>
          <w:sz w:val="28"/>
          <w:szCs w:val="28"/>
          <w:lang w:eastAsia="zh-CN"/>
        </w:rPr>
        <w:t>县公安局</w:t>
      </w:r>
      <w:r>
        <w:rPr>
          <w:rFonts w:hint="eastAsia" w:ascii="仿宋" w:hAnsi="仿宋" w:eastAsia="仿宋" w:cs="仿宋"/>
          <w:sz w:val="28"/>
          <w:szCs w:val="28"/>
        </w:rPr>
        <w:t>审核同意后，该项目绩效评价小组积极与围场满族蒙古族自治</w:t>
      </w:r>
      <w:r>
        <w:rPr>
          <w:rFonts w:hint="eastAsia" w:ascii="仿宋" w:hAnsi="仿宋" w:eastAsia="仿宋" w:cs="仿宋"/>
          <w:sz w:val="28"/>
          <w:szCs w:val="28"/>
          <w:lang w:eastAsia="zh-CN"/>
        </w:rPr>
        <w:t>县公安局</w:t>
      </w:r>
      <w:r>
        <w:rPr>
          <w:rFonts w:hint="eastAsia" w:ascii="仿宋" w:hAnsi="仿宋" w:eastAsia="仿宋" w:cs="仿宋"/>
          <w:sz w:val="28"/>
          <w:szCs w:val="28"/>
        </w:rPr>
        <w:t>有关项目负责同志联系绩效评价工作相关事宜。经围场满族蒙古族自治</w:t>
      </w:r>
      <w:r>
        <w:rPr>
          <w:rFonts w:hint="eastAsia" w:ascii="仿宋" w:hAnsi="仿宋" w:eastAsia="仿宋" w:cs="仿宋"/>
          <w:sz w:val="28"/>
          <w:szCs w:val="28"/>
          <w:lang w:eastAsia="zh-CN"/>
        </w:rPr>
        <w:t>县公安局</w:t>
      </w:r>
      <w:r>
        <w:rPr>
          <w:rFonts w:hint="eastAsia" w:ascii="仿宋" w:hAnsi="仿宋" w:eastAsia="仿宋" w:cs="仿宋"/>
          <w:sz w:val="28"/>
          <w:szCs w:val="28"/>
        </w:rPr>
        <w:t>同意，</w:t>
      </w:r>
      <w:r>
        <w:rPr>
          <w:rFonts w:hint="eastAsia" w:ascii="仿宋" w:hAnsi="仿宋" w:eastAsia="仿宋" w:cs="仿宋"/>
          <w:sz w:val="28"/>
          <w:szCs w:val="28"/>
          <w:lang w:eastAsia="zh-CN"/>
        </w:rPr>
        <w:t>进行</w:t>
      </w:r>
      <w:r>
        <w:rPr>
          <w:rFonts w:hint="eastAsia" w:ascii="仿宋" w:hAnsi="仿宋" w:eastAsia="仿宋" w:cs="仿宋"/>
          <w:sz w:val="28"/>
          <w:szCs w:val="28"/>
        </w:rPr>
        <w:t>项目现场</w:t>
      </w:r>
      <w:r>
        <w:rPr>
          <w:rFonts w:hint="eastAsia" w:ascii="仿宋" w:hAnsi="仿宋" w:eastAsia="仿宋" w:cs="仿宋"/>
          <w:sz w:val="28"/>
          <w:szCs w:val="28"/>
          <w:lang w:val="en-US" w:eastAsia="zh-CN"/>
        </w:rPr>
        <w:t>调查</w:t>
      </w:r>
      <w:r>
        <w:rPr>
          <w:rFonts w:hint="eastAsia" w:ascii="仿宋" w:hAnsi="仿宋" w:eastAsia="仿宋" w:cs="仿宋"/>
          <w:sz w:val="28"/>
          <w:szCs w:val="28"/>
        </w:rPr>
        <w:t>、资料审核及群众满意度测评工作</w:t>
      </w:r>
      <w:r>
        <w:rPr>
          <w:rFonts w:hint="eastAsia" w:ascii="仿宋" w:hAnsi="仿宋" w:eastAsia="仿宋" w:cs="仿宋"/>
          <w:sz w:val="28"/>
          <w:szCs w:val="28"/>
          <w:highlight w:val="none"/>
        </w:rPr>
        <w:t>。</w:t>
      </w:r>
    </w:p>
    <w:p w14:paraId="32B2E821">
      <w:pPr>
        <w:pStyle w:val="17"/>
        <w:keepNext w:val="0"/>
        <w:keepLines w:val="0"/>
        <w:pageBreakBefore w:val="0"/>
        <w:widowControl w:val="0"/>
        <w:kinsoku/>
        <w:wordWrap/>
        <w:overflowPunct/>
        <w:topLinePunct w:val="0"/>
        <w:autoSpaceDE/>
        <w:autoSpaceDN/>
        <w:bidi w:val="0"/>
        <w:adjustRightInd w:val="0"/>
        <w:snapToGrid w:val="0"/>
        <w:spacing w:line="48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一、根据现场调查情况、资料审核情况、群众满意度测评情况等，对《</w:t>
      </w:r>
      <w:r>
        <w:rPr>
          <w:rFonts w:hint="eastAsia" w:ascii="仿宋" w:hAnsi="仿宋" w:eastAsia="仿宋" w:cs="仿宋"/>
          <w:sz w:val="28"/>
          <w:szCs w:val="28"/>
          <w:lang w:val="en-US" w:eastAsia="zh-CN"/>
        </w:rPr>
        <w:t>塞罕坝社会综合治理信息化平台项目（7600万元专项债）</w:t>
      </w:r>
      <w:r>
        <w:rPr>
          <w:rFonts w:hint="eastAsia" w:ascii="仿宋" w:hAnsi="仿宋" w:eastAsia="仿宋" w:cs="仿宋"/>
          <w:kern w:val="2"/>
          <w:sz w:val="28"/>
          <w:szCs w:val="28"/>
          <w:lang w:val="en-US" w:eastAsia="zh-CN" w:bidi="ar-SA"/>
        </w:rPr>
        <w:t>》实施情况进行绩效评价，经绩效评价工作小组研究，形成《</w:t>
      </w:r>
      <w:r>
        <w:rPr>
          <w:rFonts w:hint="eastAsia" w:ascii="仿宋" w:hAnsi="仿宋" w:eastAsia="仿宋" w:cs="仿宋"/>
          <w:sz w:val="28"/>
          <w:szCs w:val="28"/>
          <w:lang w:val="en-US" w:eastAsia="zh-CN"/>
        </w:rPr>
        <w:t>塞罕坝社会综合治理信息化平台项目（7600万元专项债）</w:t>
      </w:r>
      <w:r>
        <w:rPr>
          <w:rFonts w:hint="eastAsia" w:ascii="仿宋" w:hAnsi="仿宋" w:eastAsia="仿宋" w:cs="仿宋"/>
          <w:kern w:val="2"/>
          <w:sz w:val="28"/>
          <w:szCs w:val="28"/>
          <w:lang w:val="en-US" w:eastAsia="zh-CN" w:bidi="ar-SA"/>
        </w:rPr>
        <w:t>支出绩效重点评价报告》初稿。</w:t>
      </w:r>
    </w:p>
    <w:p w14:paraId="741E69D8">
      <w:pPr>
        <w:pStyle w:val="23"/>
        <w:keepNext w:val="0"/>
        <w:keepLines w:val="0"/>
        <w:pageBreakBefore w:val="0"/>
        <w:kinsoku/>
        <w:wordWrap/>
        <w:overflowPunct/>
        <w:topLinePunct w:val="0"/>
        <w:bidi w:val="0"/>
        <w:adjustRightInd w:val="0"/>
        <w:snapToGrid w:val="0"/>
        <w:spacing w:line="48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二、内部审核。由撰写评价报告主笔人自审、技术负责人审核、咨询师审核后</w:t>
      </w:r>
      <w:r>
        <w:rPr>
          <w:rFonts w:hint="eastAsia" w:ascii="仿宋" w:hAnsi="仿宋" w:eastAsia="仿宋" w:cs="仿宋"/>
          <w:sz w:val="28"/>
          <w:szCs w:val="28"/>
          <w:lang w:eastAsia="zh-CN"/>
        </w:rPr>
        <w:t>，</w:t>
      </w:r>
      <w:r>
        <w:rPr>
          <w:rFonts w:hint="eastAsia" w:ascii="仿宋" w:hAnsi="仿宋" w:eastAsia="仿宋" w:cs="仿宋"/>
          <w:sz w:val="28"/>
          <w:szCs w:val="28"/>
        </w:rPr>
        <w:t>形成《</w:t>
      </w:r>
      <w:r>
        <w:rPr>
          <w:rFonts w:hint="eastAsia" w:ascii="仿宋" w:hAnsi="仿宋" w:eastAsia="仿宋" w:cs="仿宋"/>
          <w:b w:val="0"/>
          <w:bCs w:val="0"/>
          <w:sz w:val="28"/>
          <w:szCs w:val="28"/>
          <w:lang w:val="en-US" w:eastAsia="zh-CN"/>
        </w:rPr>
        <w:t>塞罕坝社会综合治理信息化平台项目（7600万元专项债）支出绩效重点评价报告</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征求意见稿</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w:t>
      </w:r>
      <w:r>
        <w:rPr>
          <w:rFonts w:hint="eastAsia" w:ascii="仿宋" w:hAnsi="仿宋" w:eastAsia="仿宋" w:cs="仿宋"/>
          <w:sz w:val="28"/>
          <w:szCs w:val="28"/>
        </w:rPr>
        <w:t>。</w:t>
      </w:r>
    </w:p>
    <w:p w14:paraId="2FD5C1D4">
      <w:pPr>
        <w:keepNext w:val="0"/>
        <w:keepLines w:val="0"/>
        <w:pageBreakBefore w:val="0"/>
        <w:widowControl/>
        <w:kinsoku/>
        <w:wordWrap/>
        <w:overflowPunct/>
        <w:topLinePunct w:val="0"/>
        <w:bidi w:val="0"/>
        <w:adjustRightInd w:val="0"/>
        <w:snapToGrid w:val="0"/>
        <w:spacing w:line="48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rPr>
        <w:t>三、征求意见。将审核后形成的《</w:t>
      </w:r>
      <w:r>
        <w:rPr>
          <w:rFonts w:hint="eastAsia" w:ascii="仿宋" w:hAnsi="仿宋" w:eastAsia="仿宋" w:cs="仿宋"/>
          <w:b w:val="0"/>
          <w:bCs w:val="0"/>
          <w:sz w:val="28"/>
          <w:szCs w:val="28"/>
          <w:lang w:val="en-US" w:eastAsia="zh-CN"/>
        </w:rPr>
        <w:t>塞罕坝社会综合治理信息化平台项目（7600万元专项债）支出绩效重点评价报告</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rPr>
        <w:t>征求意见稿</w:t>
      </w:r>
      <w:r>
        <w:rPr>
          <w:rFonts w:hint="eastAsia" w:ascii="仿宋" w:hAnsi="仿宋" w:eastAsia="仿宋" w:cs="仿宋"/>
          <w:color w:val="000000"/>
          <w:kern w:val="0"/>
          <w:sz w:val="28"/>
          <w:szCs w:val="28"/>
          <w:lang w:eastAsia="zh-CN"/>
        </w:rPr>
        <w:t>）</w:t>
      </w:r>
      <w:r>
        <w:rPr>
          <w:rFonts w:hint="eastAsia" w:ascii="仿宋" w:hAnsi="仿宋" w:eastAsia="仿宋" w:cs="仿宋"/>
          <w:sz w:val="28"/>
          <w:szCs w:val="28"/>
        </w:rPr>
        <w:t>》</w:t>
      </w:r>
      <w:r>
        <w:rPr>
          <w:rFonts w:hint="eastAsia" w:ascii="仿宋" w:hAnsi="仿宋" w:eastAsia="仿宋" w:cs="仿宋"/>
          <w:color w:val="000000"/>
          <w:kern w:val="0"/>
          <w:sz w:val="28"/>
          <w:szCs w:val="28"/>
          <w:lang w:eastAsia="zh-CN"/>
        </w:rPr>
        <w:t>，</w:t>
      </w:r>
      <w:r>
        <w:rPr>
          <w:rFonts w:hint="eastAsia" w:ascii="仿宋" w:hAnsi="仿宋" w:eastAsia="仿宋" w:cs="仿宋"/>
          <w:sz w:val="28"/>
          <w:szCs w:val="28"/>
        </w:rPr>
        <w:t>以电子版形式发至</w:t>
      </w:r>
      <w:r>
        <w:rPr>
          <w:rFonts w:hint="eastAsia" w:ascii="仿宋" w:hAnsi="仿宋" w:eastAsia="仿宋" w:cs="仿宋"/>
          <w:sz w:val="28"/>
          <w:szCs w:val="28"/>
          <w:lang w:eastAsia="zh-CN"/>
        </w:rPr>
        <w:t>围场满族蒙古族自治县</w:t>
      </w:r>
      <w:r>
        <w:rPr>
          <w:rFonts w:hint="eastAsia" w:ascii="仿宋" w:hAnsi="仿宋" w:eastAsia="仿宋" w:cs="仿宋"/>
          <w:sz w:val="28"/>
          <w:szCs w:val="28"/>
        </w:rPr>
        <w:t>财政局审核，并委托县财政局征求</w:t>
      </w:r>
      <w:r>
        <w:rPr>
          <w:rFonts w:hint="eastAsia" w:ascii="仿宋" w:hAnsi="仿宋" w:eastAsia="仿宋" w:cs="仿宋"/>
          <w:sz w:val="28"/>
          <w:szCs w:val="28"/>
          <w:lang w:eastAsia="zh-CN"/>
        </w:rPr>
        <w:t>县公安局</w:t>
      </w:r>
      <w:r>
        <w:rPr>
          <w:rFonts w:hint="eastAsia" w:ascii="仿宋" w:hAnsi="仿宋" w:eastAsia="仿宋" w:cs="仿宋"/>
          <w:sz w:val="28"/>
          <w:szCs w:val="28"/>
        </w:rPr>
        <w:t>意见。</w:t>
      </w:r>
      <w:r>
        <w:rPr>
          <w:rFonts w:hint="eastAsia" w:ascii="仿宋" w:hAnsi="仿宋" w:eastAsia="仿宋" w:cs="仿宋"/>
          <w:sz w:val="28"/>
          <w:szCs w:val="28"/>
          <w:lang w:eastAsia="zh-CN"/>
        </w:rPr>
        <w:t>最后，根据审核意见，形成</w:t>
      </w:r>
      <w:r>
        <w:rPr>
          <w:rFonts w:hint="eastAsia" w:ascii="仿宋" w:hAnsi="仿宋" w:eastAsia="仿宋" w:cs="仿宋"/>
          <w:sz w:val="28"/>
          <w:szCs w:val="28"/>
        </w:rPr>
        <w:t>《</w:t>
      </w:r>
      <w:r>
        <w:rPr>
          <w:rFonts w:hint="eastAsia" w:ascii="仿宋" w:hAnsi="仿宋" w:eastAsia="仿宋" w:cs="仿宋"/>
          <w:b w:val="0"/>
          <w:bCs w:val="0"/>
          <w:sz w:val="28"/>
          <w:szCs w:val="28"/>
          <w:lang w:val="en-US" w:eastAsia="zh-CN"/>
        </w:rPr>
        <w:t>塞罕坝社会综合治理信息化平台项目（7600万元专项债）支出绩效重点评价报告</w:t>
      </w:r>
      <w:r>
        <w:rPr>
          <w:rFonts w:hint="eastAsia" w:ascii="仿宋" w:hAnsi="仿宋" w:eastAsia="仿宋" w:cs="仿宋"/>
          <w:sz w:val="28"/>
          <w:szCs w:val="28"/>
        </w:rPr>
        <w:t>》。</w:t>
      </w:r>
      <w:r>
        <w:rPr>
          <w:rFonts w:hint="eastAsia" w:ascii="仿宋" w:hAnsi="仿宋" w:eastAsia="仿宋" w:cs="仿宋"/>
          <w:sz w:val="28"/>
          <w:szCs w:val="28"/>
          <w:lang w:eastAsia="zh-CN"/>
        </w:rPr>
        <w:t>绩</w:t>
      </w:r>
      <w:r>
        <w:rPr>
          <w:rFonts w:hint="eastAsia" w:ascii="仿宋" w:hAnsi="仿宋" w:eastAsia="仿宋" w:cs="仿宋"/>
          <w:sz w:val="28"/>
          <w:szCs w:val="28"/>
          <w:highlight w:val="none"/>
          <w:lang w:eastAsia="zh-CN"/>
        </w:rPr>
        <w:t>效评价结果</w:t>
      </w:r>
      <w:r>
        <w:rPr>
          <w:rFonts w:hint="eastAsia" w:ascii="仿宋" w:hAnsi="仿宋" w:eastAsia="仿宋" w:cs="仿宋"/>
          <w:sz w:val="28"/>
          <w:szCs w:val="28"/>
          <w:highlight w:val="none"/>
          <w:lang w:val="en-US" w:eastAsia="zh-CN"/>
        </w:rPr>
        <w:t>92分，综合评价等级为“优”。</w:t>
      </w:r>
    </w:p>
    <w:p w14:paraId="09E0A0EA">
      <w:pPr>
        <w:pStyle w:val="23"/>
        <w:ind w:firstLine="560" w:firstLineChars="200"/>
        <w:jc w:val="both"/>
        <w:rPr>
          <w:rFonts w:hint="eastAsia" w:ascii="仿宋" w:hAnsi="仿宋" w:eastAsia="仿宋" w:cs="仿宋"/>
          <w:sz w:val="28"/>
          <w:szCs w:val="28"/>
          <w:lang w:val="en-US" w:eastAsia="zh-CN"/>
        </w:rPr>
      </w:pPr>
    </w:p>
    <w:p w14:paraId="180C6277">
      <w:pPr>
        <w:pStyle w:val="23"/>
        <w:ind w:firstLine="560" w:firstLineChars="200"/>
        <w:jc w:val="both"/>
        <w:rPr>
          <w:rFonts w:hint="eastAsia" w:ascii="仿宋" w:hAnsi="仿宋" w:eastAsia="仿宋" w:cs="仿宋"/>
          <w:sz w:val="28"/>
          <w:szCs w:val="28"/>
          <w:lang w:val="en-US" w:eastAsia="zh-CN"/>
        </w:rPr>
      </w:pPr>
    </w:p>
    <w:p w14:paraId="5DB346FC">
      <w:pPr>
        <w:pStyle w:val="23"/>
        <w:ind w:firstLine="560" w:firstLineChars="200"/>
        <w:jc w:val="both"/>
        <w:rPr>
          <w:rFonts w:hint="eastAsia" w:ascii="仿宋" w:hAnsi="仿宋" w:eastAsia="仿宋" w:cs="仿宋"/>
          <w:sz w:val="28"/>
          <w:szCs w:val="28"/>
          <w:lang w:val="en-US" w:eastAsia="zh-CN"/>
        </w:rPr>
      </w:pPr>
    </w:p>
    <w:p w14:paraId="5E924624">
      <w:pPr>
        <w:keepNext w:val="0"/>
        <w:keepLines w:val="0"/>
        <w:pageBreakBefore w:val="0"/>
        <w:widowControl w:val="0"/>
        <w:kinsoku/>
        <w:wordWrap/>
        <w:overflowPunct/>
        <w:topLinePunct w:val="0"/>
        <w:autoSpaceDE/>
        <w:autoSpaceDN/>
        <w:bidi w:val="0"/>
        <w:adjustRightInd/>
        <w:snapToGrid/>
        <w:spacing w:before="0" w:line="591" w:lineRule="exact"/>
        <w:ind w:right="0"/>
        <w:jc w:val="left"/>
        <w:textAlignment w:val="auto"/>
        <w:outlineLvl w:val="9"/>
        <w:rPr>
          <w:rFonts w:hint="eastAsia" w:ascii="仿宋" w:hAnsi="仿宋" w:eastAsia="仿宋" w:cs="仿宋"/>
          <w:sz w:val="28"/>
          <w:szCs w:val="28"/>
          <w:lang w:val="en-US" w:eastAsia="zh-CN"/>
        </w:rPr>
      </w:pPr>
      <w:bookmarkStart w:id="6" w:name="_Toc1892"/>
      <w:bookmarkStart w:id="7" w:name="_Toc10777"/>
    </w:p>
    <w:p w14:paraId="01F9F69A">
      <w:pPr>
        <w:rPr>
          <w:rFonts w:ascii="仿宋" w:hAnsi="仿宋" w:eastAsia="仿宋"/>
          <w:sz w:val="28"/>
          <w:szCs w:val="28"/>
        </w:rPr>
      </w:pPr>
      <w:r>
        <w:rPr>
          <w:rFonts w:hint="eastAsia" w:ascii="仿宋" w:hAnsi="仿宋" w:eastAsia="仿宋"/>
          <w:sz w:val="28"/>
          <w:szCs w:val="28"/>
        </w:rPr>
        <w:t>围场满族蒙古族自治县财政局意见：</w:t>
      </w:r>
    </w:p>
    <w:p w14:paraId="1EFC1E0B">
      <w:pPr>
        <w:pStyle w:val="14"/>
        <w:rPr>
          <w:rFonts w:ascii="仿宋" w:hAnsi="仿宋" w:eastAsia="仿宋"/>
          <w:sz w:val="28"/>
          <w:szCs w:val="28"/>
        </w:rPr>
      </w:pPr>
    </w:p>
    <w:p w14:paraId="720C0ABC">
      <w:pPr>
        <w:rPr>
          <w:rFonts w:ascii="仿宋" w:hAnsi="仿宋" w:eastAsia="仿宋"/>
          <w:sz w:val="28"/>
          <w:szCs w:val="28"/>
        </w:rPr>
      </w:pPr>
    </w:p>
    <w:p w14:paraId="3B39E1CC">
      <w:pPr>
        <w:pStyle w:val="23"/>
        <w:rPr>
          <w:rFonts w:ascii="仿宋" w:hAnsi="仿宋" w:eastAsia="仿宋"/>
          <w:sz w:val="28"/>
          <w:szCs w:val="28"/>
        </w:rPr>
      </w:pPr>
    </w:p>
    <w:p w14:paraId="1BEA1D1E">
      <w:pPr>
        <w:rPr>
          <w:rFonts w:ascii="仿宋" w:hAnsi="仿宋" w:eastAsia="仿宋"/>
          <w:sz w:val="28"/>
          <w:szCs w:val="28"/>
        </w:rPr>
      </w:pPr>
    </w:p>
    <w:p w14:paraId="3993248B">
      <w:pPr>
        <w:pStyle w:val="14"/>
        <w:rPr>
          <w:rFonts w:ascii="仿宋" w:hAnsi="仿宋" w:eastAsia="仿宋"/>
          <w:sz w:val="28"/>
          <w:szCs w:val="28"/>
        </w:rPr>
      </w:pPr>
    </w:p>
    <w:p w14:paraId="6DE52106">
      <w:pPr>
        <w:pStyle w:val="23"/>
        <w:jc w:val="both"/>
        <w:rPr>
          <w:rFonts w:hint="eastAsia" w:ascii="仿宋" w:hAnsi="仿宋" w:eastAsia="仿宋" w:cs="仿宋"/>
          <w:sz w:val="28"/>
          <w:szCs w:val="28"/>
          <w:lang w:val="en-US" w:eastAsia="zh-CN"/>
        </w:rPr>
      </w:pPr>
      <w:r>
        <w:rPr>
          <w:rFonts w:hint="eastAsia" w:ascii="仿宋" w:hAnsi="仿宋" w:eastAsia="仿宋"/>
          <w:sz w:val="28"/>
          <w:szCs w:val="28"/>
        </w:rPr>
        <w:t>围场满族蒙古族自治</w:t>
      </w:r>
      <w:r>
        <w:rPr>
          <w:rFonts w:hint="eastAsia" w:ascii="仿宋" w:hAnsi="仿宋" w:eastAsia="仿宋"/>
          <w:sz w:val="28"/>
          <w:szCs w:val="28"/>
          <w:lang w:eastAsia="zh-CN"/>
        </w:rPr>
        <w:t>县公安局意见：</w:t>
      </w:r>
    </w:p>
    <w:p w14:paraId="4AB19909">
      <w:pPr>
        <w:pStyle w:val="23"/>
        <w:rPr>
          <w:rFonts w:hint="eastAsia" w:ascii="仿宋" w:hAnsi="仿宋" w:eastAsia="仿宋" w:cs="仿宋"/>
          <w:sz w:val="28"/>
          <w:szCs w:val="28"/>
          <w:lang w:val="en-US" w:eastAsia="zh-CN"/>
        </w:rPr>
      </w:pPr>
    </w:p>
    <w:p w14:paraId="4DE63F70">
      <w:pPr>
        <w:pStyle w:val="23"/>
        <w:rPr>
          <w:rFonts w:hint="eastAsia" w:ascii="仿宋" w:hAnsi="仿宋" w:eastAsia="仿宋" w:cs="仿宋"/>
          <w:sz w:val="28"/>
          <w:szCs w:val="28"/>
          <w:lang w:val="en-US" w:eastAsia="zh-CN"/>
        </w:rPr>
      </w:pPr>
    </w:p>
    <w:p w14:paraId="5E780810">
      <w:pPr>
        <w:pStyle w:val="23"/>
        <w:rPr>
          <w:rFonts w:hint="eastAsia" w:ascii="仿宋" w:hAnsi="仿宋" w:eastAsia="仿宋" w:cs="仿宋"/>
          <w:sz w:val="28"/>
          <w:szCs w:val="28"/>
          <w:lang w:val="en-US" w:eastAsia="zh-CN"/>
        </w:rPr>
      </w:pPr>
      <w:bookmarkStart w:id="42" w:name="_GoBack"/>
      <w:bookmarkEnd w:id="42"/>
    </w:p>
    <w:p w14:paraId="563C46A0">
      <w:pPr>
        <w:pStyle w:val="23"/>
        <w:rPr>
          <w:rFonts w:hint="eastAsia" w:ascii="仿宋" w:hAnsi="仿宋" w:eastAsia="仿宋" w:cs="仿宋"/>
          <w:sz w:val="28"/>
          <w:szCs w:val="28"/>
          <w:lang w:val="en-US" w:eastAsia="zh-CN"/>
        </w:rPr>
      </w:pPr>
    </w:p>
    <w:p w14:paraId="4FC335C6">
      <w:pPr>
        <w:pStyle w:val="23"/>
        <w:rPr>
          <w:rFonts w:hint="eastAsia" w:ascii="仿宋" w:hAnsi="仿宋" w:eastAsia="仿宋" w:cs="仿宋"/>
          <w:sz w:val="28"/>
          <w:szCs w:val="28"/>
          <w:lang w:val="en-US" w:eastAsia="zh-CN"/>
        </w:rPr>
      </w:pPr>
      <w:r>
        <w:rPr>
          <w:rFonts w:hint="eastAsia" w:ascii="仿宋" w:hAnsi="仿宋" w:eastAsia="仿宋"/>
          <w:sz w:val="28"/>
          <w:szCs w:val="28"/>
          <w:lang w:val="en-US" w:eastAsia="zh-CN"/>
        </w:rPr>
        <w:t xml:space="preserve">                                      </w:t>
      </w:r>
      <w:r>
        <w:rPr>
          <w:rFonts w:hint="eastAsia" w:ascii="仿宋" w:hAnsi="仿宋" w:eastAsia="仿宋"/>
          <w:sz w:val="28"/>
          <w:szCs w:val="28"/>
        </w:rPr>
        <w:t>202</w:t>
      </w:r>
      <w:r>
        <w:rPr>
          <w:rFonts w:hint="eastAsia" w:ascii="仿宋" w:hAnsi="仿宋" w:eastAsia="仿宋"/>
          <w:sz w:val="28"/>
          <w:szCs w:val="28"/>
          <w:lang w:val="en-US" w:eastAsia="zh-CN"/>
        </w:rPr>
        <w:t>4</w:t>
      </w:r>
      <w:r>
        <w:rPr>
          <w:rFonts w:hint="eastAsia" w:ascii="仿宋" w:hAnsi="仿宋" w:eastAsia="仿宋"/>
          <w:sz w:val="28"/>
          <w:szCs w:val="28"/>
        </w:rPr>
        <w:t>年</w:t>
      </w:r>
      <w:r>
        <w:rPr>
          <w:rFonts w:hint="eastAsia" w:ascii="仿宋" w:hAnsi="仿宋" w:eastAsia="仿宋"/>
          <w:sz w:val="28"/>
          <w:szCs w:val="28"/>
          <w:lang w:val="en-US" w:eastAsia="zh-CN"/>
        </w:rPr>
        <w:t xml:space="preserve">   </w:t>
      </w:r>
      <w:r>
        <w:rPr>
          <w:rFonts w:hint="eastAsia" w:ascii="仿宋" w:hAnsi="仿宋" w:eastAsia="仿宋"/>
          <w:sz w:val="28"/>
          <w:szCs w:val="28"/>
        </w:rPr>
        <w:t>月</w:t>
      </w:r>
      <w:r>
        <w:rPr>
          <w:rFonts w:hint="eastAsia" w:ascii="仿宋" w:hAnsi="仿宋" w:eastAsia="仿宋"/>
          <w:sz w:val="28"/>
          <w:szCs w:val="28"/>
          <w:lang w:val="en-US" w:eastAsia="zh-CN"/>
        </w:rPr>
        <w:t xml:space="preserve">   </w:t>
      </w:r>
      <w:r>
        <w:rPr>
          <w:rFonts w:hint="eastAsia" w:ascii="仿宋" w:hAnsi="仿宋" w:eastAsia="仿宋"/>
          <w:sz w:val="28"/>
          <w:szCs w:val="28"/>
        </w:rPr>
        <w:t>日</w:t>
      </w:r>
    </w:p>
    <w:p w14:paraId="7415E3D5">
      <w:pPr>
        <w:spacing w:before="0" w:beforeLines="0" w:after="0" w:afterLines="0" w:line="240" w:lineRule="auto"/>
        <w:ind w:left="0" w:leftChars="0" w:right="0" w:rightChars="0" w:firstLine="0" w:firstLineChars="0"/>
        <w:jc w:val="center"/>
        <w:rPr>
          <w:rFonts w:ascii="宋体" w:hAnsi="宋体" w:eastAsia="宋体" w:cstheme="minorBidi"/>
          <w:b/>
          <w:bCs/>
          <w:kern w:val="2"/>
          <w:sz w:val="32"/>
          <w:szCs w:val="32"/>
          <w:lang w:val="en-US" w:eastAsia="zh-CN" w:bidi="ar-SA"/>
        </w:rPr>
      </w:pPr>
    </w:p>
    <w:p w14:paraId="317ECAF0">
      <w:pPr>
        <w:pStyle w:val="23"/>
        <w:rPr>
          <w:rFonts w:ascii="宋体" w:hAnsi="宋体" w:eastAsia="宋体" w:cstheme="minorBidi"/>
          <w:b/>
          <w:bCs/>
          <w:kern w:val="2"/>
          <w:sz w:val="32"/>
          <w:szCs w:val="32"/>
          <w:lang w:val="en-US" w:eastAsia="zh-CN" w:bidi="ar-SA"/>
        </w:rPr>
      </w:pPr>
    </w:p>
    <w:sdt>
      <w:sdtPr>
        <w:rPr>
          <w:rFonts w:ascii="宋体" w:hAnsi="宋体" w:eastAsia="宋体" w:cstheme="minorBidi"/>
          <w:b/>
          <w:bCs/>
          <w:kern w:val="2"/>
          <w:sz w:val="32"/>
          <w:szCs w:val="32"/>
          <w:highlight w:val="none"/>
          <w:lang w:val="en-US" w:eastAsia="zh-CN" w:bidi="ar-SA"/>
        </w:rPr>
        <w:id w:val="147472752"/>
        <w15:color w:val="DBDBDB"/>
        <w:docPartObj>
          <w:docPartGallery w:val="Table of Contents"/>
          <w:docPartUnique/>
        </w:docPartObj>
      </w:sdtPr>
      <w:sdtEndPr>
        <w:rPr>
          <w:rFonts w:hint="eastAsia" w:ascii="宋体" w:hAnsi="宋体" w:eastAsia="宋体" w:cs="Arial"/>
          <w:b/>
          <w:bCs/>
          <w:kern w:val="2"/>
          <w:sz w:val="21"/>
          <w:szCs w:val="32"/>
          <w:highlight w:val="none"/>
          <w:lang w:val="en-US" w:eastAsia="zh-CN" w:bidi="ar-SA"/>
        </w:rPr>
      </w:sdtEndPr>
      <w:sdtContent>
        <w:p w14:paraId="220E4CFE">
          <w:pPr>
            <w:spacing w:before="0" w:beforeLines="0" w:after="0" w:afterLines="0" w:line="240" w:lineRule="auto"/>
            <w:ind w:left="0" w:leftChars="0" w:right="0" w:rightChars="0" w:firstLine="0" w:firstLineChars="0"/>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目</w:t>
          </w:r>
          <w:r>
            <w:rPr>
              <w:rFonts w:hint="eastAsia" w:ascii="仿宋" w:hAnsi="仿宋" w:eastAsia="仿宋" w:cs="仿宋"/>
              <w:b/>
              <w:bCs/>
              <w:sz w:val="32"/>
              <w:szCs w:val="32"/>
              <w:highlight w:val="none"/>
              <w:lang w:val="en-US"/>
            </w:rPr>
            <w:t xml:space="preserve">   </w:t>
          </w:r>
          <w:r>
            <w:rPr>
              <w:rFonts w:hint="eastAsia" w:ascii="仿宋" w:hAnsi="仿宋" w:eastAsia="仿宋" w:cs="仿宋"/>
              <w:b/>
              <w:bCs/>
              <w:sz w:val="32"/>
              <w:szCs w:val="32"/>
              <w:highlight w:val="none"/>
            </w:rPr>
            <w:t>录</w:t>
          </w:r>
        </w:p>
        <w:p w14:paraId="1A2C9F2F">
          <w:pPr>
            <w:pStyle w:val="27"/>
            <w:tabs>
              <w:tab w:val="right" w:leader="dot" w:pos="8306"/>
            </w:tabs>
            <w:rPr>
              <w:rFonts w:hint="eastAsia" w:ascii="仿宋" w:hAnsi="仿宋" w:eastAsia="仿宋" w:cs="仿宋"/>
              <w:highlight w:val="none"/>
            </w:rPr>
          </w:pPr>
          <w:r>
            <w:rPr>
              <w:rFonts w:hint="eastAsia" w:ascii="仿宋" w:hAnsi="仿宋" w:eastAsia="仿宋" w:cs="仿宋"/>
              <w:b/>
              <w:bCs/>
              <w:sz w:val="32"/>
              <w:szCs w:val="32"/>
              <w:highlight w:val="none"/>
            </w:rPr>
            <w:fldChar w:fldCharType="begin"/>
          </w:r>
          <w:r>
            <w:rPr>
              <w:rFonts w:hint="eastAsia" w:ascii="仿宋" w:hAnsi="仿宋" w:eastAsia="仿宋" w:cs="仿宋"/>
              <w:b/>
              <w:bCs/>
              <w:sz w:val="32"/>
              <w:szCs w:val="32"/>
              <w:highlight w:val="none"/>
            </w:rPr>
            <w:instrText xml:space="preserve">TOC \o "1-1" \h \u </w:instrText>
          </w:r>
          <w:r>
            <w:rPr>
              <w:rFonts w:hint="eastAsia" w:ascii="仿宋" w:hAnsi="仿宋" w:eastAsia="仿宋" w:cs="仿宋"/>
              <w:b/>
              <w:bCs/>
              <w:sz w:val="32"/>
              <w:szCs w:val="32"/>
              <w:highlight w:val="none"/>
            </w:rPr>
            <w:fldChar w:fldCharType="separate"/>
          </w:r>
        </w:p>
        <w:p w14:paraId="0CF4928B">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\l _Toc32623 </w:instrText>
          </w:r>
          <w:r>
            <w:rPr>
              <w:rFonts w:hint="eastAsia" w:ascii="仿宋" w:hAnsi="仿宋" w:eastAsia="仿宋" w:cs="仿宋"/>
              <w:bCs/>
              <w:sz w:val="24"/>
              <w:szCs w:val="24"/>
              <w:highlight w:val="none"/>
            </w:rPr>
            <w:fldChar w:fldCharType="separate"/>
          </w:r>
          <w:r>
            <w:rPr>
              <w:rFonts w:hint="eastAsia" w:ascii="仿宋" w:hAnsi="仿宋" w:eastAsia="仿宋" w:cs="仿宋"/>
              <w:sz w:val="24"/>
              <w:szCs w:val="24"/>
              <w:highlight w:val="none"/>
            </w:rPr>
            <w:t>一、</w:t>
          </w:r>
          <w:r>
            <w:rPr>
              <w:rFonts w:hint="eastAsia" w:ascii="仿宋" w:hAnsi="仿宋" w:eastAsia="仿宋" w:cs="仿宋"/>
              <w:sz w:val="24"/>
              <w:szCs w:val="24"/>
              <w:highlight w:val="none"/>
              <w:lang w:eastAsia="zh-CN"/>
            </w:rPr>
            <w:t>基本情况</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4</w:t>
          </w:r>
          <w:r>
            <w:rPr>
              <w:rFonts w:hint="eastAsia" w:ascii="仿宋" w:hAnsi="仿宋" w:eastAsia="仿宋" w:cs="仿宋"/>
              <w:bCs/>
              <w:sz w:val="24"/>
              <w:szCs w:val="24"/>
              <w:highlight w:val="none"/>
            </w:rPr>
            <w:fldChar w:fldCharType="end"/>
          </w:r>
        </w:p>
        <w:p w14:paraId="298D5F91">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bCs/>
              <w:sz w:val="24"/>
              <w:szCs w:val="24"/>
              <w:highlight w:val="none"/>
              <w:lang w:val="en-US"/>
            </w:rPr>
          </w:pPr>
          <w:r>
            <w:rPr>
              <w:rFonts w:hint="eastAsia" w:ascii="仿宋" w:hAnsi="仿宋" w:eastAsia="仿宋" w:cs="仿宋"/>
              <w:bCs/>
              <w:sz w:val="24"/>
              <w:szCs w:val="24"/>
              <w:highlight w:val="none"/>
              <w:lang w:val="en-US" w:eastAsia="zh-CN"/>
            </w:rPr>
            <w:t>二、项目绩效目标</w:t>
          </w:r>
          <w:r>
            <w:rPr>
              <w:rFonts w:hint="eastAsia" w:ascii="仿宋" w:hAnsi="仿宋" w:eastAsia="仿宋" w:cs="仿宋"/>
              <w:bCs/>
              <w:sz w:val="24"/>
              <w:szCs w:val="24"/>
              <w:highlight w:val="none"/>
              <w:lang w:val="en-US" w:eastAsia="zh-CN"/>
            </w:rPr>
            <w:tab/>
          </w:r>
          <w:r>
            <w:rPr>
              <w:rFonts w:hint="eastAsia" w:ascii="仿宋" w:hAnsi="仿宋" w:eastAsia="仿宋" w:cs="仿宋"/>
              <w:bCs/>
              <w:sz w:val="24"/>
              <w:szCs w:val="24"/>
              <w:highlight w:val="none"/>
              <w:lang w:val="en-US" w:eastAsia="zh-CN"/>
            </w:rPr>
            <w:t>11</w:t>
          </w:r>
        </w:p>
        <w:p w14:paraId="503A9D5B">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\l _Toc526 </w:instrText>
          </w:r>
          <w:r>
            <w:rPr>
              <w:rFonts w:hint="eastAsia" w:ascii="仿宋" w:hAnsi="仿宋" w:eastAsia="仿宋" w:cs="仿宋"/>
              <w:bCs/>
              <w:sz w:val="24"/>
              <w:szCs w:val="24"/>
              <w:highlight w:val="none"/>
            </w:rPr>
            <w:fldChar w:fldCharType="separate"/>
          </w:r>
          <w:r>
            <w:rPr>
              <w:rFonts w:hint="eastAsia" w:ascii="仿宋" w:hAnsi="仿宋" w:eastAsia="仿宋" w:cs="仿宋"/>
              <w:sz w:val="24"/>
              <w:szCs w:val="24"/>
              <w:highlight w:val="none"/>
              <w:lang w:val="en-US" w:eastAsia="zh-CN"/>
            </w:rPr>
            <w:t>三、绩效评价工作开展情况</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1</w:t>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lang w:val="en-US" w:eastAsia="zh-CN"/>
            </w:rPr>
            <w:t>1</w:t>
          </w:r>
        </w:p>
        <w:p w14:paraId="3840ED90">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\l _Toc29085 </w:instrText>
          </w:r>
          <w:r>
            <w:rPr>
              <w:rFonts w:hint="eastAsia" w:ascii="仿宋" w:hAnsi="仿宋" w:eastAsia="仿宋" w:cs="仿宋"/>
              <w:bCs/>
              <w:sz w:val="24"/>
              <w:szCs w:val="24"/>
              <w:highlight w:val="none"/>
            </w:rPr>
            <w:fldChar w:fldCharType="separate"/>
          </w:r>
          <w:r>
            <w:rPr>
              <w:rFonts w:hint="eastAsia" w:ascii="仿宋" w:hAnsi="仿宋" w:eastAsia="仿宋" w:cs="仿宋"/>
              <w:sz w:val="24"/>
              <w:szCs w:val="24"/>
              <w:highlight w:val="none"/>
              <w:lang w:val="en-US" w:eastAsia="zh-CN"/>
            </w:rPr>
            <w:t>四、综合评价情况及评价结论</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2</w:t>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lang w:val="en-US" w:eastAsia="zh-CN"/>
            </w:rPr>
            <w:t>1</w:t>
          </w:r>
        </w:p>
        <w:p w14:paraId="470696F0">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\l _Toc32160 </w:instrText>
          </w:r>
          <w:r>
            <w:rPr>
              <w:rFonts w:hint="eastAsia" w:ascii="仿宋" w:hAnsi="仿宋" w:eastAsia="仿宋" w:cs="仿宋"/>
              <w:bCs/>
              <w:sz w:val="24"/>
              <w:szCs w:val="24"/>
              <w:highlight w:val="none"/>
            </w:rPr>
            <w:fldChar w:fldCharType="separate"/>
          </w:r>
          <w:r>
            <w:rPr>
              <w:rFonts w:hint="eastAsia" w:ascii="仿宋" w:hAnsi="仿宋" w:eastAsia="仿宋" w:cs="仿宋"/>
              <w:sz w:val="24"/>
              <w:szCs w:val="24"/>
              <w:highlight w:val="none"/>
              <w:lang w:val="en-US" w:eastAsia="zh-CN"/>
            </w:rPr>
            <w:t>五、绩效评价指标分析</w:t>
          </w:r>
          <w:r>
            <w:rPr>
              <w:rFonts w:hint="eastAsia" w:ascii="仿宋" w:hAnsi="仿宋" w:eastAsia="仿宋" w:cs="仿宋"/>
              <w:sz w:val="24"/>
              <w:szCs w:val="24"/>
              <w:highlight w:val="none"/>
            </w:rPr>
            <w:tab/>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lang w:val="en-US" w:eastAsia="zh-CN"/>
            </w:rPr>
            <w:t>25</w:t>
          </w:r>
        </w:p>
        <w:p w14:paraId="664D8726">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\l _Toc30968 </w:instrText>
          </w:r>
          <w:r>
            <w:rPr>
              <w:rFonts w:hint="eastAsia" w:ascii="仿宋" w:hAnsi="仿宋" w:eastAsia="仿宋" w:cs="仿宋"/>
              <w:bCs/>
              <w:sz w:val="24"/>
              <w:szCs w:val="24"/>
              <w:highlight w:val="none"/>
            </w:rPr>
            <w:fldChar w:fldCharType="separate"/>
          </w:r>
          <w:r>
            <w:rPr>
              <w:rFonts w:hint="eastAsia" w:ascii="仿宋" w:hAnsi="仿宋" w:eastAsia="仿宋" w:cs="仿宋"/>
              <w:sz w:val="24"/>
              <w:szCs w:val="24"/>
              <w:highlight w:val="none"/>
              <w:lang w:val="en-US" w:eastAsia="zh-CN"/>
            </w:rPr>
            <w:t>六、存在的问题</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3</w:t>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lang w:val="en-US" w:eastAsia="zh-CN"/>
            </w:rPr>
            <w:t>6</w:t>
          </w:r>
        </w:p>
        <w:p w14:paraId="651CE593">
          <w:pPr>
            <w:pStyle w:val="2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\l _Toc6387 </w:instrText>
          </w:r>
          <w:r>
            <w:rPr>
              <w:rFonts w:hint="eastAsia" w:ascii="仿宋" w:hAnsi="仿宋" w:eastAsia="仿宋" w:cs="仿宋"/>
              <w:bCs/>
              <w:sz w:val="24"/>
              <w:szCs w:val="24"/>
              <w:highlight w:val="none"/>
            </w:rPr>
            <w:fldChar w:fldCharType="separate"/>
          </w:r>
          <w:r>
            <w:rPr>
              <w:rFonts w:hint="eastAsia" w:ascii="仿宋" w:hAnsi="仿宋" w:eastAsia="仿宋" w:cs="仿宋"/>
              <w:sz w:val="24"/>
              <w:szCs w:val="24"/>
              <w:highlight w:val="none"/>
              <w:lang w:val="en-US" w:eastAsia="zh-CN"/>
            </w:rPr>
            <w:t>七、结果应用及建议</w:t>
          </w:r>
          <w:r>
            <w:rPr>
              <w:rFonts w:hint="eastAsia" w:ascii="仿宋" w:hAnsi="仿宋" w:eastAsia="仿宋" w:cs="仿宋"/>
              <w:sz w:val="24"/>
              <w:szCs w:val="24"/>
              <w:highlight w:val="none"/>
            </w:rPr>
            <w:tab/>
          </w:r>
          <w:r>
            <w:rPr>
              <w:rFonts w:hint="eastAsia" w:ascii="仿宋" w:hAnsi="仿宋" w:eastAsia="仿宋" w:cs="仿宋"/>
              <w:sz w:val="24"/>
              <w:szCs w:val="24"/>
              <w:highlight w:val="none"/>
              <w:lang w:val="en-US" w:eastAsia="zh-CN"/>
            </w:rPr>
            <w:t>3</w:t>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lang w:val="en-US" w:eastAsia="zh-CN"/>
            </w:rPr>
            <w:t>7</w:t>
          </w:r>
        </w:p>
        <w:p w14:paraId="798172A0">
          <w:pPr>
            <w:pStyle w:val="23"/>
            <w:rPr>
              <w:rFonts w:hint="eastAsia" w:ascii="宋体" w:hAnsi="宋体" w:eastAsia="宋体" w:cs="Arial"/>
              <w:b/>
              <w:bCs/>
              <w:kern w:val="2"/>
              <w:sz w:val="21"/>
              <w:szCs w:val="32"/>
              <w:highlight w:val="none"/>
              <w:lang w:val="en-US" w:eastAsia="zh-CN" w:bidi="ar-SA"/>
            </w:rPr>
          </w:pPr>
          <w:r>
            <w:rPr>
              <w:rFonts w:hint="eastAsia" w:ascii="仿宋" w:hAnsi="仿宋" w:eastAsia="仿宋" w:cs="仿宋"/>
              <w:bCs/>
              <w:szCs w:val="32"/>
              <w:highlight w:val="none"/>
            </w:rPr>
            <w:fldChar w:fldCharType="end"/>
          </w:r>
        </w:p>
      </w:sdtContent>
    </w:sdt>
    <w:p w14:paraId="6ECBA542">
      <w:pPr>
        <w:pStyle w:val="23"/>
        <w:rPr>
          <w:rFonts w:hint="eastAsia" w:ascii="宋体" w:hAnsi="宋体" w:eastAsia="宋体" w:cs="Arial"/>
          <w:b/>
          <w:bCs/>
          <w:kern w:val="2"/>
          <w:sz w:val="21"/>
          <w:szCs w:val="32"/>
          <w:highlight w:val="none"/>
          <w:lang w:val="en-US" w:eastAsia="zh-CN" w:bidi="ar-SA"/>
        </w:rPr>
      </w:pPr>
    </w:p>
    <w:p w14:paraId="6CEE7836">
      <w:pPr>
        <w:pStyle w:val="23"/>
        <w:rPr>
          <w:rFonts w:hint="eastAsia" w:ascii="宋体" w:hAnsi="宋体" w:eastAsia="宋体" w:cs="Arial"/>
          <w:b/>
          <w:bCs/>
          <w:kern w:val="2"/>
          <w:sz w:val="21"/>
          <w:szCs w:val="32"/>
          <w:highlight w:val="none"/>
          <w:lang w:val="en-US" w:eastAsia="zh-CN" w:bidi="ar-SA"/>
        </w:rPr>
      </w:pPr>
    </w:p>
    <w:p w14:paraId="0562CF01">
      <w:pPr>
        <w:pStyle w:val="23"/>
        <w:rPr>
          <w:rFonts w:hint="eastAsia" w:ascii="宋体" w:hAnsi="宋体" w:eastAsia="宋体" w:cs="Arial"/>
          <w:b/>
          <w:bCs/>
          <w:kern w:val="2"/>
          <w:sz w:val="21"/>
          <w:szCs w:val="32"/>
          <w:highlight w:val="none"/>
          <w:lang w:val="en-US" w:eastAsia="zh-CN" w:bidi="ar-SA"/>
        </w:rPr>
      </w:pPr>
    </w:p>
    <w:p w14:paraId="7BABC0FB">
      <w:pPr>
        <w:pStyle w:val="23"/>
        <w:rPr>
          <w:rFonts w:hint="eastAsia" w:ascii="宋体" w:hAnsi="宋体" w:eastAsia="宋体" w:cs="Arial"/>
          <w:b/>
          <w:bCs/>
          <w:kern w:val="2"/>
          <w:sz w:val="21"/>
          <w:szCs w:val="32"/>
          <w:lang w:val="en-US" w:eastAsia="zh-CN" w:bidi="ar-SA"/>
        </w:rPr>
      </w:pPr>
    </w:p>
    <w:p w14:paraId="3DE744CE">
      <w:pPr>
        <w:pStyle w:val="23"/>
        <w:rPr>
          <w:rFonts w:hint="eastAsia" w:ascii="宋体" w:hAnsi="宋体" w:eastAsia="宋体" w:cs="Arial"/>
          <w:b/>
          <w:bCs/>
          <w:kern w:val="2"/>
          <w:sz w:val="21"/>
          <w:szCs w:val="32"/>
          <w:lang w:val="en-US" w:eastAsia="zh-CN" w:bidi="ar-SA"/>
        </w:rPr>
      </w:pPr>
    </w:p>
    <w:p w14:paraId="66D91275">
      <w:pPr>
        <w:pStyle w:val="23"/>
        <w:rPr>
          <w:rFonts w:hint="eastAsia" w:ascii="宋体" w:hAnsi="宋体" w:eastAsia="宋体" w:cs="Arial"/>
          <w:b/>
          <w:bCs/>
          <w:kern w:val="2"/>
          <w:sz w:val="21"/>
          <w:szCs w:val="32"/>
          <w:lang w:val="en-US" w:eastAsia="zh-CN" w:bidi="ar-SA"/>
        </w:rPr>
      </w:pPr>
    </w:p>
    <w:p w14:paraId="3B7F1BCA">
      <w:pPr>
        <w:pStyle w:val="23"/>
        <w:rPr>
          <w:rFonts w:hint="eastAsia" w:ascii="宋体" w:hAnsi="宋体" w:eastAsia="宋体" w:cs="Arial"/>
          <w:b/>
          <w:bCs/>
          <w:kern w:val="2"/>
          <w:sz w:val="21"/>
          <w:szCs w:val="32"/>
          <w:lang w:val="en-US" w:eastAsia="zh-CN" w:bidi="ar-SA"/>
        </w:rPr>
      </w:pPr>
    </w:p>
    <w:p w14:paraId="0E162520">
      <w:pPr>
        <w:pStyle w:val="23"/>
        <w:rPr>
          <w:rFonts w:hint="eastAsia" w:ascii="宋体" w:hAnsi="宋体" w:eastAsia="宋体" w:cs="Arial"/>
          <w:b/>
          <w:bCs/>
          <w:kern w:val="2"/>
          <w:sz w:val="21"/>
          <w:szCs w:val="32"/>
          <w:lang w:val="en-US" w:eastAsia="zh-CN" w:bidi="ar-SA"/>
        </w:rPr>
      </w:pPr>
    </w:p>
    <w:p w14:paraId="26C6765C">
      <w:pPr>
        <w:pStyle w:val="23"/>
        <w:rPr>
          <w:rFonts w:hint="eastAsia" w:ascii="宋体" w:hAnsi="宋体" w:eastAsia="宋体" w:cs="Arial"/>
          <w:b/>
          <w:bCs/>
          <w:kern w:val="2"/>
          <w:sz w:val="21"/>
          <w:szCs w:val="32"/>
          <w:lang w:val="en-US" w:eastAsia="zh-CN" w:bidi="ar-SA"/>
        </w:rPr>
      </w:pPr>
    </w:p>
    <w:p w14:paraId="4A49427D">
      <w:pPr>
        <w:pStyle w:val="23"/>
        <w:rPr>
          <w:rFonts w:hint="eastAsia" w:ascii="宋体" w:hAnsi="宋体" w:eastAsia="宋体" w:cs="Arial"/>
          <w:b/>
          <w:bCs/>
          <w:kern w:val="2"/>
          <w:sz w:val="21"/>
          <w:szCs w:val="32"/>
          <w:lang w:val="en-US" w:eastAsia="zh-CN" w:bidi="ar-SA"/>
        </w:rPr>
      </w:pPr>
    </w:p>
    <w:p w14:paraId="7E4097B2">
      <w:pPr>
        <w:pStyle w:val="23"/>
        <w:rPr>
          <w:rFonts w:hint="eastAsia" w:ascii="宋体" w:hAnsi="宋体" w:eastAsia="宋体" w:cs="Arial"/>
          <w:b/>
          <w:bCs/>
          <w:kern w:val="2"/>
          <w:sz w:val="21"/>
          <w:szCs w:val="32"/>
          <w:lang w:val="en-US" w:eastAsia="zh-CN" w:bidi="ar-SA"/>
        </w:rPr>
      </w:pPr>
    </w:p>
    <w:p w14:paraId="2B12924D">
      <w:pPr>
        <w:pStyle w:val="23"/>
        <w:rPr>
          <w:rFonts w:hint="eastAsia" w:ascii="宋体" w:hAnsi="宋体" w:eastAsia="宋体" w:cs="Arial"/>
          <w:b/>
          <w:bCs/>
          <w:kern w:val="2"/>
          <w:sz w:val="21"/>
          <w:szCs w:val="32"/>
          <w:lang w:val="en-US" w:eastAsia="zh-CN" w:bidi="ar-SA"/>
        </w:rPr>
      </w:pPr>
    </w:p>
    <w:p w14:paraId="5F14ED1E">
      <w:pPr>
        <w:pStyle w:val="23"/>
        <w:rPr>
          <w:rFonts w:hint="eastAsia" w:ascii="宋体" w:hAnsi="宋体" w:eastAsia="宋体" w:cs="Arial"/>
          <w:b/>
          <w:bCs/>
          <w:kern w:val="2"/>
          <w:sz w:val="21"/>
          <w:szCs w:val="32"/>
          <w:lang w:val="en-US" w:eastAsia="zh-CN" w:bidi="ar-SA"/>
        </w:rPr>
      </w:pPr>
    </w:p>
    <w:p w14:paraId="478FA0EE">
      <w:pPr>
        <w:pStyle w:val="23"/>
        <w:rPr>
          <w:rFonts w:hint="eastAsia" w:ascii="宋体" w:hAnsi="宋体" w:eastAsia="宋体" w:cs="Arial"/>
          <w:b/>
          <w:bCs/>
          <w:kern w:val="2"/>
          <w:sz w:val="21"/>
          <w:szCs w:val="32"/>
          <w:lang w:val="en-US" w:eastAsia="zh-CN" w:bidi="ar-SA"/>
        </w:rPr>
      </w:pPr>
    </w:p>
    <w:p w14:paraId="187C8C0D">
      <w:pPr>
        <w:pStyle w:val="23"/>
        <w:rPr>
          <w:rFonts w:hint="eastAsia" w:ascii="宋体" w:hAnsi="宋体" w:eastAsia="宋体" w:cs="Arial"/>
          <w:b/>
          <w:bCs/>
          <w:kern w:val="2"/>
          <w:sz w:val="21"/>
          <w:szCs w:val="32"/>
          <w:lang w:val="en-US" w:eastAsia="zh-CN" w:bidi="ar-SA"/>
        </w:rPr>
      </w:pPr>
    </w:p>
    <w:p w14:paraId="5AA7E890">
      <w:pPr>
        <w:pStyle w:val="23"/>
        <w:rPr>
          <w:rFonts w:hint="eastAsia" w:ascii="宋体" w:hAnsi="宋体" w:eastAsia="宋体" w:cs="Arial"/>
          <w:b/>
          <w:bCs/>
          <w:kern w:val="2"/>
          <w:sz w:val="21"/>
          <w:szCs w:val="32"/>
          <w:lang w:val="en-US" w:eastAsia="zh-CN" w:bidi="ar-SA"/>
        </w:rPr>
      </w:pPr>
    </w:p>
    <w:p w14:paraId="13FAAD49">
      <w:pPr>
        <w:pStyle w:val="23"/>
        <w:rPr>
          <w:rFonts w:hint="eastAsia" w:ascii="宋体" w:hAnsi="宋体" w:eastAsia="宋体" w:cs="Arial"/>
          <w:b/>
          <w:bCs/>
          <w:kern w:val="2"/>
          <w:sz w:val="21"/>
          <w:szCs w:val="32"/>
          <w:lang w:val="en-US" w:eastAsia="zh-CN" w:bidi="ar-SA"/>
        </w:rPr>
      </w:pPr>
    </w:p>
    <w:p w14:paraId="6D556D37">
      <w:pPr>
        <w:pStyle w:val="23"/>
        <w:rPr>
          <w:rFonts w:hint="eastAsia" w:ascii="宋体" w:hAnsi="宋体" w:eastAsia="宋体" w:cs="Arial"/>
          <w:b/>
          <w:bCs/>
          <w:kern w:val="2"/>
          <w:sz w:val="21"/>
          <w:szCs w:val="32"/>
          <w:lang w:val="en-US" w:eastAsia="zh-CN" w:bidi="ar-SA"/>
        </w:rPr>
      </w:pPr>
    </w:p>
    <w:p w14:paraId="35E8E5F3">
      <w:pPr>
        <w:pStyle w:val="23"/>
        <w:rPr>
          <w:rFonts w:hint="eastAsia" w:ascii="宋体" w:hAnsi="宋体" w:eastAsia="宋体" w:cs="Arial"/>
          <w:b/>
          <w:bCs/>
          <w:kern w:val="2"/>
          <w:sz w:val="21"/>
          <w:szCs w:val="32"/>
          <w:lang w:val="en-US" w:eastAsia="zh-CN" w:bidi="ar-SA"/>
        </w:rPr>
      </w:pPr>
    </w:p>
    <w:p w14:paraId="456FF0DA">
      <w:pPr>
        <w:pStyle w:val="23"/>
        <w:rPr>
          <w:rFonts w:hint="eastAsia" w:ascii="宋体" w:hAnsi="宋体" w:eastAsia="宋体" w:cs="Arial"/>
          <w:b/>
          <w:bCs/>
          <w:kern w:val="2"/>
          <w:sz w:val="21"/>
          <w:szCs w:val="32"/>
          <w:lang w:val="en-US" w:eastAsia="zh-CN" w:bidi="ar-SA"/>
        </w:rPr>
      </w:pPr>
    </w:p>
    <w:p w14:paraId="291B1CD9">
      <w:pPr>
        <w:pStyle w:val="23"/>
        <w:rPr>
          <w:rFonts w:hint="eastAsia" w:ascii="宋体" w:hAnsi="宋体" w:eastAsia="宋体" w:cs="Arial"/>
          <w:b/>
          <w:bCs/>
          <w:kern w:val="2"/>
          <w:sz w:val="21"/>
          <w:szCs w:val="32"/>
          <w:lang w:val="en-US" w:eastAsia="zh-CN" w:bidi="ar-SA"/>
        </w:rPr>
      </w:pPr>
    </w:p>
    <w:p w14:paraId="7D3CCFE0">
      <w:pPr>
        <w:pStyle w:val="23"/>
        <w:rPr>
          <w:rFonts w:hint="eastAsia" w:ascii="宋体" w:hAnsi="宋体" w:eastAsia="宋体" w:cs="Arial"/>
          <w:b/>
          <w:bCs/>
          <w:kern w:val="2"/>
          <w:sz w:val="21"/>
          <w:szCs w:val="32"/>
          <w:lang w:val="en-US" w:eastAsia="zh-CN" w:bidi="ar-SA"/>
        </w:rPr>
      </w:pPr>
    </w:p>
    <w:p w14:paraId="551C5151">
      <w:pPr>
        <w:pStyle w:val="23"/>
        <w:rPr>
          <w:rFonts w:hint="eastAsia" w:ascii="宋体" w:hAnsi="宋体" w:eastAsia="宋体" w:cs="Arial"/>
          <w:b/>
          <w:bCs/>
          <w:kern w:val="2"/>
          <w:sz w:val="21"/>
          <w:szCs w:val="32"/>
          <w:lang w:val="en-US" w:eastAsia="zh-CN" w:bidi="ar-SA"/>
        </w:rPr>
      </w:pPr>
    </w:p>
    <w:p w14:paraId="4B53291D">
      <w:pPr>
        <w:pStyle w:val="23"/>
        <w:rPr>
          <w:rFonts w:hint="eastAsia" w:ascii="宋体" w:hAnsi="宋体" w:eastAsia="宋体" w:cs="Arial"/>
          <w:b/>
          <w:bCs/>
          <w:kern w:val="2"/>
          <w:sz w:val="21"/>
          <w:szCs w:val="32"/>
          <w:lang w:val="en-US" w:eastAsia="zh-CN" w:bidi="ar-SA"/>
        </w:rPr>
      </w:pPr>
    </w:p>
    <w:bookmarkEnd w:id="6"/>
    <w:bookmarkEnd w:id="7"/>
    <w:p w14:paraId="0A7A1DF8">
      <w:pPr>
        <w:jc w:val="center"/>
        <w:outlineLvl w:val="0"/>
        <w:rPr>
          <w:rFonts w:ascii="宋体" w:hAnsi="宋体" w:cs="宋体"/>
          <w:b/>
          <w:color w:val="FF0000"/>
          <w:sz w:val="50"/>
          <w:szCs w:val="50"/>
        </w:rPr>
      </w:pPr>
      <w:r>
        <w:rPr>
          <w:rFonts w:hint="eastAsia" w:ascii="宋体" w:hAnsi="宋体" w:cs="宋体"/>
          <w:b/>
          <w:color w:val="FF0000"/>
          <w:sz w:val="50"/>
          <w:szCs w:val="50"/>
          <w:highlight w:val="none"/>
          <w:u w:val="none"/>
          <w:lang w:val="en-US" w:eastAsia="zh-CN"/>
        </w:rPr>
        <w:t>河北中宏胜泰工程项目管理有限公司</w:t>
      </w:r>
    </w:p>
    <w:p w14:paraId="6F14A92C">
      <w:pPr>
        <w:jc w:val="center"/>
        <w:outlineLvl w:val="0"/>
        <w:rPr>
          <w:rFonts w:ascii="仿宋" w:hAnsi="仿宋" w:eastAsia="仿宋" w:cs="仿宋"/>
          <w:b/>
          <w:sz w:val="28"/>
          <w:szCs w:val="28"/>
          <w:highlight w:val="none"/>
        </w:rPr>
      </w:pPr>
      <w:bookmarkStart w:id="8" w:name="_Toc11615"/>
      <w:bookmarkStart w:id="9" w:name="_Toc16637"/>
      <w:bookmarkStart w:id="10" w:name="_Toc9445"/>
      <w:bookmarkStart w:id="11" w:name="_Toc10549"/>
      <w:bookmarkStart w:id="12" w:name="_Toc11223"/>
      <w:bookmarkStart w:id="13" w:name="_Toc1571"/>
      <w:bookmarkStart w:id="14" w:name="_Toc10625"/>
      <w:bookmarkStart w:id="15" w:name="_Toc10361"/>
      <w:r>
        <w:rPr>
          <w:rFonts w:hint="eastAsia" w:ascii="仿宋" w:hAnsi="仿宋" w:eastAsia="仿宋" w:cs="仿宋"/>
          <w:sz w:val="28"/>
          <w:szCs w:val="28"/>
          <w:highlight w:val="none"/>
          <w:lang w:val="en-US" w:eastAsia="zh-CN"/>
        </w:rPr>
        <w:t>中宏胜泰</w:t>
      </w:r>
      <w:r>
        <w:rPr>
          <w:rFonts w:hint="eastAsia" w:ascii="仿宋" w:hAnsi="仿宋" w:eastAsia="仿宋" w:cs="仿宋"/>
          <w:sz w:val="28"/>
          <w:szCs w:val="28"/>
          <w:highlight w:val="none"/>
          <w:lang w:eastAsia="zh-CN"/>
        </w:rPr>
        <w:t>咨（202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B</w:t>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012</w:t>
      </w:r>
      <w:r>
        <w:rPr>
          <w:rFonts w:hint="eastAsia" w:ascii="仿宋" w:hAnsi="仿宋" w:eastAsia="仿宋" w:cs="仿宋"/>
          <w:sz w:val="28"/>
          <w:szCs w:val="28"/>
          <w:highlight w:val="none"/>
        </w:rPr>
        <w:t>号</w:t>
      </w:r>
      <w:bookmarkEnd w:id="8"/>
      <w:bookmarkEnd w:id="9"/>
      <w:bookmarkEnd w:id="10"/>
      <w:bookmarkEnd w:id="11"/>
      <w:bookmarkEnd w:id="12"/>
      <w:bookmarkEnd w:id="13"/>
      <w:bookmarkEnd w:id="14"/>
      <w:bookmarkEnd w:id="15"/>
    </w:p>
    <w:p w14:paraId="69F11FB0">
      <w:pPr>
        <w:jc w:val="center"/>
        <w:rPr>
          <w:rFonts w:hint="eastAsia" w:ascii="宋体" w:hAnsi="宋体" w:eastAsia="宋体" w:cs="宋体"/>
          <w:b/>
          <w:sz w:val="32"/>
          <w:szCs w:val="32"/>
          <w:highlight w:val="none"/>
          <w:lang w:val="en-US" w:eastAsia="zh-CN"/>
        </w:rPr>
      </w:pPr>
      <w:r>
        <w:rPr>
          <w:rFonts w:ascii="仿宋" w:hAnsi="仿宋" w:eastAsia="仿宋"/>
          <w:bCs/>
          <w:color w:val="FF0000"/>
          <w:sz w:val="60"/>
          <w:szCs w:val="60"/>
        </w:rPr>
        <mc:AlternateContent>
          <mc:Choice Requires="wps">
            <w:drawing>
              <wp:anchor distT="0" distB="0" distL="114300" distR="114300" simplePos="0" relativeHeight="251660288" behindDoc="0" locked="0" layoutInCell="1" allowOverlap="1">
                <wp:simplePos x="0" y="0"/>
                <wp:positionH relativeFrom="column">
                  <wp:posOffset>-221615</wp:posOffset>
                </wp:positionH>
                <wp:positionV relativeFrom="paragraph">
                  <wp:posOffset>37465</wp:posOffset>
                </wp:positionV>
                <wp:extent cx="5659120" cy="635"/>
                <wp:effectExtent l="0" t="13970" r="17780" b="23495"/>
                <wp:wrapNone/>
                <wp:docPr id="8" name="直接箭头连接符 8"/>
                <wp:cNvGraphicFramePr/>
                <a:graphic xmlns:a="http://schemas.openxmlformats.org/drawingml/2006/main">
                  <a:graphicData uri="http://schemas.microsoft.com/office/word/2010/wordprocessingShape">
                    <wps:wsp>
                      <wps:cNvCnPr/>
                      <wps:spPr>
                        <a:xfrm>
                          <a:off x="0" y="0"/>
                          <a:ext cx="5659120" cy="635"/>
                        </a:xfrm>
                        <a:prstGeom prst="straightConnector1">
                          <a:avLst/>
                        </a:prstGeom>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7.45pt;margin-top:2.95pt;height:0.05pt;width:445.6pt;z-index:251660288;mso-width-relative:page;mso-height-relative:page;" filled="f" stroked="t" coordsize="21600,21600" o:gfxdata="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k2ch1QAAAAcBAAAPAAAAAAAAAAEAIAAAACIAAABkcnMv&#10;ZG93bnJldi54bWxQSwECFAAUAAAACACHTuJAc55EzQYCAAD9AwAADgAAAAAAAAABACAAAAAkAQAA&#10;ZHJzL2Uyb0RvYy54bWxQSwUGAAAAAAYABgBZAQAAnAUAAAAA&#10;">
                <v:fill on="f" focussize="0,0"/>
                <v:stroke weight="2.25pt" color="#FF0000" joinstyle="round"/>
                <v:imagedata o:title=""/>
                <o:lock v:ext="edit" aspectratio="f"/>
              </v:shape>
            </w:pict>
          </mc:Fallback>
        </mc:AlternateContent>
      </w:r>
    </w:p>
    <w:p w14:paraId="7E57FCE6">
      <w:pPr>
        <w:spacing w:line="360" w:lineRule="auto"/>
        <w:ind w:left="0" w:leftChars="0" w:firstLine="0" w:firstLineChars="0"/>
        <w:jc w:val="center"/>
        <w:outlineLvl w:val="0"/>
        <w:rPr>
          <w:rFonts w:hint="eastAsia" w:ascii="宋体" w:hAnsi="宋体" w:eastAsia="宋体" w:cs="宋体"/>
          <w:b/>
          <w:sz w:val="32"/>
          <w:szCs w:val="32"/>
          <w:highlight w:val="none"/>
          <w:lang w:val="en-US" w:eastAsia="zh-CN"/>
        </w:rPr>
      </w:pPr>
      <w:bookmarkStart w:id="16" w:name="_Toc463"/>
      <w:r>
        <w:rPr>
          <w:rFonts w:hint="eastAsia" w:ascii="宋体" w:hAnsi="宋体" w:eastAsia="宋体" w:cs="宋体"/>
          <w:b/>
          <w:sz w:val="32"/>
          <w:szCs w:val="32"/>
          <w:highlight w:val="none"/>
          <w:lang w:val="en-US" w:eastAsia="zh-CN"/>
        </w:rPr>
        <w:t>塞罕坝社会综合治理信息化平台项目（7600万元专项债）</w:t>
      </w:r>
    </w:p>
    <w:p w14:paraId="1B4E6BBE">
      <w:pPr>
        <w:spacing w:line="360" w:lineRule="auto"/>
        <w:ind w:left="0" w:leftChars="0" w:firstLine="0" w:firstLineChars="0"/>
        <w:jc w:val="center"/>
        <w:outlineLvl w:val="0"/>
        <w:rPr>
          <w:rFonts w:hint="eastAsia"/>
          <w:sz w:val="18"/>
          <w:szCs w:val="18"/>
          <w:lang w:val="en-US" w:eastAsia="zh-CN"/>
        </w:rPr>
      </w:pPr>
      <w:r>
        <w:rPr>
          <w:rFonts w:hint="eastAsia" w:ascii="宋体" w:hAnsi="宋体" w:eastAsia="宋体" w:cs="宋体"/>
          <w:b/>
          <w:sz w:val="32"/>
          <w:szCs w:val="32"/>
          <w:highlight w:val="none"/>
          <w:lang w:val="en-US" w:eastAsia="zh-CN"/>
        </w:rPr>
        <w:t>支出绩效重点评价</w:t>
      </w:r>
      <w:bookmarkEnd w:id="5"/>
      <w:r>
        <w:rPr>
          <w:rFonts w:hint="eastAsia" w:hAnsi="宋体" w:eastAsia="宋体" w:cs="宋体"/>
          <w:b/>
          <w:sz w:val="32"/>
          <w:szCs w:val="32"/>
          <w:highlight w:val="none"/>
          <w:lang w:val="en-US" w:eastAsia="zh-CN"/>
        </w:rPr>
        <w:t>报告</w:t>
      </w:r>
      <w:bookmarkEnd w:id="16"/>
    </w:p>
    <w:p w14:paraId="2ECAC27A">
      <w:pPr>
        <w:widowControl/>
        <w:jc w:val="both"/>
        <w:rPr>
          <w:rFonts w:hint="eastAsia" w:ascii="仿宋" w:hAnsi="仿宋" w:eastAsia="仿宋" w:cs="仿宋"/>
          <w:sz w:val="28"/>
          <w:szCs w:val="28"/>
          <w:highlight w:val="none"/>
          <w:lang w:val="en-US" w:eastAsia="zh-CN"/>
        </w:rPr>
      </w:pPr>
    </w:p>
    <w:p w14:paraId="6B0CD038">
      <w:pPr>
        <w:widowControl/>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围场满族蒙古族自治县财政局：</w:t>
      </w:r>
    </w:p>
    <w:p w14:paraId="1795E62B">
      <w:pPr>
        <w:keepNext w:val="0"/>
        <w:keepLines w:val="0"/>
        <w:widowControl/>
        <w:suppressLineNumbers w:val="0"/>
        <w:ind w:firstLine="560" w:firstLineChars="200"/>
        <w:jc w:val="both"/>
        <w:rPr>
          <w:rFonts w:hint="eastAsia" w:ascii="仿宋" w:hAnsi="仿宋" w:eastAsia="仿宋" w:cs="仿宋"/>
          <w:color w:val="000000"/>
          <w:kern w:val="0"/>
          <w:sz w:val="28"/>
          <w:szCs w:val="28"/>
          <w:lang w:eastAsia="zh-CN"/>
        </w:rPr>
      </w:pPr>
      <w:r>
        <w:rPr>
          <w:rFonts w:hint="eastAsia" w:ascii="仿宋" w:hAnsi="仿宋" w:eastAsia="仿宋" w:cs="仿宋"/>
          <w:sz w:val="28"/>
          <w:szCs w:val="28"/>
        </w:rPr>
        <w:t>根据围场满族蒙古族自治县财政局和</w:t>
      </w:r>
      <w:r>
        <w:rPr>
          <w:rFonts w:hint="eastAsia" w:ascii="仿宋" w:hAnsi="仿宋" w:eastAsia="仿宋" w:cs="仿宋"/>
          <w:sz w:val="28"/>
          <w:szCs w:val="28"/>
          <w:lang w:eastAsia="zh-CN"/>
        </w:rPr>
        <w:t>河北中宏胜泰工程项目管理有限公司</w:t>
      </w:r>
      <w:r>
        <w:rPr>
          <w:rFonts w:hint="eastAsia" w:ascii="仿宋" w:hAnsi="仿宋" w:eastAsia="仿宋" w:cs="仿宋"/>
          <w:sz w:val="28"/>
          <w:szCs w:val="28"/>
        </w:rPr>
        <w:t>签订的</w:t>
      </w:r>
      <w:r>
        <w:rPr>
          <w:rFonts w:hint="eastAsia" w:ascii="仿宋" w:hAnsi="仿宋" w:eastAsia="仿宋" w:cs="仿宋"/>
          <w:sz w:val="28"/>
          <w:szCs w:val="28"/>
          <w:lang w:val="en-US" w:eastAsia="zh-CN"/>
        </w:rPr>
        <w:t>《围场满族蒙古族自治县2023—2024年预算绩效管理服务项目服务合同》</w:t>
      </w:r>
      <w:r>
        <w:rPr>
          <w:rFonts w:hint="eastAsia" w:ascii="仿宋" w:hAnsi="仿宋" w:eastAsia="仿宋" w:cs="仿宋"/>
          <w:sz w:val="28"/>
          <w:szCs w:val="28"/>
        </w:rPr>
        <w:t>，《围场满族蒙古族自治县财政局关于印发202</w:t>
      </w:r>
      <w:r>
        <w:rPr>
          <w:rFonts w:hint="eastAsia" w:ascii="仿宋" w:hAnsi="仿宋" w:eastAsia="仿宋" w:cs="仿宋"/>
          <w:sz w:val="28"/>
          <w:szCs w:val="28"/>
          <w:lang w:val="en-US" w:eastAsia="zh-CN"/>
        </w:rPr>
        <w:t>4</w:t>
      </w:r>
      <w:r>
        <w:rPr>
          <w:rFonts w:hint="eastAsia" w:ascii="仿宋" w:hAnsi="仿宋" w:eastAsia="仿宋" w:cs="仿宋"/>
          <w:sz w:val="28"/>
          <w:szCs w:val="28"/>
        </w:rPr>
        <w:t>年预算绩效财政重点评价计划的通知》（围财评价[202</w:t>
      </w: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szCs w:val="28"/>
          <w:lang w:val="en-US" w:eastAsia="zh-CN"/>
        </w:rPr>
        <w:t>5</w:t>
      </w:r>
      <w:r>
        <w:rPr>
          <w:rFonts w:hint="eastAsia" w:ascii="仿宋" w:hAnsi="仿宋" w:eastAsia="仿宋" w:cs="仿宋"/>
          <w:sz w:val="28"/>
          <w:szCs w:val="28"/>
        </w:rPr>
        <w:t>号）文件要求，对围场满族蒙古族自治</w:t>
      </w:r>
      <w:r>
        <w:rPr>
          <w:rFonts w:hint="eastAsia" w:ascii="仿宋" w:hAnsi="仿宋" w:eastAsia="仿宋" w:cs="仿宋"/>
          <w:sz w:val="28"/>
          <w:szCs w:val="28"/>
          <w:lang w:eastAsia="zh-CN"/>
        </w:rPr>
        <w:t>县公安局</w:t>
      </w:r>
      <w:r>
        <w:rPr>
          <w:rFonts w:hint="eastAsia" w:ascii="仿宋" w:hAnsi="仿宋" w:eastAsia="仿宋" w:cs="仿宋"/>
          <w:sz w:val="28"/>
          <w:szCs w:val="28"/>
        </w:rPr>
        <w:t>《</w:t>
      </w:r>
      <w:r>
        <w:rPr>
          <w:rFonts w:hint="eastAsia" w:ascii="仿宋" w:hAnsi="仿宋" w:eastAsia="仿宋" w:cs="仿宋"/>
          <w:sz w:val="28"/>
          <w:szCs w:val="28"/>
          <w:lang w:val="en-US" w:eastAsia="zh-CN"/>
        </w:rPr>
        <w:t>塞罕坝社会综合治理信息化平台项目（7600万元专项债）</w:t>
      </w:r>
      <w:r>
        <w:rPr>
          <w:rFonts w:hint="eastAsia" w:ascii="仿宋" w:hAnsi="仿宋" w:eastAsia="仿宋" w:cs="仿宋"/>
          <w:sz w:val="28"/>
          <w:szCs w:val="28"/>
        </w:rPr>
        <w:t>》做支出绩效重点评价。相关资料的真实性由围场满族蒙古族自治</w:t>
      </w:r>
      <w:r>
        <w:rPr>
          <w:rFonts w:hint="eastAsia" w:ascii="仿宋" w:hAnsi="仿宋" w:eastAsia="仿宋" w:cs="仿宋"/>
          <w:sz w:val="28"/>
          <w:szCs w:val="28"/>
          <w:lang w:eastAsia="zh-CN"/>
        </w:rPr>
        <w:t>县公安局</w:t>
      </w:r>
      <w:r>
        <w:rPr>
          <w:rFonts w:hint="eastAsia" w:ascii="仿宋" w:hAnsi="仿宋" w:eastAsia="仿宋" w:cs="仿宋"/>
          <w:sz w:val="28"/>
          <w:szCs w:val="28"/>
        </w:rPr>
        <w:t>负责，我公司的责任是根据预算项目支出绩效评价工作有关政策、《</w:t>
      </w:r>
      <w:r>
        <w:rPr>
          <w:rFonts w:hint="eastAsia" w:ascii="仿宋" w:hAnsi="仿宋" w:eastAsia="仿宋" w:cs="仿宋"/>
          <w:sz w:val="28"/>
          <w:szCs w:val="28"/>
          <w:lang w:val="en-US" w:eastAsia="zh-CN"/>
        </w:rPr>
        <w:t>塞罕坝社会综合治理信息化平台项目（7600万元专项债）</w:t>
      </w:r>
      <w:r>
        <w:rPr>
          <w:rFonts w:hint="eastAsia" w:ascii="仿宋" w:hAnsi="仿宋" w:eastAsia="仿宋" w:cs="仿宋"/>
          <w:sz w:val="28"/>
          <w:szCs w:val="28"/>
        </w:rPr>
        <w:t>支出绩效重点评价实施方案》要求，围场满族蒙古族自治县财政局意见，对《</w:t>
      </w:r>
      <w:r>
        <w:rPr>
          <w:rFonts w:hint="eastAsia" w:ascii="仿宋" w:hAnsi="仿宋" w:eastAsia="仿宋" w:cs="仿宋"/>
          <w:sz w:val="28"/>
          <w:szCs w:val="28"/>
          <w:lang w:val="en-US" w:eastAsia="zh-CN"/>
        </w:rPr>
        <w:t>塞罕坝社会综合治理信息化平台项目（7600万元专项债）</w:t>
      </w:r>
      <w:r>
        <w:rPr>
          <w:rFonts w:hint="eastAsia" w:ascii="仿宋" w:hAnsi="仿宋" w:eastAsia="仿宋" w:cs="仿宋"/>
          <w:sz w:val="28"/>
          <w:szCs w:val="28"/>
        </w:rPr>
        <w:t>》进行绩效评价，并出具绩效评价报告。</w:t>
      </w:r>
    </w:p>
    <w:p w14:paraId="3A1C70DA">
      <w:pPr>
        <w:pStyle w:val="2"/>
        <w:ind w:firstLine="562" w:firstLineChars="200"/>
        <w:jc w:val="left"/>
        <w:rPr>
          <w:rFonts w:hint="eastAsia" w:ascii="黑体" w:hAnsi="黑体" w:eastAsia="黑体" w:cs="黑体"/>
          <w:lang w:val="en-US" w:eastAsia="zh-CN"/>
        </w:rPr>
      </w:pPr>
      <w:r>
        <w:rPr>
          <w:rFonts w:hint="eastAsia" w:ascii="黑体" w:hAnsi="黑体" w:eastAsia="黑体" w:cs="黑体"/>
        </w:rPr>
        <w:t xml:space="preserve"> </w:t>
      </w:r>
      <w:bookmarkStart w:id="17" w:name="_Toc21939"/>
      <w:bookmarkStart w:id="18" w:name="_Toc32623"/>
      <w:r>
        <w:rPr>
          <w:rFonts w:hint="eastAsia" w:ascii="黑体" w:hAnsi="黑体" w:eastAsia="黑体" w:cs="黑体"/>
        </w:rPr>
        <w:t>一、</w:t>
      </w:r>
      <w:bookmarkEnd w:id="17"/>
      <w:r>
        <w:rPr>
          <w:rFonts w:hint="eastAsia" w:eastAsia="黑体" w:cs="黑体"/>
          <w:lang w:eastAsia="zh-CN"/>
        </w:rPr>
        <w:t>基本情况</w:t>
      </w:r>
      <w:bookmarkEnd w:id="18"/>
    </w:p>
    <w:p w14:paraId="6C2F1ADE">
      <w:pPr>
        <w:ind w:firstLine="560" w:firstLineChars="200"/>
        <w:rPr>
          <w:rFonts w:hint="eastAsia" w:ascii="仿宋" w:hAnsi="仿宋" w:eastAsia="仿宋" w:cs="仿宋"/>
          <w:sz w:val="28"/>
          <w:szCs w:val="28"/>
          <w:lang w:val="en-US" w:eastAsia="zh-CN"/>
        </w:rPr>
      </w:pPr>
      <w:bookmarkStart w:id="19" w:name="_Toc12994"/>
      <w:r>
        <w:rPr>
          <w:rFonts w:hint="eastAsia" w:ascii="仿宋" w:hAnsi="仿宋" w:eastAsia="仿宋" w:cs="仿宋"/>
          <w:sz w:val="28"/>
          <w:szCs w:val="28"/>
          <w:lang w:val="en-US" w:eastAsia="zh-CN"/>
        </w:rPr>
        <w:t>1、项目名称：塞罕坝社会综合治理信息化平台项目（7600万元专项债）</w:t>
      </w:r>
    </w:p>
    <w:p w14:paraId="1376C82A">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2、建设性质：新建</w:t>
      </w:r>
    </w:p>
    <w:p w14:paraId="15347564">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3、项目建设单位：围场满族蒙古族自治县公安局</w:t>
      </w:r>
    </w:p>
    <w:p w14:paraId="4F375305">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4、项目建设地点：围场满族蒙古族自治县县域内</w:t>
      </w:r>
    </w:p>
    <w:p w14:paraId="57793BE7">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5、项目建设背景及理由</w:t>
      </w:r>
    </w:p>
    <w:p w14:paraId="3533ABFD">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塞罕坝国家森林公园位于中国河北省承德市围场满族蒙古族自治县北部，是清朝著名的皇家猎苑一-“木兰围场”的一部分。北、西与内蒙古克什克腾旗和多伦县接壤;南、东分别与河北省御道口牧场和围场县的四个乡相连。</w:t>
      </w:r>
    </w:p>
    <w:p w14:paraId="4B43FBD0">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总经营面积9.4万公顷，其中以落叶松人工林和天然白桦林为主的风景林面积7.1万公顷，草原面积1.5万公顷，是中国北方最大的国家级森林公园。</w:t>
      </w:r>
    </w:p>
    <w:p w14:paraId="72E92054">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2017年8月，习近平总书记指出:“河北塞罕坝林场的建设者们听从党的召唤……用实际行动诠释了绿水青山就是金山银山的理念,铸就了牢记使命、艰苦创业、绿色发展的塞罕坝精神。”塞罕坝精神融合了红色信仰和绿色内涵，具有严密的内在逻辑和深刻的价值意蕴。</w:t>
      </w:r>
    </w:p>
    <w:p w14:paraId="106978B9">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2021年8月，习近平总书记亲临承德考察时，深情地说:“要传承好塞罕坝精神，深刻理解和落实生态文明理念，再接再厉二次创业，在实现第二个百年奋斗目标新征程上再建功立业。”目前围场县已部署视频监控、人像卡口、WIFI嗅探、电子围栏等多种智能化物联感知前端，同时已配套建设车辆大数据人脸识别、视频图像侦查实战、视频结构化等多套后端应用系统取得了一些实战成果。但自围场县城至森林公园扩修了一条专用旅游通道，新道路周边目前缺少视频监控覆盖，另外棋塞线与御克线周边也缺少视频覆盖，本次以建立塞罕坝周边公共安全视频监控联网系统为举措，大力开展前端视频监控及后端视频应用建设。</w:t>
      </w:r>
    </w:p>
    <w:p w14:paraId="4093330F">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6、项目建设的必要性</w:t>
      </w:r>
    </w:p>
    <w:p w14:paraId="1EE33625">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6.1警卫安保任务的需要</w:t>
      </w:r>
    </w:p>
    <w:p w14:paraId="4C0A4F38">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塞罕坝森林公园是国家重要的旅游景区，塞罕坝精神是中国共产党精神谱系的组成部分，保障塞罕坝沿线道路交通安全也是围场公安职责所在，利用塞罕坝周边沿线的视频监控可以在地图上创建基于安保路线的视频预案，设置警卫路线，关联沿线设备资源,设置监控点预置位,设置触发方式(自动触发或手动触发)画面数量等内容，在大屏上按顺序播放安保路线关联的点位视频，比如在警卫车队安保中，可以播放车队已经过、正在行驶、即将到来的点位监控，进行一键跟踪，实现对警卫车队的全程视频监控。</w:t>
      </w:r>
    </w:p>
    <w:p w14:paraId="4DAAFA42">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default" w:ascii="仿宋" w:hAnsi="仿宋" w:eastAsia="仿宋" w:cs="仿宋"/>
          <w:sz w:val="28"/>
          <w:szCs w:val="28"/>
          <w:lang w:val="en-US" w:eastAsia="zh-CN"/>
        </w:rPr>
        <w:t>.2社会治安防控的需要</w:t>
      </w:r>
    </w:p>
    <w:p w14:paraId="564B066E">
      <w:pPr>
        <w:ind w:firstLine="560" w:firstLineChars="200"/>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塞罕坝沿线视频监控的覆盖有利于充分发挥视频监控系统的作用，推进社会治安防控体系建设。当前，社会治安形势日趋复杂，传统的治安防控措施已经难以满足现实需求。近年来，大力推进天网工程、视频监控全覆盖工程，群众对这项工作非常认可。实施“塞罕坝沿线视频监控覆盖”建设，对视频监控增点扩面，整合网络信号，智能化运维既是对天网工程、视频监控全覆盖工程的巩固和延伸，也是“互联网+”环境下加强和创新社会治安防控体系建设的重要途径</w:t>
      </w:r>
      <w:r>
        <w:rPr>
          <w:rFonts w:hint="eastAsia" w:ascii="仿宋" w:hAnsi="仿宋" w:eastAsia="仿宋" w:cs="仿宋"/>
          <w:sz w:val="28"/>
          <w:szCs w:val="28"/>
          <w:lang w:val="en-US" w:eastAsia="zh-CN"/>
        </w:rPr>
        <w:t>。</w:t>
      </w:r>
    </w:p>
    <w:p w14:paraId="78D75F7F">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default" w:ascii="仿宋" w:hAnsi="仿宋" w:eastAsia="仿宋" w:cs="仿宋"/>
          <w:sz w:val="28"/>
          <w:szCs w:val="28"/>
          <w:lang w:val="en-US" w:eastAsia="zh-CN"/>
        </w:rPr>
        <w:t>.3社会和谐稳定发展的需要</w:t>
      </w:r>
    </w:p>
    <w:p w14:paraId="5DE31826">
      <w:pPr>
        <w:ind w:firstLine="560" w:firstLineChars="200"/>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项目建成后，一方面可实现警卫安保任务的顺利进行，另一方面也加强了塞罕坝沿线地区安防建设的薄弱环节，构建了更加完善的治安防控网，大大提升了区域治安防范水平和人民群众的安全感，最后对于周边地区的刑事案件侦破也起到一定的辅助作用，对于社会和谐、稳定发展也有着非常重要的作用。</w:t>
      </w:r>
    </w:p>
    <w:p w14:paraId="46B67145">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建设内容及规模</w:t>
      </w:r>
    </w:p>
    <w:p w14:paraId="0FB3DA43">
      <w:pPr>
        <w:ind w:firstLine="560" w:firstLineChars="200"/>
        <w:rPr>
          <w:rFonts w:hint="eastAsia" w:ascii="仿宋" w:hAnsi="仿宋" w:eastAsia="仿宋" w:cs="仿宋"/>
          <w:sz w:val="28"/>
          <w:szCs w:val="28"/>
        </w:rPr>
      </w:pPr>
      <w:r>
        <w:rPr>
          <w:rFonts w:hint="eastAsia" w:ascii="仿宋" w:hAnsi="仿宋" w:eastAsia="仿宋" w:cs="仿宋"/>
          <w:sz w:val="28"/>
          <w:szCs w:val="28"/>
        </w:rPr>
        <w:t>以塞罕坝260公里区域沿线为核心，运用大数据、云计算、人工智能等前沿技术，搭建三大体系，一是搭建智能防范体系构建社会面人员行动轨迹、车辆行驶轨迹、手机电磁轨迹等全息感知系统，主动感知火灾预防、治安防控、旅游秩序等方面信息“治痛点、抓堵点、攻难点”，提升各类案事件、火灾事故事前、事中、事后的综合管控能力。二是搭建扁平化指挥体系，依托5G单兵、车载GPS、PDT终端、智能感知前端等，探索建立情报、指挥、行动一体化作战机制，实现巡逻车辆实时上图刻画、执法画面实时上图展示、突发案事件实时可视指挥，着力提升防范区域风险、服务决策、引领实战能力。三是搭建智慧社区管理体系以塞罕坝区域为辐射，通过数字引擎对社区精细化建模，以信息化手段强化实有人口管理，促进社区应急管理、巡逻防控、能源管理的一体化调度、精细化管理，解决群众“急难愁盼”之事，不断扩大民生服务场景。</w:t>
      </w:r>
    </w:p>
    <w:p w14:paraId="7010A90C">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8、建设期限</w:t>
      </w:r>
    </w:p>
    <w:p w14:paraId="37E614BF">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项目建设期12个月，计划2023年1月开工，2023年12月竣工。</w:t>
      </w:r>
    </w:p>
    <w:p w14:paraId="2B53F4A2">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9、投资估算与资金筹措</w:t>
      </w:r>
    </w:p>
    <w:p w14:paraId="09B23209">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9.1投资估算:</w:t>
      </w:r>
    </w:p>
    <w:p w14:paraId="440A6438">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项目总投资9600万元，其中:设备购置及安装费用9301万元，工程建设其他费用204万元，基本预备费用95万元。</w:t>
      </w:r>
    </w:p>
    <w:p w14:paraId="0CB73249">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9.2资金筹措:</w:t>
      </w:r>
    </w:p>
    <w:p w14:paraId="0BC8F187">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项目总投资9600万元，资金通过争取专项债券，不足部分县本级财政配套。</w:t>
      </w:r>
    </w:p>
    <w:p w14:paraId="7C6B73A8">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10、本项目总体目标</w:t>
      </w:r>
    </w:p>
    <w:p w14:paraId="63F07C6C">
      <w:pPr>
        <w:ind w:firstLine="560" w:firstLineChars="200"/>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坚持以人民为中心发展思想，以项目建设为抓手，实现“全域覆盖、全网共享、全时可用、全程可控”的公共视频监控建设联网应用，为社会综合治理、治安防控、优化交通出行、侦查破案、服务城市管理、便民利民、应对重大突发事件、维护城市安全和社会稳定、预防和打击暴力恐怖犯罪的等方面提供有力手段，全力支持智慧城市建设。</w:t>
      </w:r>
    </w:p>
    <w:p w14:paraId="61536B60">
      <w:pPr>
        <w:ind w:firstLine="560" w:firstLineChars="200"/>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全面提升社会治安防控体系建设法制化、社会化、信息化水平。增强社会治安整体防控能力和应急处突指挥能力，使人民群众安全感和满意度明显提升，社会更加和谐有序。尤其在视频监控建设方面，在“十四五”期间，基本建成涵盖围场各辖区的三级视频监控联网应用体系，实现视频图像信息交换共享平台按需联通、视频资源有效整合。到2023年，基本实现“全域覆盖:全网共享、全时可用、全程可控”的视频监控建设联网应用。建立基于视频、地图、业务等相关数据统一的交换服务能力、数据治理能力、业务建模能力和可视化分析能力，为后期深化公安行业智慧应用建设奠定基础</w:t>
      </w:r>
      <w:r>
        <w:rPr>
          <w:rFonts w:hint="eastAsia" w:ascii="仿宋" w:hAnsi="仿宋" w:eastAsia="仿宋" w:cs="仿宋"/>
          <w:sz w:val="28"/>
          <w:szCs w:val="28"/>
          <w:lang w:val="en-US" w:eastAsia="zh-CN"/>
        </w:rPr>
        <w:t>。</w:t>
      </w:r>
    </w:p>
    <w:p w14:paraId="04DCC098">
      <w:pPr>
        <w:spacing w:line="360" w:lineRule="auto"/>
        <w:ind w:firstLine="560" w:firstLineChars="200"/>
        <w:jc w:val="left"/>
        <w:outlineLvl w:val="1"/>
        <w:rPr>
          <w:rFonts w:hint="eastAsia" w:ascii="仿宋" w:hAnsi="仿宋" w:eastAsia="仿宋" w:cs="仿宋"/>
          <w:kern w:val="2"/>
          <w:sz w:val="28"/>
          <w:szCs w:val="28"/>
          <w:lang w:val="en-US" w:eastAsia="zh-CN" w:bidi="ar-SA"/>
        </w:rPr>
      </w:pPr>
      <w:bookmarkStart w:id="20" w:name="_Toc14708"/>
      <w:r>
        <w:rPr>
          <w:rFonts w:hint="eastAsia" w:ascii="仿宋" w:hAnsi="仿宋" w:eastAsia="仿宋" w:cs="仿宋"/>
          <w:kern w:val="2"/>
          <w:sz w:val="28"/>
          <w:szCs w:val="28"/>
          <w:lang w:val="en-US" w:eastAsia="zh-CN" w:bidi="ar-SA"/>
        </w:rPr>
        <w:t>11.项目实施情况</w:t>
      </w:r>
      <w:bookmarkEnd w:id="20"/>
    </w:p>
    <w:p w14:paraId="2654E0D7">
      <w:pPr>
        <w:pStyle w:val="8"/>
        <w:spacing w:afterAutospacing="0"/>
        <w:ind w:firstLine="560" w:firstLineChars="200"/>
        <w:rPr>
          <w:rFonts w:hint="default" w:eastAsiaTheme="minorEastAsia"/>
          <w:lang w:val="en-US" w:eastAsia="zh-CN"/>
        </w:rPr>
      </w:pPr>
      <w:r>
        <w:rPr>
          <w:rFonts w:hint="eastAsia" w:ascii="仿宋" w:hAnsi="仿宋" w:eastAsia="仿宋" w:cs="仿宋"/>
          <w:kern w:val="2"/>
          <w:sz w:val="28"/>
          <w:szCs w:val="28"/>
          <w:lang w:val="en-US" w:eastAsia="zh-CN" w:bidi="ar-SA"/>
        </w:rPr>
        <w:t>2022年9月6日围场满族蒙古族自治县公安局与中国通信建设集团设计院有限公司签订塞罕坝社会综合治理信息化平台项目（7600万元专项债）设计合同；</w:t>
      </w:r>
    </w:p>
    <w:p w14:paraId="5DF4565C">
      <w:pPr>
        <w:pStyle w:val="8"/>
        <w:keepNext w:val="0"/>
        <w:keepLines w:val="0"/>
        <w:pageBreakBefore w:val="0"/>
        <w:kinsoku/>
        <w:wordWrap/>
        <w:overflowPunct/>
        <w:topLinePunct w:val="0"/>
        <w:autoSpaceDE/>
        <w:autoSpaceDN/>
        <w:bidi w:val="0"/>
        <w:adjustRightInd/>
        <w:snapToGrid/>
        <w:spacing w:afterAutospacing="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2022年11月普天信息工程设计服务有限公司编制了本项目可行性研究报告；</w:t>
      </w:r>
    </w:p>
    <w:p w14:paraId="4AFC6B49">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2022年11月</w:t>
      </w:r>
      <w:r>
        <w:rPr>
          <w:rFonts w:hint="eastAsia" w:ascii="仿宋" w:hAnsi="仿宋" w:eastAsia="仿宋" w:cs="仿宋"/>
          <w:kern w:val="2"/>
          <w:sz w:val="28"/>
          <w:szCs w:val="28"/>
          <w:lang w:val="en-US" w:eastAsia="zh-CN" w:bidi="ar-SA"/>
        </w:rPr>
        <w:t>11日</w:t>
      </w:r>
      <w:r>
        <w:rPr>
          <w:rFonts w:hint="default" w:ascii="仿宋" w:hAnsi="仿宋" w:eastAsia="仿宋" w:cs="仿宋"/>
          <w:kern w:val="2"/>
          <w:sz w:val="28"/>
          <w:szCs w:val="28"/>
          <w:lang w:val="en-US" w:eastAsia="zh-CN" w:bidi="ar-SA"/>
        </w:rPr>
        <w:t>围场满族蒙古族自治县行政审批局《关于</w:t>
      </w:r>
      <w:r>
        <w:rPr>
          <w:rFonts w:hint="eastAsia" w:ascii="仿宋" w:hAnsi="仿宋" w:eastAsia="仿宋" w:cs="仿宋"/>
          <w:kern w:val="2"/>
          <w:sz w:val="28"/>
          <w:szCs w:val="28"/>
          <w:lang w:val="en-US" w:eastAsia="zh-CN" w:bidi="ar-SA"/>
        </w:rPr>
        <w:t>塞罕坝社会综合治理信息化平台项目（7600万元专项债）建议书的</w:t>
      </w:r>
      <w:r>
        <w:rPr>
          <w:rFonts w:hint="default" w:ascii="仿宋" w:hAnsi="仿宋" w:eastAsia="仿宋" w:cs="仿宋"/>
          <w:kern w:val="2"/>
          <w:sz w:val="28"/>
          <w:szCs w:val="28"/>
          <w:lang w:val="en-US" w:eastAsia="zh-CN" w:bidi="ar-SA"/>
        </w:rPr>
        <w:t>批复》围行审投[2022]2</w:t>
      </w:r>
      <w:r>
        <w:rPr>
          <w:rFonts w:hint="eastAsia" w:ascii="仿宋" w:hAnsi="仿宋" w:eastAsia="仿宋" w:cs="仿宋"/>
          <w:kern w:val="2"/>
          <w:sz w:val="28"/>
          <w:szCs w:val="28"/>
          <w:lang w:val="en-US" w:eastAsia="zh-CN" w:bidi="ar-SA"/>
        </w:rPr>
        <w:t>59</w:t>
      </w:r>
      <w:r>
        <w:rPr>
          <w:rFonts w:hint="default" w:ascii="仿宋" w:hAnsi="仿宋" w:eastAsia="仿宋" w:cs="仿宋"/>
          <w:kern w:val="2"/>
          <w:sz w:val="28"/>
          <w:szCs w:val="28"/>
          <w:lang w:val="en-US" w:eastAsia="zh-CN" w:bidi="ar-SA"/>
        </w:rPr>
        <w:t>号；</w:t>
      </w:r>
    </w:p>
    <w:p w14:paraId="3D4895B4">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2022年11月17日围场满族蒙古族自治县行政审批局《关于塞罕坝社会综合治理信息化平台项目（7600万元专项债）可行性研究报告的批复》围行审投[2022]263号；</w:t>
      </w:r>
    </w:p>
    <w:p w14:paraId="0A55226A">
      <w:pPr>
        <w:pStyle w:val="8"/>
        <w:spacing w:afterAutospacing="0"/>
        <w:ind w:firstLine="560" w:firstLineChars="200"/>
        <w:rPr>
          <w:rFonts w:hint="default"/>
          <w:lang w:val="en-US" w:eastAsia="zh-CN"/>
        </w:rPr>
      </w:pPr>
      <w:r>
        <w:rPr>
          <w:rFonts w:hint="eastAsia" w:ascii="仿宋" w:hAnsi="仿宋" w:eastAsia="仿宋" w:cs="仿宋"/>
          <w:kern w:val="2"/>
          <w:sz w:val="28"/>
          <w:szCs w:val="28"/>
          <w:lang w:val="en-US" w:eastAsia="zh-CN" w:bidi="ar-SA"/>
        </w:rPr>
        <w:t>2023年2月北京上达会计师事务所（普通合伙）编制了本项目专项债收益与融资自求平衡财务评估咨询报告；</w:t>
      </w:r>
    </w:p>
    <w:p w14:paraId="156E0C37">
      <w:pPr>
        <w:pStyle w:val="8"/>
        <w:keepNext w:val="0"/>
        <w:keepLines w:val="0"/>
        <w:pageBreakBefore w:val="0"/>
        <w:kinsoku/>
        <w:wordWrap/>
        <w:overflowPunct/>
        <w:topLinePunct w:val="0"/>
        <w:autoSpaceDE/>
        <w:autoSpaceDN/>
        <w:bidi w:val="0"/>
        <w:adjustRightInd/>
        <w:snapToGrid/>
        <w:spacing w:afterAutospacing="0" w:line="360" w:lineRule="auto"/>
        <w:ind w:firstLine="560" w:firstLineChars="200"/>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202</w:t>
      </w:r>
      <w:r>
        <w:rPr>
          <w:rFonts w:hint="eastAsia" w:ascii="仿宋" w:hAnsi="仿宋" w:eastAsia="仿宋" w:cs="仿宋"/>
          <w:kern w:val="2"/>
          <w:sz w:val="28"/>
          <w:szCs w:val="28"/>
          <w:lang w:val="en-US" w:eastAsia="zh-CN" w:bidi="ar-SA"/>
        </w:rPr>
        <w:t>3</w:t>
      </w:r>
      <w:r>
        <w:rPr>
          <w:rFonts w:hint="default" w:ascii="仿宋" w:hAnsi="仿宋" w:eastAsia="仿宋" w:cs="仿宋"/>
          <w:kern w:val="2"/>
          <w:sz w:val="28"/>
          <w:szCs w:val="28"/>
          <w:lang w:val="en-US" w:eastAsia="zh-CN" w:bidi="ar-SA"/>
        </w:rPr>
        <w:t>年</w:t>
      </w:r>
      <w:r>
        <w:rPr>
          <w:rFonts w:hint="eastAsia" w:ascii="仿宋" w:hAnsi="仿宋" w:eastAsia="仿宋" w:cs="仿宋"/>
          <w:kern w:val="2"/>
          <w:sz w:val="28"/>
          <w:szCs w:val="28"/>
          <w:lang w:val="en-US" w:eastAsia="zh-CN" w:bidi="ar-SA"/>
        </w:rPr>
        <w:t>4</w:t>
      </w:r>
      <w:r>
        <w:rPr>
          <w:rFonts w:hint="default" w:ascii="仿宋" w:hAnsi="仿宋" w:eastAsia="仿宋" w:cs="仿宋"/>
          <w:kern w:val="2"/>
          <w:sz w:val="28"/>
          <w:szCs w:val="28"/>
          <w:lang w:val="en-US" w:eastAsia="zh-CN" w:bidi="ar-SA"/>
        </w:rPr>
        <w:t>月</w:t>
      </w:r>
      <w:r>
        <w:rPr>
          <w:rFonts w:hint="eastAsia" w:ascii="仿宋" w:hAnsi="仿宋" w:eastAsia="仿宋" w:cs="仿宋"/>
          <w:kern w:val="2"/>
          <w:sz w:val="28"/>
          <w:szCs w:val="28"/>
          <w:lang w:val="en-US" w:eastAsia="zh-CN" w:bidi="ar-SA"/>
        </w:rPr>
        <w:t>21日</w:t>
      </w:r>
      <w:r>
        <w:rPr>
          <w:rFonts w:hint="default" w:ascii="仿宋" w:hAnsi="仿宋" w:eastAsia="仿宋" w:cs="仿宋"/>
          <w:kern w:val="2"/>
          <w:sz w:val="28"/>
          <w:szCs w:val="28"/>
          <w:lang w:val="en-US" w:eastAsia="zh-CN" w:bidi="ar-SA"/>
        </w:rPr>
        <w:t>围场满族蒙古族自治县行政审批局《关于</w:t>
      </w:r>
      <w:r>
        <w:rPr>
          <w:rFonts w:hint="eastAsia" w:ascii="仿宋" w:hAnsi="仿宋" w:eastAsia="仿宋" w:cs="仿宋"/>
          <w:kern w:val="2"/>
          <w:sz w:val="28"/>
          <w:szCs w:val="28"/>
          <w:lang w:val="en-US" w:eastAsia="zh-CN" w:bidi="ar-SA"/>
        </w:rPr>
        <w:t>塞罕坝社会综合治理信息化平台项目（7600万元专项债）初步设计</w:t>
      </w:r>
      <w:r>
        <w:rPr>
          <w:rFonts w:hint="default" w:ascii="仿宋" w:hAnsi="仿宋" w:eastAsia="仿宋" w:cs="仿宋"/>
          <w:kern w:val="2"/>
          <w:sz w:val="28"/>
          <w:szCs w:val="28"/>
          <w:lang w:val="en-US" w:eastAsia="zh-CN" w:bidi="ar-SA"/>
        </w:rPr>
        <w:t>的批复》围行审投[202</w:t>
      </w:r>
      <w:r>
        <w:rPr>
          <w:rFonts w:hint="eastAsia" w:ascii="仿宋" w:hAnsi="仿宋" w:eastAsia="仿宋" w:cs="仿宋"/>
          <w:kern w:val="2"/>
          <w:sz w:val="28"/>
          <w:szCs w:val="28"/>
          <w:lang w:val="en-US" w:eastAsia="zh-CN" w:bidi="ar-SA"/>
        </w:rPr>
        <w:t>3</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59</w:t>
      </w:r>
      <w:r>
        <w:rPr>
          <w:rFonts w:hint="default" w:ascii="仿宋" w:hAnsi="仿宋" w:eastAsia="仿宋" w:cs="仿宋"/>
          <w:kern w:val="2"/>
          <w:sz w:val="28"/>
          <w:szCs w:val="28"/>
          <w:lang w:val="en-US" w:eastAsia="zh-CN" w:bidi="ar-SA"/>
        </w:rPr>
        <w:t>号；</w:t>
      </w:r>
    </w:p>
    <w:p w14:paraId="271647A9">
      <w:pPr>
        <w:keepNext w:val="0"/>
        <w:keepLines w:val="0"/>
        <w:pageBreakBefore w:val="0"/>
        <w:kinsoku/>
        <w:wordWrap/>
        <w:overflowPunct/>
        <w:topLinePunct w:val="0"/>
        <w:autoSpaceDE/>
        <w:autoSpaceDN/>
        <w:bidi w:val="0"/>
        <w:adjustRightInd/>
        <w:snapToGrid/>
        <w:spacing w:after="0" w:line="360" w:lineRule="auto"/>
        <w:ind w:firstLine="560" w:firstLineChars="200"/>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2023年5月9日</w:t>
      </w:r>
      <w:r>
        <w:rPr>
          <w:rFonts w:hint="eastAsia" w:ascii="仿宋" w:hAnsi="仿宋" w:eastAsia="仿宋" w:cs="仿宋"/>
          <w:kern w:val="2"/>
          <w:sz w:val="28"/>
          <w:szCs w:val="28"/>
          <w:lang w:val="en-US" w:eastAsia="zh-CN" w:bidi="ar-SA"/>
        </w:rPr>
        <w:t>秦皇岛开发区永衡工程经济咨询事务所有限公司编制了本项目预算评审报告；</w:t>
      </w:r>
    </w:p>
    <w:p w14:paraId="07A8106A">
      <w:pPr>
        <w:keepNext w:val="0"/>
        <w:keepLines w:val="0"/>
        <w:pageBreakBefore w:val="0"/>
        <w:kinsoku/>
        <w:wordWrap/>
        <w:overflowPunct/>
        <w:topLinePunct w:val="0"/>
        <w:autoSpaceDE/>
        <w:autoSpaceDN/>
        <w:bidi w:val="0"/>
        <w:adjustRightInd/>
        <w:snapToGrid/>
        <w:spacing w:after="0" w:line="36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2023年5月9日围场满族蒙古族自治县行政审批局同意塞罕坝社会综合治理信息化平台项目（7600万元专项债）招标方案；</w:t>
      </w:r>
    </w:p>
    <w:p w14:paraId="26EC3536">
      <w:pPr>
        <w:keepNext w:val="0"/>
        <w:keepLines w:val="0"/>
        <w:pageBreakBefore w:val="0"/>
        <w:kinsoku/>
        <w:wordWrap/>
        <w:overflowPunct/>
        <w:topLinePunct w:val="0"/>
        <w:autoSpaceDE/>
        <w:autoSpaceDN/>
        <w:bidi w:val="0"/>
        <w:adjustRightInd/>
        <w:snapToGrid/>
        <w:spacing w:after="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2023年5月10日围场满族蒙古族自治县财政投资评审中心对本项目进行财政投资预算评审，审定金额：92892831.01元；</w:t>
      </w:r>
    </w:p>
    <w:p w14:paraId="2CFF5850">
      <w:p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2023年5月15日在中国河北政府采购网、河北省招标投标公共服务平台、全国公共资源交易平台（围场县）发布本项目监理及第一至第六标段公开招标公告；</w:t>
      </w:r>
    </w:p>
    <w:p w14:paraId="2F367D08">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2023年6月27日围场满族蒙古族自治县公安局与中基华工程管理集团有限公司签订本项目监理合同并分别与中大永新信息科技有限公司（一标段）、联通雄安产业互联网有限公司（二标段）、中移系统集成有限公司（三标段）、中电信数智科技有限公司（四标段）、承德万得电子有限公司（五标段）、河北金冀电力工程有限公司（六标段）签订本项目施工合同。</w:t>
      </w:r>
    </w:p>
    <w:p w14:paraId="63898D84">
      <w:pPr>
        <w:pStyle w:val="8"/>
        <w:keepNext w:val="0"/>
        <w:keepLines w:val="0"/>
        <w:pageBreakBefore w:val="0"/>
        <w:kinsoku/>
        <w:wordWrap/>
        <w:overflowPunct/>
        <w:topLinePunct w:val="0"/>
        <w:autoSpaceDE/>
        <w:autoSpaceDN/>
        <w:bidi w:val="0"/>
        <w:adjustRightInd/>
        <w:snapToGrid/>
        <w:spacing w:afterAutospacing="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2023年6月27日监理单位签发本项目一标段、二标段、六标段开工报告；</w:t>
      </w:r>
    </w:p>
    <w:p w14:paraId="4AF6390B">
      <w:pPr>
        <w:pStyle w:val="8"/>
        <w:keepNext w:val="0"/>
        <w:keepLines w:val="0"/>
        <w:pageBreakBefore w:val="0"/>
        <w:kinsoku/>
        <w:wordWrap/>
        <w:overflowPunct/>
        <w:topLinePunct w:val="0"/>
        <w:autoSpaceDE/>
        <w:autoSpaceDN/>
        <w:bidi w:val="0"/>
        <w:adjustRightInd/>
        <w:snapToGrid/>
        <w:spacing w:afterAutospacing="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2023年6月28日监理单位签发本项目三标段、四标段、五标段开工报告；</w:t>
      </w:r>
    </w:p>
    <w:p w14:paraId="02CC0B49">
      <w:pPr>
        <w:pStyle w:val="9"/>
        <w:keepNext w:val="0"/>
        <w:keepLines w:val="0"/>
        <w:pageBreakBefore w:val="0"/>
        <w:kinsoku/>
        <w:wordWrap/>
        <w:overflowPunct/>
        <w:topLinePunct w:val="0"/>
        <w:autoSpaceDE/>
        <w:autoSpaceDN/>
        <w:bidi w:val="0"/>
        <w:adjustRightInd/>
        <w:snapToGrid/>
        <w:spacing w:after="0"/>
        <w:textAlignment w:val="auto"/>
        <w:rPr>
          <w:rFonts w:ascii="仿宋" w:hAnsi="仿宋" w:eastAsia="仿宋" w:cs="仿宋"/>
          <w:kern w:val="0"/>
          <w:szCs w:val="28"/>
          <w:highlight w:val="none"/>
        </w:rPr>
      </w:pPr>
      <w:r>
        <w:rPr>
          <w:rFonts w:hint="eastAsia" w:ascii="仿宋" w:hAnsi="仿宋" w:eastAsia="仿宋" w:cs="仿宋"/>
          <w:kern w:val="2"/>
          <w:sz w:val="28"/>
          <w:szCs w:val="28"/>
          <w:lang w:val="en-US" w:eastAsia="zh-CN" w:bidi="ar-SA"/>
        </w:rPr>
        <w:t xml:space="preserve">  </w:t>
      </w:r>
      <w:r>
        <w:rPr>
          <w:rFonts w:hint="eastAsia" w:ascii="仿宋" w:hAnsi="仿宋" w:eastAsia="仿宋" w:cs="仿宋"/>
          <w:kern w:val="2"/>
          <w:sz w:val="28"/>
          <w:szCs w:val="28"/>
          <w:highlight w:val="none"/>
          <w:lang w:val="en-US" w:eastAsia="zh-CN" w:bidi="ar-SA"/>
        </w:rPr>
        <w:t xml:space="preserve">  </w:t>
      </w:r>
      <w:r>
        <w:rPr>
          <w:rFonts w:hint="eastAsia" w:ascii="仿宋" w:hAnsi="仿宋" w:eastAsia="仿宋" w:cs="仿宋"/>
          <w:color w:val="auto"/>
          <w:kern w:val="0"/>
          <w:sz w:val="28"/>
          <w:szCs w:val="28"/>
          <w:highlight w:val="none"/>
          <w:lang w:val="en-US" w:eastAsia="zh-CN"/>
        </w:rPr>
        <w:t>12</w:t>
      </w:r>
      <w:r>
        <w:rPr>
          <w:rFonts w:hint="eastAsia" w:ascii="仿宋" w:hAnsi="仿宋" w:eastAsia="仿宋" w:cs="仿宋"/>
          <w:color w:val="auto"/>
          <w:kern w:val="0"/>
          <w:sz w:val="28"/>
          <w:szCs w:val="28"/>
          <w:highlight w:val="none"/>
        </w:rPr>
        <w:t>.预算安排及资金使用情况</w:t>
      </w:r>
    </w:p>
    <w:p w14:paraId="25121875">
      <w:pPr>
        <w:keepNext w:val="0"/>
        <w:keepLines w:val="0"/>
        <w:pageBreakBefore w:val="0"/>
        <w:kinsoku/>
        <w:wordWrap/>
        <w:overflowPunct/>
        <w:topLinePunct w:val="0"/>
        <w:autoSpaceDE/>
        <w:autoSpaceDN/>
        <w:bidi w:val="0"/>
        <w:adjustRightInd/>
        <w:snapToGrid/>
        <w:spacing w:line="360" w:lineRule="auto"/>
        <w:ind w:firstLine="560"/>
        <w:textAlignment w:val="auto"/>
        <w:outlineLvl w:val="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预算资金</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项目总投资9600万元，资金来源为其中7600万使用国家专项债券，2000万元本级财政资金。2023年5月10日围场满族蒙古族自治县财政投资评审中心对本项目进行财政投资预算评审，审定金额：9289.283101万元</w:t>
      </w:r>
      <w:r>
        <w:rPr>
          <w:rFonts w:hint="eastAsia" w:ascii="仿宋" w:hAnsi="仿宋" w:eastAsia="仿宋" w:cs="仿宋"/>
          <w:sz w:val="28"/>
          <w:szCs w:val="28"/>
          <w:highlight w:val="none"/>
        </w:rPr>
        <w:t>。</w:t>
      </w:r>
    </w:p>
    <w:p w14:paraId="4387EA7B">
      <w:pPr>
        <w:spacing w:line="360" w:lineRule="auto"/>
        <w:ind w:firstLine="560"/>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资金使用情况：</w:t>
      </w:r>
      <w:r>
        <w:rPr>
          <w:rFonts w:hint="eastAsia" w:ascii="仿宋" w:hAnsi="仿宋" w:eastAsia="仿宋" w:cs="仿宋"/>
          <w:sz w:val="28"/>
          <w:szCs w:val="28"/>
          <w:highlight w:val="none"/>
          <w:lang w:val="en-US" w:eastAsia="zh-CN"/>
        </w:rPr>
        <w:t>从围场满族蒙古族自治县公安局提供的记账凭证、明细账及发票情况看</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2023年本项目共计支出41190943.89元，均为专项债资金。</w:t>
      </w:r>
    </w:p>
    <w:p w14:paraId="73BA42F5">
      <w:pPr>
        <w:keepNext w:val="0"/>
        <w:keepLines w:val="0"/>
        <w:widowControl/>
        <w:numPr>
          <w:ilvl w:val="0"/>
          <w:numId w:val="0"/>
        </w:numPr>
        <w:suppressLineNumbers w:val="0"/>
        <w:ind w:left="0" w:leftChars="0" w:firstLine="562" w:firstLineChars="200"/>
        <w:jc w:val="both"/>
        <w:rPr>
          <w:rFonts w:hint="eastAsia" w:ascii="黑体" w:hAnsi="黑体" w:eastAsia="黑体" w:cs="黑体"/>
          <w:b/>
          <w:bCs/>
          <w:color w:val="000000"/>
          <w:kern w:val="0"/>
          <w:sz w:val="28"/>
          <w:szCs w:val="28"/>
          <w:lang w:val="en-US" w:eastAsia="zh-CN"/>
        </w:rPr>
      </w:pPr>
      <w:r>
        <w:rPr>
          <w:rFonts w:hint="eastAsia" w:ascii="黑体" w:hAnsi="黑体" w:eastAsia="黑体" w:cs="黑体"/>
          <w:b/>
          <w:bCs/>
          <w:color w:val="000000"/>
          <w:kern w:val="0"/>
          <w:sz w:val="28"/>
          <w:szCs w:val="28"/>
          <w:lang w:val="en-US" w:eastAsia="zh-CN" w:bidi="ar-SA"/>
        </w:rPr>
        <w:t>二、</w:t>
      </w:r>
      <w:r>
        <w:rPr>
          <w:rFonts w:hint="eastAsia" w:ascii="黑体" w:hAnsi="黑体" w:eastAsia="黑体" w:cs="黑体"/>
          <w:b/>
          <w:bCs/>
          <w:color w:val="000000"/>
          <w:kern w:val="0"/>
          <w:sz w:val="28"/>
          <w:szCs w:val="28"/>
          <w:lang w:val="en-US" w:eastAsia="zh-CN"/>
        </w:rPr>
        <w:t>项目绩效目标</w:t>
      </w:r>
    </w:p>
    <w:p w14:paraId="12B4C86B">
      <w:pPr>
        <w:pStyle w:val="23"/>
        <w:numPr>
          <w:ilvl w:val="0"/>
          <w:numId w:val="0"/>
        </w:numPr>
        <w:ind w:firstLine="560" w:firstLineChars="200"/>
        <w:jc w:val="both"/>
        <w:rPr>
          <w:rFonts w:hint="default" w:ascii="仿宋" w:hAnsi="仿宋" w:eastAsia="仿宋" w:cs="仿宋"/>
          <w:b w:val="0"/>
          <w:bCs/>
          <w:color w:val="000000"/>
          <w:kern w:val="2"/>
          <w:sz w:val="28"/>
          <w:szCs w:val="28"/>
          <w:highlight w:val="none"/>
          <w:lang w:val="en-US" w:eastAsia="zh-CN" w:bidi="ar-SA"/>
        </w:rPr>
      </w:pPr>
      <w:r>
        <w:rPr>
          <w:rFonts w:hint="eastAsia" w:ascii="仿宋" w:hAnsi="仿宋" w:eastAsia="仿宋" w:cs="仿宋"/>
          <w:color w:val="000000"/>
          <w:kern w:val="0"/>
          <w:sz w:val="28"/>
          <w:szCs w:val="28"/>
          <w:lang w:val="en-US" w:eastAsia="zh-CN"/>
        </w:rPr>
        <w:t>本项目绩效目标为:通过项目建设，实现“全域覆盖、全网共享、全时可用、全程可控”的视频监控建设联网应用，建立基于视频、地图、业务等相关数据统一的交换服务能力、数据治理能力、业务建模能力和可视化分析能力。为社会综合治理、治安防控、优化交通出行、侦查破案、服务城市管理、便民利民、应对重大突发事件、维护城市安全和社会稳定，预防和打击暴力恐怖犯罪的等方面提供有力手段，全力支持智慧城市建设。</w:t>
      </w:r>
    </w:p>
    <w:p w14:paraId="012AA922">
      <w:pPr>
        <w:pStyle w:val="2"/>
        <w:ind w:firstLine="562" w:firstLineChars="200"/>
        <w:jc w:val="left"/>
        <w:rPr>
          <w:rFonts w:hint="eastAsia" w:ascii="黑体" w:hAnsi="黑体" w:eastAsia="黑体" w:cs="黑体"/>
          <w:b/>
          <w:bCs/>
          <w:color w:val="000000"/>
          <w:kern w:val="0"/>
          <w:sz w:val="28"/>
          <w:szCs w:val="28"/>
          <w:lang w:val="en-US" w:eastAsia="zh-CN" w:bidi="ar-SA"/>
        </w:rPr>
      </w:pPr>
      <w:bookmarkStart w:id="21" w:name="_Toc526"/>
      <w:r>
        <w:rPr>
          <w:rFonts w:hint="eastAsia" w:ascii="黑体" w:hAnsi="黑体" w:eastAsia="黑体" w:cs="黑体"/>
          <w:b/>
          <w:bCs/>
          <w:color w:val="000000"/>
          <w:kern w:val="0"/>
          <w:sz w:val="28"/>
          <w:szCs w:val="28"/>
          <w:lang w:val="en-US" w:eastAsia="zh-CN" w:bidi="ar-SA"/>
        </w:rPr>
        <w:t>三、</w:t>
      </w:r>
      <w:bookmarkEnd w:id="19"/>
      <w:r>
        <w:rPr>
          <w:rFonts w:hint="eastAsia" w:ascii="黑体" w:hAnsi="黑体" w:eastAsia="黑体" w:cs="黑体"/>
          <w:b/>
          <w:bCs/>
          <w:color w:val="000000"/>
          <w:kern w:val="0"/>
          <w:sz w:val="28"/>
          <w:szCs w:val="28"/>
          <w:lang w:val="en-US" w:eastAsia="zh-CN" w:bidi="ar-SA"/>
        </w:rPr>
        <w:t>绩效评价工作开展情况</w:t>
      </w:r>
      <w:bookmarkEnd w:id="21"/>
    </w:p>
    <w:p w14:paraId="59100556">
      <w:pPr>
        <w:pStyle w:val="2"/>
        <w:keepNext/>
        <w:keepLines/>
        <w:pageBreakBefore w:val="0"/>
        <w:widowControl w:val="0"/>
        <w:kinsoku/>
        <w:wordWrap/>
        <w:overflowPunct/>
        <w:topLinePunct w:val="0"/>
        <w:autoSpaceDE/>
        <w:autoSpaceDN/>
        <w:bidi w:val="0"/>
        <w:adjustRightInd/>
        <w:snapToGrid/>
        <w:ind w:firstLine="562" w:firstLineChars="200"/>
        <w:jc w:val="left"/>
        <w:textAlignment w:val="auto"/>
        <w:outlineLvl w:val="1"/>
        <w:rPr>
          <w:rFonts w:hint="eastAsia"/>
          <w:b/>
          <w:bCs/>
          <w:lang w:eastAsia="zh-CN"/>
        </w:rPr>
      </w:pPr>
      <w:bookmarkStart w:id="22" w:name="_Toc7436"/>
      <w:bookmarkStart w:id="23" w:name="_Toc3337"/>
      <w:r>
        <w:rPr>
          <w:rFonts w:hint="eastAsia" w:ascii="仿宋" w:hAnsi="仿宋" w:eastAsia="仿宋" w:cs="仿宋"/>
          <w:b/>
          <w:bCs/>
          <w:kern w:val="2"/>
          <w:sz w:val="28"/>
          <w:szCs w:val="28"/>
          <w:lang w:val="en-US" w:eastAsia="zh-CN" w:bidi="ar-SA"/>
        </w:rPr>
        <w:t>（一）绩效评价的目的</w:t>
      </w:r>
      <w:bookmarkEnd w:id="22"/>
      <w:r>
        <w:rPr>
          <w:rFonts w:hint="eastAsia" w:ascii="仿宋" w:hAnsi="仿宋" w:eastAsia="仿宋" w:cs="仿宋"/>
          <w:b/>
          <w:bCs/>
          <w:kern w:val="2"/>
          <w:sz w:val="28"/>
          <w:szCs w:val="28"/>
          <w:lang w:val="en-US" w:eastAsia="zh-CN" w:bidi="ar-SA"/>
        </w:rPr>
        <w:t>、对象和范围</w:t>
      </w:r>
      <w:bookmarkEnd w:id="23"/>
    </w:p>
    <w:p w14:paraId="14113B5C">
      <w:pPr>
        <w:numPr>
          <w:ilvl w:val="0"/>
          <w:numId w:val="0"/>
        </w:numPr>
        <w:ind w:firstLine="560" w:firstLineChars="200"/>
        <w:outlineLvl w:val="0"/>
        <w:rPr>
          <w:rFonts w:hint="eastAsia" w:ascii="仿宋" w:hAnsi="仿宋" w:eastAsia="仿宋" w:cs="仿宋"/>
          <w:b/>
          <w:bCs/>
          <w:kern w:val="2"/>
          <w:sz w:val="28"/>
          <w:szCs w:val="28"/>
          <w:lang w:val="en-US" w:eastAsia="zh-CN" w:bidi="ar-SA"/>
        </w:rPr>
      </w:pPr>
      <w:bookmarkStart w:id="24" w:name="_Toc14232"/>
      <w:r>
        <w:rPr>
          <w:rFonts w:hint="eastAsia" w:ascii="仿宋" w:hAnsi="仿宋" w:eastAsia="仿宋" w:cs="仿宋"/>
          <w:sz w:val="28"/>
          <w:szCs w:val="28"/>
          <w:lang w:val="en-US" w:eastAsia="zh-CN"/>
        </w:rPr>
        <w:t>1、绩效评价的目的</w:t>
      </w:r>
      <w:bookmarkEnd w:id="24"/>
    </w:p>
    <w:p w14:paraId="07022CF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绩效评价目的是按照国家及省市县有关绩效评价相关政策及绩效指标体系，运用科学的评价方法，准确的评价项目实施情况，为今后项目实施工作的改进和完善提供依据。</w:t>
      </w:r>
    </w:p>
    <w:p w14:paraId="68C3239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（1）严格执行《中共中央 国务院关于全面实施预算绩效管理的意见》（中发[2018]18号）、财政部《关于贯彻落实&lt;中共中央 国务院关于全面实施预算绩效管理的意见&gt;的通知》（财预[2018]167号）和财政部《关于印发&lt;项目支出绩效评价管理办法&gt;的通知》（财预[2020]10号）文件精神，围场满族蒙古族自治县财政局关于印发《围场满族蒙古族自治县县级预算绩效重点评价管理办法》的通知（财围评价[2020]23号）、围场满族蒙古族自治县财政局关于印发《县级项目支出绩效财政和部门重点评价工作规程（试行）》的通知（围财评价[2021]5号）文件要求，对项目支出的经济性、效率性、效益性和公平性进行客观公平的测量、分析和评判，真正做到花钱必问效、无效必问责。</w:t>
      </w:r>
    </w:p>
    <w:p w14:paraId="56CC3C3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根据相关法律、法规、政策及规范，对项目的决策情况、资金管理和使用情况、相关管理制度办法的健全性及执行情况、实现的产出情况及取得的效益情况等进行客观、公平的评价。指出项目在实施过程中存在的问题，提出在项目实施过程中应加强和改进的合理化建议，以方便建设单位、各管理部门、财政部门在今后的项目管理工作中予以改进和完善。</w:t>
      </w:r>
    </w:p>
    <w:p w14:paraId="5CCC17B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客观、公平、准确的项目实施情况评价结果，为项目实施过程中所涉及的相关部门，在今后项目管理和实施方面提供改进和完善的重点及其依据，在人员管理和调配方面提供参考。同时给财政预算安排及调整提供参考。</w:t>
      </w:r>
    </w:p>
    <w:p w14:paraId="56FD147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2、绩效评价对象：塞罕坝社会综合治理信息化平台项目（7600万元专项债）。</w:t>
      </w:r>
    </w:p>
    <w:p w14:paraId="61E6B22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both"/>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kern w:val="2"/>
          <w:sz w:val="28"/>
          <w:szCs w:val="28"/>
          <w:highlight w:val="none"/>
          <w:lang w:val="en-US" w:eastAsia="zh-CN" w:bidi="ar-SA"/>
        </w:rPr>
        <w:t>3、评价范围:</w:t>
      </w:r>
      <w:r>
        <w:rPr>
          <w:rFonts w:hint="eastAsia" w:ascii="仿宋" w:hAnsi="仿宋" w:eastAsia="仿宋" w:cs="仿宋"/>
          <w:b w:val="0"/>
          <w:bCs w:val="0"/>
          <w:kern w:val="2"/>
          <w:sz w:val="28"/>
          <w:szCs w:val="28"/>
          <w:lang w:val="en-US" w:eastAsia="zh-CN" w:bidi="ar-SA"/>
        </w:rPr>
        <w:t>本项目7600万元专项债实施情况，即从决策情况、资金管理和使用情况、相关制度的执行情况、产出情况（数量、质量、时效、成本）、取得的效益情况及群众满意度等方面，综合衡量项目资金使用效果。</w:t>
      </w:r>
    </w:p>
    <w:p w14:paraId="29A84478">
      <w:pPr>
        <w:spacing w:after="200" w:line="276" w:lineRule="auto"/>
        <w:ind w:firstLine="560" w:firstLineChars="200"/>
        <w:rPr>
          <w:rFonts w:hint="default" w:ascii="Times New Roman" w:hAnsi="Times New Roman" w:eastAsia="仿宋" w:cs="Times New Roman"/>
          <w:sz w:val="22"/>
          <w:szCs w:val="22"/>
          <w:lang w:val="en-US" w:eastAsia="zh-CN" w:bidi="ar-SA"/>
        </w:rPr>
      </w:pPr>
      <w:r>
        <w:rPr>
          <w:rFonts w:hint="eastAsia" w:ascii="仿宋" w:hAnsi="仿宋" w:eastAsia="仿宋" w:cs="仿宋"/>
          <w:sz w:val="28"/>
          <w:szCs w:val="28"/>
          <w:lang w:val="en-US" w:eastAsia="zh-CN" w:bidi="ar-SA"/>
        </w:rPr>
        <w:t>4、评价时间段：2023年度</w:t>
      </w:r>
    </w:p>
    <w:p w14:paraId="3F7BC0D1">
      <w:pPr>
        <w:pStyle w:val="9"/>
        <w:keepNext w:val="0"/>
        <w:keepLines w:val="0"/>
        <w:pageBreakBefore w:val="0"/>
        <w:kinsoku/>
        <w:wordWrap/>
        <w:overflowPunct/>
        <w:topLinePunct w:val="0"/>
        <w:autoSpaceDE/>
        <w:autoSpaceDN/>
        <w:bidi w:val="0"/>
        <w:adjustRightInd/>
        <w:snapToGrid/>
        <w:spacing w:after="0" w:line="240" w:lineRule="auto"/>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（二）绩效评价原则、评价指标体系、评价方法、评价标准等。</w:t>
      </w:r>
    </w:p>
    <w:p w14:paraId="7C793B59">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outlineLvl w:val="0"/>
        <w:rPr>
          <w:rFonts w:hint="eastAsia" w:ascii="仿宋" w:hAnsi="仿宋" w:eastAsia="仿宋" w:cs="仿宋"/>
          <w:kern w:val="2"/>
          <w:sz w:val="28"/>
          <w:szCs w:val="28"/>
          <w:lang w:val="en-US" w:eastAsia="zh-CN" w:bidi="ar-SA"/>
        </w:rPr>
      </w:pPr>
      <w:bookmarkStart w:id="25" w:name="_Toc23196"/>
      <w:r>
        <w:rPr>
          <w:rFonts w:hint="eastAsia" w:ascii="仿宋" w:hAnsi="仿宋" w:eastAsia="仿宋" w:cs="仿宋"/>
          <w:kern w:val="2"/>
          <w:sz w:val="28"/>
          <w:szCs w:val="28"/>
          <w:lang w:val="en-US" w:eastAsia="zh-CN" w:bidi="ar-SA"/>
        </w:rPr>
        <w:t>1、绩效评价原则</w:t>
      </w:r>
      <w:bookmarkEnd w:id="25"/>
    </w:p>
    <w:p w14:paraId="6EF8E6F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坚持总体设计、统筹兼顾。按照绩效评价工作的总体要求，统筹谋划全面实施绩效管理的路径和制度体系，既关注项目资金的直接产出，又关注宏观政策目标的实现程度；既关注新出台的政策，又兼顾延续政策、项目的必要性和有效性。</w:t>
      </w:r>
    </w:p>
    <w:p w14:paraId="72B577D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（2）坚持全面推进，突出重点。绩效评价既要全面推进，将绩效评价理念和方法深度融入到项目实施的全过程，又要突出重点，坚持问题导向，聚焦项目的产出和效果；</w:t>
      </w:r>
    </w:p>
    <w:p w14:paraId="2F5C546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（3）坚持科学规范，公正合理。绩效评价将运营科学合理的方法，规范程序，对项目的整体实施过程进行公正的反映。</w:t>
      </w:r>
    </w:p>
    <w:p w14:paraId="122549D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both"/>
        <w:textAlignment w:val="auto"/>
        <w:rPr>
          <w:rFonts w:hint="eastAsia" w:ascii="仿宋" w:hAnsi="仿宋" w:eastAsia="仿宋" w:cs="仿宋"/>
          <w:kern w:val="2"/>
          <w:sz w:val="28"/>
          <w:szCs w:val="28"/>
          <w:lang w:val="en-US" w:eastAsia="zh-CN" w:bidi="ar-SA"/>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仿宋" w:hAnsi="仿宋" w:eastAsia="仿宋" w:cs="仿宋"/>
          <w:kern w:val="2"/>
          <w:sz w:val="28"/>
          <w:szCs w:val="28"/>
          <w:lang w:val="en-US" w:eastAsia="zh-CN" w:bidi="ar-SA"/>
        </w:rPr>
        <w:t>2、绩效评价指标体系</w:t>
      </w:r>
    </w:p>
    <w:tbl>
      <w:tblPr>
        <w:tblStyle w:val="18"/>
        <w:tblW w:w="132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959"/>
        <w:gridCol w:w="971"/>
        <w:gridCol w:w="2859"/>
        <w:gridCol w:w="4255"/>
        <w:gridCol w:w="2383"/>
        <w:gridCol w:w="858"/>
      </w:tblGrid>
      <w:tr w14:paraId="10C5A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1326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20D9FF6">
            <w:pPr>
              <w:keepNext w:val="0"/>
              <w:keepLines w:val="0"/>
              <w:widowControl/>
              <w:suppressLineNumbers w:val="0"/>
              <w:jc w:val="center"/>
              <w:textAlignment w:val="center"/>
              <w:rPr>
                <w:rFonts w:hint="eastAsia" w:ascii="宋体" w:hAnsi="宋体" w:eastAsia="宋体" w:cs="宋体"/>
                <w:b/>
                <w:bCs/>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t>项目支出绩效评价指标体系评分表</w:t>
            </w:r>
          </w:p>
        </w:tc>
      </w:tr>
      <w:tr w14:paraId="1D1F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9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80D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一级指标</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7F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二级指标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05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三级指标</w:t>
            </w:r>
          </w:p>
        </w:tc>
        <w:tc>
          <w:tcPr>
            <w:tcW w:w="2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BA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指标解释</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86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指标说明</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14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评分标准</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507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6"/>
                <w:szCs w:val="16"/>
                <w:u w:val="none"/>
                <w:lang w:val="en-US" w:eastAsia="zh-CN" w:bidi="ar"/>
              </w:rPr>
              <w:t>分值</w:t>
            </w:r>
          </w:p>
        </w:tc>
      </w:tr>
      <w:tr w14:paraId="611EF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75" w:type="dxa"/>
            <w:vMerge w:val="restart"/>
            <w:tcBorders>
              <w:top w:val="single" w:color="000000" w:sz="4" w:space="0"/>
              <w:left w:val="single" w:color="000000" w:sz="4" w:space="0"/>
              <w:bottom w:val="nil"/>
              <w:right w:val="single" w:color="000000" w:sz="4" w:space="0"/>
            </w:tcBorders>
            <w:shd w:val="clear" w:color="auto" w:fill="auto"/>
            <w:vAlign w:val="center"/>
          </w:tcPr>
          <w:p w14:paraId="08BB240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决策</w:t>
            </w:r>
          </w:p>
          <w:p w14:paraId="46AF2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（15）</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C4A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项目立项（4）</w:t>
            </w:r>
          </w:p>
        </w:tc>
        <w:tc>
          <w:tcPr>
            <w:tcW w:w="971" w:type="dxa"/>
            <w:vMerge w:val="restart"/>
            <w:tcBorders>
              <w:top w:val="single" w:color="000000" w:sz="4" w:space="0"/>
              <w:left w:val="single" w:color="000000" w:sz="4" w:space="0"/>
              <w:bottom w:val="nil"/>
              <w:right w:val="single" w:color="000000" w:sz="4" w:space="0"/>
            </w:tcBorders>
            <w:shd w:val="clear" w:color="auto" w:fill="auto"/>
            <w:vAlign w:val="center"/>
          </w:tcPr>
          <w:p w14:paraId="22AE8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立项依据充分性</w:t>
            </w:r>
          </w:p>
        </w:tc>
        <w:tc>
          <w:tcPr>
            <w:tcW w:w="2859" w:type="dxa"/>
            <w:vMerge w:val="restart"/>
            <w:tcBorders>
              <w:top w:val="single" w:color="000000" w:sz="4" w:space="0"/>
              <w:left w:val="single" w:color="000000" w:sz="4" w:space="0"/>
              <w:bottom w:val="nil"/>
              <w:right w:val="single" w:color="000000" w:sz="4" w:space="0"/>
            </w:tcBorders>
            <w:shd w:val="clear" w:color="auto" w:fill="auto"/>
            <w:vAlign w:val="center"/>
          </w:tcPr>
          <w:p w14:paraId="1065088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项目立项是否符合法律法规、相关政策、发展规划以及部门职责，用以反映和考核项目立项依据情况。</w:t>
            </w:r>
          </w:p>
        </w:tc>
        <w:tc>
          <w:tcPr>
            <w:tcW w:w="4255" w:type="dxa"/>
            <w:vMerge w:val="restart"/>
            <w:tcBorders>
              <w:top w:val="single" w:color="000000" w:sz="4" w:space="0"/>
              <w:left w:val="single" w:color="000000" w:sz="4" w:space="0"/>
              <w:bottom w:val="nil"/>
              <w:right w:val="single" w:color="000000" w:sz="4" w:space="0"/>
            </w:tcBorders>
            <w:shd w:val="clear" w:color="auto" w:fill="auto"/>
            <w:vAlign w:val="center"/>
          </w:tcPr>
          <w:p w14:paraId="4C7717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①项目立项是否符合国家法律法规、国民经济发展规划和相关政策；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②项目立项是否符合行业发展规划和政策要求；</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67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完全符合 2分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1CB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2分</w:t>
            </w:r>
          </w:p>
        </w:tc>
      </w:tr>
      <w:tr w14:paraId="338A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59260CE1">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A51C9">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nil"/>
              <w:right w:val="single" w:color="000000" w:sz="4" w:space="0"/>
            </w:tcBorders>
            <w:shd w:val="clear" w:color="auto" w:fill="auto"/>
            <w:vAlign w:val="center"/>
          </w:tcPr>
          <w:p w14:paraId="2F32E103">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nil"/>
              <w:right w:val="single" w:color="000000" w:sz="4" w:space="0"/>
            </w:tcBorders>
            <w:shd w:val="clear" w:color="auto" w:fill="auto"/>
            <w:vAlign w:val="center"/>
          </w:tcPr>
          <w:p w14:paraId="4861060A">
            <w:pPr>
              <w:jc w:val="center"/>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nil"/>
              <w:right w:val="single" w:color="000000" w:sz="4" w:space="0"/>
            </w:tcBorders>
            <w:shd w:val="clear" w:color="auto" w:fill="auto"/>
            <w:vAlign w:val="center"/>
          </w:tcPr>
          <w:p w14:paraId="788ACFCD">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EA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基本符合 1.5分 </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778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58CCF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451A2BA4">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59C52">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nil"/>
              <w:right w:val="single" w:color="000000" w:sz="4" w:space="0"/>
            </w:tcBorders>
            <w:shd w:val="clear" w:color="auto" w:fill="auto"/>
            <w:vAlign w:val="center"/>
          </w:tcPr>
          <w:p w14:paraId="2437B2F0">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nil"/>
              <w:right w:val="single" w:color="000000" w:sz="4" w:space="0"/>
            </w:tcBorders>
            <w:shd w:val="clear" w:color="auto" w:fill="auto"/>
            <w:vAlign w:val="center"/>
          </w:tcPr>
          <w:p w14:paraId="3AFABE0C">
            <w:pPr>
              <w:jc w:val="center"/>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nil"/>
              <w:right w:val="single" w:color="000000" w:sz="4" w:space="0"/>
            </w:tcBorders>
            <w:shd w:val="clear" w:color="auto" w:fill="auto"/>
            <w:vAlign w:val="center"/>
          </w:tcPr>
          <w:p w14:paraId="392ACEE9">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DE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不够符合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73C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17EF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6D174AFB">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B9E3D">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6C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立项程序规范性</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7506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项目申请、设立过程是否符合相关要求，用以反映和考核项目立项的规范情况。</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6262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①项目是否按照规定的程序申请设立；</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②审批文件、材料是否符合相关要求；</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65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程序规范 2分 </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619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2分</w:t>
            </w:r>
          </w:p>
        </w:tc>
      </w:tr>
      <w:tr w14:paraId="4955A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6A320DF3">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22546">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5AC65">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96831">
            <w:pPr>
              <w:jc w:val="center"/>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8CF88">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9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比较规范 1.5分 </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2F4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570BA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55F81A07">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CF6A8">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60C46">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9701B">
            <w:pPr>
              <w:jc w:val="center"/>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97EA6">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B8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不够规范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37B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E819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34D934FC">
            <w:pPr>
              <w:jc w:val="center"/>
              <w:rPr>
                <w:rFonts w:hint="eastAsia" w:ascii="宋体" w:hAnsi="宋体" w:eastAsia="宋体" w:cs="宋体"/>
                <w:i w:val="0"/>
                <w:iCs w:val="0"/>
                <w:color w:val="000000"/>
                <w:sz w:val="18"/>
                <w:szCs w:val="18"/>
                <w:u w:val="none"/>
              </w:rPr>
            </w:pP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16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绩效目标（6）</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72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绩效目标合理性</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8A6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项目所设定的绩效目标是否依据充分，是否符合客观实际，用以反映和考核项目绩效目标与项目实施的相符情况。</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2F2C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①项目是否有绩效目标；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②项目绩效目标与实际工作内容是否具有相关性；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③是否与预算确定的项目投资额或资金量相匹配；</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BD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目标设定合理3分   </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9A8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3分</w:t>
            </w:r>
          </w:p>
        </w:tc>
      </w:tr>
      <w:tr w14:paraId="3F791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53E9B074">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AF238">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F15B1">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928E0">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36928">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12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目标设定比较合理 2分 </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64B8">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1BF2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4"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6D707772">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5527">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EECFE">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1BB09">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6CAEE">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1E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目标设定不合理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239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0FCAB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2B0C9A97">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02E73">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A1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绩效指标明确性</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1E6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依据绩效目标设定的绩效指标是否清晰、细化、可衡量等，用以反映和考核项目绩效目标的明细化情况。</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2BF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①是否将项目绩效目标细化分解为具体的绩效指标；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②是否通过清晰、可衡量的指标值予以体现；</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③是否与项目目标任务数或计划数相对应。</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7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指标设定明确、清晰 3分     </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055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3分</w:t>
            </w:r>
          </w:p>
        </w:tc>
      </w:tr>
      <w:tr w14:paraId="57BF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29B85FF9">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AB2A2">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CB469">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D5380">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46A6E">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6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指标设定比较清晰、明确2分 </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70D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EC07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3A2F57FF">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A3012">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4A47D">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25146">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7B302">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A8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指标设定不够清晰、明确0分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1570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1D9D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20EF91E3">
            <w:pPr>
              <w:jc w:val="center"/>
              <w:rPr>
                <w:rFonts w:hint="eastAsia" w:ascii="宋体" w:hAnsi="宋体" w:eastAsia="宋体" w:cs="宋体"/>
                <w:i w:val="0"/>
                <w:iCs w:val="0"/>
                <w:color w:val="000000"/>
                <w:sz w:val="18"/>
                <w:szCs w:val="18"/>
                <w:u w:val="none"/>
              </w:rPr>
            </w:pPr>
          </w:p>
        </w:tc>
        <w:tc>
          <w:tcPr>
            <w:tcW w:w="959" w:type="dxa"/>
            <w:vMerge w:val="restart"/>
            <w:tcBorders>
              <w:top w:val="single" w:color="000000" w:sz="4" w:space="0"/>
              <w:left w:val="single" w:color="000000" w:sz="4" w:space="0"/>
              <w:bottom w:val="nil"/>
              <w:right w:val="single" w:color="000000" w:sz="4" w:space="0"/>
            </w:tcBorders>
            <w:shd w:val="clear" w:color="auto" w:fill="auto"/>
            <w:vAlign w:val="center"/>
          </w:tcPr>
          <w:p w14:paraId="43565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资金投入（5）</w:t>
            </w:r>
          </w:p>
        </w:tc>
        <w:tc>
          <w:tcPr>
            <w:tcW w:w="971" w:type="dxa"/>
            <w:vMerge w:val="restart"/>
            <w:tcBorders>
              <w:top w:val="single" w:color="000000" w:sz="4" w:space="0"/>
              <w:left w:val="single" w:color="000000" w:sz="4" w:space="0"/>
              <w:bottom w:val="nil"/>
              <w:right w:val="single" w:color="000000" w:sz="4" w:space="0"/>
            </w:tcBorders>
            <w:shd w:val="clear" w:color="auto" w:fill="auto"/>
            <w:vAlign w:val="center"/>
          </w:tcPr>
          <w:p w14:paraId="26A0F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预算编制科学性</w:t>
            </w:r>
          </w:p>
        </w:tc>
        <w:tc>
          <w:tcPr>
            <w:tcW w:w="2859" w:type="dxa"/>
            <w:vMerge w:val="restart"/>
            <w:tcBorders>
              <w:top w:val="single" w:color="000000" w:sz="4" w:space="0"/>
              <w:left w:val="single" w:color="000000" w:sz="4" w:space="0"/>
              <w:bottom w:val="nil"/>
              <w:right w:val="single" w:color="000000" w:sz="4" w:space="0"/>
            </w:tcBorders>
            <w:shd w:val="clear" w:color="auto" w:fill="auto"/>
            <w:vAlign w:val="center"/>
          </w:tcPr>
          <w:p w14:paraId="416B13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项目预算编制是否经过科学论证、有明确标准，资金额度与年度目标是否相适应，用以反映和考核项目预算编制的科学性、合理性情况。</w:t>
            </w:r>
          </w:p>
        </w:tc>
        <w:tc>
          <w:tcPr>
            <w:tcW w:w="4255" w:type="dxa"/>
            <w:vMerge w:val="restart"/>
            <w:tcBorders>
              <w:top w:val="single" w:color="000000" w:sz="4" w:space="0"/>
              <w:left w:val="single" w:color="000000" w:sz="4" w:space="0"/>
              <w:bottom w:val="nil"/>
              <w:right w:val="single" w:color="000000" w:sz="4" w:space="0"/>
            </w:tcBorders>
            <w:shd w:val="clear" w:color="auto" w:fill="auto"/>
            <w:vAlign w:val="center"/>
          </w:tcPr>
          <w:p w14:paraId="0C0150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①预算编制是否经过科学论证；</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②预算内容与项目内容是否匹配；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③预算确定的项目投资额或资金量是否与工作任务相匹配。</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A2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预算编制科学 2分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1C5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2分</w:t>
            </w:r>
          </w:p>
        </w:tc>
      </w:tr>
      <w:tr w14:paraId="640E5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658CFA49">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nil"/>
              <w:right w:val="single" w:color="000000" w:sz="4" w:space="0"/>
            </w:tcBorders>
            <w:shd w:val="clear" w:color="auto" w:fill="auto"/>
            <w:vAlign w:val="center"/>
          </w:tcPr>
          <w:p w14:paraId="1C0DFBA1">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nil"/>
              <w:right w:val="single" w:color="000000" w:sz="4" w:space="0"/>
            </w:tcBorders>
            <w:shd w:val="clear" w:color="auto" w:fill="auto"/>
            <w:vAlign w:val="center"/>
          </w:tcPr>
          <w:p w14:paraId="4BC324DC">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nil"/>
              <w:right w:val="single" w:color="000000" w:sz="4" w:space="0"/>
            </w:tcBorders>
            <w:shd w:val="clear" w:color="auto" w:fill="auto"/>
            <w:vAlign w:val="center"/>
          </w:tcPr>
          <w:p w14:paraId="6199C957">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nil"/>
              <w:right w:val="single" w:color="000000" w:sz="4" w:space="0"/>
            </w:tcBorders>
            <w:shd w:val="clear" w:color="auto" w:fill="auto"/>
            <w:vAlign w:val="center"/>
          </w:tcPr>
          <w:p w14:paraId="17A149A3">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71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预算编制比较科学 1分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067A">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D1E4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28A3BEE5">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nil"/>
              <w:right w:val="single" w:color="000000" w:sz="4" w:space="0"/>
            </w:tcBorders>
            <w:shd w:val="clear" w:color="auto" w:fill="auto"/>
            <w:vAlign w:val="center"/>
          </w:tcPr>
          <w:p w14:paraId="37BAF85B">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nil"/>
              <w:right w:val="single" w:color="000000" w:sz="4" w:space="0"/>
            </w:tcBorders>
            <w:shd w:val="clear" w:color="auto" w:fill="auto"/>
            <w:vAlign w:val="center"/>
          </w:tcPr>
          <w:p w14:paraId="2FF4C136">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nil"/>
              <w:right w:val="single" w:color="000000" w:sz="4" w:space="0"/>
            </w:tcBorders>
            <w:shd w:val="clear" w:color="auto" w:fill="auto"/>
            <w:vAlign w:val="center"/>
          </w:tcPr>
          <w:p w14:paraId="764F8EA6">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nil"/>
              <w:right w:val="single" w:color="000000" w:sz="4" w:space="0"/>
            </w:tcBorders>
            <w:shd w:val="clear" w:color="auto" w:fill="auto"/>
            <w:vAlign w:val="center"/>
          </w:tcPr>
          <w:p w14:paraId="2284BD75">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67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预算编制不科学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4A1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3F194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20CD8061">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nil"/>
              <w:right w:val="single" w:color="000000" w:sz="4" w:space="0"/>
            </w:tcBorders>
            <w:shd w:val="clear" w:color="auto" w:fill="auto"/>
            <w:vAlign w:val="center"/>
          </w:tcPr>
          <w:p w14:paraId="7739E809">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nil"/>
              <w:right w:val="single" w:color="000000" w:sz="4" w:space="0"/>
            </w:tcBorders>
            <w:shd w:val="clear" w:color="auto" w:fill="auto"/>
            <w:vAlign w:val="center"/>
          </w:tcPr>
          <w:p w14:paraId="0993A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资金分配合理性</w:t>
            </w:r>
          </w:p>
        </w:tc>
        <w:tc>
          <w:tcPr>
            <w:tcW w:w="2859" w:type="dxa"/>
            <w:vMerge w:val="restart"/>
            <w:tcBorders>
              <w:top w:val="single" w:color="000000" w:sz="4" w:space="0"/>
              <w:left w:val="single" w:color="000000" w:sz="4" w:space="0"/>
              <w:bottom w:val="nil"/>
              <w:right w:val="single" w:color="000000" w:sz="4" w:space="0"/>
            </w:tcBorders>
            <w:shd w:val="clear" w:color="auto" w:fill="auto"/>
            <w:vAlign w:val="center"/>
          </w:tcPr>
          <w:p w14:paraId="39A1C8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项目预算资金分配是否有测算依据，与补助单位或地方实际是否相适应，用以反映和考核项目预算资金分配的科学性、合理性情况。</w:t>
            </w:r>
          </w:p>
        </w:tc>
        <w:tc>
          <w:tcPr>
            <w:tcW w:w="4255" w:type="dxa"/>
            <w:vMerge w:val="restart"/>
            <w:tcBorders>
              <w:top w:val="single" w:color="000000" w:sz="4" w:space="0"/>
              <w:left w:val="single" w:color="000000" w:sz="4" w:space="0"/>
              <w:bottom w:val="nil"/>
              <w:right w:val="single" w:color="000000" w:sz="4" w:space="0"/>
            </w:tcBorders>
            <w:shd w:val="clear" w:color="auto" w:fill="auto"/>
            <w:vAlign w:val="center"/>
          </w:tcPr>
          <w:p w14:paraId="22B53D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①资金分配额度是否合理，与项目单位或地方实际是否相适应。</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1E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资金分配合理、依据充分 3分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77D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3分</w:t>
            </w:r>
          </w:p>
        </w:tc>
      </w:tr>
      <w:tr w14:paraId="17DA7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14:paraId="4FA92C4B">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nil"/>
              <w:right w:val="single" w:color="000000" w:sz="4" w:space="0"/>
            </w:tcBorders>
            <w:shd w:val="clear" w:color="auto" w:fill="auto"/>
            <w:vAlign w:val="center"/>
          </w:tcPr>
          <w:p w14:paraId="25C0BE6D">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nil"/>
              <w:right w:val="single" w:color="000000" w:sz="4" w:space="0"/>
            </w:tcBorders>
            <w:shd w:val="clear" w:color="auto" w:fill="auto"/>
            <w:vAlign w:val="center"/>
          </w:tcPr>
          <w:p w14:paraId="6212EEEA">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nil"/>
              <w:right w:val="single" w:color="000000" w:sz="4" w:space="0"/>
            </w:tcBorders>
            <w:shd w:val="clear" w:color="auto" w:fill="auto"/>
            <w:vAlign w:val="center"/>
          </w:tcPr>
          <w:p w14:paraId="0FC9F991">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nil"/>
              <w:right w:val="single" w:color="000000" w:sz="4" w:space="0"/>
            </w:tcBorders>
            <w:shd w:val="clear" w:color="auto" w:fill="auto"/>
            <w:vAlign w:val="center"/>
          </w:tcPr>
          <w:p w14:paraId="3FF9287A">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1B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资金分配不合理、依据不充分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C11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31B0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8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过程（20）</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82E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资金管理（10）</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7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资金到位率</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D81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实际到位资金与预算资金的比率，用以反映和考核资金落实情况对项目实施的总体保障程度。</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F69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资金到位率=（实际到位资金/预算资金）×100%。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实际到位资金：一定时期（本年度或项目期）内落实到具体项目的资金。</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预算资金：一定时期（本年度或项目期）内预算安排到具体项目的资金。</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B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 xml:space="preserve">资金到位率达到90% 3分 </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BF6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3分</w:t>
            </w:r>
          </w:p>
        </w:tc>
      </w:tr>
      <w:tr w14:paraId="74B7B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DEE8">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A417">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C247">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F6BAD">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14F0C">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84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资金到位率达到60-90% 2分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8A2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0A48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57E5">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23DB3">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ED83">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EBFB9">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7AF02">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8F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资金到位率不足60%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CE6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BD52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82BF">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EF5EC">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9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6"/>
                <w:szCs w:val="16"/>
                <w:u w:val="none"/>
                <w:lang w:eastAsia="zh-CN"/>
              </w:rPr>
              <w:t>到位资金执行率</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6F7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项目到位资金是否按照计划执行，用以反映或考核项目到位执行情况。</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15A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到位资金执行率=（实际支出资金/实际到位资金）×100%。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实际支出资金：一定时期（本年度或项目期）内项目实际拨付的资金。</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65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资金执行率达到90% 3分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459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3分</w:t>
            </w:r>
          </w:p>
        </w:tc>
      </w:tr>
      <w:tr w14:paraId="45EC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B3A5">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F703">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8076">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5C4DF">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82859">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DA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资金执行率达到60-90% 2分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F3F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21382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C9B5">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498A">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DC6A">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F9945">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73276">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36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资金执行率不足60%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2C43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3E7F9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7CC6">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207E8">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38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资金使用合规性</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944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项目资金使用是否符合相关的财务管理制度规定，用以反映和考核项目资金的规范运行情况。</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201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①是否符合财务管理制度以及有关专项资金管理办法的规定；</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②资金的拨付是否有完整的审批程序和手续；</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③是否符合项目预算批复或合同规定的用途；</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④是否存在截留、挤占、挪用、虚列支出等情况。</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D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资金使用完全合规 4分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BDD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4分</w:t>
            </w:r>
          </w:p>
        </w:tc>
      </w:tr>
      <w:tr w14:paraId="59345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374B">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7AF10">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7F712">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FEE06">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569FA">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83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资金使用基本合规 2分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CAAC">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372D7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6FC7">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E1F48">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233AD">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4E99D">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59207">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3B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资金使用不合规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9EF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7255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17951">
            <w:pPr>
              <w:jc w:val="center"/>
              <w:rPr>
                <w:rFonts w:hint="eastAsia" w:ascii="宋体" w:hAnsi="宋体" w:eastAsia="宋体" w:cs="宋体"/>
                <w:i w:val="0"/>
                <w:iCs w:val="0"/>
                <w:color w:val="000000"/>
                <w:sz w:val="18"/>
                <w:szCs w:val="18"/>
                <w:u w:val="none"/>
              </w:rPr>
            </w:pP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D7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组织实施（10）</w:t>
            </w:r>
          </w:p>
        </w:tc>
        <w:tc>
          <w:tcPr>
            <w:tcW w:w="971" w:type="dxa"/>
            <w:vMerge w:val="restart"/>
            <w:tcBorders>
              <w:top w:val="single" w:color="000000" w:sz="4" w:space="0"/>
              <w:left w:val="single" w:color="000000" w:sz="4" w:space="0"/>
              <w:bottom w:val="nil"/>
              <w:right w:val="single" w:color="000000" w:sz="4" w:space="0"/>
            </w:tcBorders>
            <w:shd w:val="clear" w:color="auto" w:fill="auto"/>
            <w:vAlign w:val="center"/>
          </w:tcPr>
          <w:p w14:paraId="412AB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管理制度健全性</w:t>
            </w:r>
          </w:p>
        </w:tc>
        <w:tc>
          <w:tcPr>
            <w:tcW w:w="2859" w:type="dxa"/>
            <w:vMerge w:val="restart"/>
            <w:tcBorders>
              <w:top w:val="single" w:color="000000" w:sz="4" w:space="0"/>
              <w:left w:val="single" w:color="000000" w:sz="4" w:space="0"/>
              <w:bottom w:val="nil"/>
              <w:right w:val="single" w:color="000000" w:sz="4" w:space="0"/>
            </w:tcBorders>
            <w:shd w:val="clear" w:color="auto" w:fill="auto"/>
            <w:vAlign w:val="center"/>
          </w:tcPr>
          <w:p w14:paraId="7D8EBF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项目实施单位的财务和业务管理制度是否健全，用以反映和考核财务和业务管理制度对项目顺利实施的保障情况。</w:t>
            </w:r>
          </w:p>
        </w:tc>
        <w:tc>
          <w:tcPr>
            <w:tcW w:w="4255" w:type="dxa"/>
            <w:vMerge w:val="restart"/>
            <w:tcBorders>
              <w:top w:val="single" w:color="000000" w:sz="4" w:space="0"/>
              <w:left w:val="single" w:color="000000" w:sz="4" w:space="0"/>
              <w:bottom w:val="nil"/>
              <w:right w:val="single" w:color="000000" w:sz="4" w:space="0"/>
            </w:tcBorders>
            <w:shd w:val="clear" w:color="auto" w:fill="auto"/>
            <w:vAlign w:val="center"/>
          </w:tcPr>
          <w:p w14:paraId="3A5F6B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①是否已制定或具有相应的财务和业务管理制度；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②财务和业务管理制度是否合法、合规、完整。</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8C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制定健全财务管理制度 5分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B46E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5分</w:t>
            </w:r>
          </w:p>
        </w:tc>
      </w:tr>
      <w:tr w14:paraId="7FECB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0EAA">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E3CB2">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nil"/>
              <w:right w:val="single" w:color="000000" w:sz="4" w:space="0"/>
            </w:tcBorders>
            <w:shd w:val="clear" w:color="auto" w:fill="auto"/>
            <w:vAlign w:val="center"/>
          </w:tcPr>
          <w:p w14:paraId="2AF721BF">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nil"/>
              <w:right w:val="single" w:color="000000" w:sz="4" w:space="0"/>
            </w:tcBorders>
            <w:shd w:val="clear" w:color="auto" w:fill="auto"/>
            <w:vAlign w:val="center"/>
          </w:tcPr>
          <w:p w14:paraId="50849A37">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nil"/>
              <w:right w:val="single" w:color="000000" w:sz="4" w:space="0"/>
            </w:tcBorders>
            <w:shd w:val="clear" w:color="auto" w:fill="auto"/>
            <w:vAlign w:val="center"/>
          </w:tcPr>
          <w:p w14:paraId="4107320C">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99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未制定健全的财务管理制度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ABA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DF2A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65A0">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03BA1">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6C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制度执行有效性</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1FD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项目实施是否符合相关管理规定，用以反映和考核相关管理制度的有效执行情况。</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7A9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①是否遵守相关法律法规和相关管理规定；</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②项目合同资料是否齐全并及时归档；</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6D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制度执行有效 5分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36FB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5分</w:t>
            </w:r>
          </w:p>
        </w:tc>
      </w:tr>
      <w:tr w14:paraId="54EF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3271">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90B09">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A7469">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7F73F">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4B6B9">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85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制度执行比较有效 3分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ABAA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4E178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676D">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8BE47">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33F10">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79732">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C84AA">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6F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制度执行无效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045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5FEDB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F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产出（40）</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CF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产出数量（15）</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C8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实际完成率</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AE6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项目实施的实际产出数与计划产出数的比率，用以反映和考核项目产出数量目标的实现程度。</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13A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实际完成率=（实际产出数/计划产出数）×100%。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实际产出数：一定时期（本年度或项目期）内项目实际产出数。</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计划产出数：项目绩效目标确定的在一定时期（本年度或项目期）内计划产出数。</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16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完成率达到90%以上 15分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491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15分</w:t>
            </w:r>
          </w:p>
        </w:tc>
      </w:tr>
      <w:tr w14:paraId="481BD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A9F7">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A5B5C">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2D513">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EBFEB">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F7F59">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11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完成率80%-90% 10分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46008">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60DF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EA45">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A8C7F">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A92C">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08688">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69ECA">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34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完成率60%-80% 5分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854D">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0AAE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4631">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EEA70">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DAA2">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55C35">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519B1">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C5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完成率不足60%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CF5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31BD1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367C">
            <w:pPr>
              <w:jc w:val="center"/>
              <w:rPr>
                <w:rFonts w:hint="eastAsia" w:ascii="宋体" w:hAnsi="宋体" w:eastAsia="宋体" w:cs="宋体"/>
                <w:i w:val="0"/>
                <w:iCs w:val="0"/>
                <w:color w:val="000000"/>
                <w:sz w:val="18"/>
                <w:szCs w:val="18"/>
                <w:u w:val="none"/>
              </w:rPr>
            </w:pP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FF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产出质量（15）</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C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质量合格率</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290E9">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6"/>
                <w:szCs w:val="16"/>
                <w:u w:val="none"/>
                <w:lang w:val="en-US" w:eastAsia="zh-CN" w:bidi="ar"/>
              </w:rPr>
              <w:t>项目完成的质量合格率；</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244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6"/>
                <w:szCs w:val="16"/>
                <w:u w:val="none"/>
                <w:lang w:eastAsia="zh-CN"/>
              </w:rPr>
              <w:t>项目验收相关资料</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3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质量合格率90%-100% 15分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24BA2">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15分</w:t>
            </w:r>
          </w:p>
        </w:tc>
      </w:tr>
      <w:tr w14:paraId="40665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3290">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0E8C">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6ACA">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B4396">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CEF49">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3FE2">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6"/>
                <w:szCs w:val="16"/>
                <w:u w:val="none"/>
                <w:lang w:val="en-US" w:eastAsia="zh-CN" w:bidi="ar"/>
              </w:rPr>
              <w:t>质量合格率80%-90% 10分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9D3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58ABD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B70F">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D8245">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96F5">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C9D79">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A5A41">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5D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质量合格率不足60%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E300">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09012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1549">
            <w:pPr>
              <w:jc w:val="center"/>
              <w:rPr>
                <w:rFonts w:hint="eastAsia" w:ascii="宋体" w:hAnsi="宋体" w:eastAsia="宋体" w:cs="宋体"/>
                <w:i w:val="0"/>
                <w:iCs w:val="0"/>
                <w:color w:val="000000"/>
                <w:sz w:val="18"/>
                <w:szCs w:val="18"/>
                <w:u w:val="none"/>
              </w:rPr>
            </w:pP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660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产出时效（2）</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E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完成及时性</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0C0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项目实际完成时间与计划完成时间的比较，用以反映和考核项目产出时效目标的实现程度</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3F6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实际完成时间：项目实施单位完成该项目实际所耗用的时间。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计划完成时间：按照合同协议书中完成该项目所需的时间。</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29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实际完成时间≤计划完成时间；得2分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2749">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2分</w:t>
            </w:r>
          </w:p>
        </w:tc>
      </w:tr>
      <w:tr w14:paraId="447D7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BEB5">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DD020">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76C6">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DFE83">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BECFA">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BE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实际完成时间超过计划完成时间的根据具体情况扣分，如是不可抗力造成的原则上不扣分，否则超出工期扣1分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3BC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F5D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391C">
            <w:pPr>
              <w:jc w:val="center"/>
              <w:rPr>
                <w:rFonts w:hint="eastAsia" w:ascii="宋体" w:hAnsi="宋体" w:eastAsia="宋体" w:cs="宋体"/>
                <w:i w:val="0"/>
                <w:iCs w:val="0"/>
                <w:color w:val="000000"/>
                <w:sz w:val="18"/>
                <w:szCs w:val="18"/>
                <w:u w:val="none"/>
              </w:rPr>
            </w:pP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9E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产出成本（8）</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5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成本节约率</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AA7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完成项目计划工作目标的实际节约成本与计划成本的比率，用以反映和考核项目的成本节约程度。</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EF1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成本节约率=[（计划成本-实际成本）/计划成本]×100%。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实际成本：项目实施单位如期、保质、保量完成既定工作目标实际所耗费的支出。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计划成本：项目实施单位为完成工作目标计划安排的支出，一般以项目预算为参考。</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04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成本节约率在大于0得8分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8D5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8分</w:t>
            </w:r>
          </w:p>
        </w:tc>
      </w:tr>
      <w:tr w14:paraId="2FE3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7D04">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8D665">
            <w:pPr>
              <w:jc w:val="center"/>
              <w:rPr>
                <w:rFonts w:hint="eastAsia" w:ascii="宋体" w:hAnsi="宋体" w:eastAsia="宋体" w:cs="宋体"/>
                <w:i w:val="0"/>
                <w:iCs w:val="0"/>
                <w:color w:val="000000"/>
                <w:sz w:val="18"/>
                <w:szCs w:val="18"/>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1492">
            <w:pPr>
              <w:jc w:val="center"/>
              <w:rPr>
                <w:rFonts w:hint="default" w:ascii="宋体" w:hAnsi="宋体" w:eastAsia="宋体" w:cs="宋体"/>
                <w:i w:val="0"/>
                <w:iCs w:val="0"/>
                <w:color w:val="000000"/>
                <w:sz w:val="18"/>
                <w:szCs w:val="18"/>
                <w:highlight w:val="none"/>
                <w:u w:val="none"/>
                <w:lang w:val="en-US" w:eastAsia="zh-CN"/>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30495">
            <w:pPr>
              <w:jc w:val="left"/>
              <w:rPr>
                <w:rFonts w:hint="default"/>
                <w:highlight w:val="none"/>
                <w:lang w:val="en-US"/>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75876">
            <w:pPr>
              <w:jc w:val="left"/>
              <w:rPr>
                <w:rFonts w:hint="default" w:ascii="宋体" w:hAnsi="宋体" w:eastAsia="宋体" w:cs="宋体"/>
                <w:i w:val="0"/>
                <w:iCs w:val="0"/>
                <w:color w:val="000000"/>
                <w:sz w:val="18"/>
                <w:szCs w:val="18"/>
                <w:highlight w:val="none"/>
                <w:u w:val="none"/>
                <w:lang w:val="en-US" w:eastAsia="zh-CN"/>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22F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6"/>
                <w:szCs w:val="16"/>
                <w:u w:val="none"/>
                <w:lang w:val="en-US" w:eastAsia="zh-CN" w:bidi="ar"/>
              </w:rPr>
              <w:t>成本节约率在-10%以内得6分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F157">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7C93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1AD7">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59E1">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95BF">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2EF40">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B37D1">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FE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成本节约率超过-10%不得分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1CC1">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3A405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BB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效益（25）</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E1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项目效益（25）</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A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实施效益</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1EF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项目实施所产生的效益。</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EF69F">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项目实施所产生的社会效益、经济效益、生态效益、可持续影响等。可根据项目实际情况有选择地设置和细化。</w:t>
            </w:r>
          </w:p>
          <w:p w14:paraId="7B6661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社会效益：惠及群众数量、基本公共文化服务水平稳步提升。</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23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惠及群众＞24000人 10分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C84F">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10分</w:t>
            </w:r>
          </w:p>
        </w:tc>
      </w:tr>
      <w:tr w14:paraId="1A330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A99A">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048A5">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E911">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6F7A8">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FD77">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92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受益人口19200-24000人 5分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E5BE">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00A3B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D1DB">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1EAAE">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4C66">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7FC77">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E6AF9">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2C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受益人口＜19200人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5D06">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p>
        </w:tc>
      </w:tr>
      <w:tr w14:paraId="0D2EF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8ECD">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7B046">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F57D">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27CF">
            <w:pPr>
              <w:jc w:val="left"/>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D380D">
            <w:pPr>
              <w:jc w:val="left"/>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92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基本公共文化服务水平稳步提升得10分，反之不得分。</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2305">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10分</w:t>
            </w:r>
          </w:p>
        </w:tc>
      </w:tr>
      <w:tr w14:paraId="4789E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6C06">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6735F">
            <w:pPr>
              <w:jc w:val="center"/>
              <w:rPr>
                <w:rFonts w:hint="eastAsia" w:ascii="宋体" w:hAnsi="宋体" w:eastAsia="宋体" w:cs="宋体"/>
                <w:i w:val="0"/>
                <w:iCs w:val="0"/>
                <w:color w:val="000000"/>
                <w:sz w:val="18"/>
                <w:szCs w:val="18"/>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D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满意度</w:t>
            </w:r>
          </w:p>
        </w:tc>
        <w:tc>
          <w:tcPr>
            <w:tcW w:w="2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0C47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社会公众或服务对象对项目实施效果的满意程度。</w:t>
            </w:r>
          </w:p>
        </w:tc>
        <w:tc>
          <w:tcPr>
            <w:tcW w:w="4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CE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社会公众或服务对象是指因该项目实施而受到影响的部门（单位）、群体或个人。一般采取社会调查的方式。</w:t>
            </w: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17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满意度95%以上 5分</w:t>
            </w:r>
          </w:p>
        </w:tc>
        <w:tc>
          <w:tcPr>
            <w:tcW w:w="8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6D8B">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5分</w:t>
            </w:r>
          </w:p>
        </w:tc>
      </w:tr>
      <w:tr w14:paraId="5CF61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3771E">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DE1B4">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1FB9">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4845D">
            <w:pPr>
              <w:jc w:val="center"/>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60445">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29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满意度80%-95% 3分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6551">
            <w:pPr>
              <w:jc w:val="center"/>
              <w:rPr>
                <w:rFonts w:hint="eastAsia" w:ascii="宋体" w:hAnsi="宋体" w:eastAsia="宋体" w:cs="宋体"/>
                <w:i w:val="0"/>
                <w:iCs w:val="0"/>
                <w:color w:val="000000"/>
                <w:sz w:val="18"/>
                <w:szCs w:val="18"/>
                <w:u w:val="none"/>
              </w:rPr>
            </w:pPr>
          </w:p>
        </w:tc>
      </w:tr>
      <w:tr w14:paraId="4F904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B26F">
            <w:pPr>
              <w:jc w:val="center"/>
              <w:rPr>
                <w:rFonts w:hint="eastAsia" w:ascii="宋体" w:hAnsi="宋体" w:eastAsia="宋体" w:cs="宋体"/>
                <w:i w:val="0"/>
                <w:iCs w:val="0"/>
                <w:color w:val="000000"/>
                <w:sz w:val="18"/>
                <w:szCs w:val="18"/>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8C380">
            <w:pPr>
              <w:jc w:val="center"/>
              <w:rPr>
                <w:rFonts w:hint="eastAsia" w:ascii="宋体" w:hAnsi="宋体" w:eastAsia="宋体" w:cs="宋体"/>
                <w:i w:val="0"/>
                <w:iCs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9D682">
            <w:pPr>
              <w:jc w:val="center"/>
              <w:rPr>
                <w:rFonts w:hint="eastAsia" w:ascii="宋体" w:hAnsi="宋体" w:eastAsia="宋体" w:cs="宋体"/>
                <w:i w:val="0"/>
                <w:iCs w:val="0"/>
                <w:color w:val="000000"/>
                <w:sz w:val="18"/>
                <w:szCs w:val="18"/>
                <w:u w:val="none"/>
              </w:rP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91069">
            <w:pPr>
              <w:jc w:val="center"/>
              <w:rPr>
                <w:rFonts w:hint="eastAsia" w:ascii="宋体" w:hAnsi="宋体" w:eastAsia="宋体" w:cs="宋体"/>
                <w:i w:val="0"/>
                <w:iCs w:val="0"/>
                <w:color w:val="000000"/>
                <w:sz w:val="18"/>
                <w:szCs w:val="18"/>
                <w:u w:val="none"/>
              </w:rP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EA83E">
            <w:pPr>
              <w:jc w:val="center"/>
              <w:rPr>
                <w:rFonts w:hint="eastAsia" w:ascii="宋体" w:hAnsi="宋体" w:eastAsia="宋体" w:cs="宋体"/>
                <w:i w:val="0"/>
                <w:iCs w:val="0"/>
                <w:color w:val="000000"/>
                <w:sz w:val="18"/>
                <w:szCs w:val="18"/>
                <w:u w:val="none"/>
              </w:rPr>
            </w:pPr>
          </w:p>
        </w:tc>
        <w:tc>
          <w:tcPr>
            <w:tcW w:w="2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C7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满意度60%-80% 1分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B060">
            <w:pPr>
              <w:jc w:val="center"/>
              <w:rPr>
                <w:rFonts w:hint="eastAsia" w:ascii="宋体" w:hAnsi="宋体" w:eastAsia="宋体" w:cs="宋体"/>
                <w:i w:val="0"/>
                <w:iCs w:val="0"/>
                <w:color w:val="000000"/>
                <w:sz w:val="18"/>
                <w:szCs w:val="18"/>
                <w:u w:val="none"/>
              </w:rPr>
            </w:pPr>
          </w:p>
        </w:tc>
      </w:tr>
      <w:tr w14:paraId="6B6F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9FD8">
            <w:pPr>
              <w:jc w:val="center"/>
              <w:rPr>
                <w:rFonts w:hint="eastAsia" w:ascii="宋体" w:hAnsi="宋体" w:eastAsia="宋体" w:cs="宋体"/>
                <w:i w:val="0"/>
                <w:iCs w:val="0"/>
                <w:color w:val="000000"/>
                <w:sz w:val="18"/>
                <w:szCs w:val="18"/>
                <w:u w:val="none"/>
                <w:lang w:eastAsia="zh-CN"/>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5B48E">
            <w:pPr>
              <w:jc w:val="center"/>
              <w:rPr>
                <w:rFonts w:hint="eastAsia" w:ascii="宋体" w:hAnsi="宋体" w:eastAsia="宋体" w:cs="宋体"/>
                <w:i w:val="0"/>
                <w:iCs w:val="0"/>
                <w:color w:val="000000"/>
                <w:sz w:val="18"/>
                <w:szCs w:val="18"/>
                <w:u w:val="none"/>
                <w:lang w:eastAsia="zh-CN"/>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7DBB">
            <w:pPr>
              <w:jc w:val="center"/>
            </w:pPr>
          </w:p>
        </w:tc>
        <w:tc>
          <w:tcPr>
            <w:tcW w:w="28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9062">
            <w:pPr>
              <w:jc w:val="center"/>
            </w:pPr>
          </w:p>
        </w:tc>
        <w:tc>
          <w:tcPr>
            <w:tcW w:w="4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A2B1">
            <w:pPr>
              <w:jc w:val="center"/>
            </w:pPr>
          </w:p>
        </w:tc>
        <w:tc>
          <w:tcPr>
            <w:tcW w:w="2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FB4A">
            <w:pPr>
              <w:keepNext w:val="0"/>
              <w:keepLines w:val="0"/>
              <w:widowControl/>
              <w:suppressLineNumbers w:val="0"/>
              <w:jc w:val="left"/>
              <w:textAlignment w:val="center"/>
            </w:pPr>
            <w:r>
              <w:rPr>
                <w:rFonts w:hint="eastAsia" w:ascii="宋体" w:hAnsi="宋体" w:eastAsia="宋体" w:cs="宋体"/>
                <w:i w:val="0"/>
                <w:iCs w:val="0"/>
                <w:color w:val="000000"/>
                <w:kern w:val="0"/>
                <w:sz w:val="16"/>
                <w:szCs w:val="16"/>
                <w:u w:val="none"/>
                <w:lang w:val="en-US" w:eastAsia="zh-CN" w:bidi="ar"/>
              </w:rPr>
              <w:t>满意度不足60% 0分</w:t>
            </w:r>
          </w:p>
        </w:tc>
        <w:tc>
          <w:tcPr>
            <w:tcW w:w="8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64A9">
            <w:pPr>
              <w:jc w:val="center"/>
              <w:rPr>
                <w:rFonts w:hint="eastAsia" w:ascii="宋体" w:hAnsi="宋体" w:eastAsia="宋体" w:cs="宋体"/>
                <w:i w:val="0"/>
                <w:iCs w:val="0"/>
                <w:color w:val="000000"/>
                <w:sz w:val="18"/>
                <w:szCs w:val="18"/>
                <w:u w:val="none"/>
              </w:rPr>
            </w:pPr>
          </w:p>
        </w:tc>
      </w:tr>
    </w:tbl>
    <w:p w14:paraId="26F67702">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br w:type="page"/>
      </w:r>
    </w:p>
    <w:p w14:paraId="5DD2FDDC">
      <w:pPr>
        <w:pStyle w:val="23"/>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6FE0CB2B">
      <w:pPr>
        <w:pStyle w:val="9"/>
        <w:keepNext w:val="0"/>
        <w:keepLines w:val="0"/>
        <w:pageBreakBefore w:val="0"/>
        <w:widowControl/>
        <w:kinsoku/>
        <w:wordWrap/>
        <w:overflowPunct/>
        <w:topLinePunct w:val="0"/>
        <w:autoSpaceDE/>
        <w:autoSpaceDN/>
        <w:bidi w:val="0"/>
        <w:adjustRightInd/>
        <w:snapToGrid/>
        <w:spacing w:after="0" w:line="24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3、绩效评价方法</w:t>
      </w:r>
    </w:p>
    <w:p w14:paraId="20284076">
      <w:pPr>
        <w:widowControl w:val="0"/>
        <w:ind w:firstLine="570"/>
        <w:jc w:val="both"/>
        <w:rPr>
          <w:rFonts w:hint="eastAsia" w:ascii="仿宋" w:hAnsi="仿宋" w:eastAsia="仿宋" w:cs="仿宋"/>
          <w:i w:val="0"/>
          <w:iCs w:val="0"/>
          <w:color w:val="000000"/>
          <w:kern w:val="0"/>
          <w:sz w:val="28"/>
          <w:szCs w:val="28"/>
          <w:u w:val="none"/>
          <w:lang w:val="en-US" w:eastAsia="zh-CN" w:bidi="ar"/>
        </w:rPr>
      </w:pPr>
      <w:bookmarkStart w:id="26" w:name="_Toc14826"/>
      <w:r>
        <w:rPr>
          <w:rFonts w:hint="eastAsia" w:ascii="仿宋" w:hAnsi="仿宋" w:eastAsia="仿宋" w:cs="仿宋"/>
          <w:i w:val="0"/>
          <w:iCs w:val="0"/>
          <w:color w:val="000000"/>
          <w:kern w:val="0"/>
          <w:sz w:val="28"/>
          <w:szCs w:val="28"/>
          <w:u w:val="none"/>
          <w:lang w:val="en-US" w:eastAsia="zh-CN" w:bidi="ar"/>
        </w:rPr>
        <w:t>1、资料调查法。查询项目准备阶段、决策情况及执行阶段的相关资料。资金使用情况相关资料等档案资料，获取绩效评价工作所需要的其他基础信息、指标等内容。</w:t>
      </w:r>
    </w:p>
    <w:p w14:paraId="75587613">
      <w:pPr>
        <w:widowControl w:val="0"/>
        <w:ind w:firstLine="570"/>
        <w:jc w:val="both"/>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2、座谈调查法。通过与建设单位相关负责人员座谈，获取档案</w:t>
      </w:r>
    </w:p>
    <w:p w14:paraId="7D149DE1">
      <w:pPr>
        <w:widowControl w:val="0"/>
        <w:ind w:firstLine="570"/>
        <w:jc w:val="both"/>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资料中没有体现实施的基础信息。了解项目执行过程中的基本情况，掌握整个项目执行过程中好的做法及存在的问题。</w:t>
      </w:r>
    </w:p>
    <w:p w14:paraId="3B4E5467">
      <w:pPr>
        <w:widowControl w:val="0"/>
        <w:ind w:firstLine="570"/>
        <w:jc w:val="both"/>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3、现场考察调查法。工作组成员到工程现场对项目实施情况进行现场踏勘，获取项目现场的直接信息，及时发现问题。</w:t>
      </w:r>
    </w:p>
    <w:p w14:paraId="18CC12F9">
      <w:pPr>
        <w:widowControl w:val="0"/>
        <w:ind w:firstLine="570"/>
        <w:jc w:val="both"/>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4、走访调查法。针对本项目特点，走访项目所在地惠及的相关部门及群众进行访谈。通过随机走访使用者，选定本项目参建人员及周边群众30人为调查对象，通过直接与使用者面谈或电话联系等，能够了解他们的真实思想和意见，这种方式可以了解到与调查内容更直接的相关信息。</w:t>
      </w:r>
    </w:p>
    <w:p w14:paraId="3E3CBBF8">
      <w:pPr>
        <w:widowControl w:val="0"/>
        <w:ind w:firstLine="570"/>
        <w:jc w:val="both"/>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5、满意度调查法。随机对本项目参建人员及周边群众30人进行满意度测评，以了解本项目实施过程、资金使用等的满意度情况。</w:t>
      </w:r>
    </w:p>
    <w:p w14:paraId="109335DD">
      <w:pPr>
        <w:pStyle w:val="9"/>
        <w:keepNext w:val="0"/>
        <w:keepLines w:val="0"/>
        <w:pageBreakBefore w:val="0"/>
        <w:widowControl/>
        <w:kinsoku/>
        <w:wordWrap/>
        <w:overflowPunct/>
        <w:topLinePunct w:val="0"/>
        <w:autoSpaceDE/>
        <w:autoSpaceDN/>
        <w:bidi w:val="0"/>
        <w:adjustRightInd/>
        <w:snapToGrid/>
        <w:spacing w:after="0" w:line="240" w:lineRule="auto"/>
        <w:ind w:firstLine="560" w:firstLineChars="200"/>
        <w:textAlignment w:val="auto"/>
        <w:outlineLvl w:val="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4、评价标准</w:t>
      </w:r>
      <w:bookmarkEnd w:id="26"/>
    </w:p>
    <w:p w14:paraId="05027909">
      <w:pPr>
        <w:ind w:firstLine="560"/>
        <w:rPr>
          <w:rFonts w:hint="eastAsia" w:ascii="仿宋" w:hAnsi="仿宋" w:eastAsia="仿宋" w:cs="仿宋"/>
          <w:sz w:val="28"/>
          <w:szCs w:val="28"/>
          <w:lang w:val="en-US" w:eastAsia="zh-CN"/>
        </w:rPr>
      </w:pPr>
      <w:r>
        <w:rPr>
          <w:rFonts w:hint="eastAsia" w:ascii="仿宋" w:hAnsi="仿宋" w:eastAsia="仿宋" w:cs="仿宋"/>
          <w:b/>
          <w:bCs/>
          <w:spacing w:val="15"/>
          <w:sz w:val="28"/>
          <w:szCs w:val="28"/>
        </w:rPr>
        <w:t>a.</w:t>
      </w:r>
      <w:r>
        <w:rPr>
          <w:rFonts w:hint="eastAsia" w:ascii="仿宋" w:hAnsi="仿宋" w:eastAsia="仿宋" w:cs="仿宋"/>
          <w:sz w:val="28"/>
          <w:szCs w:val="28"/>
          <w:lang w:val="en-US" w:eastAsia="zh-CN"/>
        </w:rPr>
        <w:t>法律依据</w:t>
      </w:r>
    </w:p>
    <w:p w14:paraId="74B98560">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《中华人民共和国预算法》</w:t>
      </w:r>
    </w:p>
    <w:p w14:paraId="4CCC0A9D">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《中华人民共和国会计法》</w:t>
      </w:r>
    </w:p>
    <w:p w14:paraId="67967DCF">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《中华人民共和国招标投标法》</w:t>
      </w:r>
    </w:p>
    <w:p w14:paraId="0B55A276">
      <w:pPr>
        <w:ind w:firstLine="560"/>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《中华人民共和国政府采购法》</w:t>
      </w:r>
    </w:p>
    <w:p w14:paraId="53F27971">
      <w:pPr>
        <w:numPr>
          <w:ilvl w:val="0"/>
          <w:numId w:val="0"/>
        </w:numPr>
        <w:ind w:firstLine="562" w:firstLineChars="200"/>
        <w:rPr>
          <w:rFonts w:hint="eastAsia" w:ascii="仿宋" w:hAnsi="仿宋" w:eastAsia="仿宋" w:cs="仿宋"/>
          <w:sz w:val="28"/>
          <w:szCs w:val="28"/>
          <w:lang w:val="en-US" w:eastAsia="zh-CN"/>
        </w:rPr>
      </w:pPr>
      <w:r>
        <w:rPr>
          <w:rFonts w:hint="default" w:ascii="仿宋" w:hAnsi="仿宋" w:eastAsia="仿宋" w:cs="仿宋"/>
          <w:b/>
          <w:bCs/>
          <w:sz w:val="28"/>
          <w:szCs w:val="28"/>
          <w:lang w:val="en-US" w:eastAsia="zh-CN"/>
        </w:rPr>
        <w:t>b</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部门规章依据</w:t>
      </w:r>
    </w:p>
    <w:tbl>
      <w:tblPr>
        <w:tblStyle w:val="19"/>
        <w:tblW w:w="8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5326"/>
      </w:tblGrid>
      <w:tr w14:paraId="3A33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2943" w:type="dxa"/>
            <w:shd w:val="clear" w:color="auto" w:fill="AEAAAA" w:themeFill="background2" w:themeFillShade="BF"/>
            <w:vAlign w:val="center"/>
          </w:tcPr>
          <w:p w14:paraId="306920F0">
            <w:pPr>
              <w:widowControl w:val="0"/>
              <w:spacing w:line="400" w:lineRule="exact"/>
              <w:jc w:val="center"/>
              <w:rPr>
                <w:rFonts w:ascii="仿宋" w:hAnsi="仿宋" w:eastAsia="仿宋" w:cs="仿宋"/>
                <w:sz w:val="24"/>
                <w:szCs w:val="24"/>
                <w:lang w:val="en-US" w:eastAsia="zh-CN" w:bidi="ar-SA"/>
              </w:rPr>
            </w:pPr>
            <w:r>
              <w:rPr>
                <w:rFonts w:hint="eastAsia" w:ascii="仿宋" w:hAnsi="仿宋" w:eastAsia="仿宋" w:cs="仿宋"/>
                <w:b/>
                <w:bCs/>
                <w:sz w:val="24"/>
                <w:szCs w:val="24"/>
                <w:lang w:val="en-US" w:eastAsia="zh-CN" w:bidi="ar-SA"/>
              </w:rPr>
              <w:t>文号</w:t>
            </w:r>
          </w:p>
        </w:tc>
        <w:tc>
          <w:tcPr>
            <w:tcW w:w="5326" w:type="dxa"/>
            <w:shd w:val="clear" w:color="auto" w:fill="AEAAAA" w:themeFill="background2" w:themeFillShade="BF"/>
            <w:vAlign w:val="center"/>
          </w:tcPr>
          <w:p w14:paraId="55953B00">
            <w:pPr>
              <w:widowControl w:val="0"/>
              <w:spacing w:line="400" w:lineRule="exact"/>
              <w:jc w:val="center"/>
              <w:rPr>
                <w:rFonts w:ascii="仿宋" w:hAnsi="仿宋" w:eastAsia="仿宋" w:cs="仿宋"/>
                <w:sz w:val="24"/>
                <w:szCs w:val="24"/>
                <w:lang w:val="en-US" w:eastAsia="zh-CN" w:bidi="ar-SA"/>
              </w:rPr>
            </w:pPr>
            <w:r>
              <w:rPr>
                <w:rFonts w:hint="eastAsia" w:ascii="仿宋" w:hAnsi="仿宋" w:eastAsia="仿宋" w:cs="仿宋"/>
                <w:b/>
                <w:bCs/>
                <w:sz w:val="24"/>
                <w:szCs w:val="24"/>
                <w:lang w:val="en-US" w:eastAsia="zh-CN" w:bidi="ar-SA"/>
              </w:rPr>
              <w:t>政策名称</w:t>
            </w:r>
          </w:p>
        </w:tc>
      </w:tr>
      <w:tr w14:paraId="4401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69" w:type="dxa"/>
            <w:gridSpan w:val="2"/>
            <w:vAlign w:val="center"/>
          </w:tcPr>
          <w:p w14:paraId="0CC371BA">
            <w:pPr>
              <w:widowControl w:val="0"/>
              <w:spacing w:line="400" w:lineRule="exact"/>
              <w:jc w:val="center"/>
              <w:rPr>
                <w:rFonts w:ascii="仿宋" w:hAnsi="仿宋" w:eastAsia="仿宋" w:cs="仿宋"/>
                <w:b/>
                <w:bCs/>
                <w:sz w:val="24"/>
                <w:szCs w:val="24"/>
                <w:lang w:val="en-US" w:eastAsia="zh-CN" w:bidi="ar-SA"/>
              </w:rPr>
            </w:pPr>
            <w:r>
              <w:rPr>
                <w:rFonts w:hint="eastAsia" w:ascii="仿宋" w:hAnsi="仿宋" w:eastAsia="仿宋" w:cs="仿宋"/>
                <w:b/>
                <w:bCs/>
                <w:sz w:val="24"/>
                <w:szCs w:val="24"/>
                <w:lang w:val="en-US" w:eastAsia="zh-CN" w:bidi="ar-SA"/>
              </w:rPr>
              <w:t>财政部门（关于绩效评价）</w:t>
            </w:r>
          </w:p>
        </w:tc>
      </w:tr>
      <w:tr w14:paraId="4F2C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7254B0E7">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财预〔2011〕416号</w:t>
            </w:r>
          </w:p>
        </w:tc>
        <w:tc>
          <w:tcPr>
            <w:tcW w:w="5326" w:type="dxa"/>
            <w:vAlign w:val="center"/>
          </w:tcPr>
          <w:p w14:paraId="5E7C5639">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《财政部关于推进预算绩效管理的指导意见》</w:t>
            </w:r>
          </w:p>
        </w:tc>
      </w:tr>
      <w:tr w14:paraId="48B9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943" w:type="dxa"/>
            <w:vAlign w:val="center"/>
          </w:tcPr>
          <w:p w14:paraId="1B56E087">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财预〔2014〕45号</w:t>
            </w:r>
          </w:p>
        </w:tc>
        <w:tc>
          <w:tcPr>
            <w:tcW w:w="5326" w:type="dxa"/>
            <w:vAlign w:val="center"/>
          </w:tcPr>
          <w:p w14:paraId="6B964E85">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《财政部关于印发&lt;地方财政管理绩效综合评价方案&gt;的通知》</w:t>
            </w:r>
          </w:p>
        </w:tc>
      </w:tr>
      <w:tr w14:paraId="47DC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0559EDBE">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财预〔2015〕82号</w:t>
            </w:r>
          </w:p>
        </w:tc>
        <w:tc>
          <w:tcPr>
            <w:tcW w:w="5326" w:type="dxa"/>
            <w:vAlign w:val="center"/>
          </w:tcPr>
          <w:p w14:paraId="621CE79F">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《关于印发预算绩效管理工作考核办法的通知》</w:t>
            </w:r>
          </w:p>
        </w:tc>
      </w:tr>
      <w:tr w14:paraId="7E82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39AE44FF">
            <w:pPr>
              <w:pStyle w:val="25"/>
              <w:spacing w:line="360" w:lineRule="auto"/>
              <w:ind w:firstLine="0" w:firstLineChars="0"/>
              <w:rPr>
                <w:rFonts w:ascii="仿宋" w:hAnsi="仿宋" w:eastAsia="仿宋" w:cs="仿宋"/>
                <w:kern w:val="0"/>
                <w:sz w:val="24"/>
                <w:szCs w:val="24"/>
              </w:rPr>
            </w:pPr>
            <w:r>
              <w:rPr>
                <w:rFonts w:hint="eastAsia" w:ascii="仿宋" w:hAnsi="仿宋" w:eastAsia="仿宋" w:cs="仿宋"/>
                <w:kern w:val="0"/>
                <w:sz w:val="24"/>
                <w:szCs w:val="24"/>
              </w:rPr>
              <w:t>财办预</w:t>
            </w:r>
            <w:r>
              <w:rPr>
                <w:rFonts w:hint="eastAsia" w:ascii="仿宋" w:hAnsi="仿宋" w:eastAsia="仿宋" w:cs="仿宋"/>
                <w:sz w:val="24"/>
                <w:szCs w:val="24"/>
              </w:rPr>
              <w:t>〔</w:t>
            </w:r>
            <w:r>
              <w:rPr>
                <w:rFonts w:hint="eastAsia" w:ascii="仿宋" w:hAnsi="仿宋" w:eastAsia="仿宋" w:cs="仿宋"/>
                <w:kern w:val="0"/>
                <w:sz w:val="24"/>
                <w:szCs w:val="24"/>
              </w:rPr>
              <w:t>2016</w:t>
            </w:r>
            <w:r>
              <w:rPr>
                <w:rFonts w:hint="eastAsia" w:ascii="仿宋" w:hAnsi="仿宋" w:eastAsia="仿宋" w:cs="仿宋"/>
                <w:sz w:val="24"/>
                <w:szCs w:val="24"/>
              </w:rPr>
              <w:t>〕</w:t>
            </w:r>
            <w:r>
              <w:rPr>
                <w:rFonts w:hint="eastAsia" w:ascii="仿宋" w:hAnsi="仿宋" w:eastAsia="仿宋" w:cs="仿宋"/>
                <w:kern w:val="0"/>
                <w:sz w:val="24"/>
                <w:szCs w:val="24"/>
              </w:rPr>
              <w:t>123号</w:t>
            </w:r>
          </w:p>
        </w:tc>
        <w:tc>
          <w:tcPr>
            <w:tcW w:w="5326" w:type="dxa"/>
            <w:vAlign w:val="center"/>
          </w:tcPr>
          <w:p w14:paraId="58F01B60">
            <w:pPr>
              <w:pStyle w:val="25"/>
              <w:spacing w:line="360" w:lineRule="auto"/>
              <w:ind w:firstLine="0" w:firstLineChars="0"/>
              <w:rPr>
                <w:rFonts w:ascii="仿宋" w:hAnsi="仿宋" w:eastAsia="仿宋" w:cs="仿宋"/>
                <w:kern w:val="0"/>
                <w:sz w:val="24"/>
                <w:szCs w:val="24"/>
              </w:rPr>
            </w:pPr>
            <w:r>
              <w:rPr>
                <w:rFonts w:hint="eastAsia" w:ascii="仿宋" w:hAnsi="仿宋" w:eastAsia="仿宋" w:cs="仿宋"/>
                <w:kern w:val="0"/>
                <w:sz w:val="24"/>
                <w:szCs w:val="24"/>
              </w:rPr>
              <w:t>《关于中央部门项目支出绩效自评工作的通知》</w:t>
            </w:r>
          </w:p>
        </w:tc>
      </w:tr>
      <w:tr w14:paraId="4D28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943" w:type="dxa"/>
            <w:vAlign w:val="center"/>
          </w:tcPr>
          <w:p w14:paraId="2203A601">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财预〔2016〕406号</w:t>
            </w:r>
          </w:p>
        </w:tc>
        <w:tc>
          <w:tcPr>
            <w:tcW w:w="5326" w:type="dxa"/>
            <w:vAlign w:val="center"/>
          </w:tcPr>
          <w:p w14:paraId="2911DD25">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《财政部关于完善和推进地方部门预算改革的意见》</w:t>
            </w:r>
          </w:p>
        </w:tc>
      </w:tr>
      <w:tr w14:paraId="730B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943" w:type="dxa"/>
            <w:vAlign w:val="center"/>
          </w:tcPr>
          <w:p w14:paraId="11632F62">
            <w:pPr>
              <w:pStyle w:val="25"/>
              <w:spacing w:line="360" w:lineRule="auto"/>
              <w:ind w:firstLine="0" w:firstLineChars="0"/>
              <w:rPr>
                <w:rFonts w:ascii="仿宋" w:hAnsi="仿宋" w:eastAsia="仿宋" w:cs="仿宋"/>
                <w:kern w:val="0"/>
                <w:sz w:val="24"/>
                <w:szCs w:val="24"/>
              </w:rPr>
            </w:pPr>
            <w:r>
              <w:rPr>
                <w:rFonts w:hint="eastAsia" w:ascii="仿宋" w:hAnsi="仿宋" w:eastAsia="仿宋" w:cs="仿宋"/>
                <w:kern w:val="0"/>
                <w:sz w:val="24"/>
                <w:szCs w:val="24"/>
              </w:rPr>
              <w:t>财预</w:t>
            </w:r>
            <w:r>
              <w:rPr>
                <w:rFonts w:hint="eastAsia" w:ascii="仿宋" w:hAnsi="仿宋" w:eastAsia="仿宋" w:cs="仿宋"/>
                <w:sz w:val="24"/>
                <w:szCs w:val="24"/>
              </w:rPr>
              <w:t>〔</w:t>
            </w:r>
            <w:r>
              <w:rPr>
                <w:rFonts w:hint="eastAsia" w:ascii="仿宋" w:hAnsi="仿宋" w:eastAsia="仿宋" w:cs="仿宋"/>
                <w:kern w:val="0"/>
                <w:sz w:val="24"/>
                <w:szCs w:val="24"/>
              </w:rPr>
              <w:t>2018</w:t>
            </w:r>
            <w:r>
              <w:rPr>
                <w:rFonts w:hint="eastAsia" w:ascii="仿宋" w:hAnsi="仿宋" w:eastAsia="仿宋" w:cs="仿宋"/>
                <w:sz w:val="24"/>
                <w:szCs w:val="24"/>
              </w:rPr>
              <w:t>〕</w:t>
            </w:r>
            <w:r>
              <w:rPr>
                <w:rFonts w:hint="eastAsia" w:ascii="仿宋" w:hAnsi="仿宋" w:eastAsia="仿宋" w:cs="仿宋"/>
                <w:kern w:val="0"/>
                <w:sz w:val="24"/>
                <w:szCs w:val="24"/>
              </w:rPr>
              <w:t>4号</w:t>
            </w:r>
          </w:p>
        </w:tc>
        <w:tc>
          <w:tcPr>
            <w:tcW w:w="5326" w:type="dxa"/>
            <w:vAlign w:val="center"/>
          </w:tcPr>
          <w:p w14:paraId="0D0C8D6D">
            <w:pPr>
              <w:pStyle w:val="25"/>
              <w:spacing w:line="360" w:lineRule="auto"/>
              <w:ind w:firstLine="0" w:firstLineChars="0"/>
              <w:rPr>
                <w:rFonts w:ascii="仿宋" w:hAnsi="仿宋" w:eastAsia="仿宋" w:cs="仿宋"/>
                <w:kern w:val="0"/>
                <w:sz w:val="24"/>
                <w:szCs w:val="24"/>
              </w:rPr>
            </w:pPr>
            <w:r>
              <w:rPr>
                <w:rFonts w:hint="eastAsia" w:ascii="仿宋" w:hAnsi="仿宋" w:eastAsia="仿宋" w:cs="仿宋"/>
                <w:kern w:val="0"/>
                <w:sz w:val="24"/>
                <w:szCs w:val="24"/>
              </w:rPr>
              <w:t>《财政部关于印发财政管理工作绩效考核与激励办法的通知》</w:t>
            </w:r>
          </w:p>
        </w:tc>
      </w:tr>
      <w:tr w14:paraId="26EB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943" w:type="dxa"/>
            <w:vAlign w:val="center"/>
          </w:tcPr>
          <w:p w14:paraId="7156BD27">
            <w:pPr>
              <w:pStyle w:val="25"/>
              <w:spacing w:line="360" w:lineRule="auto"/>
              <w:ind w:firstLine="0" w:firstLineChars="0"/>
              <w:rPr>
                <w:rFonts w:ascii="仿宋" w:hAnsi="仿宋" w:eastAsia="仿宋" w:cs="仿宋"/>
                <w:kern w:val="0"/>
                <w:sz w:val="24"/>
                <w:szCs w:val="24"/>
              </w:rPr>
            </w:pPr>
            <w:r>
              <w:rPr>
                <w:rFonts w:hint="eastAsia" w:ascii="仿宋" w:hAnsi="仿宋" w:eastAsia="仿宋" w:cs="仿宋"/>
                <w:kern w:val="0"/>
                <w:sz w:val="24"/>
                <w:szCs w:val="24"/>
              </w:rPr>
              <w:t>财综</w:t>
            </w:r>
            <w:r>
              <w:rPr>
                <w:rFonts w:hint="eastAsia" w:ascii="仿宋" w:hAnsi="仿宋" w:eastAsia="仿宋" w:cs="仿宋"/>
                <w:sz w:val="24"/>
                <w:szCs w:val="24"/>
              </w:rPr>
              <w:t>〔</w:t>
            </w:r>
            <w:r>
              <w:rPr>
                <w:rFonts w:hint="eastAsia" w:ascii="仿宋" w:hAnsi="仿宋" w:eastAsia="仿宋" w:cs="仿宋"/>
                <w:kern w:val="0"/>
                <w:sz w:val="24"/>
                <w:szCs w:val="24"/>
              </w:rPr>
              <w:t>2018</w:t>
            </w:r>
            <w:r>
              <w:rPr>
                <w:rFonts w:hint="eastAsia" w:ascii="仿宋" w:hAnsi="仿宋" w:eastAsia="仿宋" w:cs="仿宋"/>
                <w:sz w:val="24"/>
                <w:szCs w:val="24"/>
              </w:rPr>
              <w:t>〕</w:t>
            </w:r>
            <w:r>
              <w:rPr>
                <w:rFonts w:hint="eastAsia" w:ascii="仿宋" w:hAnsi="仿宋" w:eastAsia="仿宋" w:cs="仿宋"/>
                <w:kern w:val="0"/>
                <w:sz w:val="24"/>
                <w:szCs w:val="24"/>
              </w:rPr>
              <w:t>42号</w:t>
            </w:r>
          </w:p>
        </w:tc>
        <w:tc>
          <w:tcPr>
            <w:tcW w:w="5326" w:type="dxa"/>
            <w:vAlign w:val="center"/>
          </w:tcPr>
          <w:p w14:paraId="48E4860F">
            <w:pPr>
              <w:pStyle w:val="25"/>
              <w:spacing w:line="360" w:lineRule="auto"/>
              <w:ind w:firstLine="0" w:firstLineChars="0"/>
              <w:rPr>
                <w:rFonts w:ascii="仿宋" w:hAnsi="仿宋" w:eastAsia="仿宋" w:cs="仿宋"/>
                <w:kern w:val="0"/>
                <w:sz w:val="24"/>
                <w:szCs w:val="24"/>
              </w:rPr>
            </w:pPr>
            <w:r>
              <w:rPr>
                <w:rFonts w:hint="eastAsia" w:ascii="仿宋" w:hAnsi="仿宋" w:eastAsia="仿宋" w:cs="仿宋"/>
                <w:kern w:val="0"/>
                <w:sz w:val="24"/>
                <w:szCs w:val="24"/>
              </w:rPr>
              <w:t>《财政部关于推进政府购买服务第三方绩效评价工作的指导意见》</w:t>
            </w:r>
          </w:p>
        </w:tc>
      </w:tr>
      <w:tr w14:paraId="7B67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943" w:type="dxa"/>
            <w:vAlign w:val="center"/>
          </w:tcPr>
          <w:p w14:paraId="260BDB55">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财预〔2018〕69号</w:t>
            </w:r>
          </w:p>
        </w:tc>
        <w:tc>
          <w:tcPr>
            <w:tcW w:w="5326" w:type="dxa"/>
            <w:vAlign w:val="center"/>
          </w:tcPr>
          <w:p w14:paraId="67D9EEF9">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《财政部关于印发&lt;地方财政预算执行支出进度考核办法&gt;的通知》</w:t>
            </w:r>
          </w:p>
        </w:tc>
      </w:tr>
      <w:tr w14:paraId="380B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22364DC7">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财预〔2020〕10 号</w:t>
            </w:r>
          </w:p>
        </w:tc>
        <w:tc>
          <w:tcPr>
            <w:tcW w:w="5326" w:type="dxa"/>
            <w:vAlign w:val="center"/>
          </w:tcPr>
          <w:p w14:paraId="10D706FD">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《关于印发&lt;项目支出绩效评价管理办法&gt;的通知</w:t>
            </w:r>
          </w:p>
        </w:tc>
      </w:tr>
      <w:tr w14:paraId="0DD4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7D968777">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围财评价[2021]5号</w:t>
            </w:r>
          </w:p>
        </w:tc>
        <w:tc>
          <w:tcPr>
            <w:tcW w:w="5326" w:type="dxa"/>
            <w:vAlign w:val="center"/>
          </w:tcPr>
          <w:p w14:paraId="4A20F110">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关于印发《县级项目支出绩效财政和部门重点评价工作规程（试行）》的通知</w:t>
            </w:r>
          </w:p>
        </w:tc>
      </w:tr>
      <w:tr w14:paraId="6C93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200AD9D7">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围财评价[2020]23号</w:t>
            </w:r>
          </w:p>
        </w:tc>
        <w:tc>
          <w:tcPr>
            <w:tcW w:w="5326" w:type="dxa"/>
            <w:vAlign w:val="center"/>
          </w:tcPr>
          <w:p w14:paraId="10241D78">
            <w:pPr>
              <w:widowControl w:val="0"/>
              <w:spacing w:line="400" w:lineRule="exact"/>
              <w:jc w:val="both"/>
              <w:rPr>
                <w:rFonts w:ascii="仿宋" w:hAnsi="仿宋" w:eastAsia="仿宋" w:cs="仿宋"/>
                <w:sz w:val="24"/>
                <w:szCs w:val="24"/>
                <w:lang w:val="en-US" w:eastAsia="zh-CN" w:bidi="ar-SA"/>
              </w:rPr>
            </w:pPr>
            <w:r>
              <w:rPr>
                <w:rFonts w:hint="eastAsia" w:ascii="仿宋" w:hAnsi="仿宋" w:eastAsia="仿宋" w:cs="仿宋"/>
                <w:sz w:val="24"/>
                <w:szCs w:val="24"/>
                <w:lang w:val="en-US" w:eastAsia="zh-CN" w:bidi="ar-SA"/>
              </w:rPr>
              <w:t>关于印发《围场满族蒙古族自治县县级预算绩效重点评价管理办法》的通知</w:t>
            </w:r>
          </w:p>
        </w:tc>
      </w:tr>
      <w:tr w14:paraId="76E4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43" w:type="dxa"/>
            <w:vAlign w:val="center"/>
          </w:tcPr>
          <w:p w14:paraId="610A649F">
            <w:pPr>
              <w:widowControl w:val="0"/>
              <w:spacing w:line="400" w:lineRule="exact"/>
              <w:jc w:val="both"/>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围财评价[2024]5号</w:t>
            </w:r>
          </w:p>
        </w:tc>
        <w:tc>
          <w:tcPr>
            <w:tcW w:w="5326" w:type="dxa"/>
            <w:vAlign w:val="center"/>
          </w:tcPr>
          <w:p w14:paraId="77932249">
            <w:pPr>
              <w:widowControl w:val="0"/>
              <w:spacing w:line="400" w:lineRule="exact"/>
              <w:jc w:val="both"/>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围场满族蒙古族自治县财政局关于印发2024年预算绩效财政重点评价计划的通知</w:t>
            </w:r>
          </w:p>
        </w:tc>
      </w:tr>
    </w:tbl>
    <w:p w14:paraId="78068382">
      <w:pPr>
        <w:ind w:firstLine="562" w:firstLineChars="200"/>
        <w:rPr>
          <w:rFonts w:hint="eastAsia" w:ascii="仿宋" w:hAnsi="仿宋" w:eastAsia="仿宋" w:cs="仿宋"/>
          <w:b/>
          <w:bCs/>
          <w:sz w:val="28"/>
          <w:szCs w:val="28"/>
          <w:lang w:val="en-US" w:eastAsia="zh-CN"/>
        </w:rPr>
      </w:pPr>
      <w:bookmarkStart w:id="27" w:name="_Toc27347"/>
    </w:p>
    <w:p w14:paraId="2D6FDC72">
      <w:pPr>
        <w:ind w:firstLine="562" w:firstLineChars="200"/>
        <w:rPr>
          <w:rFonts w:hint="eastAsia" w:ascii="仿宋" w:hAnsi="仿宋" w:eastAsia="仿宋" w:cs="仿宋"/>
          <w:b/>
          <w:bCs/>
          <w:sz w:val="28"/>
          <w:szCs w:val="28"/>
          <w:lang w:val="en-US" w:eastAsia="zh-CN"/>
        </w:rPr>
      </w:pPr>
    </w:p>
    <w:p w14:paraId="19757A60">
      <w:pPr>
        <w:pStyle w:val="23"/>
        <w:rPr>
          <w:rFonts w:hint="eastAsia"/>
          <w:lang w:val="en-US" w:eastAsia="zh-CN"/>
        </w:rPr>
      </w:pPr>
    </w:p>
    <w:p w14:paraId="6A4A18AE">
      <w:pPr>
        <w:ind w:firstLine="562" w:firstLineChars="200"/>
        <w:rPr>
          <w:rFonts w:hint="eastAsia" w:ascii="仿宋" w:hAnsi="仿宋" w:eastAsia="仿宋" w:cs="仿宋"/>
          <w:b/>
          <w:bCs/>
          <w:sz w:val="28"/>
          <w:szCs w:val="28"/>
          <w:lang w:val="en-US" w:eastAsia="zh-CN"/>
        </w:rPr>
      </w:pPr>
    </w:p>
    <w:p w14:paraId="5325FE5D">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c.</w:t>
      </w:r>
      <w:r>
        <w:rPr>
          <w:rFonts w:hint="eastAsia" w:ascii="仿宋" w:hAnsi="仿宋" w:eastAsia="仿宋" w:cs="仿宋"/>
          <w:sz w:val="28"/>
          <w:szCs w:val="28"/>
          <w:lang w:val="en-US" w:eastAsia="zh-CN"/>
        </w:rPr>
        <w:t>项目相关文件</w:t>
      </w:r>
    </w:p>
    <w:tbl>
      <w:tblPr>
        <w:tblStyle w:val="18"/>
        <w:tblW w:w="0" w:type="auto"/>
        <w:jc w:val="center"/>
        <w:tblLayout w:type="fixed"/>
        <w:tblCellMar>
          <w:top w:w="0" w:type="dxa"/>
          <w:left w:w="108" w:type="dxa"/>
          <w:bottom w:w="0" w:type="dxa"/>
          <w:right w:w="108" w:type="dxa"/>
        </w:tblCellMar>
      </w:tblPr>
      <w:tblGrid>
        <w:gridCol w:w="1036"/>
        <w:gridCol w:w="7251"/>
      </w:tblGrid>
      <w:tr w14:paraId="7787C7C7">
        <w:tblPrEx>
          <w:tblCellMar>
            <w:top w:w="0" w:type="dxa"/>
            <w:left w:w="108" w:type="dxa"/>
            <w:bottom w:w="0" w:type="dxa"/>
            <w:right w:w="108" w:type="dxa"/>
          </w:tblCellMar>
        </w:tblPrEx>
        <w:trPr>
          <w:trHeight w:val="680" w:hRule="atLeast"/>
          <w:jc w:val="center"/>
        </w:trPr>
        <w:tc>
          <w:tcPr>
            <w:tcW w:w="1036" w:type="dxa"/>
            <w:tcBorders>
              <w:top w:val="single" w:color="auto" w:sz="4" w:space="0"/>
              <w:left w:val="single" w:color="auto" w:sz="4" w:space="0"/>
              <w:bottom w:val="single" w:color="auto" w:sz="4" w:space="0"/>
              <w:right w:val="single" w:color="auto" w:sz="4" w:space="0"/>
            </w:tcBorders>
            <w:shd w:val="clear" w:color="auto" w:fill="BEBEBE"/>
            <w:vAlign w:val="center"/>
          </w:tcPr>
          <w:p w14:paraId="5430EC34">
            <w:pPr>
              <w:widowControl/>
              <w:spacing w:line="360" w:lineRule="auto"/>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7251" w:type="dxa"/>
            <w:tcBorders>
              <w:top w:val="single" w:color="auto" w:sz="4" w:space="0"/>
              <w:left w:val="nil"/>
              <w:bottom w:val="single" w:color="auto" w:sz="4" w:space="0"/>
              <w:right w:val="single" w:color="auto" w:sz="4" w:space="0"/>
            </w:tcBorders>
            <w:shd w:val="clear" w:color="auto" w:fill="BEBEBE"/>
            <w:vAlign w:val="center"/>
          </w:tcPr>
          <w:p w14:paraId="0C0C7F8A">
            <w:pPr>
              <w:widowControl/>
              <w:spacing w:line="360" w:lineRule="auto"/>
              <w:jc w:val="center"/>
              <w:rPr>
                <w:rFonts w:ascii="仿宋" w:hAnsi="仿宋" w:eastAsia="仿宋" w:cs="仿宋"/>
                <w:b/>
                <w:bCs/>
                <w:color w:val="000000"/>
                <w:kern w:val="0"/>
                <w:sz w:val="24"/>
              </w:rPr>
            </w:pPr>
            <w:r>
              <w:rPr>
                <w:rFonts w:hint="eastAsia" w:ascii="仿宋" w:hAnsi="仿宋" w:eastAsia="仿宋" w:cs="仿宋"/>
                <w:b/>
                <w:bCs/>
                <w:color w:val="000000"/>
                <w:kern w:val="0"/>
                <w:sz w:val="24"/>
              </w:rPr>
              <w:t>资料名称</w:t>
            </w:r>
          </w:p>
        </w:tc>
      </w:tr>
      <w:tr w14:paraId="487C30CD">
        <w:tblPrEx>
          <w:tblCellMar>
            <w:top w:w="0" w:type="dxa"/>
            <w:left w:w="108" w:type="dxa"/>
            <w:bottom w:w="0" w:type="dxa"/>
            <w:right w:w="108" w:type="dxa"/>
          </w:tblCellMar>
        </w:tblPrEx>
        <w:trPr>
          <w:trHeight w:val="688" w:hRule="atLeast"/>
          <w:jc w:val="center"/>
        </w:trPr>
        <w:tc>
          <w:tcPr>
            <w:tcW w:w="1036" w:type="dxa"/>
            <w:tcBorders>
              <w:top w:val="single" w:color="auto" w:sz="4" w:space="0"/>
              <w:left w:val="single" w:color="auto" w:sz="4" w:space="0"/>
              <w:bottom w:val="single" w:color="auto" w:sz="4" w:space="0"/>
              <w:right w:val="single" w:color="auto" w:sz="4" w:space="0"/>
            </w:tcBorders>
            <w:vAlign w:val="center"/>
          </w:tcPr>
          <w:p w14:paraId="6F89EC1A">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1</w:t>
            </w:r>
          </w:p>
        </w:tc>
        <w:tc>
          <w:tcPr>
            <w:tcW w:w="7251" w:type="dxa"/>
            <w:tcBorders>
              <w:top w:val="single" w:color="auto" w:sz="4" w:space="0"/>
              <w:left w:val="nil"/>
              <w:bottom w:val="single" w:color="auto" w:sz="4" w:space="0"/>
              <w:right w:val="single" w:color="auto" w:sz="4" w:space="0"/>
            </w:tcBorders>
            <w:vAlign w:val="center"/>
          </w:tcPr>
          <w:p w14:paraId="11BB0B3A">
            <w:pPr>
              <w:widowControl/>
              <w:jc w:val="left"/>
              <w:rPr>
                <w:rFonts w:ascii="仿宋" w:hAnsi="仿宋" w:eastAsia="仿宋" w:cs="仿宋"/>
                <w:color w:val="000000"/>
                <w:kern w:val="0"/>
                <w:sz w:val="24"/>
              </w:rPr>
            </w:pPr>
            <w:r>
              <w:rPr>
                <w:rFonts w:hint="eastAsia" w:ascii="仿宋" w:hAnsi="仿宋" w:eastAsia="仿宋" w:cs="仿宋"/>
                <w:color w:val="000000"/>
                <w:kern w:val="0"/>
                <w:sz w:val="24"/>
              </w:rPr>
              <w:t>县政府及各部门相关文件（针对本项目）</w:t>
            </w:r>
          </w:p>
        </w:tc>
      </w:tr>
      <w:tr w14:paraId="3A2E855C">
        <w:tblPrEx>
          <w:tblCellMar>
            <w:top w:w="0" w:type="dxa"/>
            <w:left w:w="108" w:type="dxa"/>
            <w:bottom w:w="0" w:type="dxa"/>
            <w:right w:w="108" w:type="dxa"/>
          </w:tblCellMar>
        </w:tblPrEx>
        <w:trPr>
          <w:trHeight w:val="721" w:hRule="atLeast"/>
          <w:jc w:val="center"/>
        </w:trPr>
        <w:tc>
          <w:tcPr>
            <w:tcW w:w="1036" w:type="dxa"/>
            <w:tcBorders>
              <w:top w:val="nil"/>
              <w:left w:val="single" w:color="auto" w:sz="4" w:space="0"/>
              <w:bottom w:val="single" w:color="auto" w:sz="4" w:space="0"/>
              <w:right w:val="single" w:color="auto" w:sz="4" w:space="0"/>
            </w:tcBorders>
            <w:vAlign w:val="center"/>
          </w:tcPr>
          <w:p w14:paraId="56FC093A">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2</w:t>
            </w:r>
          </w:p>
        </w:tc>
        <w:tc>
          <w:tcPr>
            <w:tcW w:w="7251" w:type="dxa"/>
            <w:tcBorders>
              <w:top w:val="nil"/>
              <w:left w:val="nil"/>
              <w:bottom w:val="single" w:color="auto" w:sz="4" w:space="0"/>
              <w:right w:val="single" w:color="auto" w:sz="4" w:space="0"/>
            </w:tcBorders>
            <w:vAlign w:val="center"/>
          </w:tcPr>
          <w:p w14:paraId="20138A1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相关资金凭证</w:t>
            </w:r>
          </w:p>
        </w:tc>
      </w:tr>
      <w:tr w14:paraId="56FF45C1">
        <w:tblPrEx>
          <w:tblCellMar>
            <w:top w:w="0" w:type="dxa"/>
            <w:left w:w="108" w:type="dxa"/>
            <w:bottom w:w="0" w:type="dxa"/>
            <w:right w:w="108" w:type="dxa"/>
          </w:tblCellMar>
        </w:tblPrEx>
        <w:trPr>
          <w:trHeight w:val="1021" w:hRule="atLeast"/>
          <w:jc w:val="center"/>
        </w:trPr>
        <w:tc>
          <w:tcPr>
            <w:tcW w:w="1036" w:type="dxa"/>
            <w:tcBorders>
              <w:top w:val="single" w:color="auto" w:sz="4" w:space="0"/>
              <w:left w:val="single" w:color="auto" w:sz="4" w:space="0"/>
              <w:bottom w:val="single" w:color="auto" w:sz="4" w:space="0"/>
              <w:right w:val="single" w:color="auto" w:sz="4" w:space="0"/>
            </w:tcBorders>
            <w:vAlign w:val="center"/>
          </w:tcPr>
          <w:p w14:paraId="0E99E825">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3</w:t>
            </w:r>
          </w:p>
        </w:tc>
        <w:tc>
          <w:tcPr>
            <w:tcW w:w="7251" w:type="dxa"/>
            <w:tcBorders>
              <w:top w:val="single" w:color="auto" w:sz="4" w:space="0"/>
              <w:left w:val="nil"/>
              <w:bottom w:val="single" w:color="auto" w:sz="4" w:space="0"/>
              <w:right w:val="single" w:color="auto" w:sz="4" w:space="0"/>
            </w:tcBorders>
            <w:vAlign w:val="center"/>
          </w:tcPr>
          <w:p w14:paraId="27C91CBD">
            <w:pPr>
              <w:widowControl/>
              <w:jc w:val="left"/>
              <w:rPr>
                <w:rFonts w:ascii="仿宋" w:hAnsi="仿宋" w:eastAsia="仿宋" w:cs="仿宋"/>
                <w:color w:val="000000"/>
                <w:kern w:val="0"/>
                <w:sz w:val="24"/>
              </w:rPr>
            </w:pPr>
            <w:r>
              <w:rPr>
                <w:rFonts w:hint="eastAsia" w:ascii="仿宋" w:hAnsi="仿宋" w:eastAsia="仿宋" w:cs="仿宋"/>
                <w:color w:val="000000"/>
                <w:kern w:val="0"/>
                <w:sz w:val="24"/>
              </w:rPr>
              <w:t>项目实施过程资料包括招投标手续、合同、开工报告、资金收支凭证及相关资料，资金管理制度等</w:t>
            </w:r>
          </w:p>
        </w:tc>
      </w:tr>
      <w:tr w14:paraId="3D863134">
        <w:tblPrEx>
          <w:tblCellMar>
            <w:top w:w="0" w:type="dxa"/>
            <w:left w:w="108" w:type="dxa"/>
            <w:bottom w:w="0" w:type="dxa"/>
            <w:right w:w="108" w:type="dxa"/>
          </w:tblCellMar>
        </w:tblPrEx>
        <w:trPr>
          <w:trHeight w:val="707" w:hRule="atLeast"/>
          <w:jc w:val="center"/>
        </w:trPr>
        <w:tc>
          <w:tcPr>
            <w:tcW w:w="1036" w:type="dxa"/>
            <w:tcBorders>
              <w:top w:val="single" w:color="auto" w:sz="4" w:space="0"/>
              <w:left w:val="single" w:color="auto" w:sz="4" w:space="0"/>
              <w:bottom w:val="single" w:color="auto" w:sz="4" w:space="0"/>
              <w:right w:val="single" w:color="auto" w:sz="4" w:space="0"/>
            </w:tcBorders>
            <w:vAlign w:val="center"/>
          </w:tcPr>
          <w:p w14:paraId="0D60CBC3">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4</w:t>
            </w:r>
          </w:p>
        </w:tc>
        <w:tc>
          <w:tcPr>
            <w:tcW w:w="7251" w:type="dxa"/>
            <w:tcBorders>
              <w:top w:val="single" w:color="auto" w:sz="4" w:space="0"/>
              <w:left w:val="nil"/>
              <w:bottom w:val="single" w:color="auto" w:sz="4" w:space="0"/>
              <w:right w:val="single" w:color="auto" w:sz="4" w:space="0"/>
            </w:tcBorders>
            <w:vAlign w:val="center"/>
          </w:tcPr>
          <w:p w14:paraId="5B7884BF">
            <w:pPr>
              <w:widowControl/>
              <w:jc w:val="left"/>
              <w:rPr>
                <w:rFonts w:ascii="仿宋" w:hAnsi="仿宋" w:eastAsia="仿宋" w:cs="仿宋"/>
                <w:color w:val="000000"/>
                <w:kern w:val="0"/>
                <w:sz w:val="24"/>
              </w:rPr>
            </w:pPr>
            <w:r>
              <w:rPr>
                <w:rFonts w:hint="eastAsia" w:ascii="仿宋" w:hAnsi="仿宋" w:eastAsia="仿宋" w:cs="仿宋"/>
                <w:color w:val="000000"/>
                <w:kern w:val="0"/>
                <w:sz w:val="24"/>
              </w:rPr>
              <w:t>绩效目标申报表</w:t>
            </w:r>
          </w:p>
        </w:tc>
      </w:tr>
      <w:bookmarkEnd w:id="27"/>
    </w:tbl>
    <w:p w14:paraId="05590D52">
      <w:pPr>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（三）绩效评价工作过程。</w:t>
      </w:r>
    </w:p>
    <w:p w14:paraId="24A517F9">
      <w:pPr>
        <w:widowControl/>
        <w:ind w:firstLine="560" w:firstLineChars="200"/>
        <w:rPr>
          <w:rFonts w:ascii="仿宋" w:hAnsi="仿宋" w:eastAsia="仿宋" w:cs="宋体"/>
          <w:sz w:val="28"/>
          <w:szCs w:val="28"/>
        </w:rPr>
      </w:pPr>
      <w:r>
        <w:rPr>
          <w:rFonts w:hint="eastAsia" w:ascii="仿宋" w:hAnsi="仿宋" w:eastAsia="仿宋" w:cs="仿宋"/>
          <w:b w:val="0"/>
          <w:bCs w:val="0"/>
          <w:sz w:val="28"/>
          <w:szCs w:val="28"/>
          <w:lang w:val="en-US" w:eastAsia="zh-CN"/>
        </w:rPr>
        <w:t>根据围场满族蒙古族自治县财政局和河北中宏胜泰工程项目管理有限公司签订的《围场满族蒙古族自治县2023—2024年预算绩效管理服务项目服务合同》</w:t>
      </w:r>
      <w:r>
        <w:rPr>
          <w:rFonts w:hint="eastAsia" w:ascii="仿宋" w:hAnsi="仿宋" w:eastAsia="仿宋" w:cs="仿宋"/>
          <w:b w:val="0"/>
          <w:bCs w:val="0"/>
          <w:kern w:val="0"/>
          <w:sz w:val="28"/>
          <w:szCs w:val="28"/>
          <w:lang w:eastAsia="zh-CN"/>
        </w:rPr>
        <w:t>，</w:t>
      </w:r>
      <w:r>
        <w:rPr>
          <w:rFonts w:hint="eastAsia" w:ascii="仿宋" w:hAnsi="仿宋" w:eastAsia="仿宋" w:cs="仿宋"/>
          <w:b w:val="0"/>
          <w:bCs w:val="0"/>
          <w:kern w:val="0"/>
          <w:sz w:val="28"/>
          <w:szCs w:val="28"/>
          <w:lang w:val="en-US" w:eastAsia="zh-CN"/>
        </w:rPr>
        <w:t>我公司负责在合同约定的期限内提供预算绩效管理咨询服务。根据</w:t>
      </w:r>
      <w:r>
        <w:rPr>
          <w:rFonts w:hint="eastAsia" w:ascii="仿宋" w:hAnsi="仿宋" w:eastAsia="仿宋" w:cs="仿宋"/>
          <w:kern w:val="0"/>
          <w:sz w:val="28"/>
          <w:szCs w:val="28"/>
          <w:highlight w:val="none"/>
          <w:lang w:val="en-US" w:eastAsia="zh-CN"/>
        </w:rPr>
        <w:t>《围场满族蒙古族自治县财政局关于印发2024年预算绩效财政重点评价计划的通知》（围财评价[2024]5号）要求，</w:t>
      </w:r>
      <w:r>
        <w:rPr>
          <w:rFonts w:hint="eastAsia" w:ascii="仿宋" w:hAnsi="仿宋" w:eastAsia="仿宋" w:cs="仿宋"/>
          <w:kern w:val="0"/>
          <w:sz w:val="28"/>
          <w:szCs w:val="28"/>
          <w:lang w:val="en-US" w:eastAsia="zh-CN"/>
        </w:rPr>
        <w:t>对本项目实施情况的经济性、规范性、效率性和公平性等进行客观、公正的测量、分析和评判。</w:t>
      </w:r>
      <w:r>
        <w:rPr>
          <w:rFonts w:hint="eastAsia" w:ascii="仿宋" w:hAnsi="仿宋" w:eastAsia="仿宋" w:cs="宋体"/>
          <w:sz w:val="28"/>
          <w:szCs w:val="28"/>
        </w:rPr>
        <w:t>按照</w:t>
      </w:r>
      <w:r>
        <w:rPr>
          <w:rFonts w:hint="eastAsia" w:ascii="仿宋" w:hAnsi="仿宋" w:eastAsia="仿宋" w:cs="仿宋"/>
          <w:sz w:val="28"/>
          <w:szCs w:val="28"/>
        </w:rPr>
        <w:t>《</w:t>
      </w:r>
      <w:r>
        <w:rPr>
          <w:rFonts w:hint="eastAsia" w:ascii="仿宋" w:hAnsi="仿宋" w:eastAsia="仿宋" w:cs="仿宋"/>
          <w:sz w:val="28"/>
          <w:szCs w:val="28"/>
          <w:lang w:val="en-US" w:eastAsia="zh-CN"/>
        </w:rPr>
        <w:t>塞罕坝社会综合治理信息化平台项目（7600万元专项债）</w:t>
      </w:r>
      <w:r>
        <w:rPr>
          <w:rFonts w:hint="eastAsia" w:ascii="仿宋" w:hAnsi="仿宋" w:eastAsia="仿宋" w:cs="仿宋"/>
          <w:sz w:val="28"/>
          <w:szCs w:val="28"/>
        </w:rPr>
        <w:t>支出绩效重点评价实施方案》要求及</w:t>
      </w:r>
      <w:r>
        <w:rPr>
          <w:rFonts w:hint="eastAsia" w:ascii="仿宋" w:hAnsi="仿宋" w:eastAsia="仿宋" w:cs="宋体"/>
          <w:sz w:val="28"/>
          <w:szCs w:val="28"/>
        </w:rPr>
        <w:t>本项目实际情况，经绩效评价小组与围场满族蒙古族自治</w:t>
      </w:r>
      <w:r>
        <w:rPr>
          <w:rFonts w:hint="eastAsia" w:ascii="仿宋" w:hAnsi="仿宋" w:eastAsia="仿宋" w:cs="宋体"/>
          <w:sz w:val="28"/>
          <w:szCs w:val="28"/>
          <w:lang w:eastAsia="zh-CN"/>
        </w:rPr>
        <w:t>县公安局</w:t>
      </w:r>
      <w:r>
        <w:rPr>
          <w:rFonts w:hint="eastAsia" w:ascii="仿宋" w:hAnsi="仿宋" w:eastAsia="仿宋" w:cs="宋体"/>
          <w:sz w:val="28"/>
          <w:szCs w:val="28"/>
        </w:rPr>
        <w:t>联系，</w:t>
      </w:r>
      <w:r>
        <w:rPr>
          <w:rFonts w:hint="eastAsia" w:ascii="仿宋" w:hAnsi="仿宋" w:eastAsia="仿宋" w:cs="宋体"/>
          <w:sz w:val="28"/>
          <w:szCs w:val="28"/>
          <w:highlight w:val="none"/>
        </w:rPr>
        <w:t>进行现场</w:t>
      </w:r>
      <w:r>
        <w:rPr>
          <w:rFonts w:hint="eastAsia" w:ascii="仿宋" w:hAnsi="仿宋" w:eastAsia="仿宋" w:cs="宋体"/>
          <w:sz w:val="28"/>
          <w:szCs w:val="28"/>
          <w:highlight w:val="none"/>
          <w:lang w:val="en-US" w:eastAsia="zh-CN"/>
        </w:rPr>
        <w:t>调查</w:t>
      </w:r>
      <w:r>
        <w:rPr>
          <w:rFonts w:hint="eastAsia" w:ascii="仿宋" w:hAnsi="仿宋" w:eastAsia="仿宋" w:cs="宋体"/>
          <w:sz w:val="28"/>
          <w:szCs w:val="28"/>
          <w:highlight w:val="none"/>
        </w:rPr>
        <w:t>及资料核对、满意度测评等工作。然后，绩效评价小组根据</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塞罕坝社会综合治理信息化平台项目（7600万元专项债）</w:t>
      </w:r>
      <w:r>
        <w:rPr>
          <w:rFonts w:hint="eastAsia" w:ascii="仿宋" w:hAnsi="仿宋" w:eastAsia="仿宋" w:cs="仿宋"/>
          <w:sz w:val="28"/>
          <w:szCs w:val="28"/>
          <w:highlight w:val="none"/>
        </w:rPr>
        <w:t>支出绩效重点评价实施方案》要求、现</w:t>
      </w:r>
      <w:r>
        <w:rPr>
          <w:rFonts w:hint="eastAsia" w:ascii="仿宋" w:hAnsi="仿宋" w:eastAsia="仿宋" w:cs="仿宋"/>
          <w:sz w:val="28"/>
          <w:szCs w:val="28"/>
        </w:rPr>
        <w:t>场</w:t>
      </w:r>
      <w:r>
        <w:rPr>
          <w:rFonts w:hint="eastAsia" w:ascii="仿宋" w:hAnsi="仿宋" w:eastAsia="仿宋" w:cs="仿宋"/>
          <w:sz w:val="28"/>
          <w:szCs w:val="28"/>
          <w:lang w:val="en-US" w:eastAsia="zh-CN"/>
        </w:rPr>
        <w:t>调查</w:t>
      </w:r>
      <w:r>
        <w:rPr>
          <w:rFonts w:hint="eastAsia" w:ascii="仿宋" w:hAnsi="仿宋" w:eastAsia="仿宋" w:cs="仿宋"/>
          <w:sz w:val="28"/>
          <w:szCs w:val="28"/>
        </w:rPr>
        <w:t>情况、满意度测评结果等，以及绩效评价相关政策，对本项目进行综合评价。</w:t>
      </w:r>
    </w:p>
    <w:p w14:paraId="7D387FCD">
      <w:pPr>
        <w:pStyle w:val="23"/>
        <w:keepNext w:val="0"/>
        <w:keepLines w:val="0"/>
        <w:pageBreakBefore w:val="0"/>
        <w:widowControl w:val="0"/>
        <w:kinsoku/>
        <w:wordWrap/>
        <w:overflowPunct/>
        <w:topLinePunct w:val="0"/>
        <w:autoSpaceDE w:val="0"/>
        <w:autoSpaceDN w:val="0"/>
        <w:bidi w:val="0"/>
        <w:adjustRightInd w:val="0"/>
        <w:snapToGrid/>
        <w:spacing w:line="240" w:lineRule="auto"/>
        <w:ind w:firstLine="560" w:firstLineChars="200"/>
        <w:jc w:val="both"/>
        <w:textAlignment w:val="auto"/>
        <w:rPr>
          <w:rFonts w:hint="eastAsia" w:ascii="仿宋" w:hAnsi="仿宋" w:eastAsia="仿宋" w:cs="仿宋"/>
          <w:color w:val="000000"/>
          <w:kern w:val="0"/>
          <w:sz w:val="28"/>
          <w:szCs w:val="28"/>
          <w:highlight w:val="yellow"/>
          <w:lang w:val="en-US" w:eastAsia="zh-CN"/>
        </w:rPr>
        <w:sectPr>
          <w:pgSz w:w="11906" w:h="16838"/>
          <w:pgMar w:top="1440" w:right="1800" w:bottom="1440" w:left="1800" w:header="851" w:footer="992" w:gutter="0"/>
          <w:pgNumType w:fmt="decimal"/>
          <w:cols w:space="425" w:num="1"/>
          <w:docGrid w:type="lines" w:linePitch="312" w:charSpace="0"/>
        </w:sectPr>
      </w:pPr>
    </w:p>
    <w:p w14:paraId="6D51204D">
      <w:pPr>
        <w:pStyle w:val="2"/>
        <w:ind w:firstLine="562" w:firstLineChars="200"/>
        <w:jc w:val="left"/>
        <w:rPr>
          <w:rFonts w:hint="eastAsia" w:ascii="黑体" w:hAnsi="黑体" w:eastAsia="黑体" w:cs="黑体"/>
          <w:lang w:val="en-US" w:eastAsia="zh-CN"/>
        </w:rPr>
      </w:pPr>
      <w:bookmarkStart w:id="28" w:name="_Toc29085"/>
      <w:r>
        <w:rPr>
          <w:rFonts w:hint="eastAsia" w:eastAsia="黑体" w:cs="黑体"/>
          <w:lang w:val="en-US" w:eastAsia="zh-CN"/>
        </w:rPr>
        <w:t>四</w:t>
      </w:r>
      <w:r>
        <w:rPr>
          <w:rFonts w:hint="eastAsia" w:ascii="黑体" w:hAnsi="黑体" w:eastAsia="黑体" w:cs="黑体"/>
          <w:lang w:val="en-US" w:eastAsia="zh-CN"/>
        </w:rPr>
        <w:t>、综合评价情况及评价结论</w:t>
      </w:r>
      <w:bookmarkEnd w:id="28"/>
    </w:p>
    <w:p w14:paraId="743F7D21">
      <w:pPr>
        <w:widowControl/>
        <w:ind w:firstLine="56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绩效评价结果采取评分和评级相结合的方式，具体分值和对应等级根据不同评价内容设定。总分设置为100分，分值和对应等级划分为四档：90（含）-100分为优、80（含）-90分为良、60（含）-80分为中、60分以下为差。</w:t>
      </w:r>
    </w:p>
    <w:p w14:paraId="45129F1A">
      <w:pPr>
        <w:widowControl/>
        <w:ind w:firstLine="56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按照绩效评价指标体系及绩效评价工作过程，通过对塞罕坝社会综合治理信息化平台项目（7600万元专项债）与指标体系的对比分析，本项目决策情况得分：13分；项目过程情况得分：19分；项目产出情况得分：34分；项目效益情况得分：25分；本项目绩效评价综合得分91分，综合评价等级为</w:t>
      </w:r>
      <w:r>
        <w:rPr>
          <w:rFonts w:hint="eastAsia" w:ascii="仿宋" w:hAnsi="仿宋" w:eastAsia="仿宋" w:cs="仿宋"/>
          <w:b w:val="0"/>
          <w:bCs w:val="0"/>
          <w:kern w:val="2"/>
          <w:sz w:val="28"/>
          <w:szCs w:val="28"/>
          <w:highlight w:val="none"/>
          <w:cs/>
          <w:lang w:val="en-US" w:eastAsia="zh-CN" w:bidi="ar-SA"/>
        </w:rPr>
        <w:t>“</w:t>
      </w:r>
      <w:r>
        <w:rPr>
          <w:rFonts w:hint="eastAsia" w:ascii="仿宋" w:hAnsi="仿宋" w:eastAsia="仿宋" w:cs="仿宋"/>
          <w:b w:val="0"/>
          <w:bCs w:val="0"/>
          <w:kern w:val="2"/>
          <w:sz w:val="28"/>
          <w:szCs w:val="28"/>
          <w:highlight w:val="none"/>
          <w:lang w:val="en-US" w:eastAsia="zh-CN" w:bidi="ar-SA"/>
        </w:rPr>
        <w:t>优</w:t>
      </w:r>
      <w:r>
        <w:rPr>
          <w:rFonts w:hint="eastAsia" w:ascii="仿宋" w:hAnsi="仿宋" w:eastAsia="仿宋" w:cs="仿宋"/>
          <w:b w:val="0"/>
          <w:bCs w:val="0"/>
          <w:kern w:val="2"/>
          <w:sz w:val="28"/>
          <w:szCs w:val="28"/>
          <w:highlight w:val="none"/>
          <w:cs/>
          <w:lang w:val="en-US" w:eastAsia="zh-CN" w:bidi="ar-SA"/>
        </w:rPr>
        <w:t>”</w:t>
      </w:r>
      <w:r>
        <w:rPr>
          <w:rFonts w:hint="eastAsia" w:ascii="仿宋" w:hAnsi="仿宋" w:eastAsia="仿宋" w:cs="仿宋"/>
          <w:b w:val="0"/>
          <w:bCs w:val="0"/>
          <w:kern w:val="2"/>
          <w:sz w:val="28"/>
          <w:szCs w:val="28"/>
          <w:highlight w:val="none"/>
          <w:lang w:val="en-US" w:eastAsia="zh-CN" w:bidi="ar-SA"/>
        </w:rPr>
        <w:t>。</w:t>
      </w:r>
    </w:p>
    <w:tbl>
      <w:tblPr>
        <w:tblStyle w:val="18"/>
        <w:tblW w:w="14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6"/>
        <w:gridCol w:w="911"/>
        <w:gridCol w:w="922"/>
        <w:gridCol w:w="2713"/>
        <w:gridCol w:w="4485"/>
        <w:gridCol w:w="2910"/>
        <w:gridCol w:w="806"/>
        <w:gridCol w:w="772"/>
      </w:tblGrid>
      <w:tr w14:paraId="0C160293">
        <w:tblPrEx>
          <w:shd w:val="clear" w:color="auto" w:fill="auto"/>
          <w:tblCellMar>
            <w:top w:w="0" w:type="dxa"/>
            <w:left w:w="108" w:type="dxa"/>
            <w:bottom w:w="0" w:type="dxa"/>
            <w:right w:w="108" w:type="dxa"/>
          </w:tblCellMar>
        </w:tblPrEx>
        <w:trPr>
          <w:trHeight w:val="643" w:hRule="atLeast"/>
          <w:jc w:val="center"/>
        </w:trPr>
        <w:tc>
          <w:tcPr>
            <w:tcW w:w="9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DFD7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一级指标</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5EF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二级指标</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7C0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三级指标</w:t>
            </w:r>
          </w:p>
        </w:tc>
        <w:tc>
          <w:tcPr>
            <w:tcW w:w="2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56C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指标解释</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77E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指标说明</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506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评分标准</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465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分值</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704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得分</w:t>
            </w:r>
          </w:p>
        </w:tc>
      </w:tr>
      <w:tr w14:paraId="135C9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26" w:type="dxa"/>
            <w:vMerge w:val="restart"/>
            <w:tcBorders>
              <w:top w:val="single" w:color="000000" w:sz="4" w:space="0"/>
              <w:left w:val="single" w:color="000000" w:sz="4" w:space="0"/>
              <w:bottom w:val="nil"/>
              <w:right w:val="single" w:color="000000" w:sz="4" w:space="0"/>
            </w:tcBorders>
            <w:shd w:val="clear" w:color="auto" w:fill="auto"/>
            <w:vAlign w:val="center"/>
          </w:tcPr>
          <w:p w14:paraId="67BB52E4">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决策</w:t>
            </w:r>
          </w:p>
          <w:p w14:paraId="1371F5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8CE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项目立项（4）</w:t>
            </w:r>
          </w:p>
        </w:tc>
        <w:tc>
          <w:tcPr>
            <w:tcW w:w="922" w:type="dxa"/>
            <w:vMerge w:val="restart"/>
            <w:tcBorders>
              <w:top w:val="single" w:color="000000" w:sz="4" w:space="0"/>
              <w:left w:val="single" w:color="000000" w:sz="4" w:space="0"/>
              <w:bottom w:val="nil"/>
              <w:right w:val="single" w:color="000000" w:sz="4" w:space="0"/>
            </w:tcBorders>
            <w:shd w:val="clear" w:color="auto" w:fill="auto"/>
            <w:vAlign w:val="center"/>
          </w:tcPr>
          <w:p w14:paraId="10ECFD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立项依据充分性</w:t>
            </w:r>
          </w:p>
        </w:tc>
        <w:tc>
          <w:tcPr>
            <w:tcW w:w="2713" w:type="dxa"/>
            <w:vMerge w:val="restart"/>
            <w:tcBorders>
              <w:top w:val="single" w:color="000000" w:sz="4" w:space="0"/>
              <w:left w:val="single" w:color="000000" w:sz="4" w:space="0"/>
              <w:bottom w:val="nil"/>
              <w:right w:val="single" w:color="000000" w:sz="4" w:space="0"/>
            </w:tcBorders>
            <w:shd w:val="clear" w:color="auto" w:fill="auto"/>
            <w:vAlign w:val="center"/>
          </w:tcPr>
          <w:p w14:paraId="5B7D5FF1">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项目立项是否符合法律法规、相关政策、发展规划以及部门职责，用以反映和考核项目立项依据情况。</w:t>
            </w:r>
          </w:p>
        </w:tc>
        <w:tc>
          <w:tcPr>
            <w:tcW w:w="4485" w:type="dxa"/>
            <w:vMerge w:val="restart"/>
            <w:tcBorders>
              <w:top w:val="single" w:color="000000" w:sz="4" w:space="0"/>
              <w:left w:val="single" w:color="000000" w:sz="4" w:space="0"/>
              <w:bottom w:val="nil"/>
              <w:right w:val="single" w:color="000000" w:sz="4" w:space="0"/>
            </w:tcBorders>
            <w:shd w:val="clear" w:color="auto" w:fill="auto"/>
            <w:vAlign w:val="center"/>
          </w:tcPr>
          <w:p w14:paraId="0086B9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①项目立项是否符合国家法律法规、国民经济发展规划和相关政策；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②项目立项是否符合行业发展规划和政策要求；</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C9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完全符合 2分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36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82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2分</w:t>
            </w:r>
          </w:p>
        </w:tc>
      </w:tr>
      <w:tr w14:paraId="1FEBC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0F5D129C">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02195">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nil"/>
              <w:right w:val="single" w:color="000000" w:sz="4" w:space="0"/>
            </w:tcBorders>
            <w:shd w:val="clear" w:color="auto" w:fill="auto"/>
            <w:vAlign w:val="center"/>
          </w:tcPr>
          <w:p w14:paraId="35D1D784">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nil"/>
              <w:right w:val="single" w:color="000000" w:sz="4" w:space="0"/>
            </w:tcBorders>
            <w:shd w:val="clear" w:color="auto" w:fill="auto"/>
            <w:vAlign w:val="center"/>
          </w:tcPr>
          <w:p w14:paraId="26B4BDEC">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nil"/>
              <w:right w:val="single" w:color="000000" w:sz="4" w:space="0"/>
            </w:tcBorders>
            <w:shd w:val="clear" w:color="auto" w:fill="auto"/>
            <w:vAlign w:val="center"/>
          </w:tcPr>
          <w:p w14:paraId="08335575">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273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基本符合 1.5分 </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22D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F29C">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45173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04909E0E">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33178">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nil"/>
              <w:right w:val="single" w:color="000000" w:sz="4" w:space="0"/>
            </w:tcBorders>
            <w:shd w:val="clear" w:color="auto" w:fill="auto"/>
            <w:vAlign w:val="center"/>
          </w:tcPr>
          <w:p w14:paraId="4D434F5A">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nil"/>
              <w:right w:val="single" w:color="000000" w:sz="4" w:space="0"/>
            </w:tcBorders>
            <w:shd w:val="clear" w:color="auto" w:fill="auto"/>
            <w:vAlign w:val="center"/>
          </w:tcPr>
          <w:p w14:paraId="55CE6F2D">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nil"/>
              <w:right w:val="single" w:color="000000" w:sz="4" w:space="0"/>
            </w:tcBorders>
            <w:shd w:val="clear" w:color="auto" w:fill="auto"/>
            <w:vAlign w:val="center"/>
          </w:tcPr>
          <w:p w14:paraId="5909B1B3">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57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不够符合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9BF2">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C3D2">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89F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099F0664">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7594A">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521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立项程序规范性</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B139A">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项目申请、设立过程是否符合相关要求，用以反映和考核项目立项的规范情况。</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FE0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①项目是否按照规定的程序申请设立；</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②审批文件、材料是否符合相关要求；</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D1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程序规范 2分 </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84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12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2分</w:t>
            </w:r>
          </w:p>
        </w:tc>
      </w:tr>
      <w:tr w14:paraId="68F95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442C1CC4">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2D731">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68873">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AB2FC">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FB2FB">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6A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比较规范 1.5分 </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57B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68E0">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5CDD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383D131D">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08FCE">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F7D17">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BAB99">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A1AF">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3D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不够规范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DBB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3CF4">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44FDA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052A5205">
            <w:pPr>
              <w:jc w:val="center"/>
              <w:rPr>
                <w:rFonts w:hint="eastAsia" w:ascii="宋体" w:hAnsi="宋体" w:eastAsia="宋体" w:cs="宋体"/>
                <w:i w:val="0"/>
                <w:iCs w:val="0"/>
                <w:color w:val="000000"/>
                <w:sz w:val="16"/>
                <w:szCs w:val="16"/>
                <w:u w:val="none"/>
              </w:rPr>
            </w:pP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50F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绩效目标（6）</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428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绩效目标合理性</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3CE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项目所设定的绩效目标是否依据充分，是否符合客观实际，用以反映和考核项目绩效目标与项目实施的相符情况。</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C991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①项目是否有绩效目标；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②项目绩效目标与实际工作内容是否具有相关性；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③是否与预算确定的项目投资额或资金量相匹配；</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D33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目标设定合理3分   </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D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1D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2分</w:t>
            </w:r>
          </w:p>
        </w:tc>
      </w:tr>
      <w:tr w14:paraId="53331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5A5BC3FC">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901BC">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A0321">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C9AF0">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87278">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6C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目标设定比较合理 2分 </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449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D4FE">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23130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13F4141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EE91F">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C7B34">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5740D">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0DD55">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B3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目标设定不合理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102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06CC">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CFFE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570F5DDE">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84123">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D50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绩效指标明确性</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4E3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依据绩效目标设定的绩效指标是否清晰、细化、可衡量等，用以反映和考核项目绩效目标的明细化情况。</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8916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①是否将项目绩效目标细化分解为具体的绩效指标；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②是否通过清晰、可衡量的指标值予以体现；</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③是否与项目目标任务数或计划数相对应。</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F99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指标设定明确、清晰 3分     </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C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86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2分</w:t>
            </w:r>
          </w:p>
        </w:tc>
      </w:tr>
      <w:tr w14:paraId="639CB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0B2EB367">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94960">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C7F06">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6C53B">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8B1D5">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27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指标设定比较清晰、明确2分 </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B488">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E18D9">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4782B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4E0BDBBB">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0ABC7">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262CE">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87D8B">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58D3F">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9D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指标设定不够清晰、明确0分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167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0AD5">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C8AF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60D51F4D">
            <w:pPr>
              <w:jc w:val="center"/>
              <w:rPr>
                <w:rFonts w:hint="eastAsia" w:ascii="宋体" w:hAnsi="宋体" w:eastAsia="宋体" w:cs="宋体"/>
                <w:i w:val="0"/>
                <w:iCs w:val="0"/>
                <w:color w:val="000000"/>
                <w:sz w:val="16"/>
                <w:szCs w:val="16"/>
                <w:u w:val="none"/>
              </w:rPr>
            </w:pPr>
          </w:p>
        </w:tc>
        <w:tc>
          <w:tcPr>
            <w:tcW w:w="911" w:type="dxa"/>
            <w:vMerge w:val="restart"/>
            <w:tcBorders>
              <w:top w:val="single" w:color="000000" w:sz="4" w:space="0"/>
              <w:left w:val="single" w:color="000000" w:sz="4" w:space="0"/>
              <w:bottom w:val="nil"/>
              <w:right w:val="single" w:color="000000" w:sz="4" w:space="0"/>
            </w:tcBorders>
            <w:shd w:val="clear" w:color="auto" w:fill="auto"/>
            <w:vAlign w:val="center"/>
          </w:tcPr>
          <w:p w14:paraId="530C70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资金投入（5）</w:t>
            </w:r>
          </w:p>
        </w:tc>
        <w:tc>
          <w:tcPr>
            <w:tcW w:w="922" w:type="dxa"/>
            <w:vMerge w:val="restart"/>
            <w:tcBorders>
              <w:top w:val="single" w:color="000000" w:sz="4" w:space="0"/>
              <w:left w:val="single" w:color="000000" w:sz="4" w:space="0"/>
              <w:bottom w:val="nil"/>
              <w:right w:val="single" w:color="000000" w:sz="4" w:space="0"/>
            </w:tcBorders>
            <w:shd w:val="clear" w:color="auto" w:fill="auto"/>
            <w:vAlign w:val="center"/>
          </w:tcPr>
          <w:p w14:paraId="10640B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预算编制科学性</w:t>
            </w:r>
          </w:p>
        </w:tc>
        <w:tc>
          <w:tcPr>
            <w:tcW w:w="2713" w:type="dxa"/>
            <w:vMerge w:val="restart"/>
            <w:tcBorders>
              <w:top w:val="single" w:color="000000" w:sz="4" w:space="0"/>
              <w:left w:val="single" w:color="000000" w:sz="4" w:space="0"/>
              <w:bottom w:val="nil"/>
              <w:right w:val="single" w:color="000000" w:sz="4" w:space="0"/>
            </w:tcBorders>
            <w:shd w:val="clear" w:color="auto" w:fill="auto"/>
            <w:vAlign w:val="center"/>
          </w:tcPr>
          <w:p w14:paraId="4A437A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项目预算编制是否经过科学论证、有明确标准，资金额度与年度目标是否相适应，用以反映和考核项目预算编制的科学性、合理性情况。</w:t>
            </w:r>
          </w:p>
        </w:tc>
        <w:tc>
          <w:tcPr>
            <w:tcW w:w="4485" w:type="dxa"/>
            <w:vMerge w:val="restart"/>
            <w:tcBorders>
              <w:top w:val="single" w:color="000000" w:sz="4" w:space="0"/>
              <w:left w:val="single" w:color="000000" w:sz="4" w:space="0"/>
              <w:bottom w:val="nil"/>
              <w:right w:val="single" w:color="000000" w:sz="4" w:space="0"/>
            </w:tcBorders>
            <w:shd w:val="clear" w:color="auto" w:fill="auto"/>
            <w:vAlign w:val="center"/>
          </w:tcPr>
          <w:p w14:paraId="4ADDEA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①预算编制是否经过科学论证；</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②预算内容与项目内容是否匹配；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③预算确定的项目投资额或资金量是否与工作任务相匹配。</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1A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预算编制科学 2分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27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25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2分</w:t>
            </w:r>
          </w:p>
        </w:tc>
      </w:tr>
      <w:tr w14:paraId="72DE6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698603A4">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nil"/>
              <w:right w:val="single" w:color="000000" w:sz="4" w:space="0"/>
            </w:tcBorders>
            <w:shd w:val="clear" w:color="auto" w:fill="auto"/>
            <w:vAlign w:val="center"/>
          </w:tcPr>
          <w:p w14:paraId="4F56822E">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nil"/>
              <w:right w:val="single" w:color="000000" w:sz="4" w:space="0"/>
            </w:tcBorders>
            <w:shd w:val="clear" w:color="auto" w:fill="auto"/>
            <w:vAlign w:val="center"/>
          </w:tcPr>
          <w:p w14:paraId="39BAB84D">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nil"/>
              <w:right w:val="single" w:color="000000" w:sz="4" w:space="0"/>
            </w:tcBorders>
            <w:shd w:val="clear" w:color="auto" w:fill="auto"/>
            <w:vAlign w:val="center"/>
          </w:tcPr>
          <w:p w14:paraId="0F18F156">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nil"/>
              <w:right w:val="single" w:color="000000" w:sz="4" w:space="0"/>
            </w:tcBorders>
            <w:shd w:val="clear" w:color="auto" w:fill="auto"/>
            <w:vAlign w:val="center"/>
          </w:tcPr>
          <w:p w14:paraId="1AB47805">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67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预算编制比较科学 1分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491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CF2B">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15432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3FC91DB0">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nil"/>
              <w:right w:val="single" w:color="000000" w:sz="4" w:space="0"/>
            </w:tcBorders>
            <w:shd w:val="clear" w:color="auto" w:fill="auto"/>
            <w:vAlign w:val="center"/>
          </w:tcPr>
          <w:p w14:paraId="5FCA366F">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nil"/>
              <w:right w:val="single" w:color="000000" w:sz="4" w:space="0"/>
            </w:tcBorders>
            <w:shd w:val="clear" w:color="auto" w:fill="auto"/>
            <w:vAlign w:val="center"/>
          </w:tcPr>
          <w:p w14:paraId="0DF7695A">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nil"/>
              <w:right w:val="single" w:color="000000" w:sz="4" w:space="0"/>
            </w:tcBorders>
            <w:shd w:val="clear" w:color="auto" w:fill="auto"/>
            <w:vAlign w:val="center"/>
          </w:tcPr>
          <w:p w14:paraId="274FE636">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nil"/>
              <w:right w:val="single" w:color="000000" w:sz="4" w:space="0"/>
            </w:tcBorders>
            <w:shd w:val="clear" w:color="auto" w:fill="auto"/>
            <w:vAlign w:val="center"/>
          </w:tcPr>
          <w:p w14:paraId="3525BD48">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53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预算编制不科学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AFC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C284">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49C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3398775A">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nil"/>
              <w:right w:val="single" w:color="000000" w:sz="4" w:space="0"/>
            </w:tcBorders>
            <w:shd w:val="clear" w:color="auto" w:fill="auto"/>
            <w:vAlign w:val="center"/>
          </w:tcPr>
          <w:p w14:paraId="31370283">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nil"/>
              <w:right w:val="single" w:color="000000" w:sz="4" w:space="0"/>
            </w:tcBorders>
            <w:shd w:val="clear" w:color="auto" w:fill="auto"/>
            <w:vAlign w:val="center"/>
          </w:tcPr>
          <w:p w14:paraId="089AA8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资金分配合理性</w:t>
            </w:r>
          </w:p>
        </w:tc>
        <w:tc>
          <w:tcPr>
            <w:tcW w:w="2713" w:type="dxa"/>
            <w:vMerge w:val="restart"/>
            <w:tcBorders>
              <w:top w:val="single" w:color="000000" w:sz="4" w:space="0"/>
              <w:left w:val="single" w:color="000000" w:sz="4" w:space="0"/>
              <w:bottom w:val="nil"/>
              <w:right w:val="single" w:color="000000" w:sz="4" w:space="0"/>
            </w:tcBorders>
            <w:shd w:val="clear" w:color="auto" w:fill="auto"/>
            <w:vAlign w:val="center"/>
          </w:tcPr>
          <w:p w14:paraId="6098B26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项目预算资金分配是否有测算依据，与补助单位或地方实际是否相适应，用以反映和考核项目预算资金分配的科学性、合理性情况。</w:t>
            </w:r>
          </w:p>
        </w:tc>
        <w:tc>
          <w:tcPr>
            <w:tcW w:w="4485" w:type="dxa"/>
            <w:vMerge w:val="restart"/>
            <w:tcBorders>
              <w:top w:val="single" w:color="000000" w:sz="4" w:space="0"/>
              <w:left w:val="single" w:color="000000" w:sz="4" w:space="0"/>
              <w:bottom w:val="nil"/>
              <w:right w:val="single" w:color="000000" w:sz="4" w:space="0"/>
            </w:tcBorders>
            <w:shd w:val="clear" w:color="auto" w:fill="auto"/>
            <w:vAlign w:val="center"/>
          </w:tcPr>
          <w:p w14:paraId="649DB3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①资金分配额度是否合理，与项目单位或地方实际是否相适应。</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14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资金分配合理、依据充分 3分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A4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00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3分</w:t>
            </w:r>
          </w:p>
        </w:tc>
      </w:tr>
      <w:tr w14:paraId="767D7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3" w:hRule="atLeast"/>
          <w:jc w:val="center"/>
        </w:trPr>
        <w:tc>
          <w:tcPr>
            <w:tcW w:w="926" w:type="dxa"/>
            <w:vMerge w:val="continue"/>
            <w:tcBorders>
              <w:top w:val="single" w:color="000000" w:sz="4" w:space="0"/>
              <w:left w:val="single" w:color="000000" w:sz="4" w:space="0"/>
              <w:bottom w:val="nil"/>
              <w:right w:val="single" w:color="000000" w:sz="4" w:space="0"/>
            </w:tcBorders>
            <w:shd w:val="clear" w:color="auto" w:fill="auto"/>
            <w:vAlign w:val="center"/>
          </w:tcPr>
          <w:p w14:paraId="1E45E3BD">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nil"/>
              <w:right w:val="single" w:color="000000" w:sz="4" w:space="0"/>
            </w:tcBorders>
            <w:shd w:val="clear" w:color="auto" w:fill="auto"/>
            <w:vAlign w:val="center"/>
          </w:tcPr>
          <w:p w14:paraId="6320F1D9">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nil"/>
              <w:right w:val="single" w:color="000000" w:sz="4" w:space="0"/>
            </w:tcBorders>
            <w:shd w:val="clear" w:color="auto" w:fill="auto"/>
            <w:vAlign w:val="center"/>
          </w:tcPr>
          <w:p w14:paraId="55AE884B">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nil"/>
              <w:right w:val="single" w:color="000000" w:sz="4" w:space="0"/>
            </w:tcBorders>
            <w:shd w:val="clear" w:color="auto" w:fill="auto"/>
            <w:vAlign w:val="center"/>
          </w:tcPr>
          <w:p w14:paraId="035E3AEF">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nil"/>
              <w:right w:val="single" w:color="000000" w:sz="4" w:space="0"/>
            </w:tcBorders>
            <w:shd w:val="clear" w:color="auto" w:fill="auto"/>
            <w:vAlign w:val="center"/>
          </w:tcPr>
          <w:p w14:paraId="719CDA81">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02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资金分配不合理、依据不充分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C3E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F792">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709B1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F5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过程（20）</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298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资金管理（10）</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B4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资金到位率</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976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实际到位资金与预算资金的比率，用以反映和考核资金落实情况对项目实施的总体保障程度。</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409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资金到位率=（实际到位资金/预算资金）×100%。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实际到位资金：一定时期（本年度或项目期）内落实到具体项目的资金。</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预算资金：一定时期（本年度或项目期）内预算安排到具体项目的资金。</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1B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资金到位率达到90% 3分 </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3F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6B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2分</w:t>
            </w:r>
          </w:p>
        </w:tc>
      </w:tr>
      <w:tr w14:paraId="6E0B8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399C">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B5E1">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E5E5">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3920F">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326C3">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CD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资金到位率达到60-90% 2分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DA8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D9C4">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1FE9B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C9A9">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C19F0">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25ED">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D075C">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E726">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D4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资金到位率不足60%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369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FE02">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36442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6890">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BC712">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34D5">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到位资金执行率</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BBD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项目到位资金是否按照计划执行，用以反映或考核项目到位执行情况。</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1066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到位资金执行率=（实际支出资金/实际到位资金）×100%。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实际支出资金：一定时期（本年度或项目期）内项目实际拨付的资金。</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B9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资金执行率达到90% 3分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06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AF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3分</w:t>
            </w:r>
          </w:p>
        </w:tc>
      </w:tr>
      <w:tr w14:paraId="10DB5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0432">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A3A26">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5A3FC">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2B724">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523D4">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15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资金执行率达到60-90% 2分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146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908D">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2B460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4FDA">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5E63D">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5B8C">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5A738">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76E52">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A3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资金执行率不足60%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149C">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86AF">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21522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EB10">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3972F">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7DA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资金使用合规性</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298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项目资金使用是否符合相关的财务管理制度规定，用以反映和考核项目资金的规范运行情况。</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5AA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①是否符合财务管理制度以及有关专项资金管理办法的规定；</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②资金的拨付是否有完整的审批程序和手续；</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③是否符合项目预算批复或合同规定的用途；</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④是否存在截留、挤占、挪用、虚列支出等情况。</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AB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资金使用完全合规 4分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EC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A8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4分</w:t>
            </w:r>
          </w:p>
        </w:tc>
      </w:tr>
      <w:tr w14:paraId="637A3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1C70">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58D5B">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C041C">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098D5">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2D6F6">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651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资金使用基本合规 2分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0C5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218E">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ACAE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83DA">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3C292">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52AA9">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177F5">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C5D88">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85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资金使用不合规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ECAA">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D423">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65F4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F9A6">
            <w:pPr>
              <w:jc w:val="center"/>
              <w:rPr>
                <w:rFonts w:hint="eastAsia" w:ascii="宋体" w:hAnsi="宋体" w:eastAsia="宋体" w:cs="宋体"/>
                <w:i w:val="0"/>
                <w:iCs w:val="0"/>
                <w:color w:val="000000"/>
                <w:sz w:val="16"/>
                <w:szCs w:val="16"/>
                <w:u w:val="none"/>
              </w:rPr>
            </w:pP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E3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组织实施（10）</w:t>
            </w:r>
          </w:p>
        </w:tc>
        <w:tc>
          <w:tcPr>
            <w:tcW w:w="922" w:type="dxa"/>
            <w:vMerge w:val="restart"/>
            <w:tcBorders>
              <w:top w:val="single" w:color="000000" w:sz="4" w:space="0"/>
              <w:left w:val="single" w:color="000000" w:sz="4" w:space="0"/>
              <w:bottom w:val="nil"/>
              <w:right w:val="single" w:color="000000" w:sz="4" w:space="0"/>
            </w:tcBorders>
            <w:shd w:val="clear" w:color="auto" w:fill="auto"/>
            <w:vAlign w:val="center"/>
          </w:tcPr>
          <w:p w14:paraId="292684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管理制度健全性</w:t>
            </w:r>
          </w:p>
        </w:tc>
        <w:tc>
          <w:tcPr>
            <w:tcW w:w="2713" w:type="dxa"/>
            <w:vMerge w:val="restart"/>
            <w:tcBorders>
              <w:top w:val="single" w:color="000000" w:sz="4" w:space="0"/>
              <w:left w:val="single" w:color="000000" w:sz="4" w:space="0"/>
              <w:bottom w:val="nil"/>
              <w:right w:val="single" w:color="000000" w:sz="4" w:space="0"/>
            </w:tcBorders>
            <w:shd w:val="clear" w:color="auto" w:fill="auto"/>
            <w:vAlign w:val="center"/>
          </w:tcPr>
          <w:p w14:paraId="6D5D78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项目实施单位的财务和业务管理制度是否健全，用以反映和考核财务和业务管理制度对项目顺利实施的保障情况。</w:t>
            </w:r>
          </w:p>
        </w:tc>
        <w:tc>
          <w:tcPr>
            <w:tcW w:w="4485" w:type="dxa"/>
            <w:vMerge w:val="restart"/>
            <w:tcBorders>
              <w:top w:val="single" w:color="000000" w:sz="4" w:space="0"/>
              <w:left w:val="single" w:color="000000" w:sz="4" w:space="0"/>
              <w:bottom w:val="nil"/>
              <w:right w:val="single" w:color="000000" w:sz="4" w:space="0"/>
            </w:tcBorders>
            <w:shd w:val="clear" w:color="auto" w:fill="auto"/>
            <w:vAlign w:val="center"/>
          </w:tcPr>
          <w:p w14:paraId="6809C7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①是否已制定或具有相应的财务和业务管理制度；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②财务和业务管理制度是否合法、合规、完整。</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1F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制定健全财务管理制度 5分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77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0F9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5分</w:t>
            </w:r>
          </w:p>
        </w:tc>
      </w:tr>
      <w:tr w14:paraId="2974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F3A1">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FF617">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nil"/>
              <w:right w:val="single" w:color="000000" w:sz="4" w:space="0"/>
            </w:tcBorders>
            <w:shd w:val="clear" w:color="auto" w:fill="auto"/>
            <w:vAlign w:val="center"/>
          </w:tcPr>
          <w:p w14:paraId="38CAC08B">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nil"/>
              <w:right w:val="single" w:color="000000" w:sz="4" w:space="0"/>
            </w:tcBorders>
            <w:shd w:val="clear" w:color="auto" w:fill="auto"/>
            <w:vAlign w:val="center"/>
          </w:tcPr>
          <w:p w14:paraId="1F82DB93">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nil"/>
              <w:right w:val="single" w:color="000000" w:sz="4" w:space="0"/>
            </w:tcBorders>
            <w:shd w:val="clear" w:color="auto" w:fill="auto"/>
            <w:vAlign w:val="center"/>
          </w:tcPr>
          <w:p w14:paraId="290D4D75">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BC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未制定健全的财务管理制度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40A9">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2BF2B">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7B32B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AF0B">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B91BA">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913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制度执行有效性</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BB2C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项目实施是否符合相关管理规定，用以反映和考核相关管理制度的有效执行情况。</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E61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评价要点：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①是否遵守相关法律法规和相关管理规定；</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②项目合同资料是否齐全并及时归档；</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B6A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制度执行有效 5分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2B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F6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5分</w:t>
            </w:r>
          </w:p>
        </w:tc>
      </w:tr>
      <w:tr w14:paraId="1C93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B8BA">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E416B">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1ACB1">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D50DE">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CC5BC">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14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制度执行比较有效 3分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CA4E">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2ADA">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15DD2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F96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B7589">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5420F">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26FC6">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1FBAD">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79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制度执行无效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B65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50120">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7C221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B5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产出（40）</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FC1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产出数量（15）</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4B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实际完成率</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5BF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项目实施的实际产出数与计划产出数的比率，用以反映和考核项目产出数量目标的实现程度。</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1D3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实际完成率=（实际产出数/计划产出数）×100%。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实际产出数：一定时期（本年度或项目期）内项目实际产出数。</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计划产出数：项目绩效目标确定的在一定时期（本年度或项目期）内计划产出数。</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4F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完成率达到90%以上 15分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AC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F0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10分</w:t>
            </w:r>
          </w:p>
        </w:tc>
      </w:tr>
      <w:tr w14:paraId="744D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B21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AD24D">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B434">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0EEF1">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C4B11">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50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完成率80%-90% 10分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2E05">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3860">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6BDED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9A5A2">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F1630">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A3A2">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50D48">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C362D">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AE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完成率60%-80% 5分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F27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3F4C0">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2334E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9974">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D097A">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79A8">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1D0FA">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8A6DD">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0F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完成率不足60%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1461">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6D34">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75F93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C692">
            <w:pPr>
              <w:jc w:val="center"/>
              <w:rPr>
                <w:rFonts w:hint="eastAsia" w:ascii="宋体" w:hAnsi="宋体" w:eastAsia="宋体" w:cs="宋体"/>
                <w:i w:val="0"/>
                <w:iCs w:val="0"/>
                <w:color w:val="000000"/>
                <w:sz w:val="16"/>
                <w:szCs w:val="16"/>
                <w:u w:val="none"/>
              </w:rPr>
            </w:pP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EB6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产出质量（15）</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FD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质量合格率</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044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项目完成的质量合格率；</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37984">
            <w:pPr>
              <w:keepNext w:val="0"/>
              <w:keepLines w:val="0"/>
              <w:widowControl/>
              <w:suppressLineNumbers w:val="0"/>
              <w:jc w:val="left"/>
              <w:textAlignment w:val="center"/>
              <w:rPr>
                <w:rFonts w:hint="eastAsia" w:ascii="宋体" w:hAnsi="宋体" w:eastAsia="宋体" w:cs="宋体"/>
                <w:i w:val="0"/>
                <w:iCs w:val="0"/>
                <w:color w:val="000000"/>
                <w:sz w:val="16"/>
                <w:szCs w:val="16"/>
                <w:u w:val="none"/>
                <w:lang w:eastAsia="zh-CN"/>
              </w:rPr>
            </w:pPr>
            <w:r>
              <w:rPr>
                <w:rFonts w:hint="eastAsia" w:ascii="宋体" w:hAnsi="宋体" w:eastAsia="宋体" w:cs="宋体"/>
                <w:i w:val="0"/>
                <w:iCs w:val="0"/>
                <w:color w:val="000000"/>
                <w:sz w:val="16"/>
                <w:szCs w:val="16"/>
                <w:u w:val="none"/>
                <w:lang w:eastAsia="zh-CN"/>
              </w:rPr>
              <w:t>项目验收相关资料</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68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质量合格率90%-100% 15分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2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85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15分</w:t>
            </w:r>
          </w:p>
        </w:tc>
      </w:tr>
      <w:tr w14:paraId="340F7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12F1">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87A17">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AE24">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8A23E">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D57A">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51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质量合格率80%-90% 10分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ADB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0DD7">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589E5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7346">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99DD">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18AC">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327C0">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433CC">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E2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质量合格率不足60%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7997">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B4C7">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57DCA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A598C">
            <w:pPr>
              <w:jc w:val="center"/>
              <w:rPr>
                <w:rFonts w:hint="eastAsia" w:ascii="宋体" w:hAnsi="宋体" w:eastAsia="宋体" w:cs="宋体"/>
                <w:i w:val="0"/>
                <w:iCs w:val="0"/>
                <w:color w:val="000000"/>
                <w:sz w:val="16"/>
                <w:szCs w:val="16"/>
                <w:u w:val="none"/>
              </w:rPr>
            </w:pP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089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产出时效（2）</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F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完成及时性</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F52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项目实际完成时间与计划完成时间的比较，用以反映和考核项目产出时效目标的实现程度</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6450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实际完成时间：项目实施单位完成该项目实际所耗用的时间。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计划完成时间：按照合同协议书中完成该项目所需的时间。</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4E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实际完成时间≤计划完成时间；得2分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62C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B5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1分</w:t>
            </w:r>
          </w:p>
        </w:tc>
      </w:tr>
      <w:tr w14:paraId="728E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4A7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7E171">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027D">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D1143">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6F3F9">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C11E">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实际完成时间超过计划完成时间的根据具体情况扣分，如是不可抗力造成的原则上不扣分，否则超出工期扣1分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E21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2A39">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7CC4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3D23">
            <w:pPr>
              <w:jc w:val="center"/>
              <w:rPr>
                <w:rFonts w:hint="eastAsia" w:ascii="宋体" w:hAnsi="宋体" w:eastAsia="宋体" w:cs="宋体"/>
                <w:i w:val="0"/>
                <w:iCs w:val="0"/>
                <w:color w:val="000000"/>
                <w:sz w:val="16"/>
                <w:szCs w:val="16"/>
                <w:u w:val="none"/>
              </w:rPr>
            </w:pP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1A0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产出成本（8）</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A3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成本节约率</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382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完成项目计划工作目标的实际节约成本与计划成本的比率，用以反映和考核项目的成本节约程度。</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174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成本节约率=[（计划成本-实际成本）/计划成本]×100%。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实际成本：项目实施单位如期、保质、保量完成既定工作目标实际所耗费的支出。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计划成本：项目实施单位为完成工作目标计划安排的支出，一般以项目预算为参考。</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97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成本节约率在大于0得8分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FA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1F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8分</w:t>
            </w:r>
          </w:p>
        </w:tc>
      </w:tr>
      <w:tr w14:paraId="652E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B1C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78AE2">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601F">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EF9A5">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AB577">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3E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成本节约率在-10%以内得6分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414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5C04">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2E6B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8B52">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E9C90">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D8D9">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56E77">
            <w:pPr>
              <w:jc w:val="left"/>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D49E2">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3C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成本节约率超过-10%不得分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7FA60">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447DB">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2B096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51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效益（25）</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8C7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项目效益（25）</w:t>
            </w:r>
          </w:p>
        </w:tc>
        <w:tc>
          <w:tcPr>
            <w:tcW w:w="922" w:type="dxa"/>
            <w:vMerge w:val="restart"/>
            <w:tcBorders>
              <w:top w:val="single" w:color="000000" w:sz="4" w:space="0"/>
              <w:left w:val="single" w:color="000000" w:sz="4" w:space="0"/>
              <w:right w:val="single" w:color="000000" w:sz="4" w:space="0"/>
            </w:tcBorders>
            <w:shd w:val="clear" w:color="auto" w:fill="auto"/>
            <w:noWrap/>
            <w:vAlign w:val="center"/>
          </w:tcPr>
          <w:p w14:paraId="1C109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实施效益</w:t>
            </w:r>
          </w:p>
        </w:tc>
        <w:tc>
          <w:tcPr>
            <w:tcW w:w="2713" w:type="dxa"/>
            <w:vMerge w:val="restart"/>
            <w:tcBorders>
              <w:top w:val="single" w:color="000000" w:sz="4" w:space="0"/>
              <w:left w:val="single" w:color="000000" w:sz="4" w:space="0"/>
              <w:right w:val="single" w:color="000000" w:sz="4" w:space="0"/>
            </w:tcBorders>
            <w:shd w:val="clear" w:color="auto" w:fill="auto"/>
            <w:vAlign w:val="center"/>
          </w:tcPr>
          <w:p w14:paraId="153690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项目实施所产生的效益。</w:t>
            </w:r>
          </w:p>
        </w:tc>
        <w:tc>
          <w:tcPr>
            <w:tcW w:w="4485" w:type="dxa"/>
            <w:vMerge w:val="restart"/>
            <w:tcBorders>
              <w:top w:val="single" w:color="000000" w:sz="4" w:space="0"/>
              <w:left w:val="single" w:color="000000" w:sz="4" w:space="0"/>
              <w:right w:val="single" w:color="000000" w:sz="4" w:space="0"/>
            </w:tcBorders>
            <w:shd w:val="clear" w:color="auto" w:fill="auto"/>
            <w:vAlign w:val="center"/>
          </w:tcPr>
          <w:p w14:paraId="01C9A372">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项目实施所产生的社会效益、经济效益、生态效益、可持续影响等。可根据项目实际情况有选择地设置和细化。</w:t>
            </w:r>
          </w:p>
          <w:p w14:paraId="642F8C16">
            <w:pPr>
              <w:keepNext w:val="0"/>
              <w:keepLines w:val="0"/>
              <w:widowControl/>
              <w:suppressLineNumbers w:val="0"/>
              <w:jc w:val="left"/>
              <w:textAlignment w:val="center"/>
              <w:rPr>
                <w:rFonts w:hint="eastAsia" w:eastAsia="宋体"/>
                <w:lang w:eastAsia="zh-CN"/>
              </w:rPr>
            </w:pPr>
            <w:r>
              <w:rPr>
                <w:rFonts w:hint="eastAsia" w:ascii="宋体" w:hAnsi="宋体" w:eastAsia="宋体" w:cs="宋体"/>
                <w:i w:val="0"/>
                <w:iCs w:val="0"/>
                <w:color w:val="000000"/>
                <w:kern w:val="0"/>
                <w:sz w:val="16"/>
                <w:szCs w:val="16"/>
                <w:u w:val="none"/>
                <w:lang w:val="en-US" w:eastAsia="zh-CN" w:bidi="ar"/>
              </w:rPr>
              <w:t>社会效益：惠及群众数量、基本公共文化服务水平稳步提升。</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D8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惠及群众＞24000人 10分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15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829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10分</w:t>
            </w:r>
          </w:p>
        </w:tc>
      </w:tr>
      <w:tr w14:paraId="4D936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D22F">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EC3EE">
            <w:pPr>
              <w:jc w:val="center"/>
              <w:rPr>
                <w:rFonts w:hint="eastAsia" w:ascii="宋体" w:hAnsi="宋体" w:eastAsia="宋体" w:cs="宋体"/>
                <w:i w:val="0"/>
                <w:iCs w:val="0"/>
                <w:color w:val="000000"/>
                <w:sz w:val="16"/>
                <w:szCs w:val="16"/>
                <w:u w:val="none"/>
              </w:rPr>
            </w:pPr>
          </w:p>
        </w:tc>
        <w:tc>
          <w:tcPr>
            <w:tcW w:w="922" w:type="dxa"/>
            <w:vMerge w:val="continue"/>
            <w:tcBorders>
              <w:left w:val="single" w:color="000000" w:sz="4" w:space="0"/>
              <w:right w:val="single" w:color="000000" w:sz="4" w:space="0"/>
            </w:tcBorders>
            <w:shd w:val="clear" w:color="auto" w:fill="auto"/>
            <w:noWrap/>
            <w:vAlign w:val="center"/>
          </w:tcPr>
          <w:p w14:paraId="0F71A8F9">
            <w:pPr>
              <w:jc w:val="center"/>
              <w:rPr>
                <w:rFonts w:hint="eastAsia" w:ascii="宋体" w:hAnsi="宋体" w:eastAsia="宋体" w:cs="宋体"/>
                <w:i w:val="0"/>
                <w:iCs w:val="0"/>
                <w:color w:val="000000"/>
                <w:sz w:val="16"/>
                <w:szCs w:val="16"/>
                <w:u w:val="none"/>
              </w:rPr>
            </w:pPr>
          </w:p>
        </w:tc>
        <w:tc>
          <w:tcPr>
            <w:tcW w:w="2713" w:type="dxa"/>
            <w:vMerge w:val="continue"/>
            <w:tcBorders>
              <w:left w:val="single" w:color="000000" w:sz="4" w:space="0"/>
              <w:right w:val="single" w:color="000000" w:sz="4" w:space="0"/>
            </w:tcBorders>
            <w:shd w:val="clear" w:color="auto" w:fill="auto"/>
            <w:vAlign w:val="center"/>
          </w:tcPr>
          <w:p w14:paraId="44EACB13">
            <w:pPr>
              <w:jc w:val="left"/>
              <w:rPr>
                <w:rFonts w:hint="eastAsia" w:ascii="宋体" w:hAnsi="宋体" w:eastAsia="宋体" w:cs="宋体"/>
                <w:i w:val="0"/>
                <w:iCs w:val="0"/>
                <w:color w:val="000000"/>
                <w:sz w:val="16"/>
                <w:szCs w:val="16"/>
                <w:u w:val="none"/>
              </w:rPr>
            </w:pPr>
          </w:p>
        </w:tc>
        <w:tc>
          <w:tcPr>
            <w:tcW w:w="4485" w:type="dxa"/>
            <w:vMerge w:val="continue"/>
            <w:tcBorders>
              <w:left w:val="single" w:color="000000" w:sz="4" w:space="0"/>
              <w:right w:val="single" w:color="000000" w:sz="4" w:space="0"/>
            </w:tcBorders>
            <w:shd w:val="clear" w:color="auto" w:fill="auto"/>
            <w:vAlign w:val="center"/>
          </w:tcPr>
          <w:p w14:paraId="5ABC4E87">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DB70">
            <w:pPr>
              <w:keepNext w:val="0"/>
              <w:keepLines w:val="0"/>
              <w:widowControl/>
              <w:suppressLineNumbers w:val="0"/>
              <w:jc w:val="left"/>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受益人口19200-24000人 5分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941F">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C661">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5592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6E20">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88AD1">
            <w:pPr>
              <w:jc w:val="center"/>
              <w:rPr>
                <w:rFonts w:hint="eastAsia" w:ascii="宋体" w:hAnsi="宋体" w:eastAsia="宋体" w:cs="宋体"/>
                <w:i w:val="0"/>
                <w:iCs w:val="0"/>
                <w:color w:val="000000"/>
                <w:sz w:val="16"/>
                <w:szCs w:val="16"/>
                <w:u w:val="none"/>
              </w:rPr>
            </w:pPr>
          </w:p>
        </w:tc>
        <w:tc>
          <w:tcPr>
            <w:tcW w:w="922" w:type="dxa"/>
            <w:vMerge w:val="continue"/>
            <w:tcBorders>
              <w:left w:val="single" w:color="000000" w:sz="4" w:space="0"/>
              <w:right w:val="single" w:color="000000" w:sz="4" w:space="0"/>
            </w:tcBorders>
            <w:shd w:val="clear" w:color="auto" w:fill="auto"/>
            <w:noWrap/>
            <w:vAlign w:val="center"/>
          </w:tcPr>
          <w:p w14:paraId="39BB5BF7">
            <w:pPr>
              <w:jc w:val="center"/>
              <w:rPr>
                <w:rFonts w:hint="eastAsia" w:ascii="宋体" w:hAnsi="宋体" w:eastAsia="宋体" w:cs="宋体"/>
                <w:i w:val="0"/>
                <w:iCs w:val="0"/>
                <w:color w:val="000000"/>
                <w:sz w:val="16"/>
                <w:szCs w:val="16"/>
                <w:u w:val="none"/>
              </w:rPr>
            </w:pPr>
          </w:p>
        </w:tc>
        <w:tc>
          <w:tcPr>
            <w:tcW w:w="2713" w:type="dxa"/>
            <w:vMerge w:val="continue"/>
            <w:tcBorders>
              <w:left w:val="single" w:color="000000" w:sz="4" w:space="0"/>
              <w:right w:val="single" w:color="000000" w:sz="4" w:space="0"/>
            </w:tcBorders>
            <w:shd w:val="clear" w:color="auto" w:fill="auto"/>
            <w:vAlign w:val="center"/>
          </w:tcPr>
          <w:p w14:paraId="7754A0A6">
            <w:pPr>
              <w:jc w:val="left"/>
              <w:rPr>
                <w:rFonts w:hint="eastAsia" w:ascii="宋体" w:hAnsi="宋体" w:eastAsia="宋体" w:cs="宋体"/>
                <w:i w:val="0"/>
                <w:iCs w:val="0"/>
                <w:color w:val="000000"/>
                <w:sz w:val="16"/>
                <w:szCs w:val="16"/>
                <w:u w:val="none"/>
              </w:rPr>
            </w:pPr>
          </w:p>
        </w:tc>
        <w:tc>
          <w:tcPr>
            <w:tcW w:w="4485" w:type="dxa"/>
            <w:vMerge w:val="continue"/>
            <w:tcBorders>
              <w:left w:val="single" w:color="000000" w:sz="4" w:space="0"/>
              <w:right w:val="single" w:color="000000" w:sz="4" w:space="0"/>
            </w:tcBorders>
            <w:shd w:val="clear" w:color="auto" w:fill="auto"/>
            <w:vAlign w:val="center"/>
          </w:tcPr>
          <w:p w14:paraId="0637FF3F">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10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受益人口＜19200人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57D4">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FEB1">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r>
      <w:tr w14:paraId="343C6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374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C2397">
            <w:pPr>
              <w:jc w:val="center"/>
              <w:rPr>
                <w:rFonts w:hint="eastAsia" w:ascii="宋体" w:hAnsi="宋体" w:eastAsia="宋体" w:cs="宋体"/>
                <w:i w:val="0"/>
                <w:iCs w:val="0"/>
                <w:color w:val="000000"/>
                <w:sz w:val="16"/>
                <w:szCs w:val="16"/>
                <w:u w:val="none"/>
              </w:rPr>
            </w:pPr>
          </w:p>
        </w:tc>
        <w:tc>
          <w:tcPr>
            <w:tcW w:w="922" w:type="dxa"/>
            <w:vMerge w:val="continue"/>
            <w:tcBorders>
              <w:left w:val="single" w:color="000000" w:sz="4" w:space="0"/>
              <w:right w:val="single" w:color="000000" w:sz="4" w:space="0"/>
            </w:tcBorders>
            <w:shd w:val="clear" w:color="auto" w:fill="auto"/>
            <w:noWrap/>
            <w:vAlign w:val="center"/>
          </w:tcPr>
          <w:p w14:paraId="0919B807">
            <w:pPr>
              <w:jc w:val="center"/>
              <w:rPr>
                <w:rFonts w:hint="eastAsia" w:ascii="宋体" w:hAnsi="宋体" w:eastAsia="宋体" w:cs="宋体"/>
                <w:i w:val="0"/>
                <w:iCs w:val="0"/>
                <w:color w:val="000000"/>
                <w:sz w:val="16"/>
                <w:szCs w:val="16"/>
                <w:u w:val="none"/>
              </w:rPr>
            </w:pPr>
          </w:p>
        </w:tc>
        <w:tc>
          <w:tcPr>
            <w:tcW w:w="2713" w:type="dxa"/>
            <w:vMerge w:val="continue"/>
            <w:tcBorders>
              <w:left w:val="single" w:color="000000" w:sz="4" w:space="0"/>
              <w:right w:val="single" w:color="000000" w:sz="4" w:space="0"/>
            </w:tcBorders>
            <w:shd w:val="clear" w:color="auto" w:fill="auto"/>
            <w:vAlign w:val="center"/>
          </w:tcPr>
          <w:p w14:paraId="52EE0FEE">
            <w:pPr>
              <w:jc w:val="left"/>
              <w:rPr>
                <w:rFonts w:hint="eastAsia" w:ascii="宋体" w:hAnsi="宋体" w:eastAsia="宋体" w:cs="宋体"/>
                <w:i w:val="0"/>
                <w:iCs w:val="0"/>
                <w:color w:val="000000"/>
                <w:sz w:val="16"/>
                <w:szCs w:val="16"/>
                <w:u w:val="none"/>
              </w:rPr>
            </w:pPr>
          </w:p>
        </w:tc>
        <w:tc>
          <w:tcPr>
            <w:tcW w:w="4485" w:type="dxa"/>
            <w:vMerge w:val="continue"/>
            <w:tcBorders>
              <w:left w:val="single" w:color="000000" w:sz="4" w:space="0"/>
              <w:right w:val="single" w:color="000000" w:sz="4" w:space="0"/>
            </w:tcBorders>
            <w:shd w:val="clear" w:color="auto" w:fill="auto"/>
            <w:vAlign w:val="center"/>
          </w:tcPr>
          <w:p w14:paraId="7113E18E">
            <w:pPr>
              <w:jc w:val="left"/>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9E58">
            <w:pPr>
              <w:keepNext w:val="0"/>
              <w:keepLines w:val="0"/>
              <w:widowControl/>
              <w:suppressLineNumbers w:val="0"/>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基本公共文化服务水平稳步提升得10分，反之不得分。</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984F">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10分</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E934">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10分</w:t>
            </w:r>
          </w:p>
        </w:tc>
      </w:tr>
      <w:tr w14:paraId="3099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FD6B">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B2600">
            <w:pPr>
              <w:jc w:val="center"/>
              <w:rPr>
                <w:rFonts w:hint="eastAsia" w:ascii="宋体" w:hAnsi="宋体" w:eastAsia="宋体" w:cs="宋体"/>
                <w:i w:val="0"/>
                <w:iCs w:val="0"/>
                <w:color w:val="000000"/>
                <w:sz w:val="16"/>
                <w:szCs w:val="16"/>
                <w:u w:val="none"/>
              </w:rPr>
            </w:pP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AE9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E14BF">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社会公众或服务对象对项目实施效果的满意程度。</w:t>
            </w:r>
          </w:p>
        </w:tc>
        <w:tc>
          <w:tcPr>
            <w:tcW w:w="4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B6EC3">
            <w:pPr>
              <w:keepNext w:val="0"/>
              <w:keepLines w:val="0"/>
              <w:widowControl/>
              <w:suppressLineNumbers w:val="0"/>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社会公众或服务对象是指因该项目实施而受到影响的部门（单</w:t>
            </w:r>
          </w:p>
          <w:p w14:paraId="4141652A">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位）、群体或个人。一般采取社会调查的方式。</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0C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满意度95%以上 5分</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51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5分</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13B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5分</w:t>
            </w:r>
          </w:p>
        </w:tc>
      </w:tr>
      <w:tr w14:paraId="6E391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4663">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FADAC">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7570">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B93CF">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8B732">
            <w:pPr>
              <w:jc w:val="center"/>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45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满意度80%-95% 3分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3143">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D433">
            <w:pPr>
              <w:jc w:val="center"/>
              <w:rPr>
                <w:rFonts w:hint="eastAsia" w:ascii="宋体" w:hAnsi="宋体" w:eastAsia="宋体" w:cs="宋体"/>
                <w:i w:val="0"/>
                <w:iCs w:val="0"/>
                <w:color w:val="000000"/>
                <w:sz w:val="22"/>
                <w:szCs w:val="22"/>
                <w:u w:val="none"/>
              </w:rPr>
            </w:pPr>
          </w:p>
        </w:tc>
      </w:tr>
      <w:tr w14:paraId="4B28A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1A8C">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5735F">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ADB4">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1729C">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CFE19">
            <w:pPr>
              <w:jc w:val="center"/>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32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满意度60%-80% 1分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CAF6">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A334">
            <w:pPr>
              <w:jc w:val="center"/>
              <w:rPr>
                <w:rFonts w:hint="eastAsia" w:ascii="宋体" w:hAnsi="宋体" w:eastAsia="宋体" w:cs="宋体"/>
                <w:i w:val="0"/>
                <w:iCs w:val="0"/>
                <w:color w:val="000000"/>
                <w:sz w:val="22"/>
                <w:szCs w:val="22"/>
                <w:u w:val="none"/>
              </w:rPr>
            </w:pPr>
          </w:p>
        </w:tc>
      </w:tr>
      <w:tr w14:paraId="76D2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F9AE">
            <w:pPr>
              <w:jc w:val="center"/>
              <w:rPr>
                <w:rFonts w:hint="eastAsia" w:ascii="宋体" w:hAnsi="宋体" w:eastAsia="宋体" w:cs="宋体"/>
                <w:i w:val="0"/>
                <w:iCs w:val="0"/>
                <w:color w:val="000000"/>
                <w:sz w:val="16"/>
                <w:szCs w:val="16"/>
                <w:u w:val="none"/>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2851E">
            <w:pPr>
              <w:jc w:val="center"/>
              <w:rPr>
                <w:rFonts w:hint="eastAsia" w:ascii="宋体" w:hAnsi="宋体" w:eastAsia="宋体" w:cs="宋体"/>
                <w:i w:val="0"/>
                <w:iCs w:val="0"/>
                <w:color w:val="000000"/>
                <w:sz w:val="16"/>
                <w:szCs w:val="16"/>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673E6">
            <w:pPr>
              <w:jc w:val="center"/>
              <w:rPr>
                <w:rFonts w:hint="eastAsia" w:ascii="宋体" w:hAnsi="宋体" w:eastAsia="宋体" w:cs="宋体"/>
                <w:i w:val="0"/>
                <w:iCs w:val="0"/>
                <w:color w:val="000000"/>
                <w:sz w:val="16"/>
                <w:szCs w:val="16"/>
                <w:u w:val="none"/>
              </w:rPr>
            </w:pP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7ACDD">
            <w:pPr>
              <w:jc w:val="center"/>
              <w:rPr>
                <w:rFonts w:hint="eastAsia" w:ascii="宋体" w:hAnsi="宋体" w:eastAsia="宋体" w:cs="宋体"/>
                <w:i w:val="0"/>
                <w:iCs w:val="0"/>
                <w:color w:val="000000"/>
                <w:sz w:val="16"/>
                <w:szCs w:val="16"/>
                <w:u w:val="none"/>
              </w:rPr>
            </w:pPr>
          </w:p>
        </w:tc>
        <w:tc>
          <w:tcPr>
            <w:tcW w:w="4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A593D">
            <w:pPr>
              <w:jc w:val="center"/>
              <w:rPr>
                <w:rFonts w:hint="eastAsia" w:ascii="宋体" w:hAnsi="宋体" w:eastAsia="宋体" w:cs="宋体"/>
                <w:i w:val="0"/>
                <w:iCs w:val="0"/>
                <w:color w:val="000000"/>
                <w:sz w:val="16"/>
                <w:szCs w:val="16"/>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9B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满意度不足60% 0分</w:t>
            </w:r>
          </w:p>
        </w:tc>
        <w:tc>
          <w:tcPr>
            <w:tcW w:w="8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B23FB">
            <w:pPr>
              <w:jc w:val="center"/>
              <w:rPr>
                <w:rFonts w:hint="eastAsia" w:ascii="宋体" w:hAnsi="宋体" w:eastAsia="宋体" w:cs="宋体"/>
                <w:i w:val="0"/>
                <w:iCs w:val="0"/>
                <w:color w:val="000000"/>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D4E8">
            <w:pPr>
              <w:jc w:val="center"/>
              <w:rPr>
                <w:rFonts w:hint="eastAsia" w:ascii="宋体" w:hAnsi="宋体" w:eastAsia="宋体" w:cs="宋体"/>
                <w:i w:val="0"/>
                <w:iCs w:val="0"/>
                <w:color w:val="000000"/>
                <w:sz w:val="22"/>
                <w:szCs w:val="22"/>
                <w:u w:val="none"/>
              </w:rPr>
            </w:pPr>
          </w:p>
        </w:tc>
      </w:tr>
      <w:tr w14:paraId="67D92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1286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50F5">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合</w:t>
            </w:r>
            <w:r>
              <w:rPr>
                <w:rFonts w:hint="eastAsia" w:ascii="宋体" w:hAnsi="宋体" w:eastAsia="宋体" w:cs="宋体"/>
                <w:i w:val="0"/>
                <w:iCs w:val="0"/>
                <w:color w:val="000000"/>
                <w:sz w:val="22"/>
                <w:szCs w:val="22"/>
                <w:u w:val="none"/>
                <w:lang w:val="en-US" w:eastAsia="zh-CN"/>
              </w:rPr>
              <w:t xml:space="preserve">  </w:t>
            </w:r>
            <w:r>
              <w:rPr>
                <w:rFonts w:hint="eastAsia" w:ascii="宋体" w:hAnsi="宋体" w:eastAsia="宋体" w:cs="宋体"/>
                <w:i w:val="0"/>
                <w:iCs w:val="0"/>
                <w:color w:val="000000"/>
                <w:sz w:val="22"/>
                <w:szCs w:val="22"/>
                <w:u w:val="none"/>
                <w:lang w:eastAsia="zh-CN"/>
              </w:rPr>
              <w:t>计</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D53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100分</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19D6">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92分</w:t>
            </w:r>
          </w:p>
        </w:tc>
      </w:tr>
    </w:tbl>
    <w:p w14:paraId="3FBC6AD8">
      <w:pPr>
        <w:pStyle w:val="23"/>
        <w:rPr>
          <w:rFonts w:hint="eastAsia" w:ascii="仿宋" w:hAnsi="仿宋" w:eastAsia="仿宋" w:cs="仿宋"/>
          <w:b w:val="0"/>
          <w:bCs w:val="0"/>
          <w:kern w:val="2"/>
          <w:sz w:val="28"/>
          <w:szCs w:val="28"/>
          <w:highlight w:val="yellow"/>
          <w:lang w:val="en-US" w:eastAsia="zh-CN" w:bidi="ar-SA"/>
        </w:rPr>
      </w:pPr>
    </w:p>
    <w:p w14:paraId="7ABB2E3F">
      <w:pPr>
        <w:pStyle w:val="23"/>
        <w:rPr>
          <w:rFonts w:hint="eastAsia" w:ascii="仿宋" w:hAnsi="仿宋" w:eastAsia="仿宋" w:cs="仿宋"/>
          <w:b w:val="0"/>
          <w:bCs w:val="0"/>
          <w:kern w:val="2"/>
          <w:sz w:val="28"/>
          <w:szCs w:val="28"/>
          <w:highlight w:val="yellow"/>
          <w:lang w:val="en-US" w:eastAsia="zh-CN" w:bidi="ar-SA"/>
        </w:rPr>
      </w:pPr>
    </w:p>
    <w:p w14:paraId="438F4DB2">
      <w:pPr>
        <w:pStyle w:val="23"/>
        <w:rPr>
          <w:rFonts w:hint="eastAsia" w:ascii="仿宋" w:hAnsi="仿宋" w:eastAsia="仿宋" w:cs="仿宋"/>
          <w:b w:val="0"/>
          <w:bCs w:val="0"/>
          <w:kern w:val="2"/>
          <w:sz w:val="28"/>
          <w:szCs w:val="28"/>
          <w:highlight w:val="yellow"/>
          <w:lang w:val="en-US" w:eastAsia="zh-CN" w:bidi="ar-SA"/>
        </w:rPr>
      </w:pPr>
    </w:p>
    <w:p w14:paraId="6AEDEDA0">
      <w:pPr>
        <w:pStyle w:val="23"/>
        <w:rPr>
          <w:rFonts w:hint="eastAsia" w:ascii="仿宋" w:hAnsi="仿宋" w:eastAsia="仿宋" w:cs="仿宋"/>
          <w:b w:val="0"/>
          <w:bCs w:val="0"/>
          <w:kern w:val="2"/>
          <w:sz w:val="28"/>
          <w:szCs w:val="28"/>
          <w:highlight w:val="yellow"/>
          <w:lang w:val="en-US" w:eastAsia="zh-CN" w:bidi="ar-SA"/>
        </w:rPr>
      </w:pPr>
    </w:p>
    <w:p w14:paraId="604976ED">
      <w:pPr>
        <w:pStyle w:val="23"/>
        <w:rPr>
          <w:rFonts w:hint="eastAsia" w:ascii="仿宋" w:hAnsi="仿宋" w:eastAsia="仿宋" w:cs="仿宋"/>
          <w:b w:val="0"/>
          <w:bCs w:val="0"/>
          <w:kern w:val="2"/>
          <w:sz w:val="28"/>
          <w:szCs w:val="28"/>
          <w:highlight w:val="yellow"/>
          <w:lang w:val="en-US" w:eastAsia="zh-CN" w:bidi="ar-SA"/>
        </w:rPr>
        <w:sectPr>
          <w:pgSz w:w="16838" w:h="11906" w:orient="landscape"/>
          <w:pgMar w:top="1800" w:right="1440" w:bottom="1800" w:left="1440" w:header="851" w:footer="992" w:gutter="0"/>
          <w:pgNumType w:fmt="decimal"/>
          <w:cols w:space="425" w:num="1"/>
          <w:docGrid w:type="lines" w:linePitch="312" w:charSpace="0"/>
        </w:sectPr>
      </w:pPr>
    </w:p>
    <w:p w14:paraId="727CF80A">
      <w:pPr>
        <w:pStyle w:val="2"/>
        <w:ind w:firstLine="562" w:firstLineChars="200"/>
        <w:jc w:val="left"/>
        <w:rPr>
          <w:rFonts w:hint="eastAsia" w:ascii="黑体" w:hAnsi="黑体" w:eastAsia="黑体" w:cs="黑体"/>
          <w:lang w:val="en-US" w:eastAsia="zh-CN"/>
        </w:rPr>
      </w:pPr>
      <w:bookmarkStart w:id="29" w:name="_Toc32160"/>
      <w:r>
        <w:rPr>
          <w:rFonts w:hint="eastAsia" w:eastAsia="黑体" w:cs="黑体"/>
          <w:lang w:val="en-US" w:eastAsia="zh-CN"/>
        </w:rPr>
        <w:t>五</w:t>
      </w:r>
      <w:r>
        <w:rPr>
          <w:rFonts w:hint="eastAsia" w:ascii="黑体" w:hAnsi="黑体" w:eastAsia="黑体" w:cs="黑体"/>
          <w:lang w:val="en-US" w:eastAsia="zh-CN"/>
        </w:rPr>
        <w:t>、绩效评价指标分析</w:t>
      </w:r>
      <w:bookmarkEnd w:id="29"/>
    </w:p>
    <w:p w14:paraId="4256341B">
      <w:pPr>
        <w:pStyle w:val="23"/>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（一）项目决策情况</w:t>
      </w:r>
    </w:p>
    <w:p w14:paraId="5BE0EAE2">
      <w:pPr>
        <w:pStyle w:val="23"/>
        <w:ind w:firstLine="562"/>
        <w:jc w:val="both"/>
        <w:outlineLvl w:val="0"/>
        <w:rPr>
          <w:rFonts w:hint="eastAsia" w:ascii="仿宋" w:hAnsi="仿宋" w:eastAsia="仿宋" w:cs="仿宋"/>
          <w:b w:val="0"/>
          <w:bCs w:val="0"/>
          <w:kern w:val="2"/>
          <w:sz w:val="28"/>
          <w:szCs w:val="28"/>
          <w:lang w:val="en-US" w:eastAsia="zh-CN" w:bidi="ar-SA"/>
        </w:rPr>
      </w:pPr>
      <w:bookmarkStart w:id="30" w:name="_Toc25294"/>
      <w:r>
        <w:rPr>
          <w:rFonts w:hint="eastAsia" w:ascii="仿宋" w:hAnsi="仿宋" w:eastAsia="仿宋" w:cs="仿宋"/>
          <w:b w:val="0"/>
          <w:bCs w:val="0"/>
          <w:kern w:val="2"/>
          <w:sz w:val="28"/>
          <w:szCs w:val="28"/>
          <w:lang w:val="en-US" w:eastAsia="zh-CN" w:bidi="ar-SA"/>
        </w:rPr>
        <w:t>1、项目立项情况</w:t>
      </w:r>
      <w:bookmarkEnd w:id="30"/>
    </w:p>
    <w:p w14:paraId="62848AA1">
      <w:pPr>
        <w:pStyle w:val="23"/>
        <w:ind w:firstLine="562"/>
        <w:jc w:val="both"/>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val="en-US" w:eastAsia="zh-CN" w:bidi="ar-SA"/>
        </w:rPr>
        <w:t xml:space="preserve">a. </w:t>
      </w:r>
      <w:r>
        <w:rPr>
          <w:rFonts w:hint="eastAsia" w:ascii="仿宋" w:hAnsi="仿宋" w:eastAsia="仿宋" w:cs="仿宋"/>
          <w:b w:val="0"/>
          <w:bCs w:val="0"/>
          <w:kern w:val="2"/>
          <w:sz w:val="28"/>
          <w:szCs w:val="28"/>
          <w:lang w:val="en-US" w:eastAsia="zh-CN" w:bidi="ar-SA"/>
        </w:rPr>
        <w:t>立项依据充分性</w:t>
      </w:r>
    </w:p>
    <w:p w14:paraId="60AEB792">
      <w:pPr>
        <w:pStyle w:val="23"/>
        <w:ind w:firstLine="562"/>
        <w:jc w:val="both"/>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2022年11月围场满族蒙古族自治县公安局委托普天信息工程设计服务有限公司编制了本项目可行性研究报告，可行性研究报告内容包括：项目名称与承办单位、编制依据、工作范围及建设目标、工程概况、项目背景及建设必要性、建设条件、项目建设方案、环境保护、节能方案、劳动安全卫生与消防、项目组织管理与实施计划、工程招标、投资估算与资金筹措、效益分析、项目风险评估、结论与建议等。本项目立项依据充分，符合国家法律法规及相关政策。</w:t>
      </w:r>
    </w:p>
    <w:p w14:paraId="4EFC0D5D">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b、立项程序规范性</w:t>
      </w:r>
    </w:p>
    <w:p w14:paraId="2398BB5D">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2022年11月11日围场满族蒙古族自治县行政审批局《关于塞罕坝社会综合治理信息化平台项目（7600万元专项债）建议书的批复》（围行审投[2022]259号）；</w:t>
      </w:r>
    </w:p>
    <w:p w14:paraId="2EFA2D55">
      <w:pPr>
        <w:pStyle w:val="23"/>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0500" cy="7305675"/>
            <wp:effectExtent l="0" t="0" r="635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70500" cy="7305675"/>
                    </a:xfrm>
                    <a:prstGeom prst="rect">
                      <a:avLst/>
                    </a:prstGeom>
                    <a:noFill/>
                    <a:ln>
                      <a:noFill/>
                    </a:ln>
                  </pic:spPr>
                </pic:pic>
              </a:graphicData>
            </a:graphic>
          </wp:inline>
        </w:drawing>
      </w:r>
      <w:r>
        <w:rPr>
          <w:rFonts w:hint="eastAsia" w:ascii="仿宋" w:hAnsi="仿宋" w:eastAsia="仿宋" w:cs="仿宋"/>
          <w:sz w:val="28"/>
          <w:szCs w:val="28"/>
          <w:lang w:val="en-US" w:eastAsia="zh-CN"/>
        </w:rPr>
        <w:drawing>
          <wp:inline distT="0" distB="0" distL="114300" distR="114300">
            <wp:extent cx="5076825" cy="712470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076825" cy="7124700"/>
                    </a:xfrm>
                    <a:prstGeom prst="rect">
                      <a:avLst/>
                    </a:prstGeom>
                    <a:noFill/>
                    <a:ln>
                      <a:noFill/>
                    </a:ln>
                  </pic:spPr>
                </pic:pic>
              </a:graphicData>
            </a:graphic>
          </wp:inline>
        </w:drawing>
      </w:r>
    </w:p>
    <w:p w14:paraId="1D4478A0">
      <w:pPr>
        <w:pStyle w:val="23"/>
        <w:ind w:firstLine="56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2022年11月17日围场满族蒙古族自治县行政审批局《关于塞罕坝社会综合治理信息化平台项目（7600万元专项债）可行性研究报告的批复》（围行审投[2022]263号）；</w:t>
      </w:r>
      <w:r>
        <w:rPr>
          <w:rFonts w:hint="eastAsia" w:ascii="仿宋" w:hAnsi="仿宋" w:eastAsia="仿宋" w:cs="仿宋"/>
          <w:sz w:val="28"/>
          <w:szCs w:val="28"/>
          <w:lang w:val="en-US" w:eastAsia="zh-CN"/>
        </w:rPr>
        <w:drawing>
          <wp:inline distT="0" distB="0" distL="114300" distR="114300">
            <wp:extent cx="5273040" cy="6169025"/>
            <wp:effectExtent l="0" t="0" r="3810"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73040" cy="6169025"/>
                    </a:xfrm>
                    <a:prstGeom prst="rect">
                      <a:avLst/>
                    </a:prstGeom>
                    <a:noFill/>
                    <a:ln>
                      <a:noFill/>
                    </a:ln>
                  </pic:spPr>
                </pic:pic>
              </a:graphicData>
            </a:graphic>
          </wp:inline>
        </w:drawing>
      </w:r>
      <w:r>
        <w:rPr>
          <w:rFonts w:hint="eastAsia" w:ascii="仿宋" w:hAnsi="仿宋" w:eastAsia="仿宋" w:cs="仿宋"/>
          <w:sz w:val="28"/>
          <w:szCs w:val="28"/>
          <w:lang w:val="en-US" w:eastAsia="zh-CN"/>
        </w:rPr>
        <w:drawing>
          <wp:inline distT="0" distB="0" distL="114300" distR="114300">
            <wp:extent cx="5273040" cy="6633210"/>
            <wp:effectExtent l="0" t="0" r="3810" b="152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5273040" cy="6633210"/>
                    </a:xfrm>
                    <a:prstGeom prst="rect">
                      <a:avLst/>
                    </a:prstGeom>
                    <a:noFill/>
                    <a:ln>
                      <a:noFill/>
                    </a:ln>
                  </pic:spPr>
                </pic:pic>
              </a:graphicData>
            </a:graphic>
          </wp:inline>
        </w:drawing>
      </w:r>
    </w:p>
    <w:p w14:paraId="45381045">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2023年4月21日围场满族蒙古族自治县行政审批局《关于塞罕坝社会综合治理信息化平台项目（7600万元专项债）初步设计的批复》（围行审投[2023]59号）。</w:t>
      </w:r>
    </w:p>
    <w:p w14:paraId="7EFB4AA6">
      <w:pPr>
        <w:pStyle w:val="23"/>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4310" cy="7364095"/>
            <wp:effectExtent l="0" t="0" r="254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5274310" cy="7364095"/>
                    </a:xfrm>
                    <a:prstGeom prst="rect">
                      <a:avLst/>
                    </a:prstGeom>
                    <a:noFill/>
                    <a:ln>
                      <a:noFill/>
                    </a:ln>
                  </pic:spPr>
                </pic:pic>
              </a:graphicData>
            </a:graphic>
          </wp:inline>
        </w:drawing>
      </w:r>
      <w:r>
        <w:rPr>
          <w:rFonts w:hint="eastAsia" w:ascii="仿宋" w:hAnsi="仿宋" w:eastAsia="仿宋" w:cs="仿宋"/>
          <w:sz w:val="28"/>
          <w:szCs w:val="28"/>
          <w:lang w:val="en-US" w:eastAsia="zh-CN"/>
        </w:rPr>
        <w:drawing>
          <wp:inline distT="0" distB="0" distL="114300" distR="114300">
            <wp:extent cx="5274310" cy="7539990"/>
            <wp:effectExtent l="0" t="0" r="254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5274310" cy="7539990"/>
                    </a:xfrm>
                    <a:prstGeom prst="rect">
                      <a:avLst/>
                    </a:prstGeom>
                    <a:noFill/>
                    <a:ln>
                      <a:noFill/>
                    </a:ln>
                  </pic:spPr>
                </pic:pic>
              </a:graphicData>
            </a:graphic>
          </wp:inline>
        </w:drawing>
      </w:r>
    </w:p>
    <w:p w14:paraId="10CD0685">
      <w:pPr>
        <w:pStyle w:val="23"/>
        <w:ind w:firstLine="56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本项目立项程序规范、审批文件、材料符合要求。</w:t>
      </w:r>
    </w:p>
    <w:p w14:paraId="0AD49EAA">
      <w:pPr>
        <w:pStyle w:val="23"/>
        <w:ind w:firstLine="560"/>
        <w:jc w:val="both"/>
        <w:outlineLvl w:val="0"/>
        <w:rPr>
          <w:rFonts w:hint="eastAsia" w:ascii="仿宋" w:hAnsi="仿宋" w:eastAsia="仿宋" w:cs="仿宋"/>
          <w:sz w:val="28"/>
          <w:szCs w:val="28"/>
          <w:lang w:val="en-US" w:eastAsia="zh-CN"/>
        </w:rPr>
      </w:pPr>
      <w:bookmarkStart w:id="31" w:name="_Toc6173"/>
      <w:r>
        <w:rPr>
          <w:rFonts w:hint="eastAsia" w:ascii="仿宋" w:hAnsi="仿宋" w:eastAsia="仿宋" w:cs="仿宋"/>
          <w:sz w:val="28"/>
          <w:szCs w:val="28"/>
          <w:lang w:val="en-US" w:eastAsia="zh-CN"/>
        </w:rPr>
        <w:t>2、绩效目标</w:t>
      </w:r>
      <w:bookmarkEnd w:id="31"/>
    </w:p>
    <w:p w14:paraId="619C0A23">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a.绩效目标合理性</w:t>
      </w:r>
    </w:p>
    <w:p w14:paraId="2C10159F">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从围场满族蒙古族自治县公安局提供的河北省政府专项债券项目绩效目标表看。</w:t>
      </w:r>
    </w:p>
    <w:p w14:paraId="6CEFE2FB">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项目绩效目标为:通过项目建设，实现“全域覆盖、全网共享、全时可用、全程可控”的视频监控建设联网应用，建立基于视频、地图、业务等相关数据统一的交换服务能力、数据治理能力、业务建模能力和可视化分析能力。为社会综合治理、治安防控、优化交通出行、侦查破案、服务城市管理、便民利民、应对重大突发事件、维护城市安全和社会稳定，预防和打击暴力恐怖犯罪的等方面提供有力手段，全力支持智慧城市建设。</w:t>
      </w:r>
    </w:p>
    <w:p w14:paraId="176CED9E">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本项目绩效目标明确与实际工作内容关联度较高，与项目实际情况相符，但绩效目标缺少数量和质量目标等内容。</w:t>
      </w:r>
    </w:p>
    <w:p w14:paraId="0C01F1EC">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b.绩效指标明确性</w:t>
      </w:r>
    </w:p>
    <w:p w14:paraId="76E94F7E">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围场满族蒙古族自治县公安局提供的河北省政府专项债券项目绩效目标表看，指标内容涵盖项目资金情况、数量指标、质量指标、时效指标、成本指标、效益指标的经济效益指标，社会效益指标，可持续影响指标，还本付息指标、满意度指标等。从文字上看，指标内容清晰、细化。但全部指标均缺少切实可行的评扣分标标准。</w:t>
      </w:r>
    </w:p>
    <w:p w14:paraId="2706DFAF">
      <w:pPr>
        <w:pStyle w:val="23"/>
        <w:ind w:firstLine="560"/>
        <w:jc w:val="both"/>
        <w:outlineLvl w:val="0"/>
        <w:rPr>
          <w:rFonts w:hint="eastAsia" w:ascii="仿宋" w:hAnsi="仿宋" w:eastAsia="仿宋" w:cs="仿宋"/>
          <w:sz w:val="28"/>
          <w:szCs w:val="28"/>
          <w:lang w:val="en-US" w:eastAsia="zh-CN"/>
        </w:rPr>
      </w:pPr>
      <w:bookmarkStart w:id="32" w:name="_Toc18183"/>
      <w:r>
        <w:rPr>
          <w:rFonts w:hint="eastAsia" w:ascii="仿宋" w:hAnsi="仿宋" w:eastAsia="仿宋" w:cs="仿宋"/>
          <w:sz w:val="28"/>
          <w:szCs w:val="28"/>
          <w:lang w:val="en-US" w:eastAsia="zh-CN"/>
        </w:rPr>
        <w:t>3、资金投入</w:t>
      </w:r>
      <w:bookmarkEnd w:id="32"/>
    </w:p>
    <w:p w14:paraId="59AFA3DB">
      <w:pPr>
        <w:pStyle w:val="23"/>
        <w:ind w:firstLine="56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a.预算编制科学性</w:t>
      </w:r>
    </w:p>
    <w:p w14:paraId="7E14CE48">
      <w:pPr>
        <w:pStyle w:val="23"/>
        <w:ind w:firstLine="56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2023年5月9日秦皇岛开发区永衡工程经济咨询事务所有限公司编制了本项目预算评审报告；</w:t>
      </w:r>
    </w:p>
    <w:p w14:paraId="3FCCB1E7">
      <w:pPr>
        <w:pStyle w:val="23"/>
        <w:ind w:firstLine="56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2023年5月10日围场满族蒙古族自治县财政投资评审中心对本项目进行财政投资预算评审，审定金额：92892831.01元。</w:t>
      </w:r>
    </w:p>
    <w:p w14:paraId="53DC05A8">
      <w:pPr>
        <w:pStyle w:val="23"/>
        <w:ind w:firstLine="560"/>
        <w:jc w:val="both"/>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本项目预算编制科学、预算内容与项目内容匹配，编制科学合理。</w:t>
      </w:r>
    </w:p>
    <w:p w14:paraId="24E902D2">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b.资金分配合理性</w:t>
      </w:r>
    </w:p>
    <w:p w14:paraId="5DF2550B">
      <w:pPr>
        <w:pStyle w:val="23"/>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从围场满族蒙古族自治县公安局提供的本项目可行性研究报告了解，本项目总投资9600万元，其中:设备购置及安装费用9301万元，工程建设其他费用204万元，基本预备费用95万元。</w:t>
      </w:r>
    </w:p>
    <w:p w14:paraId="04AA4609">
      <w:pPr>
        <w:pStyle w:val="23"/>
        <w:ind w:firstLine="560"/>
        <w:jc w:val="both"/>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2022年11月17日围场满族蒙古族自治县行政审批局《关于</w:t>
      </w:r>
      <w:r>
        <w:rPr>
          <w:rFonts w:hint="eastAsia" w:ascii="仿宋" w:hAnsi="仿宋" w:eastAsia="仿宋" w:cs="仿宋"/>
          <w:sz w:val="28"/>
          <w:szCs w:val="28"/>
          <w:lang w:val="en-US" w:eastAsia="zh-CN"/>
        </w:rPr>
        <w:t>塞罕坝社会综合治理信息化平台项目（7600万元专项债）</w:t>
      </w:r>
      <w:r>
        <w:rPr>
          <w:rFonts w:hint="default" w:ascii="仿宋" w:hAnsi="仿宋" w:eastAsia="仿宋" w:cs="仿宋"/>
          <w:sz w:val="28"/>
          <w:szCs w:val="28"/>
          <w:lang w:val="en-US" w:eastAsia="zh-CN"/>
        </w:rPr>
        <w:t>可行性研究报告的批复》（围行审投[2022]263号）</w:t>
      </w:r>
      <w:r>
        <w:rPr>
          <w:rFonts w:hint="eastAsia" w:ascii="仿宋" w:hAnsi="仿宋" w:eastAsia="仿宋" w:cs="仿宋"/>
          <w:sz w:val="28"/>
          <w:szCs w:val="28"/>
          <w:lang w:val="en-US" w:eastAsia="zh-CN"/>
        </w:rPr>
        <w:t>，主要内容：见前附件。</w:t>
      </w:r>
    </w:p>
    <w:p w14:paraId="0063B87D">
      <w:pPr>
        <w:pStyle w:val="23"/>
        <w:ind w:firstLine="56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本项目预算资金测算依据充分、科学、合理。</w:t>
      </w:r>
    </w:p>
    <w:p w14:paraId="7122D1C9">
      <w:pPr>
        <w:pStyle w:val="23"/>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（二）项目过程情况</w:t>
      </w:r>
    </w:p>
    <w:p w14:paraId="4D8ED8A6">
      <w:pPr>
        <w:pStyle w:val="23"/>
        <w:ind w:firstLine="562"/>
        <w:jc w:val="both"/>
        <w:outlineLvl w:val="0"/>
        <w:rPr>
          <w:rFonts w:hint="eastAsia" w:ascii="仿宋" w:hAnsi="仿宋" w:eastAsia="仿宋" w:cs="仿宋"/>
          <w:b w:val="0"/>
          <w:bCs w:val="0"/>
          <w:kern w:val="2"/>
          <w:sz w:val="28"/>
          <w:szCs w:val="28"/>
          <w:lang w:val="en-US" w:eastAsia="zh-CN" w:bidi="ar-SA"/>
        </w:rPr>
      </w:pPr>
      <w:bookmarkStart w:id="33" w:name="_Toc12344"/>
      <w:r>
        <w:rPr>
          <w:rFonts w:hint="eastAsia" w:ascii="仿宋" w:hAnsi="仿宋" w:eastAsia="仿宋" w:cs="仿宋"/>
          <w:b w:val="0"/>
          <w:bCs w:val="0"/>
          <w:kern w:val="2"/>
          <w:sz w:val="28"/>
          <w:szCs w:val="28"/>
          <w:lang w:val="en-US" w:eastAsia="zh-CN" w:bidi="ar-SA"/>
        </w:rPr>
        <w:t>1、资金管理</w:t>
      </w:r>
      <w:bookmarkEnd w:id="33"/>
    </w:p>
    <w:p w14:paraId="6D59F836">
      <w:pPr>
        <w:widowControl w:val="0"/>
        <w:autoSpaceDE w:val="0"/>
        <w:autoSpaceDN w:val="0"/>
        <w:adjustRightInd w:val="0"/>
        <w:spacing w:line="240" w:lineRule="atLeast"/>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a.资金到位率</w:t>
      </w:r>
    </w:p>
    <w:p w14:paraId="32EAD7EF">
      <w:pPr>
        <w:pStyle w:val="23"/>
        <w:ind w:firstLine="562"/>
        <w:jc w:val="both"/>
        <w:rPr>
          <w:rFonts w:hint="default" w:ascii="仿宋" w:hAnsi="仿宋" w:eastAsia="仿宋" w:cs="仿宋"/>
          <w:sz w:val="28"/>
          <w:szCs w:val="28"/>
          <w:lang w:val="en-US" w:eastAsia="zh-CN" w:bidi="ar-SA"/>
        </w:rPr>
      </w:pPr>
      <w:r>
        <w:rPr>
          <w:rFonts w:hint="eastAsia" w:ascii="仿宋" w:hAnsi="仿宋" w:eastAsia="仿宋" w:cs="仿宋"/>
          <w:sz w:val="28"/>
          <w:szCs w:val="28"/>
          <w:lang w:val="en-US" w:eastAsia="zh-CN" w:bidi="ar-SA"/>
        </w:rPr>
        <w:t>本项目总投资9600万元，本次评价为7600万国家专项债券资金到位情况，从与县公安局及本项目监理单位相关人员座谈了解，本项目截至2023年年底已完成总工程量的90%，专项债券资金到位41190943.89元，资金到位率为60.22%</w:t>
      </w:r>
    </w:p>
    <w:p w14:paraId="69950284">
      <w:pPr>
        <w:pStyle w:val="23"/>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b.到位资金执行率</w:t>
      </w:r>
    </w:p>
    <w:p w14:paraId="7121346B">
      <w:pPr>
        <w:pStyle w:val="23"/>
        <w:ind w:firstLine="562"/>
        <w:jc w:val="both"/>
        <w:rPr>
          <w:rFonts w:hint="default" w:ascii="仿宋" w:hAnsi="仿宋" w:eastAsia="仿宋" w:cs="仿宋"/>
          <w:b w:val="0"/>
          <w:bCs w:val="0"/>
          <w:kern w:val="2"/>
          <w:sz w:val="28"/>
          <w:szCs w:val="28"/>
          <w:highlight w:val="yellow"/>
          <w:lang w:val="en-US" w:eastAsia="zh-CN" w:bidi="ar-SA"/>
        </w:rPr>
      </w:pPr>
      <w:r>
        <w:rPr>
          <w:rFonts w:hint="eastAsia" w:ascii="仿宋" w:hAnsi="仿宋" w:eastAsia="仿宋" w:cs="仿宋"/>
          <w:b w:val="0"/>
          <w:bCs w:val="0"/>
          <w:kern w:val="2"/>
          <w:sz w:val="28"/>
          <w:szCs w:val="28"/>
          <w:highlight w:val="none"/>
          <w:lang w:val="en-US" w:eastAsia="zh-CN" w:bidi="ar-SA"/>
        </w:rPr>
        <w:t>从围场满族蒙古族自治县公安局提供的资料及人员座谈了解。截至2023年年底本项目专项债券资金共计审批使用额度41190943.89元，支出41190943.89元。到位资金执行率为100</w:t>
      </w:r>
      <w:r>
        <w:rPr>
          <w:rFonts w:hint="default" w:ascii="仿宋" w:hAnsi="仿宋" w:eastAsia="仿宋" w:cs="仿宋"/>
          <w:b w:val="0"/>
          <w:bCs w:val="0"/>
          <w:kern w:val="2"/>
          <w:sz w:val="28"/>
          <w:szCs w:val="28"/>
          <w:highlight w:val="none"/>
          <w:lang w:val="en-US" w:eastAsia="zh-CN" w:bidi="ar-SA"/>
        </w:rPr>
        <w:t>%</w:t>
      </w:r>
      <w:r>
        <w:rPr>
          <w:rFonts w:hint="eastAsia" w:ascii="仿宋" w:hAnsi="仿宋" w:eastAsia="仿宋" w:cs="仿宋"/>
          <w:b w:val="0"/>
          <w:bCs w:val="0"/>
          <w:kern w:val="2"/>
          <w:sz w:val="28"/>
          <w:szCs w:val="28"/>
          <w:highlight w:val="none"/>
          <w:lang w:val="en-US" w:eastAsia="zh-CN" w:bidi="ar-SA"/>
        </w:rPr>
        <w:t>。</w:t>
      </w:r>
    </w:p>
    <w:p w14:paraId="7949E516">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c.资金使用合规性</w:t>
      </w:r>
    </w:p>
    <w:p w14:paraId="7DF86AD7">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从围场满族蒙古族自治县公安局提供的记账凭证、发票、合同等资料看，本项目资金拨付手续、签字完整，符合预算批复用途，因本项目资金为使用额度，未直接拨付至县公安局账户，不存在</w:t>
      </w:r>
      <w:bookmarkStart w:id="34" w:name="_Toc11147"/>
      <w:r>
        <w:rPr>
          <w:rFonts w:hint="eastAsia" w:ascii="仿宋" w:hAnsi="仿宋" w:eastAsia="仿宋" w:cs="仿宋"/>
          <w:b w:val="0"/>
          <w:bCs w:val="0"/>
          <w:kern w:val="2"/>
          <w:sz w:val="28"/>
          <w:szCs w:val="28"/>
          <w:highlight w:val="none"/>
          <w:lang w:val="en-US" w:eastAsia="zh-CN" w:bidi="ar-SA"/>
        </w:rPr>
        <w:t>截留、挤占、挪用、虚列支出等情况。</w:t>
      </w:r>
    </w:p>
    <w:p w14:paraId="1DC5F116">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2、组织实施情况</w:t>
      </w:r>
      <w:bookmarkEnd w:id="34"/>
    </w:p>
    <w:p w14:paraId="06731912">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a.管理制度健全性</w:t>
      </w:r>
    </w:p>
    <w:p w14:paraId="7016418D">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因围场满族蒙古族自治县公安局管理制度，存在部分涉密内容。因此未要求提供，但从座谈了解相关管理制度健全</w:t>
      </w:r>
      <w:r>
        <w:rPr>
          <w:rFonts w:hint="default" w:ascii="仿宋" w:hAnsi="仿宋" w:eastAsia="仿宋" w:cs="仿宋"/>
          <w:b w:val="0"/>
          <w:bCs w:val="0"/>
          <w:kern w:val="2"/>
          <w:sz w:val="28"/>
          <w:szCs w:val="28"/>
          <w:highlight w:val="none"/>
          <w:lang w:val="en-US" w:eastAsia="zh-CN" w:bidi="ar-SA"/>
        </w:rPr>
        <w:t>,</w:t>
      </w:r>
      <w:r>
        <w:rPr>
          <w:rFonts w:hint="eastAsia" w:ascii="仿宋" w:hAnsi="仿宋" w:eastAsia="仿宋" w:cs="仿宋"/>
          <w:b w:val="0"/>
          <w:bCs w:val="0"/>
          <w:kern w:val="2"/>
          <w:sz w:val="28"/>
          <w:szCs w:val="28"/>
          <w:highlight w:val="none"/>
          <w:lang w:val="en-US" w:eastAsia="zh-CN" w:bidi="ar-SA"/>
        </w:rPr>
        <w:t>内容合法、合规。</w:t>
      </w:r>
    </w:p>
    <w:p w14:paraId="7350AB96">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b.制度执行有效性</w:t>
      </w:r>
    </w:p>
    <w:p w14:paraId="7A1E9647">
      <w:pPr>
        <w:ind w:firstLine="560" w:firstLineChars="200"/>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eastAsia="zh-CN"/>
        </w:rPr>
        <w:t>根据</w:t>
      </w:r>
      <w:r>
        <w:rPr>
          <w:rFonts w:hint="eastAsia" w:ascii="仿宋" w:hAnsi="仿宋" w:eastAsia="仿宋" w:cs="仿宋"/>
          <w:sz w:val="28"/>
          <w:szCs w:val="28"/>
          <w:highlight w:val="none"/>
          <w:lang w:val="en-US" w:eastAsia="zh-CN"/>
        </w:rPr>
        <w:t>座谈了解及</w:t>
      </w:r>
      <w:r>
        <w:rPr>
          <w:rFonts w:hint="eastAsia" w:ascii="仿宋" w:hAnsi="仿宋" w:eastAsia="仿宋" w:cs="仿宋"/>
          <w:b w:val="0"/>
          <w:bCs w:val="0"/>
          <w:kern w:val="2"/>
          <w:sz w:val="28"/>
          <w:szCs w:val="28"/>
          <w:highlight w:val="none"/>
          <w:lang w:val="en-US" w:eastAsia="zh-CN" w:bidi="ar-SA"/>
        </w:rPr>
        <w:t>围场满族蒙古族自治县公安局提供的记账凭证、发票、合同等资料</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本项目</w:t>
      </w:r>
      <w:r>
        <w:rPr>
          <w:rFonts w:hint="eastAsia" w:ascii="仿宋" w:hAnsi="仿宋" w:eastAsia="仿宋" w:cs="仿宋"/>
          <w:sz w:val="28"/>
          <w:szCs w:val="28"/>
          <w:highlight w:val="none"/>
          <w:lang w:eastAsia="zh-CN"/>
        </w:rPr>
        <w:t>资金</w:t>
      </w:r>
      <w:r>
        <w:rPr>
          <w:rFonts w:hint="eastAsia" w:ascii="仿宋" w:hAnsi="仿宋" w:eastAsia="仿宋" w:cs="仿宋"/>
          <w:sz w:val="28"/>
          <w:szCs w:val="28"/>
          <w:highlight w:val="none"/>
        </w:rPr>
        <w:t>支</w:t>
      </w:r>
      <w:r>
        <w:rPr>
          <w:rFonts w:hint="eastAsia" w:ascii="仿宋" w:hAnsi="仿宋" w:eastAsia="仿宋" w:cs="仿宋"/>
          <w:sz w:val="28"/>
          <w:szCs w:val="28"/>
          <w:highlight w:val="none"/>
          <w:lang w:eastAsia="zh-CN"/>
        </w:rPr>
        <w:t>出能够按照</w:t>
      </w:r>
      <w:r>
        <w:rPr>
          <w:rFonts w:hint="eastAsia" w:ascii="仿宋" w:hAnsi="仿宋" w:eastAsia="仿宋" w:cs="仿宋"/>
          <w:b w:val="0"/>
          <w:bCs w:val="0"/>
          <w:kern w:val="2"/>
          <w:sz w:val="28"/>
          <w:szCs w:val="28"/>
          <w:highlight w:val="none"/>
          <w:lang w:val="en-US" w:eastAsia="zh-CN" w:bidi="ar-SA"/>
        </w:rPr>
        <w:t>相关管理制度</w:t>
      </w:r>
      <w:r>
        <w:rPr>
          <w:rFonts w:hint="eastAsia" w:ascii="仿宋" w:hAnsi="仿宋" w:eastAsia="仿宋" w:cs="仿宋"/>
          <w:sz w:val="28"/>
          <w:szCs w:val="28"/>
          <w:highlight w:val="none"/>
        </w:rPr>
        <w:t>进行支付</w:t>
      </w:r>
      <w:r>
        <w:rPr>
          <w:rFonts w:hint="eastAsia" w:ascii="仿宋" w:hAnsi="仿宋" w:eastAsia="仿宋" w:cs="仿宋"/>
          <w:sz w:val="28"/>
          <w:szCs w:val="28"/>
          <w:highlight w:val="none"/>
          <w:lang w:eastAsia="zh-CN"/>
        </w:rPr>
        <w:t>，票据有主管领导及经手人签字，符合相关法律法规规定，项目资料齐全并能够及时归档。</w:t>
      </w:r>
    </w:p>
    <w:p w14:paraId="5F3F180F">
      <w:pPr>
        <w:pStyle w:val="23"/>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（三）项目产出情况</w:t>
      </w:r>
    </w:p>
    <w:p w14:paraId="640C2214">
      <w:pPr>
        <w:pStyle w:val="23"/>
        <w:ind w:firstLine="562"/>
        <w:jc w:val="both"/>
        <w:outlineLvl w:val="0"/>
        <w:rPr>
          <w:rFonts w:hint="eastAsia" w:ascii="仿宋" w:hAnsi="仿宋" w:eastAsia="仿宋" w:cs="仿宋"/>
          <w:b w:val="0"/>
          <w:bCs w:val="0"/>
          <w:kern w:val="2"/>
          <w:sz w:val="28"/>
          <w:szCs w:val="28"/>
          <w:lang w:val="en-US" w:eastAsia="zh-CN" w:bidi="ar-SA"/>
        </w:rPr>
      </w:pPr>
      <w:bookmarkStart w:id="35" w:name="_Toc2772"/>
      <w:r>
        <w:rPr>
          <w:rFonts w:hint="eastAsia" w:ascii="仿宋" w:hAnsi="仿宋" w:eastAsia="仿宋" w:cs="仿宋"/>
          <w:b w:val="0"/>
          <w:bCs w:val="0"/>
          <w:kern w:val="2"/>
          <w:sz w:val="28"/>
          <w:szCs w:val="28"/>
          <w:lang w:val="en-US" w:eastAsia="zh-CN" w:bidi="ar-SA"/>
        </w:rPr>
        <w:t>1、产出数量</w:t>
      </w:r>
      <w:bookmarkEnd w:id="35"/>
    </w:p>
    <w:p w14:paraId="2A92374E">
      <w:pPr>
        <w:pStyle w:val="23"/>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a.实际完成率</w:t>
      </w:r>
    </w:p>
    <w:p w14:paraId="25AA7D09">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从本项目的项目建议书批复、初步设计批复及可行性研究报告批复及合同协议书了解，本项目完工日期均为2023年12月，从与围场满族蒙古族自治县公安局及本项目监理单位相关人员座谈了解，截止2023年12月，本项目实际完成90%，完成率为90%。</w:t>
      </w:r>
    </w:p>
    <w:p w14:paraId="4D4CD8EC">
      <w:pPr>
        <w:pStyle w:val="23"/>
        <w:jc w:val="center"/>
        <w:rPr>
          <w:rFonts w:hint="default" w:ascii="仿宋" w:hAnsi="仿宋" w:eastAsia="仿宋" w:cs="仿宋"/>
          <w:b w:val="0"/>
          <w:bCs w:val="0"/>
          <w:kern w:val="2"/>
          <w:sz w:val="28"/>
          <w:szCs w:val="28"/>
          <w:highlight w:val="none"/>
          <w:lang w:val="en-US" w:eastAsia="zh-CN" w:bidi="ar-SA"/>
        </w:rPr>
      </w:pPr>
      <w:r>
        <w:drawing>
          <wp:inline distT="0" distB="0" distL="114300" distR="114300">
            <wp:extent cx="2336800" cy="254952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6800" cy="2549525"/>
                    </a:xfrm>
                    <a:prstGeom prst="rect">
                      <a:avLst/>
                    </a:prstGeom>
                    <a:noFill/>
                    <a:ln>
                      <a:noFill/>
                    </a:ln>
                  </pic:spPr>
                </pic:pic>
              </a:graphicData>
            </a:graphic>
          </wp:inline>
        </w:drawing>
      </w:r>
      <w:r>
        <w:rPr>
          <w:rFonts w:hint="eastAsia"/>
          <w:lang w:val="en-US" w:eastAsia="zh-CN"/>
        </w:rPr>
        <w:t xml:space="preserve"> </w:t>
      </w:r>
      <w:r>
        <w:rPr>
          <w:rFonts w:hint="default" w:ascii="仿宋" w:hAnsi="仿宋" w:eastAsia="仿宋" w:cs="仿宋"/>
          <w:b w:val="0"/>
          <w:bCs w:val="0"/>
          <w:kern w:val="2"/>
          <w:sz w:val="28"/>
          <w:szCs w:val="28"/>
          <w:highlight w:val="none"/>
          <w:lang w:val="en-US" w:eastAsia="zh-CN" w:bidi="ar-SA"/>
        </w:rPr>
        <w:drawing>
          <wp:inline distT="0" distB="0" distL="114300" distR="114300">
            <wp:extent cx="2338705" cy="2543175"/>
            <wp:effectExtent l="0" t="0" r="444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2338705" cy="2543175"/>
                    </a:xfrm>
                    <a:prstGeom prst="rect">
                      <a:avLst/>
                    </a:prstGeom>
                    <a:noFill/>
                    <a:ln>
                      <a:noFill/>
                    </a:ln>
                  </pic:spPr>
                </pic:pic>
              </a:graphicData>
            </a:graphic>
          </wp:inline>
        </w:drawing>
      </w:r>
    </w:p>
    <w:p w14:paraId="22EF34F0">
      <w:pPr>
        <w:pStyle w:val="23"/>
        <w:ind w:firstLine="562"/>
        <w:jc w:val="both"/>
        <w:outlineLvl w:val="0"/>
        <w:rPr>
          <w:rFonts w:hint="default" w:ascii="仿宋" w:hAnsi="仿宋" w:eastAsia="仿宋" w:cs="仿宋"/>
          <w:b w:val="0"/>
          <w:bCs w:val="0"/>
          <w:kern w:val="2"/>
          <w:sz w:val="28"/>
          <w:szCs w:val="28"/>
          <w:highlight w:val="none"/>
          <w:lang w:val="en-US" w:eastAsia="zh-CN" w:bidi="ar-SA"/>
        </w:rPr>
      </w:pPr>
      <w:bookmarkStart w:id="36" w:name="_Toc22371"/>
      <w:r>
        <w:rPr>
          <w:rFonts w:hint="eastAsia" w:ascii="仿宋" w:hAnsi="仿宋" w:eastAsia="仿宋" w:cs="仿宋"/>
          <w:b w:val="0"/>
          <w:bCs w:val="0"/>
          <w:kern w:val="2"/>
          <w:sz w:val="28"/>
          <w:szCs w:val="28"/>
          <w:highlight w:val="none"/>
          <w:lang w:val="en-US" w:eastAsia="zh-CN" w:bidi="ar-SA"/>
        </w:rPr>
        <w:t>2、产出质量</w:t>
      </w:r>
      <w:bookmarkEnd w:id="36"/>
    </w:p>
    <w:p w14:paraId="70FE0C36">
      <w:pPr>
        <w:widowControl w:val="0"/>
        <w:autoSpaceDE w:val="0"/>
        <w:autoSpaceDN w:val="0"/>
        <w:adjustRightInd w:val="0"/>
        <w:spacing w:line="240" w:lineRule="atLeast"/>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b.质量达标率</w:t>
      </w:r>
    </w:p>
    <w:p w14:paraId="0838B906">
      <w:pPr>
        <w:widowControl w:val="0"/>
        <w:autoSpaceDE w:val="0"/>
        <w:autoSpaceDN w:val="0"/>
        <w:adjustRightInd w:val="0"/>
        <w:spacing w:line="240" w:lineRule="atLeast"/>
        <w:ind w:firstLine="562"/>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因本项目尚未进行交工验收，但从与围场满族蒙古族自治县公安局及本项目监理单位相关人员座谈了解，本项目未收到任何关于质量问题通报或处罚通知，此项暂按满分计。</w:t>
      </w:r>
    </w:p>
    <w:p w14:paraId="21114CF9">
      <w:pPr>
        <w:pStyle w:val="23"/>
        <w:ind w:firstLine="562"/>
        <w:jc w:val="both"/>
        <w:outlineLvl w:val="0"/>
        <w:rPr>
          <w:rFonts w:hint="default" w:ascii="仿宋" w:hAnsi="仿宋" w:eastAsia="仿宋" w:cs="仿宋"/>
          <w:b w:val="0"/>
          <w:bCs w:val="0"/>
          <w:kern w:val="2"/>
          <w:sz w:val="28"/>
          <w:szCs w:val="28"/>
          <w:lang w:val="en-US" w:eastAsia="zh-CN" w:bidi="ar-SA"/>
        </w:rPr>
      </w:pPr>
      <w:bookmarkStart w:id="37" w:name="_Toc22501"/>
      <w:r>
        <w:rPr>
          <w:rFonts w:hint="eastAsia" w:ascii="仿宋" w:hAnsi="仿宋" w:eastAsia="仿宋" w:cs="仿宋"/>
          <w:b w:val="0"/>
          <w:bCs w:val="0"/>
          <w:kern w:val="2"/>
          <w:sz w:val="28"/>
          <w:szCs w:val="28"/>
          <w:lang w:val="en-US" w:eastAsia="zh-CN" w:bidi="ar-SA"/>
        </w:rPr>
        <w:t>3、产出时效</w:t>
      </w:r>
      <w:bookmarkEnd w:id="37"/>
    </w:p>
    <w:p w14:paraId="05B3BEB3">
      <w:pPr>
        <w:pStyle w:val="23"/>
        <w:ind w:firstLine="562"/>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c.完成及时性</w:t>
      </w:r>
    </w:p>
    <w:p w14:paraId="2B97FBED">
      <w:pPr>
        <w:pStyle w:val="23"/>
        <w:ind w:firstLine="562"/>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从本项目的项目建议书批复、初步设计批复及可行性研究报告批复及合同协议书了解，本项目完工日期均为2023年12月，从与围场满族蒙古族自治县公安局及本项目监理单位相关人员座谈了解，截止2023年12月底，本项目实际完成90%。实际工期大于计划工期。</w:t>
      </w:r>
    </w:p>
    <w:p w14:paraId="516D4C95">
      <w:pPr>
        <w:pStyle w:val="23"/>
        <w:ind w:firstLine="562"/>
        <w:jc w:val="both"/>
        <w:outlineLvl w:val="0"/>
        <w:rPr>
          <w:rFonts w:hint="default" w:ascii="仿宋" w:hAnsi="仿宋" w:eastAsia="仿宋" w:cs="仿宋"/>
          <w:b w:val="0"/>
          <w:bCs w:val="0"/>
          <w:kern w:val="2"/>
          <w:sz w:val="28"/>
          <w:szCs w:val="28"/>
          <w:lang w:val="en-US" w:eastAsia="zh-CN" w:bidi="ar-SA"/>
        </w:rPr>
      </w:pPr>
      <w:bookmarkStart w:id="38" w:name="_Toc29568"/>
      <w:r>
        <w:rPr>
          <w:rFonts w:hint="eastAsia" w:ascii="仿宋" w:hAnsi="仿宋" w:eastAsia="仿宋" w:cs="仿宋"/>
          <w:b w:val="0"/>
          <w:bCs w:val="0"/>
          <w:kern w:val="2"/>
          <w:sz w:val="28"/>
          <w:szCs w:val="28"/>
          <w:lang w:val="en-US" w:eastAsia="zh-CN" w:bidi="ar-SA"/>
        </w:rPr>
        <w:t>4、产出成本</w:t>
      </w:r>
      <w:bookmarkEnd w:id="38"/>
    </w:p>
    <w:p w14:paraId="3FFFF23B">
      <w:pPr>
        <w:widowControl w:val="0"/>
        <w:autoSpaceDE w:val="0"/>
        <w:autoSpaceDN w:val="0"/>
        <w:adjustRightInd w:val="0"/>
        <w:spacing w:line="240" w:lineRule="atLeast"/>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d.成本节约率</w:t>
      </w:r>
    </w:p>
    <w:p w14:paraId="292488DB">
      <w:pPr>
        <w:pStyle w:val="23"/>
        <w:ind w:firstLine="562"/>
        <w:jc w:val="both"/>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因本项目尚未验收进行结算评审，对此项考核指标无法判定，但从与县公安局及本项目监理单位相关人员座谈了解，可以控制在预算资金内完成本项目，此项暂按满分计。</w:t>
      </w:r>
    </w:p>
    <w:p w14:paraId="1EC9BF2E">
      <w:pPr>
        <w:pStyle w:val="23"/>
        <w:numPr>
          <w:ilvl w:val="0"/>
          <w:numId w:val="1"/>
        </w:numPr>
        <w:ind w:firstLine="562"/>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项目效益情况</w:t>
      </w:r>
    </w:p>
    <w:p w14:paraId="4EB917F5">
      <w:pPr>
        <w:pStyle w:val="23"/>
        <w:widowControl w:val="0"/>
        <w:numPr>
          <w:ilvl w:val="0"/>
          <w:numId w:val="0"/>
        </w:numPr>
        <w:autoSpaceDE w:val="0"/>
        <w:autoSpaceDN w:val="0"/>
        <w:adjustRightInd w:val="0"/>
        <w:spacing w:line="240" w:lineRule="atLeast"/>
        <w:jc w:val="both"/>
        <w:outlineLvl w:val="0"/>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w:t>
      </w:r>
      <w:bookmarkStart w:id="39" w:name="_Toc6720"/>
      <w:r>
        <w:rPr>
          <w:rFonts w:hint="eastAsia" w:ascii="仿宋" w:hAnsi="仿宋" w:eastAsia="仿宋" w:cs="仿宋"/>
          <w:b w:val="0"/>
          <w:bCs w:val="0"/>
          <w:kern w:val="2"/>
          <w:sz w:val="28"/>
          <w:szCs w:val="28"/>
          <w:lang w:val="en-US" w:eastAsia="zh-CN" w:bidi="ar-SA"/>
        </w:rPr>
        <w:t>1、项目效益</w:t>
      </w:r>
      <w:bookmarkEnd w:id="39"/>
    </w:p>
    <w:p w14:paraId="55D42FBC">
      <w:pPr>
        <w:pStyle w:val="23"/>
        <w:widowControl w:val="0"/>
        <w:numPr>
          <w:ilvl w:val="0"/>
          <w:numId w:val="0"/>
        </w:numPr>
        <w:autoSpaceDE w:val="0"/>
        <w:autoSpaceDN w:val="0"/>
        <w:adjustRightInd w:val="0"/>
        <w:spacing w:line="240" w:lineRule="atLeast"/>
        <w:ind w:left="559" w:leftChars="266" w:firstLine="0" w:firstLineChars="0"/>
        <w:jc w:val="both"/>
        <w:outlineLvl w:val="0"/>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从围场满族蒙古族自治县公安局提供的绩效目标申报看，效益指</w:t>
      </w:r>
    </w:p>
    <w:p w14:paraId="56C04947">
      <w:pPr>
        <w:pStyle w:val="23"/>
        <w:widowControl w:val="0"/>
        <w:numPr>
          <w:ilvl w:val="0"/>
          <w:numId w:val="0"/>
        </w:numPr>
        <w:autoSpaceDE w:val="0"/>
        <w:autoSpaceDN w:val="0"/>
        <w:adjustRightInd w:val="0"/>
        <w:spacing w:line="240" w:lineRule="atLeast"/>
        <w:jc w:val="both"/>
        <w:outlineLvl w:val="0"/>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标主要包括以下几方面：经济效益指标：项目有运营收益、带动本地投资，实现经济指标增长。社会效益指标：提高数据治理、可视化分析能力，维护社会安全和稳定，提高人民群众的安全感。可持续影响指标：能够可持续发展。还本付息指标：按时偿还债券本息率。</w:t>
      </w:r>
    </w:p>
    <w:p w14:paraId="5BF0C6AA">
      <w:pPr>
        <w:pStyle w:val="23"/>
        <w:widowControl w:val="0"/>
        <w:numPr>
          <w:ilvl w:val="0"/>
          <w:numId w:val="0"/>
        </w:numPr>
        <w:autoSpaceDE w:val="0"/>
        <w:autoSpaceDN w:val="0"/>
        <w:adjustRightInd w:val="0"/>
        <w:spacing w:line="240" w:lineRule="atLeast"/>
        <w:ind w:firstLine="560" w:firstLineChars="200"/>
        <w:jc w:val="both"/>
        <w:outlineLvl w:val="0"/>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因本项目尚在建设中，但从与县公安局相关人员及周边群众座谈了解到，本项目建成后，能够达到预期的效益指标。</w:t>
      </w:r>
    </w:p>
    <w:p w14:paraId="574DE184">
      <w:pPr>
        <w:pStyle w:val="23"/>
        <w:widowControl w:val="0"/>
        <w:numPr>
          <w:ilvl w:val="0"/>
          <w:numId w:val="0"/>
        </w:numPr>
        <w:autoSpaceDE w:val="0"/>
        <w:autoSpaceDN w:val="0"/>
        <w:adjustRightInd w:val="0"/>
        <w:spacing w:line="240" w:lineRule="atLeas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b.满意度</w:t>
      </w:r>
    </w:p>
    <w:p w14:paraId="6485E9AF">
      <w:pPr>
        <w:pStyle w:val="23"/>
        <w:widowControl w:val="0"/>
        <w:numPr>
          <w:ilvl w:val="0"/>
          <w:numId w:val="0"/>
        </w:numPr>
        <w:autoSpaceDE w:val="0"/>
        <w:autoSpaceDN w:val="0"/>
        <w:adjustRightInd w:val="0"/>
        <w:spacing w:line="240" w:lineRule="atLeas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评价小组随机对本项目参建人员及周边群众30人进行满意度测评，大家对该工程实施情况均满意，共发放调查问卷30份，收回30份，满意度100%。</w:t>
      </w:r>
    </w:p>
    <w:p w14:paraId="5E446B0E">
      <w:pPr>
        <w:pStyle w:val="23"/>
        <w:widowControl w:val="0"/>
        <w:numPr>
          <w:ilvl w:val="0"/>
          <w:numId w:val="0"/>
        </w:numPr>
        <w:autoSpaceDE w:val="0"/>
        <w:autoSpaceDN w:val="0"/>
        <w:adjustRightInd w:val="0"/>
        <w:spacing w:line="240" w:lineRule="atLeast"/>
        <w:jc w:val="center"/>
        <w:rPr>
          <w:rFonts w:hint="default" w:ascii="仿宋" w:hAnsi="仿宋" w:eastAsia="仿宋" w:cs="仿宋"/>
          <w:b w:val="0"/>
          <w:bCs w:val="0"/>
          <w:kern w:val="2"/>
          <w:sz w:val="28"/>
          <w:szCs w:val="28"/>
          <w:highlight w:val="none"/>
          <w:lang w:val="en-US" w:eastAsia="zh-CN" w:bidi="ar-SA"/>
        </w:rPr>
      </w:pPr>
      <w:r>
        <w:rPr>
          <w:rFonts w:hint="default" w:ascii="仿宋" w:hAnsi="仿宋" w:eastAsia="仿宋" w:cs="仿宋"/>
          <w:b w:val="0"/>
          <w:bCs w:val="0"/>
          <w:kern w:val="2"/>
          <w:sz w:val="28"/>
          <w:szCs w:val="28"/>
          <w:highlight w:val="none"/>
          <w:lang w:val="en-US" w:eastAsia="zh-CN" w:bidi="ar-SA"/>
        </w:rPr>
        <w:drawing>
          <wp:inline distT="0" distB="0" distL="114300" distR="114300">
            <wp:extent cx="3985895" cy="2051050"/>
            <wp:effectExtent l="0" t="0" r="14605" b="6350"/>
            <wp:docPr id="4" name="图片 4" descr="ca54dcaef49b0fcbde35801ea118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a54dcaef49b0fcbde35801ea118aa2"/>
                    <pic:cNvPicPr>
                      <a:picLocks noChangeAspect="1"/>
                    </pic:cNvPicPr>
                  </pic:nvPicPr>
                  <pic:blipFill>
                    <a:blip r:embed="rId18"/>
                    <a:stretch>
                      <a:fillRect/>
                    </a:stretch>
                  </pic:blipFill>
                  <pic:spPr>
                    <a:xfrm>
                      <a:off x="0" y="0"/>
                      <a:ext cx="3985895" cy="2051050"/>
                    </a:xfrm>
                    <a:prstGeom prst="rect">
                      <a:avLst/>
                    </a:prstGeom>
                  </pic:spPr>
                </pic:pic>
              </a:graphicData>
            </a:graphic>
          </wp:inline>
        </w:drawing>
      </w:r>
    </w:p>
    <w:p w14:paraId="0487D978">
      <w:pPr>
        <w:pStyle w:val="2"/>
        <w:ind w:firstLine="562" w:firstLineChars="200"/>
        <w:jc w:val="left"/>
        <w:rPr>
          <w:rFonts w:hint="eastAsia" w:ascii="黑体" w:hAnsi="黑体" w:eastAsia="黑体" w:cs="黑体"/>
          <w:lang w:val="en-US" w:eastAsia="zh-CN"/>
        </w:rPr>
      </w:pPr>
      <w:bookmarkStart w:id="40" w:name="_Toc30968"/>
      <w:r>
        <w:rPr>
          <w:rFonts w:hint="eastAsia" w:eastAsia="黑体" w:cs="黑体"/>
          <w:lang w:val="en-US" w:eastAsia="zh-CN"/>
        </w:rPr>
        <w:t>六</w:t>
      </w:r>
      <w:r>
        <w:rPr>
          <w:rFonts w:hint="eastAsia" w:ascii="黑体" w:hAnsi="黑体" w:eastAsia="黑体" w:cs="黑体"/>
          <w:lang w:val="en-US" w:eastAsia="zh-CN"/>
        </w:rPr>
        <w:t>、存在的问题</w:t>
      </w:r>
      <w:bookmarkEnd w:id="40"/>
    </w:p>
    <w:p w14:paraId="4D9054E5">
      <w:pPr>
        <w:pStyle w:val="5"/>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1、工期相对滞后；</w:t>
      </w:r>
    </w:p>
    <w:p w14:paraId="2BBCAED9">
      <w:pPr>
        <w:pStyle w:val="6"/>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2、资金到位不及时；</w:t>
      </w:r>
    </w:p>
    <w:p w14:paraId="1FE0AAA2">
      <w:pPr>
        <w:pStyle w:val="6"/>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3、绩效目标不完整</w:t>
      </w:r>
    </w:p>
    <w:p w14:paraId="7A86FA4C">
      <w:pPr>
        <w:pStyle w:val="6"/>
        <w:ind w:firstLine="56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4、绩效目标申报表所有指标均缺少切实可行的评扣分标标准。</w:t>
      </w:r>
    </w:p>
    <w:p w14:paraId="26359920">
      <w:pPr>
        <w:pStyle w:val="2"/>
        <w:ind w:firstLine="562" w:firstLineChars="200"/>
        <w:jc w:val="left"/>
        <w:rPr>
          <w:rFonts w:hint="eastAsia" w:ascii="黑体" w:hAnsi="黑体" w:eastAsia="黑体" w:cs="黑体"/>
          <w:lang w:val="en-US" w:eastAsia="zh-CN"/>
        </w:rPr>
      </w:pPr>
      <w:bookmarkStart w:id="41" w:name="_Toc6387"/>
      <w:r>
        <w:rPr>
          <w:rFonts w:hint="eastAsia" w:eastAsia="黑体" w:cs="黑体"/>
          <w:lang w:val="en-US" w:eastAsia="zh-CN"/>
        </w:rPr>
        <w:t>七</w:t>
      </w:r>
      <w:r>
        <w:rPr>
          <w:rFonts w:hint="eastAsia" w:ascii="黑体" w:hAnsi="黑体" w:eastAsia="黑体" w:cs="黑体"/>
          <w:lang w:val="en-US" w:eastAsia="zh-CN"/>
        </w:rPr>
        <w:t>、</w:t>
      </w:r>
      <w:r>
        <w:rPr>
          <w:rFonts w:hint="eastAsia" w:eastAsia="黑体" w:cs="黑体"/>
          <w:lang w:val="en-US" w:eastAsia="zh-CN"/>
        </w:rPr>
        <w:t>结果应用及</w:t>
      </w:r>
      <w:r>
        <w:rPr>
          <w:rFonts w:hint="eastAsia" w:ascii="黑体" w:hAnsi="黑体" w:eastAsia="黑体" w:cs="黑体"/>
          <w:lang w:val="en-US" w:eastAsia="zh-CN"/>
        </w:rPr>
        <w:t>建议</w:t>
      </w:r>
      <w:bookmarkEnd w:id="41"/>
    </w:p>
    <w:p w14:paraId="489CC656">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1、结果应用</w:t>
      </w:r>
    </w:p>
    <w:p w14:paraId="1193DD34">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b w:val="0"/>
          <w:bCs w:val="0"/>
          <w:color w:val="000000"/>
          <w:kern w:val="0"/>
          <w:sz w:val="28"/>
          <w:szCs w:val="28"/>
          <w:lang w:val="en-US" w:eastAsia="zh-CN" w:bidi="ar"/>
        </w:rPr>
        <w:t>（1）合理计划项目工期及资金</w:t>
      </w:r>
      <w:r>
        <w:rPr>
          <w:rFonts w:hint="eastAsia" w:ascii="仿宋" w:hAnsi="仿宋" w:eastAsia="仿宋" w:cs="仿宋"/>
          <w:sz w:val="28"/>
          <w:szCs w:val="28"/>
          <w:lang w:val="en-US" w:eastAsia="zh-CN"/>
        </w:rPr>
        <w:t>；</w:t>
      </w:r>
    </w:p>
    <w:p w14:paraId="1EC94109">
      <w:pPr>
        <w:pStyle w:val="23"/>
        <w:ind w:firstLine="560" w:firstLineChars="200"/>
        <w:jc w:val="both"/>
        <w:rPr>
          <w:rFonts w:hint="default"/>
          <w:lang w:val="en-US" w:eastAsia="zh-CN"/>
        </w:rPr>
      </w:pPr>
      <w:r>
        <w:rPr>
          <w:rFonts w:hint="eastAsia" w:ascii="仿宋" w:hAnsi="仿宋" w:eastAsia="仿宋" w:cs="仿宋"/>
          <w:sz w:val="28"/>
          <w:szCs w:val="28"/>
          <w:lang w:val="en-US" w:eastAsia="zh-CN"/>
        </w:rPr>
        <w:t>（2）完整编制绩效目标申报表。</w:t>
      </w:r>
    </w:p>
    <w:p w14:paraId="057544FE">
      <w:pPr>
        <w:pStyle w:val="23"/>
        <w:jc w:val="both"/>
        <w:rPr>
          <w:rFonts w:hint="default"/>
          <w:lang w:val="en-US" w:eastAsia="zh-CN"/>
        </w:rPr>
      </w:pPr>
      <w:r>
        <w:rPr>
          <w:rFonts w:hint="eastAsia" w:ascii="仿宋" w:hAnsi="仿宋" w:eastAsia="仿宋" w:cs="仿宋"/>
          <w:b w:val="0"/>
          <w:bCs w:val="0"/>
          <w:color w:val="000000"/>
          <w:kern w:val="0"/>
          <w:sz w:val="28"/>
          <w:szCs w:val="28"/>
          <w:lang w:val="en-US" w:eastAsia="zh-CN" w:bidi="ar"/>
        </w:rPr>
        <w:t xml:space="preserve">    2、建议</w:t>
      </w:r>
    </w:p>
    <w:p w14:paraId="033F37D0">
      <w:pPr>
        <w:pStyle w:val="23"/>
        <w:widowControl w:val="0"/>
        <w:numPr>
          <w:ilvl w:val="0"/>
          <w:numId w:val="0"/>
        </w:numPr>
        <w:autoSpaceDE w:val="0"/>
        <w:autoSpaceDN w:val="0"/>
        <w:adjustRightInd w:val="0"/>
        <w:spacing w:line="240" w:lineRule="atLeast"/>
        <w:ind w:firstLine="560" w:firstLineChars="200"/>
        <w:jc w:val="both"/>
        <w:rPr>
          <w:rFonts w:hint="default"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充分考虑项目各项因素，合理申报各项指标。</w:t>
      </w:r>
    </w:p>
    <w:p w14:paraId="496F1D22">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2A90F3AB">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49B7224F">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7EAFFC9B">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5C1FF391">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142DDE4B">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30164BF1">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0056B813">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5343361E">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31B8B484">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4BAEA975">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198B5FA8">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497CD8D3">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3F828ACE">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6CE8EFC9">
      <w:pPr>
        <w:pStyle w:val="23"/>
        <w:widowControl w:val="0"/>
        <w:numPr>
          <w:ilvl w:val="0"/>
          <w:numId w:val="0"/>
        </w:numPr>
        <w:autoSpaceDE w:val="0"/>
        <w:autoSpaceDN w:val="0"/>
        <w:adjustRightInd w:val="0"/>
        <w:spacing w:line="240" w:lineRule="atLeast"/>
        <w:jc w:val="both"/>
        <w:rPr>
          <w:rFonts w:hint="eastAsia" w:ascii="仿宋" w:hAnsi="仿宋" w:eastAsia="仿宋" w:cs="仿宋"/>
          <w:b w:val="0"/>
          <w:bCs w:val="0"/>
          <w:color w:val="000000"/>
          <w:kern w:val="0"/>
          <w:sz w:val="28"/>
          <w:szCs w:val="28"/>
          <w:lang w:val="en-US" w:eastAsia="zh-CN" w:bidi="ar"/>
        </w:rPr>
      </w:pPr>
    </w:p>
    <w:p w14:paraId="57A7801D">
      <w:pPr>
        <w:pStyle w:val="23"/>
        <w:widowControl w:val="0"/>
        <w:numPr>
          <w:ilvl w:val="0"/>
          <w:numId w:val="0"/>
        </w:numPr>
        <w:autoSpaceDE w:val="0"/>
        <w:autoSpaceDN w:val="0"/>
        <w:adjustRightInd w:val="0"/>
        <w:spacing w:line="240" w:lineRule="atLeast"/>
        <w:jc w:val="both"/>
        <w:rPr>
          <w:rFonts w:hint="default" w:ascii="仿宋" w:hAnsi="仿宋" w:eastAsia="仿宋" w:cs="仿宋"/>
          <w:b w:val="0"/>
          <w:bCs w:val="0"/>
          <w:color w:val="000000"/>
          <w:kern w:val="0"/>
          <w:sz w:val="28"/>
          <w:szCs w:val="28"/>
          <w:lang w:val="en-US" w:eastAsia="zh-CN" w:bidi="ar"/>
        </w:rPr>
      </w:pPr>
      <w:r>
        <w:rPr>
          <w:rFonts w:hint="default"/>
          <w:lang w:val="en-US" w:eastAsia="zh-CN"/>
        </w:rPr>
        <w:drawing>
          <wp:anchor distT="0" distB="0" distL="114300" distR="114300" simplePos="0" relativeHeight="251661312" behindDoc="1" locked="0" layoutInCell="1" allowOverlap="1">
            <wp:simplePos x="0" y="0"/>
            <wp:positionH relativeFrom="column">
              <wp:posOffset>-891540</wp:posOffset>
            </wp:positionH>
            <wp:positionV relativeFrom="paragraph">
              <wp:posOffset>1466850</wp:posOffset>
            </wp:positionV>
            <wp:extent cx="6957695" cy="4995545"/>
            <wp:effectExtent l="0" t="0" r="14605" b="1460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rot="-5400000">
                      <a:off x="0" y="0"/>
                      <a:ext cx="6957695" cy="4995545"/>
                    </a:xfrm>
                    <a:prstGeom prst="rect">
                      <a:avLst/>
                    </a:prstGeom>
                    <a:noFill/>
                    <a:ln>
                      <a:noFill/>
                    </a:ln>
                  </pic:spPr>
                </pic:pic>
              </a:graphicData>
            </a:graphic>
          </wp:anchor>
        </w:drawing>
      </w:r>
    </w:p>
    <w:sectPr>
      <w:headerReference r:id="rId6" w:type="default"/>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A594">
    <w:pPr>
      <w:pStyle w:val="11"/>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D7515">
                          <w:pPr>
                            <w:pStyle w:val="11"/>
                          </w:pPr>
                          <w:r>
                            <w:fldChar w:fldCharType="begin"/>
                          </w:r>
                          <w:r>
                            <w:instrText xml:space="preserve"> PAGE  \* MERGEFORMAT </w:instrText>
                          </w:r>
                          <w:r>
                            <w:fldChar w:fldCharType="separate"/>
                          </w:r>
                          <w:r>
                            <w:t>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6AD7515">
                    <w:pPr>
                      <w:pStyle w:val="11"/>
                    </w:pPr>
                    <w:r>
                      <w:fldChar w:fldCharType="begin"/>
                    </w:r>
                    <w:r>
                      <w:instrText xml:space="preserve"> PAGE  \* MERGEFORMAT </w:instrText>
                    </w:r>
                    <w:r>
                      <w:fldChar w:fldCharType="separate"/>
                    </w:r>
                    <w:r>
                      <w:t>VI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1A30D">
    <w:pPr>
      <w:pStyle w:val="1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E7CEC">
                          <w:pPr>
                            <w:pStyle w:val="11"/>
                          </w:pPr>
                          <w:r>
                            <w:fldChar w:fldCharType="begin"/>
                          </w:r>
                          <w:r>
                            <w:instrText xml:space="preserve"> PAGE  \* MERGEFORMAT </w:instrText>
                          </w:r>
                          <w:r>
                            <w:fldChar w:fldCharType="separate"/>
                          </w:r>
                          <w:r>
                            <w:t>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16E7CEC">
                    <w:pPr>
                      <w:pStyle w:val="11"/>
                    </w:pPr>
                    <w:r>
                      <w:fldChar w:fldCharType="begin"/>
                    </w:r>
                    <w:r>
                      <w:instrText xml:space="preserve"> PAGE  \* MERGEFORMAT </w:instrText>
                    </w:r>
                    <w:r>
                      <w:fldChar w:fldCharType="separate"/>
                    </w:r>
                    <w:r>
                      <w:t>XVII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A3EA4">
    <w:pPr>
      <w:pStyle w:val="12"/>
      <w:pBdr>
        <w:bottom w:val="none" w:color="auto" w:sz="0" w:space="1"/>
      </w:pBdr>
      <w:ind w:firstLine="5580" w:firstLineChars="31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5BD81">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990B5">
    <w:pPr>
      <w:pStyle w:val="12"/>
    </w:pPr>
    <w:r>
      <w:t xml:space="preserve">                 </w:t>
    </w:r>
    <w:r>
      <w:rPr>
        <w:rFonts w:hint="eastAsia"/>
        <w:lang w:val="en-US" w:eastAsia="zh-CN"/>
      </w:rPr>
      <w:t xml:space="preserve">                      </w:t>
    </w:r>
    <w:r>
      <w:t xml:space="preserve"> </w:t>
    </w:r>
    <w:r>
      <w:rPr>
        <w:rFonts w:hint="eastAsia"/>
        <w:lang w:val="en-US" w:eastAsia="zh-CN"/>
      </w:rPr>
      <w:t xml:space="preserve">                   </w:t>
    </w:r>
    <w:r>
      <w:rPr>
        <w:rFonts w:hint="eastAsia" w:ascii="宋体" w:hAnsi="宋体" w:eastAsia="宋体" w:cs="宋体"/>
        <w:sz w:val="18"/>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0C8CF7"/>
    <w:multiLevelType w:val="singleLevel"/>
    <w:tmpl w:val="C00C8CF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3Zjk1YmIzM2YwZTA3YzI0Y2M3NzQyMWRiODZkNTcifQ=="/>
  </w:docVars>
  <w:rsids>
    <w:rsidRoot w:val="00000000"/>
    <w:rsid w:val="006975AF"/>
    <w:rsid w:val="00DC635C"/>
    <w:rsid w:val="01375E00"/>
    <w:rsid w:val="015C4593"/>
    <w:rsid w:val="017853BC"/>
    <w:rsid w:val="018C19BD"/>
    <w:rsid w:val="01A00C4B"/>
    <w:rsid w:val="01F646A7"/>
    <w:rsid w:val="02B6085B"/>
    <w:rsid w:val="02CC2F4D"/>
    <w:rsid w:val="03002C9D"/>
    <w:rsid w:val="0331113A"/>
    <w:rsid w:val="0364340F"/>
    <w:rsid w:val="0392556B"/>
    <w:rsid w:val="03950335"/>
    <w:rsid w:val="039968F4"/>
    <w:rsid w:val="03A552CD"/>
    <w:rsid w:val="03B929FD"/>
    <w:rsid w:val="03E73FAB"/>
    <w:rsid w:val="044F441F"/>
    <w:rsid w:val="04694C49"/>
    <w:rsid w:val="048700DB"/>
    <w:rsid w:val="048C797A"/>
    <w:rsid w:val="04C44776"/>
    <w:rsid w:val="04CB41E8"/>
    <w:rsid w:val="04D31337"/>
    <w:rsid w:val="04DC138D"/>
    <w:rsid w:val="04F6659E"/>
    <w:rsid w:val="0505013D"/>
    <w:rsid w:val="0528705B"/>
    <w:rsid w:val="052B3A1B"/>
    <w:rsid w:val="052C3EE2"/>
    <w:rsid w:val="0539778B"/>
    <w:rsid w:val="05914F2B"/>
    <w:rsid w:val="05935845"/>
    <w:rsid w:val="05DD5625"/>
    <w:rsid w:val="05F82349"/>
    <w:rsid w:val="060A6FDB"/>
    <w:rsid w:val="061B786E"/>
    <w:rsid w:val="063A3081"/>
    <w:rsid w:val="06656FB5"/>
    <w:rsid w:val="06682FD2"/>
    <w:rsid w:val="06C52B46"/>
    <w:rsid w:val="071E4803"/>
    <w:rsid w:val="07917551"/>
    <w:rsid w:val="07A2268A"/>
    <w:rsid w:val="07D43A3E"/>
    <w:rsid w:val="07DA1B6A"/>
    <w:rsid w:val="07E75063"/>
    <w:rsid w:val="07EE58CB"/>
    <w:rsid w:val="08164691"/>
    <w:rsid w:val="08256BE2"/>
    <w:rsid w:val="08424C49"/>
    <w:rsid w:val="085B3309"/>
    <w:rsid w:val="08CB3B24"/>
    <w:rsid w:val="08D706B2"/>
    <w:rsid w:val="08E6008C"/>
    <w:rsid w:val="09200538"/>
    <w:rsid w:val="092403B3"/>
    <w:rsid w:val="09526654"/>
    <w:rsid w:val="097D132D"/>
    <w:rsid w:val="098779E2"/>
    <w:rsid w:val="09AA04C5"/>
    <w:rsid w:val="09E24D37"/>
    <w:rsid w:val="09F03D6D"/>
    <w:rsid w:val="0A0569DB"/>
    <w:rsid w:val="0A2712D3"/>
    <w:rsid w:val="0A504D76"/>
    <w:rsid w:val="0A5F2B42"/>
    <w:rsid w:val="0A7F5749"/>
    <w:rsid w:val="0ABE0379"/>
    <w:rsid w:val="0B286C55"/>
    <w:rsid w:val="0B326323"/>
    <w:rsid w:val="0B540E6D"/>
    <w:rsid w:val="0B6379F7"/>
    <w:rsid w:val="0B705C98"/>
    <w:rsid w:val="0B8A7B0A"/>
    <w:rsid w:val="0BA05ACE"/>
    <w:rsid w:val="0BBC48D3"/>
    <w:rsid w:val="0BC264E1"/>
    <w:rsid w:val="0BE358FC"/>
    <w:rsid w:val="0BE8071C"/>
    <w:rsid w:val="0BF1198F"/>
    <w:rsid w:val="0C0054E2"/>
    <w:rsid w:val="0C0F0EA7"/>
    <w:rsid w:val="0C172DD5"/>
    <w:rsid w:val="0C363E2E"/>
    <w:rsid w:val="0C4E651E"/>
    <w:rsid w:val="0C5D5996"/>
    <w:rsid w:val="0C6F3656"/>
    <w:rsid w:val="0C79639B"/>
    <w:rsid w:val="0C8828DF"/>
    <w:rsid w:val="0C8E2259"/>
    <w:rsid w:val="0CD61D5E"/>
    <w:rsid w:val="0CE12B06"/>
    <w:rsid w:val="0CE66EE2"/>
    <w:rsid w:val="0CEA6DC6"/>
    <w:rsid w:val="0CFD51A3"/>
    <w:rsid w:val="0CFF185C"/>
    <w:rsid w:val="0D214720"/>
    <w:rsid w:val="0D335752"/>
    <w:rsid w:val="0D6827BC"/>
    <w:rsid w:val="0DF83342"/>
    <w:rsid w:val="0E085DF5"/>
    <w:rsid w:val="0E24289E"/>
    <w:rsid w:val="0E3209C1"/>
    <w:rsid w:val="0E3E79DA"/>
    <w:rsid w:val="0E5C48B4"/>
    <w:rsid w:val="0E6D36EC"/>
    <w:rsid w:val="0E724012"/>
    <w:rsid w:val="0E92627C"/>
    <w:rsid w:val="0EBE0DF1"/>
    <w:rsid w:val="0EF81720"/>
    <w:rsid w:val="0F055625"/>
    <w:rsid w:val="0F4355D8"/>
    <w:rsid w:val="0F5661F7"/>
    <w:rsid w:val="0F5B59E7"/>
    <w:rsid w:val="0F7D4A6E"/>
    <w:rsid w:val="0FCE66B2"/>
    <w:rsid w:val="0FD4257E"/>
    <w:rsid w:val="103B0906"/>
    <w:rsid w:val="10435D11"/>
    <w:rsid w:val="10765998"/>
    <w:rsid w:val="1085159F"/>
    <w:rsid w:val="10A20A91"/>
    <w:rsid w:val="10A54C65"/>
    <w:rsid w:val="10E0342C"/>
    <w:rsid w:val="10FB5CF0"/>
    <w:rsid w:val="10FD35FA"/>
    <w:rsid w:val="11051CE7"/>
    <w:rsid w:val="110805BA"/>
    <w:rsid w:val="11245732"/>
    <w:rsid w:val="11301B95"/>
    <w:rsid w:val="11526D59"/>
    <w:rsid w:val="115A560E"/>
    <w:rsid w:val="11765524"/>
    <w:rsid w:val="117A4070"/>
    <w:rsid w:val="117C1CD6"/>
    <w:rsid w:val="11A02192"/>
    <w:rsid w:val="11AA42F6"/>
    <w:rsid w:val="11C31E52"/>
    <w:rsid w:val="11D142FB"/>
    <w:rsid w:val="11EC05E2"/>
    <w:rsid w:val="11EF54A1"/>
    <w:rsid w:val="120564BB"/>
    <w:rsid w:val="12383FA4"/>
    <w:rsid w:val="124861A4"/>
    <w:rsid w:val="124C06FA"/>
    <w:rsid w:val="12605C50"/>
    <w:rsid w:val="13612F1C"/>
    <w:rsid w:val="1367781A"/>
    <w:rsid w:val="137C4DFA"/>
    <w:rsid w:val="137F0964"/>
    <w:rsid w:val="138E29AB"/>
    <w:rsid w:val="13B476C5"/>
    <w:rsid w:val="13CC6536"/>
    <w:rsid w:val="14377739"/>
    <w:rsid w:val="144B15D6"/>
    <w:rsid w:val="14930823"/>
    <w:rsid w:val="14F56619"/>
    <w:rsid w:val="15312C4E"/>
    <w:rsid w:val="15357CDE"/>
    <w:rsid w:val="15376B96"/>
    <w:rsid w:val="15396492"/>
    <w:rsid w:val="154F5D57"/>
    <w:rsid w:val="15644039"/>
    <w:rsid w:val="15662D66"/>
    <w:rsid w:val="158A0135"/>
    <w:rsid w:val="15D92679"/>
    <w:rsid w:val="16016272"/>
    <w:rsid w:val="160F6442"/>
    <w:rsid w:val="160F732F"/>
    <w:rsid w:val="16424B56"/>
    <w:rsid w:val="166161D5"/>
    <w:rsid w:val="166A06CA"/>
    <w:rsid w:val="169C2792"/>
    <w:rsid w:val="16BC7DE4"/>
    <w:rsid w:val="16CF09A6"/>
    <w:rsid w:val="16ED44DA"/>
    <w:rsid w:val="171B54D0"/>
    <w:rsid w:val="173858C9"/>
    <w:rsid w:val="175260F8"/>
    <w:rsid w:val="17695F54"/>
    <w:rsid w:val="17795D6E"/>
    <w:rsid w:val="17917861"/>
    <w:rsid w:val="1792020A"/>
    <w:rsid w:val="17A02FC0"/>
    <w:rsid w:val="17C55AD7"/>
    <w:rsid w:val="17D82180"/>
    <w:rsid w:val="17EC7C2C"/>
    <w:rsid w:val="180360BF"/>
    <w:rsid w:val="18040724"/>
    <w:rsid w:val="182B350C"/>
    <w:rsid w:val="18804292"/>
    <w:rsid w:val="18DA3B08"/>
    <w:rsid w:val="18EB0FE3"/>
    <w:rsid w:val="190B2632"/>
    <w:rsid w:val="1910542B"/>
    <w:rsid w:val="191F0012"/>
    <w:rsid w:val="19951659"/>
    <w:rsid w:val="19A14F39"/>
    <w:rsid w:val="19B7430E"/>
    <w:rsid w:val="19BD4599"/>
    <w:rsid w:val="19C42388"/>
    <w:rsid w:val="19C63A94"/>
    <w:rsid w:val="19C64063"/>
    <w:rsid w:val="19DE48BB"/>
    <w:rsid w:val="19E505A5"/>
    <w:rsid w:val="19F91CAA"/>
    <w:rsid w:val="1A165F40"/>
    <w:rsid w:val="1A3811A1"/>
    <w:rsid w:val="1AAE6EA6"/>
    <w:rsid w:val="1AD84036"/>
    <w:rsid w:val="1AE40DE4"/>
    <w:rsid w:val="1B32764C"/>
    <w:rsid w:val="1B3C745E"/>
    <w:rsid w:val="1B7851D6"/>
    <w:rsid w:val="1B8E1D8D"/>
    <w:rsid w:val="1BC5554C"/>
    <w:rsid w:val="1BFF0EF3"/>
    <w:rsid w:val="1BFF1256"/>
    <w:rsid w:val="1C323CBB"/>
    <w:rsid w:val="1C3F22CE"/>
    <w:rsid w:val="1C400473"/>
    <w:rsid w:val="1C80783C"/>
    <w:rsid w:val="1C9133DC"/>
    <w:rsid w:val="1CFC2F05"/>
    <w:rsid w:val="1D097B94"/>
    <w:rsid w:val="1D2A2094"/>
    <w:rsid w:val="1D2B73AA"/>
    <w:rsid w:val="1D365A88"/>
    <w:rsid w:val="1D6F48DA"/>
    <w:rsid w:val="1D9727DB"/>
    <w:rsid w:val="1DA75243"/>
    <w:rsid w:val="1DC005E5"/>
    <w:rsid w:val="1DEE2D64"/>
    <w:rsid w:val="1E0E07B2"/>
    <w:rsid w:val="1E3E34F6"/>
    <w:rsid w:val="1E4937B1"/>
    <w:rsid w:val="1E5B75A7"/>
    <w:rsid w:val="1E7D1B1E"/>
    <w:rsid w:val="1E8C1721"/>
    <w:rsid w:val="1E934D1E"/>
    <w:rsid w:val="1EA43253"/>
    <w:rsid w:val="1EB27B8D"/>
    <w:rsid w:val="1EBC756D"/>
    <w:rsid w:val="1EE47F71"/>
    <w:rsid w:val="1F0E1CFB"/>
    <w:rsid w:val="1F515DDA"/>
    <w:rsid w:val="1F610FFA"/>
    <w:rsid w:val="1F683E9E"/>
    <w:rsid w:val="1F7E73E0"/>
    <w:rsid w:val="1FA33B31"/>
    <w:rsid w:val="1FA75856"/>
    <w:rsid w:val="1FBE4C66"/>
    <w:rsid w:val="1FCE49CF"/>
    <w:rsid w:val="1FF14673"/>
    <w:rsid w:val="1FF52ED8"/>
    <w:rsid w:val="1FFC2298"/>
    <w:rsid w:val="200925D3"/>
    <w:rsid w:val="201F31DB"/>
    <w:rsid w:val="20351013"/>
    <w:rsid w:val="20364AC4"/>
    <w:rsid w:val="20687579"/>
    <w:rsid w:val="20761FAC"/>
    <w:rsid w:val="20A66AFF"/>
    <w:rsid w:val="20B80A1D"/>
    <w:rsid w:val="21162906"/>
    <w:rsid w:val="211F0684"/>
    <w:rsid w:val="21465910"/>
    <w:rsid w:val="21526E8A"/>
    <w:rsid w:val="218C669E"/>
    <w:rsid w:val="218D7CCF"/>
    <w:rsid w:val="219C0844"/>
    <w:rsid w:val="21D00992"/>
    <w:rsid w:val="21D42471"/>
    <w:rsid w:val="21F97EE1"/>
    <w:rsid w:val="22007F5C"/>
    <w:rsid w:val="22111FAE"/>
    <w:rsid w:val="221F3EDC"/>
    <w:rsid w:val="225D2D35"/>
    <w:rsid w:val="2265358C"/>
    <w:rsid w:val="226A0F4E"/>
    <w:rsid w:val="22A30A9D"/>
    <w:rsid w:val="22A94701"/>
    <w:rsid w:val="22AE2DD7"/>
    <w:rsid w:val="22BF3CDC"/>
    <w:rsid w:val="22E2521E"/>
    <w:rsid w:val="2311574C"/>
    <w:rsid w:val="23171C77"/>
    <w:rsid w:val="23474F72"/>
    <w:rsid w:val="23932109"/>
    <w:rsid w:val="23B00D6A"/>
    <w:rsid w:val="23B343B6"/>
    <w:rsid w:val="23D018FD"/>
    <w:rsid w:val="23D54939"/>
    <w:rsid w:val="23E77BEA"/>
    <w:rsid w:val="24137502"/>
    <w:rsid w:val="243665F3"/>
    <w:rsid w:val="24852856"/>
    <w:rsid w:val="24B63E57"/>
    <w:rsid w:val="24BB28FB"/>
    <w:rsid w:val="24CF1601"/>
    <w:rsid w:val="24D12D46"/>
    <w:rsid w:val="24EF141E"/>
    <w:rsid w:val="24F05ECF"/>
    <w:rsid w:val="252A3775"/>
    <w:rsid w:val="25347E9D"/>
    <w:rsid w:val="255C6CE9"/>
    <w:rsid w:val="25667C93"/>
    <w:rsid w:val="257C49FD"/>
    <w:rsid w:val="25A17596"/>
    <w:rsid w:val="25C87A29"/>
    <w:rsid w:val="25D0124F"/>
    <w:rsid w:val="25E25630"/>
    <w:rsid w:val="25EE20DD"/>
    <w:rsid w:val="260B72DF"/>
    <w:rsid w:val="26123616"/>
    <w:rsid w:val="262C47F2"/>
    <w:rsid w:val="266C44FD"/>
    <w:rsid w:val="268A48BC"/>
    <w:rsid w:val="26A00BF2"/>
    <w:rsid w:val="26C14120"/>
    <w:rsid w:val="26E41A17"/>
    <w:rsid w:val="26FA29B9"/>
    <w:rsid w:val="26FB52ED"/>
    <w:rsid w:val="2711516E"/>
    <w:rsid w:val="273777A4"/>
    <w:rsid w:val="274B4123"/>
    <w:rsid w:val="274B7753"/>
    <w:rsid w:val="27694570"/>
    <w:rsid w:val="27784AAE"/>
    <w:rsid w:val="277D15A6"/>
    <w:rsid w:val="278639C3"/>
    <w:rsid w:val="27BE5480"/>
    <w:rsid w:val="28227D4F"/>
    <w:rsid w:val="285E34A4"/>
    <w:rsid w:val="286670F3"/>
    <w:rsid w:val="287B45FF"/>
    <w:rsid w:val="287D5FED"/>
    <w:rsid w:val="28B135BA"/>
    <w:rsid w:val="28B766F6"/>
    <w:rsid w:val="28BA3DFA"/>
    <w:rsid w:val="28C32551"/>
    <w:rsid w:val="28DA7D03"/>
    <w:rsid w:val="28EA4F4D"/>
    <w:rsid w:val="29025CEB"/>
    <w:rsid w:val="29167F0A"/>
    <w:rsid w:val="292F2C56"/>
    <w:rsid w:val="293F0A61"/>
    <w:rsid w:val="294644ED"/>
    <w:rsid w:val="29527187"/>
    <w:rsid w:val="29696034"/>
    <w:rsid w:val="29A63FA2"/>
    <w:rsid w:val="29AD1A32"/>
    <w:rsid w:val="29BE7D72"/>
    <w:rsid w:val="29C42123"/>
    <w:rsid w:val="29DA4CC4"/>
    <w:rsid w:val="29DF048C"/>
    <w:rsid w:val="29E65AB7"/>
    <w:rsid w:val="2A065EA8"/>
    <w:rsid w:val="2A2D4C49"/>
    <w:rsid w:val="2A8074DB"/>
    <w:rsid w:val="2A8C569E"/>
    <w:rsid w:val="2AC35203"/>
    <w:rsid w:val="2AC46EA9"/>
    <w:rsid w:val="2ACC271C"/>
    <w:rsid w:val="2AF62B7D"/>
    <w:rsid w:val="2B111C05"/>
    <w:rsid w:val="2B1C4784"/>
    <w:rsid w:val="2B2D269C"/>
    <w:rsid w:val="2B32453A"/>
    <w:rsid w:val="2B356572"/>
    <w:rsid w:val="2B58369F"/>
    <w:rsid w:val="2B6A3EF4"/>
    <w:rsid w:val="2B8E519E"/>
    <w:rsid w:val="2BB211B7"/>
    <w:rsid w:val="2BD23755"/>
    <w:rsid w:val="2BD873F1"/>
    <w:rsid w:val="2BEC1EAF"/>
    <w:rsid w:val="2BF712A9"/>
    <w:rsid w:val="2BFA0C8C"/>
    <w:rsid w:val="2BFD76DA"/>
    <w:rsid w:val="2C0E1AD3"/>
    <w:rsid w:val="2C1413B5"/>
    <w:rsid w:val="2C1A76C8"/>
    <w:rsid w:val="2C365B84"/>
    <w:rsid w:val="2C622E1D"/>
    <w:rsid w:val="2C931228"/>
    <w:rsid w:val="2CAA7DA5"/>
    <w:rsid w:val="2CB52AC1"/>
    <w:rsid w:val="2D032B70"/>
    <w:rsid w:val="2D371009"/>
    <w:rsid w:val="2D4C1E9D"/>
    <w:rsid w:val="2D4E34B4"/>
    <w:rsid w:val="2D8C2D47"/>
    <w:rsid w:val="2DB35B2E"/>
    <w:rsid w:val="2E0468A4"/>
    <w:rsid w:val="2E0E7A1A"/>
    <w:rsid w:val="2E6054F4"/>
    <w:rsid w:val="2E992D5F"/>
    <w:rsid w:val="2E9D019B"/>
    <w:rsid w:val="2EC36728"/>
    <w:rsid w:val="2EF55C9F"/>
    <w:rsid w:val="2F196F6B"/>
    <w:rsid w:val="2F1D3E54"/>
    <w:rsid w:val="2F37674D"/>
    <w:rsid w:val="2F693C23"/>
    <w:rsid w:val="2F791AC4"/>
    <w:rsid w:val="2F862368"/>
    <w:rsid w:val="2F864D3B"/>
    <w:rsid w:val="2F884388"/>
    <w:rsid w:val="2F9941BD"/>
    <w:rsid w:val="2FDA6218"/>
    <w:rsid w:val="2FEA4069"/>
    <w:rsid w:val="300C303E"/>
    <w:rsid w:val="300F0BC6"/>
    <w:rsid w:val="3026636F"/>
    <w:rsid w:val="302D7CD2"/>
    <w:rsid w:val="30534CFF"/>
    <w:rsid w:val="305F3BF6"/>
    <w:rsid w:val="307B02F8"/>
    <w:rsid w:val="30A612CD"/>
    <w:rsid w:val="30B461DC"/>
    <w:rsid w:val="31064882"/>
    <w:rsid w:val="31347830"/>
    <w:rsid w:val="31351F7A"/>
    <w:rsid w:val="313E428D"/>
    <w:rsid w:val="314E5F1D"/>
    <w:rsid w:val="31527F9B"/>
    <w:rsid w:val="319E0453"/>
    <w:rsid w:val="31AF5F52"/>
    <w:rsid w:val="31C559E0"/>
    <w:rsid w:val="31D165E7"/>
    <w:rsid w:val="31D92DD7"/>
    <w:rsid w:val="31ED68DB"/>
    <w:rsid w:val="31FB2688"/>
    <w:rsid w:val="322567D5"/>
    <w:rsid w:val="32261EDD"/>
    <w:rsid w:val="325133EE"/>
    <w:rsid w:val="327467A3"/>
    <w:rsid w:val="327D5BD5"/>
    <w:rsid w:val="3291719A"/>
    <w:rsid w:val="32944881"/>
    <w:rsid w:val="32B11FA7"/>
    <w:rsid w:val="32D01D72"/>
    <w:rsid w:val="32F860E0"/>
    <w:rsid w:val="330622AE"/>
    <w:rsid w:val="331035D3"/>
    <w:rsid w:val="33422067"/>
    <w:rsid w:val="33877167"/>
    <w:rsid w:val="338A3116"/>
    <w:rsid w:val="339826AA"/>
    <w:rsid w:val="33B72D69"/>
    <w:rsid w:val="33C96A93"/>
    <w:rsid w:val="33EB5CBE"/>
    <w:rsid w:val="340547BA"/>
    <w:rsid w:val="341707C8"/>
    <w:rsid w:val="346B412D"/>
    <w:rsid w:val="34812715"/>
    <w:rsid w:val="34AB2E24"/>
    <w:rsid w:val="34BB0B10"/>
    <w:rsid w:val="34E268A9"/>
    <w:rsid w:val="352C0712"/>
    <w:rsid w:val="35380BBF"/>
    <w:rsid w:val="35485638"/>
    <w:rsid w:val="357A2F85"/>
    <w:rsid w:val="357B487B"/>
    <w:rsid w:val="35812566"/>
    <w:rsid w:val="36196434"/>
    <w:rsid w:val="365F56FC"/>
    <w:rsid w:val="36657FCA"/>
    <w:rsid w:val="366A6BFF"/>
    <w:rsid w:val="367858C8"/>
    <w:rsid w:val="367D6A4B"/>
    <w:rsid w:val="369A3A2D"/>
    <w:rsid w:val="36BA1FEF"/>
    <w:rsid w:val="36BF4E4E"/>
    <w:rsid w:val="36D44917"/>
    <w:rsid w:val="37076BEE"/>
    <w:rsid w:val="371376A0"/>
    <w:rsid w:val="372110C6"/>
    <w:rsid w:val="372532AD"/>
    <w:rsid w:val="37466208"/>
    <w:rsid w:val="37531CE0"/>
    <w:rsid w:val="37586B51"/>
    <w:rsid w:val="376712E7"/>
    <w:rsid w:val="380A05F1"/>
    <w:rsid w:val="38105E2C"/>
    <w:rsid w:val="38154E04"/>
    <w:rsid w:val="382D59CD"/>
    <w:rsid w:val="383F2BE4"/>
    <w:rsid w:val="385F60F6"/>
    <w:rsid w:val="38A04AB1"/>
    <w:rsid w:val="38A64FCB"/>
    <w:rsid w:val="38E242ED"/>
    <w:rsid w:val="390D288F"/>
    <w:rsid w:val="391941EA"/>
    <w:rsid w:val="39483B1F"/>
    <w:rsid w:val="39515BCF"/>
    <w:rsid w:val="397C259E"/>
    <w:rsid w:val="39824EDA"/>
    <w:rsid w:val="398A0C8C"/>
    <w:rsid w:val="39962213"/>
    <w:rsid w:val="399C171C"/>
    <w:rsid w:val="399C796E"/>
    <w:rsid w:val="39AC56D7"/>
    <w:rsid w:val="39CE1F48"/>
    <w:rsid w:val="39DF11FF"/>
    <w:rsid w:val="39E061C5"/>
    <w:rsid w:val="39EF61B6"/>
    <w:rsid w:val="3A3275C6"/>
    <w:rsid w:val="3A4E7D5E"/>
    <w:rsid w:val="3A80311E"/>
    <w:rsid w:val="3A884383"/>
    <w:rsid w:val="3AAE3A00"/>
    <w:rsid w:val="3AE3337B"/>
    <w:rsid w:val="3B255F99"/>
    <w:rsid w:val="3B3058C1"/>
    <w:rsid w:val="3B592FFD"/>
    <w:rsid w:val="3BA30F84"/>
    <w:rsid w:val="3BA96F53"/>
    <w:rsid w:val="3BBD0EBD"/>
    <w:rsid w:val="3BD916CB"/>
    <w:rsid w:val="3C2C2D4E"/>
    <w:rsid w:val="3C365CFD"/>
    <w:rsid w:val="3C3C6BEA"/>
    <w:rsid w:val="3CB52532"/>
    <w:rsid w:val="3CC6647B"/>
    <w:rsid w:val="3D272EF0"/>
    <w:rsid w:val="3D296FAE"/>
    <w:rsid w:val="3D380F63"/>
    <w:rsid w:val="3D413347"/>
    <w:rsid w:val="3D9C222A"/>
    <w:rsid w:val="3DFE0159"/>
    <w:rsid w:val="3E147E87"/>
    <w:rsid w:val="3E171F1A"/>
    <w:rsid w:val="3E1D3393"/>
    <w:rsid w:val="3E32264F"/>
    <w:rsid w:val="3E547332"/>
    <w:rsid w:val="3E6F0F41"/>
    <w:rsid w:val="3E954EDC"/>
    <w:rsid w:val="3EDF4D85"/>
    <w:rsid w:val="3EE434CE"/>
    <w:rsid w:val="3EED4BE2"/>
    <w:rsid w:val="3EF618CF"/>
    <w:rsid w:val="3EF861A9"/>
    <w:rsid w:val="3F067B68"/>
    <w:rsid w:val="3F0B3BF6"/>
    <w:rsid w:val="3F160A15"/>
    <w:rsid w:val="3F2350E9"/>
    <w:rsid w:val="3F4700C2"/>
    <w:rsid w:val="3F506B5A"/>
    <w:rsid w:val="3F696796"/>
    <w:rsid w:val="3FB3686B"/>
    <w:rsid w:val="3FCD2649"/>
    <w:rsid w:val="3FD92C2B"/>
    <w:rsid w:val="3FD95F6D"/>
    <w:rsid w:val="3FF61825"/>
    <w:rsid w:val="3FF900B9"/>
    <w:rsid w:val="400E3061"/>
    <w:rsid w:val="400F76F7"/>
    <w:rsid w:val="403F1053"/>
    <w:rsid w:val="405E25E8"/>
    <w:rsid w:val="408F6B8A"/>
    <w:rsid w:val="409E0730"/>
    <w:rsid w:val="40B57C0D"/>
    <w:rsid w:val="40C2310C"/>
    <w:rsid w:val="40FA0839"/>
    <w:rsid w:val="40FB723F"/>
    <w:rsid w:val="410F6968"/>
    <w:rsid w:val="41371FF0"/>
    <w:rsid w:val="415215C9"/>
    <w:rsid w:val="4165475E"/>
    <w:rsid w:val="419E3B59"/>
    <w:rsid w:val="41A53FB3"/>
    <w:rsid w:val="41A84A44"/>
    <w:rsid w:val="41DB349A"/>
    <w:rsid w:val="42453037"/>
    <w:rsid w:val="425D629C"/>
    <w:rsid w:val="429B1209"/>
    <w:rsid w:val="42FA7BA0"/>
    <w:rsid w:val="42FE2C15"/>
    <w:rsid w:val="43030A5E"/>
    <w:rsid w:val="43264FE8"/>
    <w:rsid w:val="432F7565"/>
    <w:rsid w:val="433F6C33"/>
    <w:rsid w:val="43585E58"/>
    <w:rsid w:val="435E6266"/>
    <w:rsid w:val="437F173F"/>
    <w:rsid w:val="438873E9"/>
    <w:rsid w:val="43DC7776"/>
    <w:rsid w:val="43EC1D25"/>
    <w:rsid w:val="440202B5"/>
    <w:rsid w:val="44105594"/>
    <w:rsid w:val="441A154C"/>
    <w:rsid w:val="443C15C5"/>
    <w:rsid w:val="44943ED4"/>
    <w:rsid w:val="449627C5"/>
    <w:rsid w:val="44D44A09"/>
    <w:rsid w:val="44F3398E"/>
    <w:rsid w:val="44F70C95"/>
    <w:rsid w:val="4508235C"/>
    <w:rsid w:val="4523048F"/>
    <w:rsid w:val="455151ED"/>
    <w:rsid w:val="45921C25"/>
    <w:rsid w:val="45CA14A3"/>
    <w:rsid w:val="45CF2F49"/>
    <w:rsid w:val="45E552D2"/>
    <w:rsid w:val="460B7EE7"/>
    <w:rsid w:val="46732051"/>
    <w:rsid w:val="469D4501"/>
    <w:rsid w:val="469F5FE1"/>
    <w:rsid w:val="46AC364F"/>
    <w:rsid w:val="46C2478C"/>
    <w:rsid w:val="46D1037F"/>
    <w:rsid w:val="46E114E7"/>
    <w:rsid w:val="46E36556"/>
    <w:rsid w:val="471F0808"/>
    <w:rsid w:val="47400F1D"/>
    <w:rsid w:val="474A2129"/>
    <w:rsid w:val="47971775"/>
    <w:rsid w:val="47997CEF"/>
    <w:rsid w:val="47AB3AA7"/>
    <w:rsid w:val="47C216B9"/>
    <w:rsid w:val="47D72340"/>
    <w:rsid w:val="47EF791E"/>
    <w:rsid w:val="480E25A0"/>
    <w:rsid w:val="486C0EC4"/>
    <w:rsid w:val="4883588A"/>
    <w:rsid w:val="48844DA8"/>
    <w:rsid w:val="489F2FD7"/>
    <w:rsid w:val="48BE3745"/>
    <w:rsid w:val="48CF6EF7"/>
    <w:rsid w:val="493279A7"/>
    <w:rsid w:val="495E32B1"/>
    <w:rsid w:val="499E384D"/>
    <w:rsid w:val="49D87E82"/>
    <w:rsid w:val="49FD1C21"/>
    <w:rsid w:val="4A345162"/>
    <w:rsid w:val="4A3F748D"/>
    <w:rsid w:val="4A684476"/>
    <w:rsid w:val="4A9159DA"/>
    <w:rsid w:val="4AA35AA1"/>
    <w:rsid w:val="4AC75057"/>
    <w:rsid w:val="4AC9149F"/>
    <w:rsid w:val="4AF83580"/>
    <w:rsid w:val="4B053A4F"/>
    <w:rsid w:val="4B705E14"/>
    <w:rsid w:val="4B7E55CC"/>
    <w:rsid w:val="4B985363"/>
    <w:rsid w:val="4BA779C0"/>
    <w:rsid w:val="4BAD5A0B"/>
    <w:rsid w:val="4BD74DA4"/>
    <w:rsid w:val="4BDA01E4"/>
    <w:rsid w:val="4C025042"/>
    <w:rsid w:val="4C3E176E"/>
    <w:rsid w:val="4C516396"/>
    <w:rsid w:val="4C7043DB"/>
    <w:rsid w:val="4C7235E7"/>
    <w:rsid w:val="4C762617"/>
    <w:rsid w:val="4C7D7818"/>
    <w:rsid w:val="4C8B7B18"/>
    <w:rsid w:val="4CB7168F"/>
    <w:rsid w:val="4CC969FD"/>
    <w:rsid w:val="4CCF2661"/>
    <w:rsid w:val="4CE45569"/>
    <w:rsid w:val="4D2E5A69"/>
    <w:rsid w:val="4D404710"/>
    <w:rsid w:val="4D571DD5"/>
    <w:rsid w:val="4D6910DC"/>
    <w:rsid w:val="4DB077FA"/>
    <w:rsid w:val="4DD74D3E"/>
    <w:rsid w:val="4DE20EA9"/>
    <w:rsid w:val="4DE43481"/>
    <w:rsid w:val="4DEC23B3"/>
    <w:rsid w:val="4E127DA7"/>
    <w:rsid w:val="4E2F2F5E"/>
    <w:rsid w:val="4E675A58"/>
    <w:rsid w:val="4E772034"/>
    <w:rsid w:val="4E7D7505"/>
    <w:rsid w:val="4E87239E"/>
    <w:rsid w:val="4E891664"/>
    <w:rsid w:val="4E9D1044"/>
    <w:rsid w:val="4EB93786"/>
    <w:rsid w:val="4ECA161C"/>
    <w:rsid w:val="4F093AEE"/>
    <w:rsid w:val="4F1A5FE2"/>
    <w:rsid w:val="4F443233"/>
    <w:rsid w:val="4F4B6E38"/>
    <w:rsid w:val="4F55233A"/>
    <w:rsid w:val="4F7274F0"/>
    <w:rsid w:val="4F781336"/>
    <w:rsid w:val="4F8E71FD"/>
    <w:rsid w:val="4F9E72C6"/>
    <w:rsid w:val="4FD764E1"/>
    <w:rsid w:val="4FE16B10"/>
    <w:rsid w:val="4FEC5D0A"/>
    <w:rsid w:val="4FEE41AC"/>
    <w:rsid w:val="50245ECD"/>
    <w:rsid w:val="502E4D77"/>
    <w:rsid w:val="50412F77"/>
    <w:rsid w:val="506042B0"/>
    <w:rsid w:val="50DE2193"/>
    <w:rsid w:val="50F35C77"/>
    <w:rsid w:val="50FD3F27"/>
    <w:rsid w:val="51015500"/>
    <w:rsid w:val="5135234F"/>
    <w:rsid w:val="514E7F7A"/>
    <w:rsid w:val="515F7A7F"/>
    <w:rsid w:val="5184720E"/>
    <w:rsid w:val="51932514"/>
    <w:rsid w:val="51A02EBF"/>
    <w:rsid w:val="51AF3DD4"/>
    <w:rsid w:val="51BF4E36"/>
    <w:rsid w:val="51DB118D"/>
    <w:rsid w:val="51E94A7A"/>
    <w:rsid w:val="52043EAB"/>
    <w:rsid w:val="52127E2C"/>
    <w:rsid w:val="521863FD"/>
    <w:rsid w:val="52224331"/>
    <w:rsid w:val="52355C70"/>
    <w:rsid w:val="5249178A"/>
    <w:rsid w:val="527342A0"/>
    <w:rsid w:val="528F1C2B"/>
    <w:rsid w:val="52950FA7"/>
    <w:rsid w:val="52953566"/>
    <w:rsid w:val="52D1557A"/>
    <w:rsid w:val="52D56273"/>
    <w:rsid w:val="53067267"/>
    <w:rsid w:val="53084A97"/>
    <w:rsid w:val="530E3DDF"/>
    <w:rsid w:val="53146370"/>
    <w:rsid w:val="531F552A"/>
    <w:rsid w:val="53204389"/>
    <w:rsid w:val="534647FE"/>
    <w:rsid w:val="53571CE5"/>
    <w:rsid w:val="535D78A6"/>
    <w:rsid w:val="536C2239"/>
    <w:rsid w:val="53824185"/>
    <w:rsid w:val="53B4530F"/>
    <w:rsid w:val="53CC6C4A"/>
    <w:rsid w:val="53E364B4"/>
    <w:rsid w:val="53EA0700"/>
    <w:rsid w:val="53ED3004"/>
    <w:rsid w:val="54245E45"/>
    <w:rsid w:val="542967C1"/>
    <w:rsid w:val="54486A53"/>
    <w:rsid w:val="547E0169"/>
    <w:rsid w:val="54D92039"/>
    <w:rsid w:val="55252FF2"/>
    <w:rsid w:val="55662A42"/>
    <w:rsid w:val="557A12D9"/>
    <w:rsid w:val="559B5AF6"/>
    <w:rsid w:val="55D21886"/>
    <w:rsid w:val="55D24836"/>
    <w:rsid w:val="55E907A3"/>
    <w:rsid w:val="55FD4348"/>
    <w:rsid w:val="56000024"/>
    <w:rsid w:val="565A053D"/>
    <w:rsid w:val="56606F97"/>
    <w:rsid w:val="56950958"/>
    <w:rsid w:val="569F743D"/>
    <w:rsid w:val="56C75A53"/>
    <w:rsid w:val="56C92737"/>
    <w:rsid w:val="56CD6F61"/>
    <w:rsid w:val="56CF0BF7"/>
    <w:rsid w:val="56DC57FE"/>
    <w:rsid w:val="56EB5E37"/>
    <w:rsid w:val="56EF6A26"/>
    <w:rsid w:val="56F54D14"/>
    <w:rsid w:val="573E2C26"/>
    <w:rsid w:val="57AD74C8"/>
    <w:rsid w:val="57D85BBE"/>
    <w:rsid w:val="58026FB7"/>
    <w:rsid w:val="580C1928"/>
    <w:rsid w:val="580D6FFB"/>
    <w:rsid w:val="5825532B"/>
    <w:rsid w:val="582B1503"/>
    <w:rsid w:val="58445001"/>
    <w:rsid w:val="584C44F5"/>
    <w:rsid w:val="586B5DDE"/>
    <w:rsid w:val="58782E16"/>
    <w:rsid w:val="58AF6F90"/>
    <w:rsid w:val="58C116F7"/>
    <w:rsid w:val="58CD1FC0"/>
    <w:rsid w:val="58DC502F"/>
    <w:rsid w:val="58E40994"/>
    <w:rsid w:val="58E5656F"/>
    <w:rsid w:val="58F403D6"/>
    <w:rsid w:val="59436267"/>
    <w:rsid w:val="594C47C4"/>
    <w:rsid w:val="596E38CF"/>
    <w:rsid w:val="598E03D4"/>
    <w:rsid w:val="59934492"/>
    <w:rsid w:val="59BA07C9"/>
    <w:rsid w:val="59C4160F"/>
    <w:rsid w:val="59CD4319"/>
    <w:rsid w:val="59CF59BC"/>
    <w:rsid w:val="59D35E23"/>
    <w:rsid w:val="59E36A9C"/>
    <w:rsid w:val="59F02462"/>
    <w:rsid w:val="59F02785"/>
    <w:rsid w:val="5A05560A"/>
    <w:rsid w:val="5A125071"/>
    <w:rsid w:val="5A3D5E2E"/>
    <w:rsid w:val="5A4878D0"/>
    <w:rsid w:val="5A9E32A7"/>
    <w:rsid w:val="5AA71877"/>
    <w:rsid w:val="5AD8680D"/>
    <w:rsid w:val="5AEF758D"/>
    <w:rsid w:val="5B177230"/>
    <w:rsid w:val="5B3B79B4"/>
    <w:rsid w:val="5B456E93"/>
    <w:rsid w:val="5B5274D5"/>
    <w:rsid w:val="5B9330A5"/>
    <w:rsid w:val="5B965526"/>
    <w:rsid w:val="5BAB164A"/>
    <w:rsid w:val="5BBC0568"/>
    <w:rsid w:val="5BD4669C"/>
    <w:rsid w:val="5C0B7550"/>
    <w:rsid w:val="5C3D03B8"/>
    <w:rsid w:val="5C403D31"/>
    <w:rsid w:val="5C480E38"/>
    <w:rsid w:val="5C4C755D"/>
    <w:rsid w:val="5C6A3F41"/>
    <w:rsid w:val="5C77217D"/>
    <w:rsid w:val="5C9F7354"/>
    <w:rsid w:val="5CB25EDF"/>
    <w:rsid w:val="5CC80FF9"/>
    <w:rsid w:val="5CD131E9"/>
    <w:rsid w:val="5CDB3A5A"/>
    <w:rsid w:val="5D0B53DA"/>
    <w:rsid w:val="5D2C3BE9"/>
    <w:rsid w:val="5D2E62B6"/>
    <w:rsid w:val="5D3A32BA"/>
    <w:rsid w:val="5D462FE7"/>
    <w:rsid w:val="5DB16D8A"/>
    <w:rsid w:val="5DDC73E9"/>
    <w:rsid w:val="5DFC6227"/>
    <w:rsid w:val="5DFF080E"/>
    <w:rsid w:val="5E154F83"/>
    <w:rsid w:val="5E337FF2"/>
    <w:rsid w:val="5E4953D7"/>
    <w:rsid w:val="5E545AE9"/>
    <w:rsid w:val="5E6C452C"/>
    <w:rsid w:val="5E856D3F"/>
    <w:rsid w:val="5E9071F2"/>
    <w:rsid w:val="5EA543ED"/>
    <w:rsid w:val="5EA762EA"/>
    <w:rsid w:val="5EAC2E0C"/>
    <w:rsid w:val="5EB25567"/>
    <w:rsid w:val="5EEC66AC"/>
    <w:rsid w:val="5EF57055"/>
    <w:rsid w:val="5F0F44A2"/>
    <w:rsid w:val="5F3F6AAA"/>
    <w:rsid w:val="5F4F6E38"/>
    <w:rsid w:val="5F616741"/>
    <w:rsid w:val="5F66230C"/>
    <w:rsid w:val="5F811F48"/>
    <w:rsid w:val="5F8206CC"/>
    <w:rsid w:val="5F90046F"/>
    <w:rsid w:val="5F944480"/>
    <w:rsid w:val="5FE22B3D"/>
    <w:rsid w:val="605162EF"/>
    <w:rsid w:val="60976826"/>
    <w:rsid w:val="60B23578"/>
    <w:rsid w:val="60D47EB8"/>
    <w:rsid w:val="60DF378E"/>
    <w:rsid w:val="60F0510C"/>
    <w:rsid w:val="615110EA"/>
    <w:rsid w:val="61DC20D7"/>
    <w:rsid w:val="62181050"/>
    <w:rsid w:val="62375306"/>
    <w:rsid w:val="62447012"/>
    <w:rsid w:val="62515468"/>
    <w:rsid w:val="625E30A3"/>
    <w:rsid w:val="62BF1D86"/>
    <w:rsid w:val="62D25987"/>
    <w:rsid w:val="62DD3137"/>
    <w:rsid w:val="630D37C0"/>
    <w:rsid w:val="63161C90"/>
    <w:rsid w:val="63407358"/>
    <w:rsid w:val="636F19F6"/>
    <w:rsid w:val="63B02CF0"/>
    <w:rsid w:val="63BD18E0"/>
    <w:rsid w:val="645A6F86"/>
    <w:rsid w:val="647355F0"/>
    <w:rsid w:val="647F750C"/>
    <w:rsid w:val="64BA58B9"/>
    <w:rsid w:val="64BB0EB6"/>
    <w:rsid w:val="64D1009F"/>
    <w:rsid w:val="64F215E5"/>
    <w:rsid w:val="65340F96"/>
    <w:rsid w:val="654725D5"/>
    <w:rsid w:val="65797A9F"/>
    <w:rsid w:val="65861A1B"/>
    <w:rsid w:val="658D0B6E"/>
    <w:rsid w:val="65A314A5"/>
    <w:rsid w:val="65E739C6"/>
    <w:rsid w:val="65E958C4"/>
    <w:rsid w:val="66085750"/>
    <w:rsid w:val="661D3BF3"/>
    <w:rsid w:val="66682803"/>
    <w:rsid w:val="666A4F32"/>
    <w:rsid w:val="66766025"/>
    <w:rsid w:val="668D6C56"/>
    <w:rsid w:val="66920C8A"/>
    <w:rsid w:val="669C2A01"/>
    <w:rsid w:val="66A94F3C"/>
    <w:rsid w:val="66AB2F72"/>
    <w:rsid w:val="66B02D32"/>
    <w:rsid w:val="66CD6B09"/>
    <w:rsid w:val="66DF71B6"/>
    <w:rsid w:val="672A592E"/>
    <w:rsid w:val="67351FC1"/>
    <w:rsid w:val="673B1CC5"/>
    <w:rsid w:val="674C5111"/>
    <w:rsid w:val="676A61C3"/>
    <w:rsid w:val="67F01864"/>
    <w:rsid w:val="6815522C"/>
    <w:rsid w:val="68415F73"/>
    <w:rsid w:val="68454E04"/>
    <w:rsid w:val="68460921"/>
    <w:rsid w:val="68613110"/>
    <w:rsid w:val="68AF64C7"/>
    <w:rsid w:val="68FD36D2"/>
    <w:rsid w:val="6908045D"/>
    <w:rsid w:val="6919493F"/>
    <w:rsid w:val="694B7F95"/>
    <w:rsid w:val="696E7ABB"/>
    <w:rsid w:val="697371B8"/>
    <w:rsid w:val="69883971"/>
    <w:rsid w:val="6990763B"/>
    <w:rsid w:val="69A9593C"/>
    <w:rsid w:val="69AF4AE9"/>
    <w:rsid w:val="69BA0E28"/>
    <w:rsid w:val="69D93887"/>
    <w:rsid w:val="69EA7225"/>
    <w:rsid w:val="69EF66EE"/>
    <w:rsid w:val="69FB7718"/>
    <w:rsid w:val="6A01308D"/>
    <w:rsid w:val="6A112C93"/>
    <w:rsid w:val="6A194BC1"/>
    <w:rsid w:val="6A504B1D"/>
    <w:rsid w:val="6A6D03E7"/>
    <w:rsid w:val="6AC90B84"/>
    <w:rsid w:val="6B200F72"/>
    <w:rsid w:val="6B46724B"/>
    <w:rsid w:val="6B90613E"/>
    <w:rsid w:val="6BE24E05"/>
    <w:rsid w:val="6BE50451"/>
    <w:rsid w:val="6BEC5C84"/>
    <w:rsid w:val="6C1560DD"/>
    <w:rsid w:val="6C192D19"/>
    <w:rsid w:val="6C287DC0"/>
    <w:rsid w:val="6C613EB1"/>
    <w:rsid w:val="6C8A456A"/>
    <w:rsid w:val="6D09091E"/>
    <w:rsid w:val="6D100E58"/>
    <w:rsid w:val="6D1A4B1E"/>
    <w:rsid w:val="6D285024"/>
    <w:rsid w:val="6D535E71"/>
    <w:rsid w:val="6D6A3304"/>
    <w:rsid w:val="6D793547"/>
    <w:rsid w:val="6D8521AC"/>
    <w:rsid w:val="6D916949"/>
    <w:rsid w:val="6D9B526C"/>
    <w:rsid w:val="6DA148DB"/>
    <w:rsid w:val="6DA95A66"/>
    <w:rsid w:val="6DBD740C"/>
    <w:rsid w:val="6DCF58B2"/>
    <w:rsid w:val="6DF50874"/>
    <w:rsid w:val="6E027099"/>
    <w:rsid w:val="6E303BEF"/>
    <w:rsid w:val="6E4672DD"/>
    <w:rsid w:val="6E54049C"/>
    <w:rsid w:val="6E5C6F3E"/>
    <w:rsid w:val="6E922923"/>
    <w:rsid w:val="6E943CC1"/>
    <w:rsid w:val="6EAD080E"/>
    <w:rsid w:val="6EC034B1"/>
    <w:rsid w:val="6EEF09AA"/>
    <w:rsid w:val="6F4C6097"/>
    <w:rsid w:val="6F53603B"/>
    <w:rsid w:val="6FC57BD9"/>
    <w:rsid w:val="6FE44CC9"/>
    <w:rsid w:val="6FE6024B"/>
    <w:rsid w:val="6FED01FE"/>
    <w:rsid w:val="70043BDB"/>
    <w:rsid w:val="700C35BD"/>
    <w:rsid w:val="70163534"/>
    <w:rsid w:val="701E015F"/>
    <w:rsid w:val="7022733A"/>
    <w:rsid w:val="705930A3"/>
    <w:rsid w:val="70596AD6"/>
    <w:rsid w:val="705D3F12"/>
    <w:rsid w:val="708446DD"/>
    <w:rsid w:val="70D35CA6"/>
    <w:rsid w:val="70D5431E"/>
    <w:rsid w:val="7102439E"/>
    <w:rsid w:val="717722C7"/>
    <w:rsid w:val="71BD0462"/>
    <w:rsid w:val="71C4336F"/>
    <w:rsid w:val="71F31B1A"/>
    <w:rsid w:val="71FA4B87"/>
    <w:rsid w:val="71FE03B9"/>
    <w:rsid w:val="72081888"/>
    <w:rsid w:val="7217737D"/>
    <w:rsid w:val="72185026"/>
    <w:rsid w:val="722B4B27"/>
    <w:rsid w:val="72507201"/>
    <w:rsid w:val="72F317F0"/>
    <w:rsid w:val="73077ACE"/>
    <w:rsid w:val="730F484B"/>
    <w:rsid w:val="7370508A"/>
    <w:rsid w:val="7402415F"/>
    <w:rsid w:val="74254E46"/>
    <w:rsid w:val="743273F9"/>
    <w:rsid w:val="743A5DAA"/>
    <w:rsid w:val="743B65F3"/>
    <w:rsid w:val="7443201E"/>
    <w:rsid w:val="74492111"/>
    <w:rsid w:val="74501BC2"/>
    <w:rsid w:val="745E6825"/>
    <w:rsid w:val="747646DB"/>
    <w:rsid w:val="74822FE3"/>
    <w:rsid w:val="74EB4ABC"/>
    <w:rsid w:val="74EC13B2"/>
    <w:rsid w:val="750300B3"/>
    <w:rsid w:val="75034936"/>
    <w:rsid w:val="7515491A"/>
    <w:rsid w:val="751574ED"/>
    <w:rsid w:val="756666EA"/>
    <w:rsid w:val="75717A2E"/>
    <w:rsid w:val="758D0E63"/>
    <w:rsid w:val="75E83951"/>
    <w:rsid w:val="75F956C4"/>
    <w:rsid w:val="7691545E"/>
    <w:rsid w:val="772606D4"/>
    <w:rsid w:val="77291771"/>
    <w:rsid w:val="772F44B6"/>
    <w:rsid w:val="774234F3"/>
    <w:rsid w:val="775070C7"/>
    <w:rsid w:val="77543C13"/>
    <w:rsid w:val="77636B63"/>
    <w:rsid w:val="77B95E16"/>
    <w:rsid w:val="77F12A2E"/>
    <w:rsid w:val="77F52436"/>
    <w:rsid w:val="784A073A"/>
    <w:rsid w:val="785C658E"/>
    <w:rsid w:val="78673118"/>
    <w:rsid w:val="78AD20D3"/>
    <w:rsid w:val="78AD7E64"/>
    <w:rsid w:val="78D46278"/>
    <w:rsid w:val="79065329"/>
    <w:rsid w:val="79080353"/>
    <w:rsid w:val="79201EA8"/>
    <w:rsid w:val="79261D8D"/>
    <w:rsid w:val="792856DD"/>
    <w:rsid w:val="79373A0F"/>
    <w:rsid w:val="793C0C39"/>
    <w:rsid w:val="794C482D"/>
    <w:rsid w:val="794F3DB0"/>
    <w:rsid w:val="796712AD"/>
    <w:rsid w:val="799A6F3E"/>
    <w:rsid w:val="79C319C0"/>
    <w:rsid w:val="79C37792"/>
    <w:rsid w:val="79EA3686"/>
    <w:rsid w:val="79F84DE8"/>
    <w:rsid w:val="7A171C32"/>
    <w:rsid w:val="7A894B4A"/>
    <w:rsid w:val="7AD15477"/>
    <w:rsid w:val="7AD85894"/>
    <w:rsid w:val="7B2775D7"/>
    <w:rsid w:val="7B292109"/>
    <w:rsid w:val="7B590712"/>
    <w:rsid w:val="7B9C191B"/>
    <w:rsid w:val="7B9D3E19"/>
    <w:rsid w:val="7BA42FAE"/>
    <w:rsid w:val="7BA43A57"/>
    <w:rsid w:val="7BB634FF"/>
    <w:rsid w:val="7BC41A77"/>
    <w:rsid w:val="7BD94F29"/>
    <w:rsid w:val="7BDC3F21"/>
    <w:rsid w:val="7BE51536"/>
    <w:rsid w:val="7BE95CB7"/>
    <w:rsid w:val="7BFF10BB"/>
    <w:rsid w:val="7C016013"/>
    <w:rsid w:val="7C456189"/>
    <w:rsid w:val="7C593D36"/>
    <w:rsid w:val="7C690A14"/>
    <w:rsid w:val="7C743D5E"/>
    <w:rsid w:val="7C8744B0"/>
    <w:rsid w:val="7C8E782C"/>
    <w:rsid w:val="7C8F3993"/>
    <w:rsid w:val="7C98391B"/>
    <w:rsid w:val="7C987995"/>
    <w:rsid w:val="7CB6001D"/>
    <w:rsid w:val="7CB95D48"/>
    <w:rsid w:val="7CC64EDB"/>
    <w:rsid w:val="7CD5227A"/>
    <w:rsid w:val="7CD97377"/>
    <w:rsid w:val="7D0D4D20"/>
    <w:rsid w:val="7D1118ED"/>
    <w:rsid w:val="7D3B4734"/>
    <w:rsid w:val="7D45266B"/>
    <w:rsid w:val="7D562799"/>
    <w:rsid w:val="7D631E37"/>
    <w:rsid w:val="7D75194E"/>
    <w:rsid w:val="7D811515"/>
    <w:rsid w:val="7D9F324B"/>
    <w:rsid w:val="7DC221CB"/>
    <w:rsid w:val="7DC34044"/>
    <w:rsid w:val="7DF82F66"/>
    <w:rsid w:val="7DFF1847"/>
    <w:rsid w:val="7E433A7E"/>
    <w:rsid w:val="7E4A701D"/>
    <w:rsid w:val="7E4B4712"/>
    <w:rsid w:val="7E4E4E33"/>
    <w:rsid w:val="7E884924"/>
    <w:rsid w:val="7E8F4979"/>
    <w:rsid w:val="7EB74FAD"/>
    <w:rsid w:val="7EB93DBE"/>
    <w:rsid w:val="7EC63CD1"/>
    <w:rsid w:val="7ED24865"/>
    <w:rsid w:val="7ED37B75"/>
    <w:rsid w:val="7EE03426"/>
    <w:rsid w:val="7EE25D73"/>
    <w:rsid w:val="7EE6745A"/>
    <w:rsid w:val="7F1B255F"/>
    <w:rsid w:val="7F2E23E3"/>
    <w:rsid w:val="7F2F7F0A"/>
    <w:rsid w:val="7F38392F"/>
    <w:rsid w:val="7F3A2C8F"/>
    <w:rsid w:val="7F423DEE"/>
    <w:rsid w:val="7F497E99"/>
    <w:rsid w:val="7F724AD3"/>
    <w:rsid w:val="7F9E2695"/>
    <w:rsid w:val="7FA336C7"/>
    <w:rsid w:val="7FD26A2D"/>
    <w:rsid w:val="7FFB5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ind w:firstLine="0" w:firstLineChars="0"/>
      <w:outlineLvl w:val="0"/>
    </w:pPr>
    <w:rPr>
      <w:rFonts w:ascii="黑体" w:hAnsi="黑体" w:eastAsia="宋体" w:cs="黑体"/>
      <w:b/>
      <w:bCs/>
      <w:kern w:val="44"/>
      <w:sz w:val="28"/>
      <w:szCs w:val="28"/>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28"/>
      <w:szCs w:val="32"/>
    </w:rPr>
  </w:style>
  <w:style w:type="paragraph" w:styleId="4">
    <w:name w:val="heading 3"/>
    <w:basedOn w:val="1"/>
    <w:next w:val="1"/>
    <w:link w:val="24"/>
    <w:qFormat/>
    <w:uiPriority w:val="0"/>
    <w:pPr>
      <w:keepNext/>
      <w:keepLines/>
      <w:spacing w:line="360" w:lineRule="auto"/>
      <w:ind w:firstLine="360" w:firstLineChars="100"/>
      <w:outlineLvl w:val="2"/>
    </w:pPr>
    <w:rPr>
      <w:rFonts w:ascii="Calibri" w:hAnsi="Calibri" w:eastAsia="宋体" w:cs="仿宋"/>
      <w:b/>
      <w:bCs/>
      <w:sz w:val="28"/>
      <w:szCs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Plain Text"/>
    <w:basedOn w:val="1"/>
    <w:semiHidden/>
    <w:unhideWhenUsed/>
    <w:qFormat/>
    <w:uiPriority w:val="99"/>
    <w:rPr>
      <w:rFonts w:ascii="宋体" w:hAnsi="Courier New" w:eastAsia="宋体" w:cs="Courier New"/>
      <w:szCs w:val="21"/>
    </w:rPr>
  </w:style>
  <w:style w:type="paragraph" w:styleId="7">
    <w:name w:val="annotation text"/>
    <w:basedOn w:val="1"/>
    <w:qFormat/>
    <w:uiPriority w:val="0"/>
    <w:pPr>
      <w:jc w:val="left"/>
    </w:pPr>
  </w:style>
  <w:style w:type="paragraph" w:styleId="8">
    <w:name w:val="Body Text"/>
    <w:basedOn w:val="1"/>
    <w:next w:val="9"/>
    <w:qFormat/>
    <w:uiPriority w:val="0"/>
    <w:pPr>
      <w:spacing w:afterAutospacing="0"/>
    </w:pPr>
  </w:style>
  <w:style w:type="paragraph" w:customStyle="1" w:styleId="9">
    <w:name w:val="_Style 2"/>
    <w:next w:val="1"/>
    <w:qFormat/>
    <w:uiPriority w:val="0"/>
    <w:pPr>
      <w:spacing w:after="200" w:line="276" w:lineRule="auto"/>
    </w:pPr>
    <w:rPr>
      <w:rFonts w:ascii="Times New Roman" w:hAnsi="Times New Roman" w:eastAsia="宋体" w:cs="Times New Roman"/>
      <w:kern w:val="0"/>
      <w:sz w:val="22"/>
      <w:szCs w:val="22"/>
      <w:lang w:val="en-US" w:eastAsia="zh-CN" w:bidi="ar-SA"/>
    </w:rPr>
  </w:style>
  <w:style w:type="paragraph" w:styleId="10">
    <w:name w:val="Body Text Indent"/>
    <w:basedOn w:val="1"/>
    <w:next w:val="1"/>
    <w:qFormat/>
    <w:uiPriority w:val="0"/>
    <w:pPr>
      <w:ind w:firstLine="570"/>
    </w:pPr>
    <w:rPr>
      <w:rFonts w:ascii="宋体"/>
      <w:sz w:val="2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index 9"/>
    <w:next w:val="1"/>
    <w:qFormat/>
    <w:uiPriority w:val="0"/>
    <w:pPr>
      <w:widowControl w:val="0"/>
      <w:ind w:left="3360"/>
    </w:pPr>
    <w:rPr>
      <w:rFonts w:ascii="Calibri" w:hAnsi="Calibri" w:eastAsia="宋体" w:cs="Arial"/>
      <w:kern w:val="2"/>
      <w:sz w:val="21"/>
      <w:szCs w:val="22"/>
      <w:lang w:val="en-US" w:eastAsia="zh-CN" w:bidi="ar-SA"/>
    </w:rPr>
  </w:style>
  <w:style w:type="paragraph" w:styleId="15">
    <w:name w:val="toc 2"/>
    <w:basedOn w:val="1"/>
    <w:next w:val="1"/>
    <w:qFormat/>
    <w:uiPriority w:val="0"/>
    <w:pPr>
      <w:ind w:left="420" w:leftChars="200"/>
    </w:pPr>
  </w:style>
  <w:style w:type="paragraph" w:styleId="1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paragraph" w:styleId="17">
    <w:name w:val="Body Text First Indent 2"/>
    <w:basedOn w:val="10"/>
    <w:next w:val="1"/>
    <w:unhideWhenUsed/>
    <w:qFormat/>
    <w:uiPriority w:val="99"/>
    <w:pPr>
      <w:ind w:firstLine="420"/>
    </w:pPr>
  </w:style>
  <w:style w:type="table" w:styleId="19">
    <w:name w:val="Table Grid"/>
    <w:basedOn w:val="18"/>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qFormat/>
    <w:uiPriority w:val="0"/>
    <w:rPr>
      <w:rFonts w:ascii="微软雅黑" w:hAnsi="微软雅黑" w:eastAsia="微软雅黑" w:cs="微软雅黑"/>
      <w:color w:val="323232"/>
      <w:sz w:val="21"/>
      <w:szCs w:val="21"/>
      <w:u w:val="none"/>
    </w:rPr>
  </w:style>
  <w:style w:type="character" w:styleId="22">
    <w:name w:val="Hyperlink"/>
    <w:basedOn w:val="20"/>
    <w:qFormat/>
    <w:uiPriority w:val="0"/>
    <w:rPr>
      <w:rFonts w:hint="eastAsia" w:ascii="微软雅黑" w:hAnsi="微软雅黑" w:eastAsia="微软雅黑" w:cs="微软雅黑"/>
      <w:color w:val="323232"/>
      <w:sz w:val="21"/>
      <w:szCs w:val="21"/>
      <w:u w:val="none"/>
    </w:rPr>
  </w:style>
  <w:style w:type="paragraph" w:customStyle="1" w:styleId="23">
    <w:name w:val="Default"/>
    <w:qFormat/>
    <w:uiPriority w:val="0"/>
    <w:pPr>
      <w:widowControl w:val="0"/>
      <w:autoSpaceDE w:val="0"/>
      <w:autoSpaceDN w:val="0"/>
      <w:adjustRightInd w:val="0"/>
      <w:spacing w:line="240" w:lineRule="atLeast"/>
      <w:jc w:val="center"/>
    </w:pPr>
    <w:rPr>
      <w:rFonts w:ascii="宋体" w:hAnsi="Times New Roman" w:eastAsia="宋体" w:cs="Times New Roman"/>
      <w:sz w:val="21"/>
      <w:szCs w:val="22"/>
      <w:lang w:val="en-US" w:eastAsia="zh-CN" w:bidi="ar-SA"/>
    </w:rPr>
  </w:style>
  <w:style w:type="character" w:customStyle="1" w:styleId="24">
    <w:name w:val="标题 3 字符"/>
    <w:basedOn w:val="20"/>
    <w:link w:val="4"/>
    <w:semiHidden/>
    <w:qFormat/>
    <w:uiPriority w:val="9"/>
    <w:rPr>
      <w:rFonts w:ascii="Calibri" w:hAnsi="Calibri" w:eastAsia="宋体" w:cs="仿宋"/>
      <w:b/>
      <w:bCs/>
      <w:sz w:val="28"/>
      <w:szCs w:val="32"/>
    </w:rPr>
  </w:style>
  <w:style w:type="paragraph" w:styleId="25">
    <w:name w:val="List Paragraph"/>
    <w:basedOn w:val="1"/>
    <w:qFormat/>
    <w:uiPriority w:val="34"/>
    <w:pPr>
      <w:widowControl w:val="0"/>
      <w:ind w:firstLine="420" w:firstLineChars="200"/>
      <w:jc w:val="both"/>
    </w:pPr>
    <w:rPr>
      <w:rFonts w:ascii="Calibri" w:hAnsi="Calibri"/>
      <w:kern w:val="2"/>
      <w:sz w:val="21"/>
      <w:szCs w:val="22"/>
    </w:rPr>
  </w:style>
  <w:style w:type="paragraph" w:customStyle="1" w:styleId="26">
    <w:name w:val="表格"/>
    <w:qFormat/>
    <w:uiPriority w:val="0"/>
    <w:pPr>
      <w:spacing w:line="240" w:lineRule="atLeast"/>
    </w:pPr>
    <w:rPr>
      <w:rFonts w:ascii="Times New Roman" w:hAnsi="Times New Roman" w:eastAsia="仿宋_GB2312" w:cs="Times New Roman"/>
      <w:sz w:val="28"/>
      <w:lang w:val="en-US" w:eastAsia="zh-CN" w:bidi="ar-SA"/>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paragraph" w:customStyle="1" w:styleId="29">
    <w:name w:val="列出段落1"/>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15211</Words>
  <Characters>16075</Characters>
  <Lines>0</Lines>
  <Paragraphs>0</Paragraphs>
  <TotalTime>26</TotalTime>
  <ScaleCrop>false</ScaleCrop>
  <LinksUpToDate>false</LinksUpToDate>
  <CharactersWithSpaces>16276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2020-11-16T01:00:00Z</dcterms:created>
  <dc:creator>Administrator</dc:creator>
  <cp:lastModifiedBy>WPS_1641372980</cp:lastModifiedBy>
  <cp:lastPrinted>2020-11-19T08:01:00Z</cp:lastPrinted>
  <dcterms:modified xsi:type="dcterms:W3CDTF">2024-10-18T07:05:43Z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9A5167C3B0924A33B95CDCF7EDA88487_13</vt:lpwstr>
  </property>
</Properties>
</file>