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103" w:name="_GoBack"/>
      <w:bookmarkEnd w:id="103"/>
    </w:p>
    <w:p>
      <w:pPr>
        <w:jc w:val="center"/>
        <w:rPr>
          <w:rFonts w:ascii="宋体" w:hAnsi="宋体" w:eastAsia="宋体" w:cs="宋体"/>
          <w:b/>
          <w:bCs/>
          <w:sz w:val="44"/>
          <w:szCs w:val="44"/>
        </w:rPr>
      </w:pPr>
    </w:p>
    <w:p>
      <w:pPr>
        <w:jc w:val="center"/>
        <w:rPr>
          <w:rFonts w:ascii="宋体" w:hAnsi="宋体" w:eastAsia="宋体" w:cs="宋体"/>
          <w:b/>
          <w:bCs/>
          <w:sz w:val="36"/>
          <w:szCs w:val="36"/>
        </w:rPr>
      </w:pPr>
      <w:r>
        <w:rPr>
          <w:rFonts w:hint="eastAsia" w:ascii="宋体" w:hAnsi="宋体" w:eastAsia="宋体" w:cs="宋体"/>
          <w:b/>
          <w:bCs/>
          <w:sz w:val="36"/>
          <w:szCs w:val="36"/>
        </w:rPr>
        <w:t>围场县伊逊河流域上游山水林田湖综合治理工程</w:t>
      </w:r>
    </w:p>
    <w:p>
      <w:pPr>
        <w:jc w:val="center"/>
        <w:rPr>
          <w:rFonts w:ascii="宋体" w:hAnsi="宋体" w:eastAsia="宋体" w:cs="宋体"/>
          <w:b/>
          <w:bCs/>
          <w:sz w:val="36"/>
          <w:szCs w:val="36"/>
        </w:rPr>
      </w:pPr>
      <w:r>
        <w:rPr>
          <w:rFonts w:hint="eastAsia" w:ascii="宋体" w:hAnsi="宋体" w:eastAsia="宋体" w:cs="宋体"/>
          <w:b/>
          <w:bCs/>
          <w:sz w:val="36"/>
          <w:szCs w:val="36"/>
        </w:rPr>
        <w:t>钓鱼台湿地生态恢复与保护小区建设项目二期</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w:t>
      </w:r>
      <w:r>
        <w:rPr>
          <w:rFonts w:asciiTheme="minorEastAsia" w:hAnsiTheme="minorEastAsia" w:cstheme="minorEastAsia"/>
          <w:b/>
          <w:bCs/>
          <w:sz w:val="32"/>
          <w:szCs w:val="32"/>
          <w:u w:val="single"/>
        </w:rPr>
        <w:t>6</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w:t>
      </w:r>
      <w:r>
        <w:rPr>
          <w:sz w:val="32"/>
          <w:szCs w:val="32"/>
        </w:rPr>
        <w:t>262</w:t>
      </w:r>
      <w:r>
        <w:rPr>
          <w:rFonts w:hint="eastAsia"/>
          <w:sz w:val="32"/>
          <w:szCs w:val="32"/>
        </w:rPr>
        <w:t>号</w:t>
      </w:r>
    </w:p>
    <w:p>
      <w:pPr>
        <w:ind w:firstLine="960" w:firstLineChars="300"/>
        <w:rPr>
          <w:sz w:val="32"/>
          <w:szCs w:val="32"/>
        </w:rPr>
      </w:pPr>
      <w:r>
        <w:rPr>
          <w:rFonts w:hint="eastAsia"/>
          <w:sz w:val="32"/>
          <w:szCs w:val="32"/>
        </w:rPr>
        <w:t>报告日期：2020-12-2</w:t>
      </w:r>
      <w:r>
        <w:rPr>
          <w:sz w:val="32"/>
          <w:szCs w:val="32"/>
        </w:rPr>
        <w:t>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w:t>
      </w:r>
      <w:r>
        <w:rPr>
          <w:rFonts w:ascii="仿宋" w:hAnsi="仿宋" w:eastAsia="仿宋"/>
          <w:b/>
          <w:sz w:val="24"/>
        </w:rPr>
        <w:t>262</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"_Toc263"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_Toc263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"_Toc28440"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_Toc28440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"_Toc31747"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_Toc31747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"_Toc13931"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_Toc13931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"_Toc31797"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_Toc31797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"_Toc5124"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_Toc5124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"_Toc23361"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_Toc23361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"_Toc15102"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_Toc15102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"_Toc5916"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_Toc5916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"_Toc32175"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_Toc32175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"_Toc8328"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_Toc8328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"_Toc1315"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_Toc1315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"_Toc28555"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_Toc28555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8"/>
            <w:tabs>
              <w:tab w:val="right" w:leader="dot" w:pos="8306"/>
            </w:tabs>
            <w:rPr>
              <w:sz w:val="28"/>
              <w:szCs w:val="28"/>
            </w:rPr>
          </w:pPr>
          <w:r>
            <w:fldChar w:fldCharType="begin"/>
          </w:r>
          <w:r>
            <w:instrText xml:space="preserve"> HYPERLINK \l "_Toc340"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_Toc340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"_Toc19435"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_Toc19435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"_Toc21381"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_Toc21381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"_Toc4359"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_Toc4359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"_Toc31808"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_Toc31808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"_Toc11594"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_Toc11594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"_Toc26689"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_Toc26689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"_Toc6798"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_Toc6798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"_Toc12735"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_Toc12735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8"/>
            <w:tabs>
              <w:tab w:val="right" w:leader="dot" w:pos="8306"/>
            </w:tabs>
          </w:pP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rPr>
          <w:rFonts w:ascii="宋体" w:hAnsi="宋体" w:eastAsia="宋体" w:cs="宋体"/>
          <w:b/>
          <w:bCs/>
          <w:sz w:val="36"/>
          <w:szCs w:val="36"/>
        </w:rPr>
      </w:pPr>
      <w:bookmarkStart w:id="0" w:name="_Toc7123"/>
      <w:bookmarkStart w:id="1" w:name="_Toc32502"/>
      <w:bookmarkStart w:id="2" w:name="_Toc25062"/>
      <w:r>
        <w:rPr>
          <w:rFonts w:hint="eastAsia" w:ascii="宋体" w:hAnsi="宋体" w:eastAsia="宋体" w:cs="宋体"/>
          <w:b/>
          <w:bCs/>
          <w:sz w:val="36"/>
          <w:szCs w:val="36"/>
        </w:rPr>
        <w:t>围场县伊逊河流域上游山水林田湖综合治理工程</w:t>
      </w:r>
    </w:p>
    <w:p>
      <w:pPr>
        <w:jc w:val="center"/>
        <w:outlineLvl w:val="0"/>
        <w:rPr>
          <w:rFonts w:ascii="宋体" w:hAnsi="宋体" w:eastAsia="宋体" w:cs="宋体"/>
          <w:b/>
          <w:bCs/>
          <w:sz w:val="36"/>
          <w:szCs w:val="36"/>
        </w:rPr>
      </w:pPr>
      <w:bookmarkStart w:id="3" w:name="_Toc3103"/>
      <w:r>
        <w:rPr>
          <w:rFonts w:hint="eastAsia" w:ascii="宋体" w:hAnsi="宋体" w:eastAsia="宋体" w:cs="宋体"/>
          <w:b/>
          <w:bCs/>
          <w:sz w:val="36"/>
          <w:szCs w:val="36"/>
        </w:rPr>
        <w:t>钓鱼台湿地生态恢复与保护小区建设项目二期</w:t>
      </w:r>
      <w:bookmarkEnd w:id="3"/>
    </w:p>
    <w:p>
      <w:pPr>
        <w:jc w:val="center"/>
        <w:outlineLvl w:val="0"/>
        <w:rPr>
          <w:rFonts w:ascii="宋体" w:hAnsi="宋体" w:eastAsia="宋体" w:cs="宋体"/>
          <w:b/>
          <w:bCs/>
          <w:sz w:val="36"/>
          <w:szCs w:val="36"/>
        </w:rPr>
      </w:pPr>
      <w:bookmarkStart w:id="4" w:name="_Toc3241"/>
      <w:bookmarkStart w:id="5" w:name="_Toc27673"/>
      <w:bookmarkStart w:id="6" w:name="_Toc26503"/>
      <w:r>
        <w:rPr>
          <w:rFonts w:hint="eastAsia" w:ascii="宋体" w:hAnsi="宋体" w:eastAsia="宋体" w:cs="宋体"/>
          <w:b/>
          <w:bCs/>
          <w:sz w:val="36"/>
          <w:szCs w:val="36"/>
        </w:rPr>
        <w:t>一般债券资金绩效评价报告</w:t>
      </w:r>
      <w:bookmarkEnd w:id="0"/>
      <w:bookmarkEnd w:id="1"/>
      <w:bookmarkEnd w:id="2"/>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伊逊河流域上游山水林田湖综合治理工程钓鱼台湿地生态恢复与保护小区建设项目二期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63"/>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28440"/>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其中本次投入围场县伊逊河流域上游山水林田湖综合治理工程钓鱼台湿地生态恢复与保护小区建设项目二期的债券资金共计</w:t>
      </w:r>
      <w:r>
        <w:rPr>
          <w:rFonts w:ascii="宋体" w:hAnsi="宋体" w:eastAsia="宋体" w:cs="宋体"/>
          <w:sz w:val="28"/>
          <w:szCs w:val="28"/>
        </w:rPr>
        <w:t>2157</w:t>
      </w:r>
      <w:r>
        <w:rPr>
          <w:rFonts w:hint="eastAsia" w:ascii="宋体" w:hAnsi="宋体" w:eastAsia="宋体" w:cs="宋体"/>
          <w:sz w:val="28"/>
          <w:szCs w:val="28"/>
        </w:rPr>
        <w:t>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围场县伊逊河流域上游山水林田湖综合治理工程钓鱼台湿地生态恢复与保护小区建设项目二期</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围场满族蒙古族自治县哈里哈乡三义号村境内钓鱼台湿地保护小区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围场满族蒙古族自治县林业局和草原局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tbl>
      <w:tblPr>
        <w:tblStyle w:val="12"/>
        <w:tblpPr w:leftFromText="180" w:rightFromText="180" w:vertAnchor="text" w:horzAnchor="page" w:tblpX="1802" w:tblpY="305"/>
        <w:tblOverlap w:val="never"/>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444"/>
        <w:gridCol w:w="1473"/>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工程名称</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围场县伊逊河流域上游山水林田湖综合治理工程钓鱼台湿地生态恢复与保护小区建设项目二期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Merge w:val="restart"/>
            <w:vAlign w:val="center"/>
          </w:tcPr>
          <w:p>
            <w:pPr>
              <w:spacing w:line="440" w:lineRule="exact"/>
              <w:jc w:val="center"/>
              <w:rPr>
                <w:rFonts w:ascii="宋体" w:hAnsi="宋体" w:eastAsia="宋体" w:cs="宋体"/>
                <w:sz w:val="24"/>
              </w:rPr>
            </w:pPr>
            <w:r>
              <w:rPr>
                <w:rFonts w:hint="eastAsia" w:ascii="宋体" w:hAnsi="宋体" w:eastAsia="宋体" w:cs="宋体"/>
                <w:sz w:val="24"/>
              </w:rPr>
              <w:t>工程类型</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湿地保护、植被恢复、河流恢复和园建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Merge w:val="continue"/>
            <w:vAlign w:val="center"/>
          </w:tcPr>
          <w:p>
            <w:pPr>
              <w:spacing w:line="440" w:lineRule="exact"/>
              <w:jc w:val="center"/>
              <w:rPr>
                <w:rFonts w:ascii="宋体" w:hAnsi="宋体" w:eastAsia="宋体" w:cs="宋体"/>
                <w:sz w:val="24"/>
              </w:rPr>
            </w:pP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合同总价</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贰仟伍佰玖拾肆万零柒佰零伍元（¥25940705.00元）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资金来源</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县本级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建设单位</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围场满族蒙古族自治县林业局和草原局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施工单位</w:t>
            </w:r>
          </w:p>
          <w:p>
            <w:pPr>
              <w:spacing w:line="440" w:lineRule="exact"/>
              <w:jc w:val="center"/>
              <w:rPr>
                <w:rFonts w:ascii="宋体" w:hAnsi="宋体" w:eastAsia="宋体" w:cs="宋体"/>
                <w:sz w:val="24"/>
              </w:rPr>
            </w:pP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北京东方园林环境股份有限公司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设计单位</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浙江伟达园林工程有限公司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勘察单位</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围场满族蒙古族自治县金城黄金技术有限公司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监理单位</w:t>
            </w:r>
          </w:p>
        </w:tc>
        <w:tc>
          <w:tcPr>
            <w:tcW w:w="6541" w:type="dxa"/>
            <w:gridSpan w:val="3"/>
            <w:vAlign w:val="center"/>
          </w:tcPr>
          <w:p>
            <w:pPr>
              <w:spacing w:line="440" w:lineRule="exact"/>
              <w:jc w:val="center"/>
              <w:rPr>
                <w:rFonts w:ascii="宋体" w:hAnsi="宋体" w:eastAsia="宋体" w:cs="宋体"/>
                <w:sz w:val="24"/>
              </w:rPr>
            </w:pPr>
            <w:r>
              <w:rPr>
                <w:rFonts w:hint="eastAsia" w:ascii="宋体" w:hAnsi="宋体" w:eastAsia="宋体" w:cs="宋体"/>
                <w:sz w:val="24"/>
              </w:rPr>
              <w:t>围场满族蒙古族自治县信诚工程建设监理有限公司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778" w:type="dxa"/>
            <w:vAlign w:val="center"/>
          </w:tcPr>
          <w:p>
            <w:pPr>
              <w:spacing w:line="440" w:lineRule="exact"/>
              <w:jc w:val="center"/>
              <w:rPr>
                <w:rFonts w:ascii="宋体" w:hAnsi="宋体" w:eastAsia="宋体" w:cs="宋体"/>
                <w:sz w:val="24"/>
              </w:rPr>
            </w:pPr>
            <w:r>
              <w:rPr>
                <w:rFonts w:hint="eastAsia" w:ascii="宋体" w:hAnsi="宋体" w:eastAsia="宋体" w:cs="宋体"/>
                <w:sz w:val="24"/>
              </w:rPr>
              <w:t>开工时间</w:t>
            </w:r>
          </w:p>
        </w:tc>
        <w:tc>
          <w:tcPr>
            <w:tcW w:w="2444" w:type="dxa"/>
            <w:vAlign w:val="center"/>
          </w:tcPr>
          <w:p>
            <w:pPr>
              <w:spacing w:line="440" w:lineRule="exact"/>
              <w:jc w:val="center"/>
              <w:rPr>
                <w:rFonts w:ascii="宋体" w:hAnsi="宋体" w:eastAsia="宋体" w:cs="宋体"/>
                <w:sz w:val="24"/>
              </w:rPr>
            </w:pPr>
            <w:r>
              <w:rPr>
                <w:rFonts w:hint="eastAsia" w:ascii="宋体" w:hAnsi="宋体" w:eastAsia="宋体" w:cs="宋体"/>
                <w:sz w:val="24"/>
              </w:rPr>
              <w:t>2019年5月30日</w:t>
            </w:r>
          </w:p>
        </w:tc>
        <w:tc>
          <w:tcPr>
            <w:tcW w:w="1473" w:type="dxa"/>
            <w:vAlign w:val="center"/>
          </w:tcPr>
          <w:p>
            <w:pPr>
              <w:spacing w:line="440" w:lineRule="exact"/>
              <w:jc w:val="center"/>
              <w:rPr>
                <w:rFonts w:ascii="宋体" w:hAnsi="宋体" w:eastAsia="宋体" w:cs="宋体"/>
                <w:sz w:val="24"/>
              </w:rPr>
            </w:pPr>
            <w:r>
              <w:rPr>
                <w:rFonts w:hint="eastAsia" w:ascii="宋体" w:hAnsi="宋体" w:eastAsia="宋体" w:cs="宋体"/>
                <w:sz w:val="24"/>
              </w:rPr>
              <w:t>竣工时间</w:t>
            </w:r>
          </w:p>
        </w:tc>
        <w:tc>
          <w:tcPr>
            <w:tcW w:w="2624" w:type="dxa"/>
            <w:vAlign w:val="center"/>
          </w:tcPr>
          <w:p>
            <w:pPr>
              <w:spacing w:line="440" w:lineRule="exact"/>
              <w:jc w:val="center"/>
              <w:rPr>
                <w:rFonts w:ascii="宋体" w:hAnsi="宋体" w:eastAsia="宋体" w:cs="宋体"/>
                <w:sz w:val="24"/>
              </w:rPr>
            </w:pPr>
            <w:r>
              <w:rPr>
                <w:rFonts w:hint="eastAsia" w:ascii="宋体" w:hAnsi="宋体" w:eastAsia="宋体" w:cs="宋体"/>
                <w:sz w:val="24"/>
              </w:rPr>
              <w:t>2019年11月15 日</w:t>
            </w:r>
          </w:p>
        </w:tc>
      </w:tr>
    </w:tbl>
    <w:p>
      <w:pPr>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5.工程范围</w:t>
      </w:r>
    </w:p>
    <w:p>
      <w:pPr>
        <w:pStyle w:val="5"/>
        <w:ind w:left="0" w:firstLine="560" w:firstLineChars="200"/>
        <w:rPr>
          <w:rFonts w:ascii="宋体" w:hAnsi="宋体" w:eastAsia="宋体" w:cs="宋体"/>
        </w:rPr>
      </w:pPr>
      <w:r>
        <w:rPr>
          <w:rFonts w:hint="eastAsia" w:ascii="宋体" w:hAnsi="宋体" w:eastAsia="宋体" w:cs="宋体"/>
        </w:rPr>
        <w:t>该工程项目位于围场满族蒙古族自治县哈里哈乡三义号村境内钓鱼台湿地保护小区；工程立项批准文号为围行审投（2019）2号；资金来源为县本级资金；该项目为设计施工一体化工程，包括绿化、园林建设、景观园路、园林景观小品等内容的设计与施工；</w:t>
      </w:r>
    </w:p>
    <w:p>
      <w:pPr>
        <w:pStyle w:val="5"/>
        <w:ind w:left="0" w:firstLine="560" w:firstLineChars="200"/>
        <w:rPr>
          <w:rFonts w:ascii="宋体" w:hAnsi="宋体" w:eastAsia="宋体" w:cs="宋体"/>
        </w:rPr>
      </w:pPr>
      <w:r>
        <w:rPr>
          <w:rFonts w:hint="eastAsia" w:ascii="宋体" w:hAnsi="宋体" w:eastAsia="宋体" w:cs="宋体"/>
        </w:rPr>
        <w:t>主要承包内容：</w:t>
      </w:r>
    </w:p>
    <w:p>
      <w:pPr>
        <w:pStyle w:val="5"/>
        <w:ind w:left="0" w:firstLine="560" w:firstLineChars="200"/>
        <w:rPr>
          <w:rFonts w:ascii="宋体" w:hAnsi="宋体" w:eastAsia="宋体" w:cs="宋体"/>
        </w:rPr>
      </w:pPr>
      <w:r>
        <w:rPr>
          <w:rFonts w:hint="eastAsia" w:ascii="宋体" w:hAnsi="宋体" w:eastAsia="宋体" w:cs="宋体"/>
        </w:rPr>
        <w:t>（1）湿地保护工程：界碑2座、界桩10根、标牌10块、围栏4891.7米；</w:t>
      </w:r>
    </w:p>
    <w:p>
      <w:pPr>
        <w:pStyle w:val="5"/>
        <w:ind w:left="0" w:firstLine="560" w:firstLineChars="200"/>
        <w:rPr>
          <w:rFonts w:ascii="宋体" w:hAnsi="宋体" w:eastAsia="宋体" w:cs="宋体"/>
        </w:rPr>
      </w:pPr>
      <w:r>
        <w:rPr>
          <w:rFonts w:hint="eastAsia" w:ascii="宋体" w:hAnsi="宋体" w:eastAsia="宋体" w:cs="宋体"/>
        </w:rPr>
        <w:t>（2）植被恢复工程：地被种植19.3万平方米、乔木种植1244株（丛）、灌木5094丛、回填种植土9.9万立方米；</w:t>
      </w:r>
    </w:p>
    <w:p>
      <w:pPr>
        <w:pStyle w:val="5"/>
        <w:ind w:left="0" w:firstLine="560" w:firstLineChars="200"/>
        <w:rPr>
          <w:rFonts w:ascii="宋体" w:hAnsi="宋体" w:eastAsia="宋体" w:cs="宋体"/>
        </w:rPr>
      </w:pPr>
      <w:r>
        <w:rPr>
          <w:rFonts w:hint="eastAsia" w:ascii="宋体" w:hAnsi="宋体" w:eastAsia="宋体" w:cs="宋体"/>
        </w:rPr>
        <w:t>（3）河流恢复工程：生态堤坝绿化3.65万平方米；</w:t>
      </w:r>
    </w:p>
    <w:p>
      <w:pPr>
        <w:ind w:firstLine="560" w:firstLineChars="200"/>
        <w:rPr>
          <w:rFonts w:ascii="宋体" w:hAnsi="宋体" w:eastAsia="宋体" w:cs="宋体"/>
          <w:sz w:val="28"/>
          <w:szCs w:val="28"/>
        </w:rPr>
      </w:pPr>
      <w:r>
        <w:rPr>
          <w:rFonts w:hint="eastAsia" w:ascii="宋体" w:hAnsi="宋体" w:eastAsia="宋体" w:cs="宋体"/>
          <w:sz w:val="28"/>
          <w:szCs w:val="28"/>
        </w:rPr>
        <w:t>（4）园林设施：门楼1座、生态环保厕所1个、垃圾箱22个、休闲座椅34个、石桌石凳14套，仿古木亭廊架3个。</w:t>
      </w:r>
    </w:p>
    <w:p>
      <w:pPr>
        <w:ind w:firstLine="560" w:firstLineChars="200"/>
        <w:rPr>
          <w:rFonts w:ascii="宋体" w:hAnsi="宋体" w:eastAsia="宋体" w:cs="宋体"/>
          <w:sz w:val="28"/>
          <w:szCs w:val="28"/>
        </w:rPr>
      </w:pPr>
      <w:r>
        <w:rPr>
          <w:rFonts w:hint="eastAsia" w:ascii="宋体" w:hAnsi="宋体" w:eastAsia="宋体" w:cs="宋体"/>
          <w:sz w:val="28"/>
          <w:szCs w:val="28"/>
        </w:rPr>
        <w:t>6.资金来源及批复</w:t>
      </w:r>
    </w:p>
    <w:p>
      <w:pPr>
        <w:ind w:firstLine="560" w:firstLineChars="200"/>
        <w:rPr>
          <w:rFonts w:ascii="宋体" w:hAnsi="宋体" w:eastAsia="宋体" w:cs="宋体"/>
          <w:sz w:val="28"/>
          <w:szCs w:val="28"/>
        </w:rPr>
      </w:pPr>
      <w:r>
        <w:rPr>
          <w:rFonts w:hint="eastAsia" w:ascii="宋体" w:hAnsi="宋体" w:eastAsia="宋体" w:cs="宋体"/>
          <w:sz w:val="28"/>
          <w:szCs w:val="28"/>
        </w:rPr>
        <w:t>根据设计施工总承包合同和工程施工进度，经测算，本年度项目建设应需资金2157.2万元，其中工程直接费用2075.3万元，工程建设其他费用81.9万元；此项费用已报审县政府批示，资金来源为政府新增一般债券资金，8月27日资金申请获得批复。</w:t>
      </w:r>
    </w:p>
    <w:p>
      <w:pPr>
        <w:spacing w:line="600" w:lineRule="exact"/>
        <w:ind w:firstLine="643" w:firstLineChars="200"/>
        <w:outlineLvl w:val="1"/>
        <w:rPr>
          <w:rFonts w:ascii="楷体" w:hAnsi="楷体" w:eastAsia="楷体" w:cs="楷体"/>
          <w:b/>
          <w:sz w:val="32"/>
          <w:szCs w:val="32"/>
        </w:rPr>
      </w:pPr>
      <w:bookmarkStart w:id="11" w:name="_Toc31747"/>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30428"/>
      <w:bookmarkStart w:id="13" w:name="_Toc10859"/>
      <w:bookmarkStart w:id="14" w:name="_Toc30152"/>
      <w:bookmarkStart w:id="15" w:name="_Toc12271"/>
      <w:r>
        <w:rPr>
          <w:rFonts w:hint="eastAsia" w:ascii="宋体" w:hAnsi="宋体" w:eastAsia="宋体" w:cs="宋体"/>
          <w:sz w:val="28"/>
          <w:szCs w:val="28"/>
        </w:rPr>
        <w:t>本项目按照合同约定完成包括绿化、园林建设、景观园路、园林景观小品等内容的设计与施工。</w:t>
      </w:r>
      <w:bookmarkEnd w:id="12"/>
      <w:bookmarkEnd w:id="13"/>
      <w:bookmarkEnd w:id="14"/>
      <w:bookmarkStart w:id="16" w:name="_Toc28894"/>
    </w:p>
    <w:p>
      <w:pPr>
        <w:spacing w:line="600" w:lineRule="exact"/>
        <w:ind w:firstLine="560" w:firstLineChars="200"/>
        <w:outlineLvl w:val="1"/>
        <w:rPr>
          <w:rFonts w:ascii="宋体" w:hAnsi="宋体" w:eastAsia="宋体" w:cs="宋体"/>
          <w:sz w:val="28"/>
          <w:szCs w:val="28"/>
        </w:rPr>
      </w:pPr>
      <w:bookmarkStart w:id="17" w:name="_Toc10011"/>
      <w:bookmarkStart w:id="18" w:name="_Toc31882"/>
      <w:bookmarkStart w:id="19" w:name="_Toc27829"/>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6"/>
      <w:bookmarkEnd w:id="17"/>
      <w:bookmarkEnd w:id="18"/>
      <w:bookmarkEnd w:id="19"/>
    </w:p>
    <w:p>
      <w:pPr>
        <w:spacing w:line="600" w:lineRule="exact"/>
        <w:ind w:firstLine="643" w:firstLineChars="200"/>
        <w:outlineLvl w:val="1"/>
        <w:rPr>
          <w:rFonts w:ascii="楷体" w:hAnsi="楷体" w:eastAsia="楷体" w:cs="楷体"/>
          <w:b/>
          <w:sz w:val="32"/>
          <w:szCs w:val="32"/>
        </w:rPr>
      </w:pPr>
      <w:bookmarkStart w:id="20" w:name="_Toc13931"/>
      <w:r>
        <w:rPr>
          <w:rFonts w:hint="eastAsia" w:ascii="楷体" w:hAnsi="楷体" w:eastAsia="楷体" w:cs="楷体"/>
          <w:b/>
          <w:sz w:val="32"/>
          <w:szCs w:val="32"/>
        </w:rPr>
        <w:t>（三）评价对象和时段</w:t>
      </w:r>
      <w:bookmarkEnd w:id="15"/>
      <w:bookmarkEnd w:id="20"/>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本次考核评价对象：围场县伊逊河流域上游山水林田湖综合治理工程钓鱼台湿地生态恢复与保护小区建设项目二期。从项目投入、管理、产出、效益等方面进行全面的评价考核。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1" w:name="_Toc31797"/>
      <w:r>
        <w:rPr>
          <w:rFonts w:hint="eastAsia" w:ascii="黑体" w:hAnsi="黑体" w:eastAsia="黑体" w:cs="黑体"/>
          <w:b/>
          <w:bCs/>
          <w:sz w:val="32"/>
          <w:szCs w:val="32"/>
        </w:rPr>
        <w:t>二、绩效评价工作开展情况</w:t>
      </w:r>
      <w:bookmarkEnd w:id="21"/>
    </w:p>
    <w:p>
      <w:pPr>
        <w:ind w:firstLine="643" w:firstLineChars="200"/>
        <w:outlineLvl w:val="1"/>
        <w:rPr>
          <w:rFonts w:ascii="楷体" w:hAnsi="楷体" w:eastAsia="楷体" w:cs="楷体"/>
          <w:b/>
          <w:bCs/>
          <w:sz w:val="32"/>
          <w:szCs w:val="32"/>
        </w:rPr>
      </w:pPr>
      <w:bookmarkStart w:id="22" w:name="_Toc5124"/>
      <w:r>
        <w:rPr>
          <w:rFonts w:hint="eastAsia" w:ascii="楷体" w:hAnsi="楷体" w:eastAsia="楷体" w:cs="楷体"/>
          <w:b/>
          <w:bCs/>
          <w:sz w:val="32"/>
          <w:szCs w:val="32"/>
        </w:rPr>
        <w:t>（一）绩效评价指标权重和绩效评价指标体系</w:t>
      </w:r>
      <w:bookmarkEnd w:id="22"/>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2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3" w:name="_Toc12872"/>
    </w:p>
    <w:p>
      <w:pPr>
        <w:ind w:firstLine="643" w:firstLineChars="200"/>
        <w:outlineLvl w:val="1"/>
        <w:rPr>
          <w:rFonts w:ascii="楷体" w:hAnsi="楷体" w:eastAsia="楷体" w:cs="楷体"/>
          <w:b/>
          <w:kern w:val="0"/>
          <w:sz w:val="32"/>
          <w:szCs w:val="32"/>
        </w:rPr>
      </w:pPr>
      <w:bookmarkStart w:id="24" w:name="_Toc23361"/>
      <w:r>
        <w:rPr>
          <w:rFonts w:hint="eastAsia" w:ascii="楷体" w:hAnsi="楷体" w:eastAsia="楷体" w:cs="楷体"/>
          <w:b/>
          <w:kern w:val="0"/>
          <w:sz w:val="32"/>
          <w:szCs w:val="32"/>
        </w:rPr>
        <w:t>（二）绩效评价目的和依据</w:t>
      </w:r>
      <w:bookmarkEnd w:id="23"/>
      <w:bookmarkEnd w:id="24"/>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299" w:type="dxa"/>
        <w:tblInd w:w="92" w:type="dxa"/>
        <w:tblLayout w:type="fixed"/>
        <w:tblCellMar>
          <w:top w:w="0" w:type="dxa"/>
          <w:left w:w="108" w:type="dxa"/>
          <w:bottom w:w="0" w:type="dxa"/>
          <w:right w:w="108" w:type="dxa"/>
        </w:tblCellMar>
      </w:tblPr>
      <w:tblGrid>
        <w:gridCol w:w="1065"/>
        <w:gridCol w:w="7234"/>
      </w:tblGrid>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34"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3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3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3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34"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816" w:hRule="atLeast"/>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34"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816" w:hRule="atLeast"/>
        </w:trPr>
        <w:tc>
          <w:tcPr>
            <w:tcW w:w="1065"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34"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816"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828" w:hRule="atLeast"/>
        </w:trPr>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5" w:name="_Toc15102"/>
      <w:bookmarkStart w:id="26" w:name="_Toc22990"/>
      <w:r>
        <w:rPr>
          <w:rFonts w:ascii="楷体" w:hAnsi="楷体" w:eastAsia="楷体" w:cs="楷体"/>
          <w:szCs w:val="32"/>
        </w:rPr>
        <w:t>（三）绩效评价工作内容和范围</w:t>
      </w:r>
      <w:bookmarkEnd w:id="25"/>
      <w:bookmarkEnd w:id="26"/>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林业和草原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7" w:name="_Toc30379"/>
      <w:bookmarkStart w:id="28" w:name="_Toc59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7"/>
      <w:bookmarkEnd w:id="28"/>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9" w:name="_Toc8164"/>
      <w:bookmarkStart w:id="30" w:name="_Toc32175"/>
      <w:bookmarkStart w:id="31" w:name="_Toc12042"/>
      <w:bookmarkStart w:id="32"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9"/>
      <w:bookmarkEnd w:id="30"/>
      <w:bookmarkEnd w:id="31"/>
    </w:p>
    <w:p>
      <w:pPr>
        <w:ind w:firstLine="560" w:firstLineChars="200"/>
        <w:rPr>
          <w:rFonts w:ascii="宋体" w:hAnsi="宋体" w:eastAsia="宋体" w:cs="宋体"/>
          <w:sz w:val="28"/>
          <w:szCs w:val="28"/>
        </w:rPr>
      </w:pPr>
      <w:bookmarkStart w:id="33" w:name="_Toc18780"/>
      <w:bookmarkStart w:id="34" w:name="_Toc13042"/>
      <w:bookmarkStart w:id="35" w:name="_Toc22556"/>
      <w:bookmarkStart w:id="36" w:name="_Toc2087"/>
      <w:bookmarkStart w:id="37" w:name="_Toc31807"/>
      <w:bookmarkStart w:id="38" w:name="_Toc17563"/>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3"/>
      <w:bookmarkEnd w:id="34"/>
      <w:bookmarkEnd w:id="35"/>
      <w:bookmarkEnd w:id="36"/>
      <w:bookmarkEnd w:id="37"/>
      <w:bookmarkEnd w:id="38"/>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9" w:name="_Toc15494"/>
      <w:bookmarkStart w:id="40" w:name="_Toc14297"/>
      <w:bookmarkStart w:id="41" w:name="_Toc19058"/>
      <w:bookmarkStart w:id="42" w:name="_Toc17036"/>
      <w:bookmarkStart w:id="43" w:name="_Toc14572"/>
      <w:bookmarkStart w:id="44" w:name="_Toc24972"/>
      <w:bookmarkStart w:id="45" w:name="_Toc21088"/>
      <w:bookmarkStart w:id="46" w:name="_Toc24529"/>
      <w:bookmarkStart w:id="47" w:name="_Toc24311"/>
      <w:bookmarkStart w:id="48" w:name="_Toc27413"/>
      <w:bookmarkStart w:id="49" w:name="_Toc1487"/>
      <w:r>
        <w:rPr>
          <w:rFonts w:hint="eastAsia" w:ascii="宋体" w:hAnsi="宋体" w:eastAsia="宋体" w:cs="宋体"/>
          <w:b/>
          <w:bCs/>
          <w:kern w:val="0"/>
          <w:sz w:val="28"/>
          <w:szCs w:val="28"/>
        </w:rPr>
        <w:t>1、明确项目团队的职责与分工</w:t>
      </w:r>
      <w:bookmarkEnd w:id="39"/>
      <w:bookmarkEnd w:id="40"/>
      <w:bookmarkEnd w:id="41"/>
      <w:bookmarkEnd w:id="42"/>
      <w:bookmarkEnd w:id="43"/>
      <w:bookmarkEnd w:id="44"/>
      <w:bookmarkEnd w:id="45"/>
      <w:bookmarkEnd w:id="46"/>
      <w:bookmarkEnd w:id="47"/>
      <w:bookmarkEnd w:id="48"/>
      <w:bookmarkEnd w:id="49"/>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0" w:name="_Toc6642"/>
      <w:bookmarkStart w:id="51" w:name="_Toc25494"/>
      <w:bookmarkStart w:id="52" w:name="_Toc28394"/>
      <w:bookmarkStart w:id="53" w:name="_Toc29931"/>
      <w:bookmarkStart w:id="54" w:name="_Toc31637"/>
      <w:bookmarkStart w:id="55" w:name="_Toc27143"/>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6" w:name="_Toc3965"/>
      <w:r>
        <w:rPr>
          <w:rFonts w:hint="eastAsia" w:ascii="宋体" w:hAnsi="宋体" w:eastAsia="宋体" w:cs="宋体"/>
          <w:b/>
          <w:bCs/>
          <w:kern w:val="0"/>
          <w:sz w:val="28"/>
          <w:szCs w:val="28"/>
        </w:rPr>
        <w:t>2、评价工作各相关当事方的职责</w:t>
      </w:r>
      <w:bookmarkEnd w:id="50"/>
      <w:bookmarkEnd w:id="51"/>
      <w:bookmarkEnd w:id="52"/>
      <w:bookmarkEnd w:id="53"/>
      <w:bookmarkEnd w:id="54"/>
      <w:bookmarkEnd w:id="55"/>
      <w:bookmarkEnd w:id="5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宋体" w:hAnsi="宋体" w:eastAsia="宋体" w:cs="宋体"/>
          <w:sz w:val="28"/>
          <w:szCs w:val="28"/>
        </w:rPr>
      </w:pPr>
      <w:bookmarkStart w:id="57" w:name="_Toc332"/>
      <w:bookmarkStart w:id="58" w:name="_Toc17781"/>
      <w:bookmarkStart w:id="59" w:name="_Toc26948"/>
      <w:bookmarkStart w:id="60" w:name="_Toc27067"/>
      <w:bookmarkStart w:id="61"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7"/>
      <w:bookmarkEnd w:id="58"/>
      <w:bookmarkEnd w:id="59"/>
      <w:bookmarkEnd w:id="60"/>
      <w:bookmarkEnd w:id="61"/>
    </w:p>
    <w:p>
      <w:pPr>
        <w:adjustRightInd w:val="0"/>
        <w:snapToGrid w:val="0"/>
        <w:spacing w:line="600" w:lineRule="exact"/>
        <w:ind w:firstLine="640" w:firstLineChars="200"/>
        <w:outlineLvl w:val="0"/>
        <w:rPr>
          <w:rFonts w:ascii="黑体" w:hAnsi="黑体" w:eastAsia="黑体" w:cs="黑体"/>
          <w:sz w:val="32"/>
          <w:szCs w:val="32"/>
        </w:rPr>
      </w:pPr>
      <w:bookmarkStart w:id="62" w:name="_Toc8328"/>
      <w:r>
        <w:rPr>
          <w:rFonts w:hint="eastAsia" w:ascii="黑体" w:hAnsi="黑体" w:eastAsia="黑体" w:cs="黑体"/>
          <w:sz w:val="32"/>
          <w:szCs w:val="32"/>
        </w:rPr>
        <w:t>三、</w:t>
      </w:r>
      <w:bookmarkEnd w:id="32"/>
      <w:r>
        <w:rPr>
          <w:rFonts w:hint="eastAsia" w:ascii="黑体" w:hAnsi="黑体" w:eastAsia="黑体" w:cs="黑体"/>
          <w:sz w:val="32"/>
          <w:szCs w:val="32"/>
        </w:rPr>
        <w:t>项目实施及资金使用情况</w:t>
      </w:r>
      <w:bookmarkEnd w:id="62"/>
    </w:p>
    <w:p>
      <w:pPr>
        <w:ind w:firstLine="643" w:firstLineChars="200"/>
        <w:outlineLvl w:val="1"/>
        <w:rPr>
          <w:rFonts w:ascii="楷体" w:hAnsi="楷体" w:eastAsia="楷体" w:cs="楷体"/>
          <w:b/>
          <w:bCs/>
          <w:sz w:val="32"/>
          <w:szCs w:val="32"/>
        </w:rPr>
      </w:pPr>
      <w:bookmarkStart w:id="63" w:name="_Toc6786"/>
      <w:bookmarkStart w:id="64" w:name="_Toc1315"/>
      <w:r>
        <w:rPr>
          <w:rFonts w:hint="eastAsia" w:ascii="楷体" w:hAnsi="楷体" w:eastAsia="楷体" w:cs="楷体"/>
          <w:b/>
          <w:bCs/>
          <w:sz w:val="32"/>
          <w:szCs w:val="32"/>
        </w:rPr>
        <w:t>（一）项目实施情况</w:t>
      </w:r>
      <w:bookmarkEnd w:id="63"/>
      <w:bookmarkEnd w:id="64"/>
    </w:p>
    <w:p>
      <w:pPr>
        <w:pStyle w:val="5"/>
        <w:ind w:left="0" w:firstLine="560" w:firstLineChars="200"/>
        <w:rPr>
          <w:rFonts w:ascii="宋体" w:hAnsi="宋体" w:eastAsia="宋体" w:cs="宋体"/>
        </w:rPr>
      </w:pPr>
      <w:r>
        <w:rPr>
          <w:rFonts w:hint="eastAsia" w:ascii="宋体" w:hAnsi="宋体" w:eastAsia="宋体" w:cs="宋体"/>
        </w:rPr>
        <w:t>2019年3月4日围场满族蒙古族自治县行政审批局关于围场县伊逊河流域上游山水林田湖综合治理工程钓鱼台湿地生态恢复与保护小区建设项目二期可行性研究报告做了批复。同意按照围场满族蒙古族自治县林业和草原局提交的方案建设实施。建设期限1年，计划自2019年1月——2019年12月。</w:t>
      </w:r>
    </w:p>
    <w:p>
      <w:pPr>
        <w:pStyle w:val="5"/>
        <w:ind w:left="0" w:firstLine="560" w:firstLineChars="200"/>
        <w:rPr>
          <w:rFonts w:ascii="宋体" w:hAnsi="宋体" w:eastAsia="宋体" w:cs="宋体"/>
        </w:rPr>
      </w:pPr>
      <w:r>
        <w:rPr>
          <w:rFonts w:hint="eastAsia" w:ascii="宋体" w:hAnsi="宋体" w:eastAsia="宋体" w:cs="宋体"/>
        </w:rPr>
        <w:t>2019年5月6日，北京东方园林环境股份有限公司中标了围场县伊逊河流域上游山水林田湖综合治理工程钓鱼台湿地生态恢复与保护小区建设项目二期设计施工总承包项目，中标价为：2594.0705万元。（联合体）北京东方园林环境股份有限公司和浙江伟达园林工程有限公司于2019年5月20日共同与围场满族蒙古族自治县林业和草原局签订了设计施工总承包合同。其中工程施工费：2539.0705万元，设计费：55万元。</w:t>
      </w:r>
    </w:p>
    <w:p>
      <w:pPr>
        <w:ind w:firstLine="560" w:firstLineChars="200"/>
        <w:rPr>
          <w:rFonts w:ascii="宋体" w:hAnsi="宋体" w:eastAsia="宋体" w:cs="宋体"/>
          <w:sz w:val="28"/>
          <w:szCs w:val="28"/>
        </w:rPr>
      </w:pPr>
      <w:r>
        <w:rPr>
          <w:rFonts w:hint="eastAsia" w:ascii="宋体" w:hAnsi="宋体" w:eastAsia="宋体" w:cs="宋体"/>
          <w:sz w:val="28"/>
          <w:szCs w:val="28"/>
        </w:rPr>
        <w:t>本项目计价模式为固定单价，施工费用与设计费用分开立项支付，甲方需提前支付预付款30%。</w:t>
      </w:r>
    </w:p>
    <w:p>
      <w:pPr>
        <w:ind w:firstLine="560" w:firstLineChars="200"/>
        <w:rPr>
          <w:rFonts w:ascii="宋体" w:hAnsi="宋体" w:eastAsia="宋体" w:cs="宋体"/>
          <w:sz w:val="28"/>
          <w:szCs w:val="28"/>
        </w:rPr>
      </w:pPr>
      <w:r>
        <w:rPr>
          <w:rFonts w:hint="eastAsia" w:ascii="宋体" w:hAnsi="宋体" w:eastAsia="宋体" w:cs="宋体"/>
          <w:sz w:val="28"/>
          <w:szCs w:val="28"/>
        </w:rPr>
        <w:t>2019年12月18日，建设单位聘请第三方咨询机构（天津泰达工程管理咨询有限公司）组织项目竣工验收，并由验收组出具了验收意见，最终出具了竣工验收报告。</w:t>
      </w:r>
    </w:p>
    <w:p>
      <w:pPr>
        <w:ind w:firstLine="643" w:firstLineChars="200"/>
        <w:outlineLvl w:val="1"/>
        <w:rPr>
          <w:rFonts w:ascii="楷体" w:hAnsi="楷体" w:eastAsia="楷体" w:cs="楷体"/>
          <w:b/>
          <w:bCs/>
          <w:sz w:val="32"/>
          <w:szCs w:val="32"/>
        </w:rPr>
      </w:pPr>
      <w:bookmarkStart w:id="65" w:name="_Toc14809"/>
      <w:bookmarkStart w:id="66" w:name="_Toc28555"/>
      <w:r>
        <w:rPr>
          <w:rFonts w:hint="eastAsia" w:ascii="楷体" w:hAnsi="楷体" w:eastAsia="楷体" w:cs="楷体"/>
          <w:b/>
          <w:bCs/>
          <w:sz w:val="32"/>
          <w:szCs w:val="32"/>
        </w:rPr>
        <w:t>（二）资金使用情况</w:t>
      </w:r>
      <w:bookmarkEnd w:id="65"/>
      <w:bookmarkEnd w:id="66"/>
    </w:p>
    <w:p>
      <w:pPr>
        <w:pStyle w:val="5"/>
        <w:ind w:left="0" w:firstLine="560" w:firstLineChars="200"/>
        <w:rPr>
          <w:rFonts w:ascii="宋体" w:hAnsi="宋体" w:eastAsia="宋体" w:cs="宋体"/>
        </w:rPr>
      </w:pPr>
      <w:bookmarkStart w:id="67" w:name="_Toc15054"/>
      <w:bookmarkStart w:id="68" w:name="_Toc13622"/>
      <w:r>
        <w:rPr>
          <w:rFonts w:hint="eastAsia" w:ascii="宋体" w:hAnsi="宋体" w:eastAsia="宋体" w:cs="宋体"/>
        </w:rPr>
        <w:t>2019年6月11日支付新中远工程设计有限公司围场分公司初步设计编制费4万元，支付东创项目管理集团有限公司丰宁分公司设计评估费2万元，支付承德宏泰建设项目咨询管理有限公司可研报告评审费2万元，支付承德天智招标代理有限公司编制费5万元，合计支付服务费：13万元。</w:t>
      </w:r>
    </w:p>
    <w:p>
      <w:pPr>
        <w:pStyle w:val="5"/>
        <w:ind w:left="0" w:firstLine="560" w:firstLineChars="200"/>
        <w:rPr>
          <w:rFonts w:ascii="宋体" w:hAnsi="宋体" w:eastAsia="宋体" w:cs="宋体"/>
        </w:rPr>
      </w:pPr>
      <w:r>
        <w:rPr>
          <w:rFonts w:hint="eastAsia" w:ascii="宋体" w:hAnsi="宋体" w:eastAsia="宋体" w:cs="宋体"/>
        </w:rPr>
        <w:t>2019年9月2日财政拨款预算收入2157万元。</w:t>
      </w:r>
    </w:p>
    <w:p>
      <w:pPr>
        <w:pStyle w:val="5"/>
        <w:ind w:left="0" w:firstLine="560" w:firstLineChars="200"/>
        <w:rPr>
          <w:rFonts w:ascii="宋体" w:hAnsi="宋体" w:eastAsia="宋体" w:cs="宋体"/>
        </w:rPr>
      </w:pPr>
      <w:r>
        <w:rPr>
          <w:rFonts w:hint="eastAsia" w:ascii="宋体" w:hAnsi="宋体" w:eastAsia="宋体" w:cs="宋体"/>
        </w:rPr>
        <w:t>2019年9月11日支付钓鱼台二期工程预付款：761.7万元；</w:t>
      </w:r>
    </w:p>
    <w:p>
      <w:pPr>
        <w:pStyle w:val="5"/>
        <w:ind w:left="0" w:firstLine="560" w:firstLineChars="200"/>
        <w:rPr>
          <w:rFonts w:ascii="宋体" w:hAnsi="宋体" w:eastAsia="宋体" w:cs="宋体"/>
        </w:rPr>
      </w:pPr>
      <w:r>
        <w:rPr>
          <w:rFonts w:hint="eastAsia" w:ascii="宋体" w:hAnsi="宋体" w:eastAsia="宋体" w:cs="宋体"/>
        </w:rPr>
        <w:t>2019年10月17日支付浙江伟达园林工程有限公司设计费49.5万元。发票为55万元。预留10%（5.5万元）</w:t>
      </w:r>
    </w:p>
    <w:p>
      <w:pPr>
        <w:pStyle w:val="5"/>
        <w:ind w:left="0" w:firstLine="560" w:firstLineChars="200"/>
        <w:rPr>
          <w:rFonts w:ascii="宋体" w:hAnsi="宋体" w:eastAsia="宋体" w:cs="宋体"/>
        </w:rPr>
      </w:pPr>
      <w:r>
        <w:rPr>
          <w:rFonts w:hint="eastAsia" w:ascii="宋体" w:hAnsi="宋体" w:eastAsia="宋体" w:cs="宋体"/>
        </w:rPr>
        <w:t>2020年1月15日支付围场满族蒙古族自治县黄金技术有限公司工程测绘费2万元整；同时支付围场满族金城蒙古族自治县信诚工程建设监理有限公司监理费16万元整；</w:t>
      </w:r>
    </w:p>
    <w:p>
      <w:pPr>
        <w:pStyle w:val="5"/>
        <w:ind w:left="0" w:firstLine="560" w:firstLineChars="200"/>
        <w:rPr>
          <w:rFonts w:ascii="宋体" w:hAnsi="宋体" w:eastAsia="宋体" w:cs="宋体"/>
        </w:rPr>
      </w:pPr>
      <w:r>
        <w:rPr>
          <w:rFonts w:hint="eastAsia" w:ascii="宋体" w:hAnsi="宋体" w:eastAsia="宋体" w:cs="宋体"/>
        </w:rPr>
        <w:t>2020年1月17日支付北京东方园林环境股份有限公司工程款2060万元（其中包括前期预付款761.7万和应付款498.3万）；</w:t>
      </w:r>
    </w:p>
    <w:p>
      <w:pPr>
        <w:pStyle w:val="5"/>
        <w:ind w:left="0" w:firstLine="560" w:firstLineChars="200"/>
        <w:rPr>
          <w:rFonts w:ascii="宋体" w:hAnsi="宋体" w:eastAsia="宋体" w:cs="宋体"/>
        </w:rPr>
      </w:pPr>
      <w:r>
        <w:rPr>
          <w:rFonts w:hint="eastAsia" w:ascii="宋体" w:hAnsi="宋体" w:eastAsia="宋体" w:cs="宋体"/>
        </w:rPr>
        <w:t>2020年6月16日支付北京东方园林环境股份有限公司工程款498.3万元；支付围场满族蒙古族自治县围场镇三通消防器材经销处0.798万元；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2020年9月14日支付浙江伟达园林工程有限公司剩余设计费4.910307万元（余：0.589693万元）。</w:t>
      </w:r>
      <w:bookmarkEnd w:id="67"/>
      <w:bookmarkEnd w:id="68"/>
    </w:p>
    <w:p>
      <w:pPr>
        <w:ind w:firstLine="560" w:firstLineChars="200"/>
        <w:rPr>
          <w:rFonts w:ascii="宋体" w:hAnsi="宋体" w:eastAsia="宋体" w:cs="宋体"/>
          <w:sz w:val="28"/>
          <w:szCs w:val="28"/>
        </w:rPr>
      </w:pPr>
      <w:r>
        <w:rPr>
          <w:rFonts w:hint="eastAsia" w:ascii="宋体" w:hAnsi="宋体" w:eastAsia="宋体" w:cs="宋体"/>
          <w:sz w:val="28"/>
          <w:szCs w:val="28"/>
        </w:rPr>
        <w:t>资金使用合计2146.21万元，除浙江伟达园林工程有限公司设计费预留0.589693万元外，资金节余10.2万元。</w:t>
      </w:r>
    </w:p>
    <w:p>
      <w:pPr>
        <w:ind w:firstLine="640" w:firstLineChars="200"/>
        <w:outlineLvl w:val="0"/>
        <w:rPr>
          <w:rFonts w:ascii="黑体" w:hAnsi="黑体" w:eastAsia="黑体" w:cs="黑体"/>
          <w:sz w:val="32"/>
          <w:szCs w:val="32"/>
        </w:rPr>
      </w:pPr>
      <w:bookmarkStart w:id="69" w:name="_Toc340"/>
      <w:r>
        <w:rPr>
          <w:rFonts w:hint="eastAsia" w:ascii="黑体" w:hAnsi="黑体" w:eastAsia="黑体" w:cs="黑体"/>
          <w:sz w:val="32"/>
          <w:szCs w:val="32"/>
        </w:rPr>
        <w:t>四、绩效评价分析与结论</w:t>
      </w:r>
      <w:bookmarkEnd w:id="69"/>
    </w:p>
    <w:p>
      <w:pPr>
        <w:adjustRightInd w:val="0"/>
        <w:snapToGrid w:val="0"/>
        <w:spacing w:line="360" w:lineRule="auto"/>
        <w:ind w:firstLine="643" w:firstLineChars="200"/>
        <w:outlineLvl w:val="1"/>
        <w:rPr>
          <w:rFonts w:ascii="楷体" w:hAnsi="楷体" w:eastAsia="楷体" w:cs="楷体"/>
          <w:b/>
          <w:kern w:val="0"/>
          <w:sz w:val="32"/>
          <w:szCs w:val="32"/>
        </w:rPr>
      </w:pPr>
      <w:bookmarkStart w:id="70" w:name="_Toc19435"/>
      <w:bookmarkStart w:id="71" w:name="_Toc16548"/>
      <w:r>
        <w:rPr>
          <w:rFonts w:hint="eastAsia" w:ascii="楷体" w:hAnsi="楷体" w:eastAsia="楷体" w:cs="楷体"/>
          <w:b/>
          <w:kern w:val="0"/>
          <w:sz w:val="32"/>
          <w:szCs w:val="32"/>
        </w:rPr>
        <w:t>（一）绩效评价分析</w:t>
      </w:r>
      <w:bookmarkEnd w:id="70"/>
      <w:bookmarkEnd w:id="71"/>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9分。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2019年3月4日围场满族蒙古族自治县行政审批局关于围场县伊逊河流域上游山水林田湖综合治理工程钓鱼台湿地生态恢复与保护小区建设项目二期可行性研究报告做了批复。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本项目为完全公益性，投入的经济性不明显，建设单位按照项目所设定的绩效目标依据充分，资金来源合规，符合客观实际，能够达到设定的目标。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通过对围场县伊逊河流域上游山水林田湖综合治理工程钓鱼台湿地生态恢复与保护小区建设项目二期设计施工总承包项目的分析，本项目建成后得到了群众认可，每逢周末都会有很多百姓和游客光顾此地休闲小憩，后期应加强对湿地公园的维护工作，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绩效评价涉及到的相关资料基本完整。</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④项目实施方案编制情况指标标准分值为3分，考评得分3分。</w:t>
      </w:r>
    </w:p>
    <w:p>
      <w:pPr>
        <w:pStyle w:val="14"/>
        <w:ind w:firstLine="560" w:firstLineChars="200"/>
        <w:jc w:val="both"/>
        <w:rPr>
          <w:sz w:val="28"/>
          <w:szCs w:val="28"/>
        </w:rPr>
      </w:pPr>
      <w:r>
        <w:rPr>
          <w:rFonts w:hint="eastAsia"/>
          <w:sz w:val="28"/>
          <w:szCs w:val="28"/>
        </w:rPr>
        <w:t>本项目实施方案编制合理、可行，无违反规定的项目实施。</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本项目债券资金均用于湿地保护小区建设，未用于经常性支出，未用于中央明令禁止的项目支出，资金使用合规。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本项目已按国库集中支付制度要求在县级财政集中支付，按照双方合同约定未出现资金拖欠现象。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我方审查本项目支付凭证未发现资金有挪用、抽逃、延迟支付现象，项目建设资金使用合理，账务处理基本合规。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根据本项目竣工验收报告显示，项目已完成的工程投资与计划实施的实际工程总投资基本吻合，主要工程量按照要求全部完成。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合同约定施工工期自设计完工之日起200日历天，本工程项目能够按照合同约定计划工期完成施工进度，未出现工程滞后现象。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2019年12月18日，建设单位聘请第三方咨询机构（天津泰达工程管理咨询有限公司）组织项目竣工验收，并由验收组出具了验收意见，最终出具了竣工验收报告。监理方对自检结论做了描述，均符合相关要求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围场县伊逊河流域上游山水林田湖综合治理工程钓鱼台湿地生态恢复与保护小区建设项目二期设计施工总承包项目按批复设定的总体目标全面实现，达到预期目标。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湿地公园的建设可供公众游览、休闲或进行科学、文化和教育活动等。发展建设湿地公园，既有利于调动社会力量参与湿地保护与可持续利用，又有利于充分发挥湿地多种功能效益，同时满足公众需求和社会经济发展的要求，通过社会的参与和科学的经营管理，达到保护湿地生态系统、维持湿地多种效益持续发展的目标</w:t>
      </w:r>
      <w:r>
        <w:rPr>
          <w:rFonts w:ascii="宋体" w:hAnsi="宋体" w:eastAsia="宋体" w:cs="宋体"/>
          <w:sz w:val="28"/>
          <w:szCs w:val="28"/>
        </w:rPr>
        <w:t>,</w:t>
      </w:r>
      <w:r>
        <w:rPr>
          <w:rFonts w:hint="eastAsia" w:ascii="宋体" w:hAnsi="宋体" w:eastAsia="宋体" w:cs="宋体"/>
          <w:sz w:val="28"/>
          <w:szCs w:val="28"/>
        </w:rPr>
        <w:t>社会效益明显提升。</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湿地公园的建设有利于对湿地进行保护，维护生态平衡，回归自然，对改善区域生态状况，通过对本项目的建设，对目前的社会环境有所改善，得到了当地群众和外来游客的认可，对周边居民的生活环境也有提升，给围场县城又新增了一个既休闲又好玩的去处。</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由于本债券资金投入的项目为湿地生态恢复和保护项目，属于社会公益性项目，湿地公园建成后免费为游客开放，不产生直接经济效益。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本项目为完全公益性，不产生直接经济效益，间接经济效益和社会效益良好，项目的建设吸引了大批外来游客观光，带动了周边餐饮旅游市场活跃，因此本项考核得分为7分。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72" w:name="_Toc14098"/>
      <w:bookmarkStart w:id="73" w:name="_Toc21381"/>
      <w:r>
        <w:rPr>
          <w:rFonts w:hint="eastAsia" w:ascii="楷体" w:hAnsi="楷体" w:eastAsia="楷体" w:cs="楷体"/>
          <w:b/>
          <w:kern w:val="0"/>
          <w:sz w:val="32"/>
          <w:szCs w:val="32"/>
        </w:rPr>
        <w:t>（二）绩效评价结论</w:t>
      </w:r>
      <w:bookmarkEnd w:id="72"/>
      <w:bookmarkEnd w:id="73"/>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绩效评价指标综合得分情况：</w:t>
      </w:r>
    </w:p>
    <w:p>
      <w:pPr>
        <w:ind w:firstLine="560" w:firstLineChars="200"/>
        <w:rPr>
          <w:rFonts w:ascii="仿宋" w:hAnsi="仿宋" w:eastAsia="仿宋" w:cs="宋体"/>
          <w:bCs/>
          <w:kern w:val="0"/>
          <w:sz w:val="32"/>
          <w:szCs w:val="32"/>
          <w:highlight w:val="yellow"/>
        </w:rPr>
      </w:pPr>
      <w:r>
        <w:rPr>
          <w:rFonts w:hint="eastAsia" w:ascii="宋体" w:hAnsi="宋体" w:eastAsia="宋体" w:cs="宋体"/>
          <w:sz w:val="28"/>
          <w:szCs w:val="28"/>
        </w:rPr>
        <w:t>围场县伊逊河流域上游山水林田湖综合治理工程钓鱼台湿地生态恢复与保护小区建设项目二期设计施工总承包项目绩效考评结果，其中：投入指标考评得分9分、管理指标考评得分30分、产出指标考评得分30分、效益指标考评得分28分。</w:t>
      </w:r>
      <w:r>
        <w:rPr>
          <w:rFonts w:hint="eastAsia" w:ascii="宋体" w:hAnsi="宋体" w:eastAsia="宋体" w:cs="宋体"/>
          <w:bCs/>
          <w:kern w:val="0"/>
          <w:sz w:val="28"/>
          <w:szCs w:val="28"/>
        </w:rPr>
        <w:t>通过对各项指标的具体分析评价，汇总得出本次绩效评价考核综合得分为97分，总体评价为“优”。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bCs/>
          <w:kern w:val="0"/>
          <w:sz w:val="28"/>
          <w:szCs w:val="28"/>
        </w:rPr>
        <w:t>通过项目建设，对社会效益影响是长期的，促进了围场县的经济</w:t>
      </w:r>
      <w:r>
        <w:rPr>
          <w:rFonts w:hint="eastAsia" w:ascii="宋体" w:hAnsi="宋体" w:eastAsia="宋体" w:cs="宋体"/>
          <w:sz w:val="28"/>
          <w:szCs w:val="28"/>
        </w:rPr>
        <w:t>繁荣。</w:t>
      </w:r>
    </w:p>
    <w:p>
      <w:pPr>
        <w:widowControl/>
        <w:ind w:firstLine="560" w:firstLineChars="200"/>
        <w:jc w:val="left"/>
        <w:rPr>
          <w:rFonts w:ascii="仿宋" w:hAnsi="仿宋" w:eastAsia="仿宋"/>
          <w:sz w:val="28"/>
          <w:szCs w:val="28"/>
        </w:rPr>
      </w:pPr>
      <w:r>
        <w:rPr>
          <w:rFonts w:hint="eastAsia" w:ascii="宋体" w:hAnsi="宋体" w:eastAsia="宋体" w:cs="宋体"/>
          <w:sz w:val="28"/>
          <w:szCs w:val="28"/>
        </w:rPr>
        <w:t>评价结果表明，围场县伊逊河流域上游山水林田湖综合治理工程钓鱼台湿地生态恢复与保护小区建设项目二期设计施工总承包项目组织和管理较好地执行了相关规定要求，组织管理有序，单位财务管理制度基本健全，对项目资金的监督管理总体有效，实施后间接经济效益和持续性明显。资金使用合理合规。</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4" w:name="_Toc32395"/>
      <w:bookmarkStart w:id="75" w:name="_Toc4359"/>
      <w:r>
        <w:rPr>
          <w:rFonts w:hint="eastAsia" w:ascii="黑体" w:hAnsi="黑体" w:eastAsia="黑体" w:cs="黑体"/>
          <w:bCs/>
          <w:kern w:val="0"/>
          <w:sz w:val="32"/>
          <w:szCs w:val="32"/>
        </w:rPr>
        <w:t>五、</w:t>
      </w:r>
      <w:bookmarkEnd w:id="74"/>
      <w:r>
        <w:rPr>
          <w:rFonts w:hint="eastAsia" w:ascii="黑体" w:hAnsi="黑体" w:eastAsia="黑体" w:cs="黑体"/>
          <w:bCs/>
          <w:kern w:val="0"/>
          <w:sz w:val="32"/>
          <w:szCs w:val="32"/>
        </w:rPr>
        <w:t>意见及建议</w:t>
      </w:r>
      <w:bookmarkEnd w:id="75"/>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湿地公园建设项目应加强项目后期维护管理、完善建设程序及资金支付方面的管理。</w:t>
      </w:r>
    </w:p>
    <w:p>
      <w:pPr>
        <w:pStyle w:val="3"/>
        <w:spacing w:line="240" w:lineRule="auto"/>
        <w:ind w:firstLine="643" w:firstLineChars="200"/>
        <w:rPr>
          <w:rFonts w:ascii="楷体" w:hAnsi="楷体" w:eastAsia="楷体" w:cs="楷体"/>
        </w:rPr>
      </w:pPr>
      <w:bookmarkStart w:id="76" w:name="_Toc26763"/>
      <w:bookmarkStart w:id="77" w:name="_Toc7010"/>
      <w:bookmarkStart w:id="78" w:name="_Toc31396"/>
      <w:bookmarkStart w:id="79" w:name="_Toc25821"/>
      <w:bookmarkStart w:id="80" w:name="_Toc5786"/>
      <w:bookmarkStart w:id="81" w:name="_Toc31808"/>
      <w:r>
        <w:rPr>
          <w:rFonts w:hint="eastAsia" w:ascii="楷体" w:hAnsi="楷体" w:eastAsia="楷体" w:cs="楷体"/>
        </w:rPr>
        <w:t>（一）强化绩效理念，深入推进评价工作</w:t>
      </w:r>
      <w:bookmarkEnd w:id="76"/>
      <w:bookmarkEnd w:id="77"/>
      <w:bookmarkEnd w:id="78"/>
      <w:bookmarkEnd w:id="79"/>
      <w:bookmarkEnd w:id="80"/>
      <w:bookmarkEnd w:id="81"/>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2" w:name="_Toc10505"/>
      <w:bookmarkStart w:id="83" w:name="_Toc6863"/>
      <w:bookmarkStart w:id="84" w:name="_Toc11594"/>
      <w:bookmarkStart w:id="85" w:name="_Toc21411"/>
      <w:bookmarkStart w:id="86" w:name="_Toc14241"/>
      <w:bookmarkStart w:id="87" w:name="_Toc11860"/>
      <w:r>
        <w:rPr>
          <w:rFonts w:hint="eastAsia" w:ascii="楷体" w:hAnsi="楷体" w:eastAsia="楷体" w:cs="楷体"/>
        </w:rPr>
        <w:t>（二）强化事前准备，切实提升评价质量</w:t>
      </w:r>
      <w:bookmarkEnd w:id="82"/>
      <w:bookmarkEnd w:id="83"/>
      <w:bookmarkEnd w:id="84"/>
      <w:bookmarkEnd w:id="85"/>
      <w:bookmarkEnd w:id="86"/>
      <w:bookmarkEnd w:id="87"/>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8" w:name="_Toc3001"/>
      <w:bookmarkStart w:id="89" w:name="_Toc30061"/>
      <w:bookmarkStart w:id="90" w:name="_Toc21034"/>
      <w:bookmarkStart w:id="91" w:name="_Toc10592"/>
      <w:bookmarkStart w:id="92" w:name="_Toc11787"/>
    </w:p>
    <w:p>
      <w:pPr>
        <w:pStyle w:val="3"/>
        <w:spacing w:line="240" w:lineRule="auto"/>
        <w:ind w:firstLine="643" w:firstLineChars="200"/>
        <w:rPr>
          <w:rFonts w:ascii="楷体" w:hAnsi="楷体" w:eastAsia="楷体" w:cs="楷体"/>
        </w:rPr>
      </w:pPr>
      <w:bookmarkStart w:id="93" w:name="_Toc26689"/>
      <w:r>
        <w:rPr>
          <w:rFonts w:hint="eastAsia" w:ascii="楷体" w:hAnsi="楷体" w:eastAsia="楷体" w:cs="楷体"/>
        </w:rPr>
        <w:t>（三）强化结果应用，不断巩固评价</w:t>
      </w:r>
      <w:bookmarkEnd w:id="88"/>
      <w:bookmarkEnd w:id="89"/>
      <w:bookmarkEnd w:id="90"/>
      <w:bookmarkEnd w:id="91"/>
      <w:bookmarkEnd w:id="92"/>
      <w:r>
        <w:rPr>
          <w:rFonts w:hint="eastAsia" w:ascii="楷体" w:hAnsi="楷体" w:eastAsia="楷体" w:cs="楷体"/>
        </w:rPr>
        <w:t>成效</w:t>
      </w:r>
      <w:bookmarkEnd w:id="93"/>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94" w:name="_Toc6798"/>
      <w:r>
        <w:rPr>
          <w:rFonts w:hint="eastAsia" w:ascii="黑体" w:hAnsi="黑体" w:eastAsia="黑体" w:cs="黑体"/>
          <w:bCs/>
          <w:kern w:val="0"/>
          <w:sz w:val="32"/>
          <w:szCs w:val="32"/>
        </w:rPr>
        <w:t>六、附件</w:t>
      </w:r>
      <w:bookmarkEnd w:id="94"/>
    </w:p>
    <w:p>
      <w:pPr>
        <w:pStyle w:val="3"/>
        <w:rPr>
          <w:rFonts w:ascii="宋体" w:hAnsi="宋体" w:eastAsia="宋体" w:cs="宋体"/>
          <w:sz w:val="28"/>
          <w:szCs w:val="28"/>
        </w:rPr>
      </w:pPr>
      <w:bookmarkStart w:id="95" w:name="_Toc12735"/>
      <w:r>
        <w:rPr>
          <w:rFonts w:hint="eastAsia" w:ascii="楷体" w:hAnsi="楷体" w:eastAsia="楷体" w:cs="楷体"/>
        </w:rPr>
        <w:t>绩效评价指标体系得分表</w:t>
      </w:r>
      <w:bookmarkEnd w:id="95"/>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asciiTheme="minorEastAsia" w:hAnsiTheme="minorEastAsia"/>
          <w:sz w:val="32"/>
          <w:szCs w:val="32"/>
        </w:rPr>
      </w:pPr>
      <w:bookmarkStart w:id="96" w:name="_Toc15162"/>
    </w:p>
    <w:p>
      <w:pPr>
        <w:adjustRightInd w:val="0"/>
        <w:snapToGrid w:val="0"/>
        <w:spacing w:line="540" w:lineRule="exact"/>
        <w:outlineLvl w:val="0"/>
        <w:rPr>
          <w:rFonts w:asciiTheme="minorEastAsia" w:hAnsiTheme="minorEastAsia"/>
          <w:sz w:val="32"/>
          <w:szCs w:val="32"/>
        </w:rPr>
      </w:pPr>
    </w:p>
    <w:p>
      <w:pPr>
        <w:adjustRightInd w:val="0"/>
        <w:snapToGrid w:val="0"/>
        <w:spacing w:line="540" w:lineRule="exact"/>
        <w:outlineLvl w:val="0"/>
        <w:rPr>
          <w:rFonts w:asciiTheme="minorEastAsia" w:hAnsiTheme="minorEastAsia"/>
          <w:sz w:val="32"/>
          <w:szCs w:val="32"/>
        </w:rPr>
      </w:pPr>
    </w:p>
    <w:p>
      <w:pPr>
        <w:adjustRightInd w:val="0"/>
        <w:snapToGrid w:val="0"/>
        <w:spacing w:line="540" w:lineRule="exact"/>
        <w:outlineLvl w:val="0"/>
        <w:rPr>
          <w:rFonts w:asciiTheme="minorEastAsia" w:hAnsiTheme="minorEastAsia"/>
          <w:sz w:val="32"/>
          <w:szCs w:val="32"/>
        </w:rPr>
      </w:pPr>
      <w:bookmarkStart w:id="97" w:name="_Toc26854"/>
      <w:r>
        <w:rPr>
          <w:rFonts w:hint="eastAsia" w:asciiTheme="minorEastAsia" w:hAnsiTheme="minorEastAsia"/>
          <w:sz w:val="32"/>
          <w:szCs w:val="32"/>
        </w:rPr>
        <w:t>承德燕山会计师事务所         中国注册会计师：崔春华</w:t>
      </w:r>
      <w:bookmarkEnd w:id="96"/>
      <w:bookmarkEnd w:id="97"/>
    </w:p>
    <w:p>
      <w:pPr>
        <w:adjustRightInd w:val="0"/>
        <w:snapToGrid w:val="0"/>
        <w:spacing w:line="540" w:lineRule="exact"/>
        <w:ind w:firstLine="640" w:firstLineChars="200"/>
        <w:outlineLvl w:val="0"/>
        <w:rPr>
          <w:rFonts w:asciiTheme="minorEastAsia" w:hAnsiTheme="minorEastAsia"/>
          <w:sz w:val="32"/>
          <w:szCs w:val="32"/>
        </w:rPr>
      </w:pPr>
      <w:bookmarkStart w:id="98" w:name="_Toc14815"/>
      <w:bookmarkStart w:id="99" w:name="_Toc25409"/>
      <w:r>
        <w:rPr>
          <w:rFonts w:hint="eastAsia" w:asciiTheme="minorEastAsia" w:hAnsiTheme="minorEastAsia"/>
          <w:sz w:val="32"/>
          <w:szCs w:val="32"/>
        </w:rPr>
        <w:t>有限责任公司</w:t>
      </w:r>
      <w:bookmarkEnd w:id="98"/>
      <w:bookmarkEnd w:id="99"/>
    </w:p>
    <w:p>
      <w:pPr>
        <w:ind w:firstLine="640" w:firstLineChars="200"/>
        <w:outlineLvl w:val="0"/>
        <w:rPr>
          <w:rFonts w:asciiTheme="minorEastAsia" w:hAnsiTheme="minorEastAsia"/>
          <w:sz w:val="32"/>
          <w:szCs w:val="32"/>
        </w:rPr>
      </w:pPr>
      <w:bookmarkStart w:id="100" w:name="_Toc13463"/>
      <w:bookmarkStart w:id="101" w:name="_Toc1280"/>
      <w:r>
        <w:rPr>
          <w:rFonts w:hint="eastAsia" w:asciiTheme="minorEastAsia" w:hAnsiTheme="minorEastAsia"/>
          <w:sz w:val="32"/>
          <w:szCs w:val="32"/>
        </w:rPr>
        <w:t>河北·承德               中国注册会计师：白秀云</w:t>
      </w:r>
      <w:bookmarkEnd w:id="100"/>
      <w:bookmarkEnd w:id="101"/>
    </w:p>
    <w:p>
      <w:pPr>
        <w:rPr>
          <w:rFonts w:asciiTheme="minorEastAsia" w:hAnsiTheme="minorEastAsia"/>
          <w:sz w:val="32"/>
          <w:szCs w:val="32"/>
        </w:rPr>
      </w:pPr>
    </w:p>
    <w:p>
      <w:pPr>
        <w:ind w:firstLine="640" w:firstLineChars="2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102" w:name="_Toc29542"/>
      <w:r>
        <w:rPr>
          <w:rFonts w:hint="eastAsia" w:asciiTheme="minorEastAsia" w:hAnsiTheme="minorEastAsia"/>
          <w:sz w:val="32"/>
          <w:szCs w:val="32"/>
        </w:rPr>
        <w:t>二○二〇年十二月二十六日</w:t>
      </w:r>
      <w:bookmarkEnd w:id="10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围场县钓鱼台湿地生态恢复与保护小区建设项目二期绩效评价指标体系得分表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97</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1MDJhY2ZkYTdkMTRjNWQ3NmFlODcyZDk2NTEifQ=="/>
  </w:docVars>
  <w:rsids>
    <w:rsidRoot w:val="41A52C9E"/>
    <w:rsid w:val="00690AC8"/>
    <w:rsid w:val="00AB3333"/>
    <w:rsid w:val="00F91CA0"/>
    <w:rsid w:val="03874E0B"/>
    <w:rsid w:val="03906ECE"/>
    <w:rsid w:val="03B73450"/>
    <w:rsid w:val="047E3D7B"/>
    <w:rsid w:val="06B3136F"/>
    <w:rsid w:val="09306D22"/>
    <w:rsid w:val="09DF3A36"/>
    <w:rsid w:val="0A617961"/>
    <w:rsid w:val="0CF76258"/>
    <w:rsid w:val="0FF14209"/>
    <w:rsid w:val="105E04DB"/>
    <w:rsid w:val="11CA6AB4"/>
    <w:rsid w:val="12192A13"/>
    <w:rsid w:val="13426D82"/>
    <w:rsid w:val="1671287C"/>
    <w:rsid w:val="179E01C8"/>
    <w:rsid w:val="17AB082F"/>
    <w:rsid w:val="18B14196"/>
    <w:rsid w:val="19B12636"/>
    <w:rsid w:val="1C0818FD"/>
    <w:rsid w:val="1DCB30AC"/>
    <w:rsid w:val="1E3912B7"/>
    <w:rsid w:val="21C358CA"/>
    <w:rsid w:val="261A33D3"/>
    <w:rsid w:val="27DD72F2"/>
    <w:rsid w:val="284D6241"/>
    <w:rsid w:val="2A8F6794"/>
    <w:rsid w:val="2B052CF6"/>
    <w:rsid w:val="2B284D4B"/>
    <w:rsid w:val="2C137100"/>
    <w:rsid w:val="327F7BC1"/>
    <w:rsid w:val="35241A1C"/>
    <w:rsid w:val="389D45F3"/>
    <w:rsid w:val="39FB1AB6"/>
    <w:rsid w:val="3BB5552B"/>
    <w:rsid w:val="3D7533AC"/>
    <w:rsid w:val="3E3648EE"/>
    <w:rsid w:val="3EE432ED"/>
    <w:rsid w:val="3F756841"/>
    <w:rsid w:val="41A52C9E"/>
    <w:rsid w:val="46437D54"/>
    <w:rsid w:val="47C37A03"/>
    <w:rsid w:val="48771478"/>
    <w:rsid w:val="48E449AC"/>
    <w:rsid w:val="4A924A90"/>
    <w:rsid w:val="4B440C85"/>
    <w:rsid w:val="4DF57240"/>
    <w:rsid w:val="4F5D274A"/>
    <w:rsid w:val="4F887C83"/>
    <w:rsid w:val="53AD2E58"/>
    <w:rsid w:val="54252E1D"/>
    <w:rsid w:val="569318BE"/>
    <w:rsid w:val="577B4A42"/>
    <w:rsid w:val="5B267031"/>
    <w:rsid w:val="6A236F78"/>
    <w:rsid w:val="710016B0"/>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autoRedefine/>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2304</Words>
  <Characters>13135</Characters>
  <Lines>109</Lines>
  <Paragraphs>30</Paragraphs>
  <TotalTime>6</TotalTime>
  <ScaleCrop>false</ScaleCrop>
  <LinksUpToDate>false</LinksUpToDate>
  <CharactersWithSpaces>15409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2024-01-10T03:17:37Z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2426058C077E4BF5A5116FCE783F006A_13</vt:lpwstr>
  </property>
</Properties>
</file>