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highlight w:val="none"/>
          <w:lang w:val="en-US" w:eastAsia="zh-CN"/>
        </w:rPr>
        <w:t>围场县公共安全视频监控建设联网应用项目一期建设及乡镇综治中心视联网建设项目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26</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263</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8" o:title=""/>
            <o:lock v:ext="edit" aspectratio="t"/>
            <w10:wrap type="square"/>
          </v:shape>
          <o:OLEObject Type="Embed" ProgID="" ShapeID="_x0000_s1026" DrawAspect="Content" ObjectID="_1468075725" r:id="rId7">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bookmarkStart w:id="104" w:name="_GoBack"/>
      <w:bookmarkEnd w:id="104"/>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263</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_Toc26637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_Toc26637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_Toc367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_Toc367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_Toc14460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_Toc14460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_Toc28990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_Toc28990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_Toc10766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_Toc10766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_Toc28230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_Toc28230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_Toc9424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_Toc9424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_Toc18957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_Toc18957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_Toc18550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_Toc18550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_Toc26825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_Toc26825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_Toc30842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_Toc30842 \h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_Toc15771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_Toc15771 \h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_Toc6314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_Toc6314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_Toc5143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_Toc5143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_Toc6197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_Toc6197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_Toc5150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_Toc5150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_Toc1350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_Toc1350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_Toc18959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_Toc18959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_Toc7714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_Toc7714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_Toc14611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_Toc14611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_Toc26485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_Toc26485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_Toc20642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_Toc20642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pP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highlight w:val="none"/>
          <w:lang w:val="en-US" w:eastAsia="zh-CN"/>
        </w:rPr>
      </w:pPr>
      <w:bookmarkStart w:id="0" w:name="_Toc13259"/>
      <w:bookmarkStart w:id="1" w:name="_Toc29565"/>
      <w:bookmarkStart w:id="2" w:name="_Toc21708"/>
      <w:bookmarkStart w:id="3" w:name="_Toc7123"/>
      <w:bookmarkStart w:id="4" w:name="_Toc32502"/>
      <w:bookmarkStart w:id="5" w:name="_Toc25062"/>
      <w:r>
        <w:rPr>
          <w:rFonts w:hint="eastAsia" w:ascii="宋体" w:hAnsi="宋体" w:eastAsia="宋体" w:cs="宋体"/>
          <w:b/>
          <w:bCs/>
          <w:sz w:val="36"/>
          <w:szCs w:val="36"/>
          <w:highlight w:val="none"/>
          <w:lang w:val="en-US" w:eastAsia="zh-CN"/>
        </w:rPr>
        <w:t>围场县</w:t>
      </w:r>
      <w:bookmarkEnd w:id="0"/>
      <w:bookmarkEnd w:id="1"/>
      <w:r>
        <w:rPr>
          <w:rFonts w:hint="eastAsia" w:ascii="宋体" w:hAnsi="宋体" w:eastAsia="宋体" w:cs="宋体"/>
          <w:b/>
          <w:bCs/>
          <w:sz w:val="36"/>
          <w:szCs w:val="36"/>
          <w:highlight w:val="none"/>
          <w:lang w:val="en-US" w:eastAsia="zh-CN"/>
        </w:rPr>
        <w:t>公共安全视频监控建设联网应用项目</w:t>
      </w:r>
      <w:bookmarkEnd w:id="2"/>
    </w:p>
    <w:p>
      <w:pPr>
        <w:jc w:val="center"/>
        <w:outlineLvl w:val="0"/>
        <w:rPr>
          <w:rFonts w:hint="eastAsia" w:ascii="宋体" w:hAnsi="宋体" w:eastAsia="宋体" w:cs="宋体"/>
          <w:b/>
          <w:bCs/>
          <w:sz w:val="36"/>
          <w:szCs w:val="36"/>
          <w:lang w:val="en-US" w:eastAsia="zh-CN"/>
        </w:rPr>
      </w:pPr>
      <w:bookmarkStart w:id="6" w:name="_Toc22650"/>
      <w:r>
        <w:rPr>
          <w:rFonts w:hint="eastAsia" w:ascii="宋体" w:hAnsi="宋体" w:eastAsia="宋体" w:cs="宋体"/>
          <w:b/>
          <w:bCs/>
          <w:sz w:val="36"/>
          <w:szCs w:val="36"/>
          <w:highlight w:val="none"/>
          <w:lang w:val="en-US" w:eastAsia="zh-CN"/>
        </w:rPr>
        <w:t>一期建设及乡镇综治中心视联网建设项目</w:t>
      </w:r>
      <w:bookmarkEnd w:id="6"/>
    </w:p>
    <w:p>
      <w:pPr>
        <w:jc w:val="center"/>
        <w:outlineLvl w:val="0"/>
        <w:rPr>
          <w:rFonts w:hint="eastAsia" w:ascii="宋体" w:hAnsi="宋体" w:eastAsia="宋体" w:cs="宋体"/>
          <w:b/>
          <w:bCs/>
          <w:sz w:val="36"/>
          <w:szCs w:val="36"/>
          <w:lang w:eastAsia="zh-CN"/>
        </w:rPr>
      </w:pPr>
      <w:bookmarkStart w:id="7" w:name="_Toc26503"/>
      <w:bookmarkStart w:id="8" w:name="_Toc3241"/>
      <w:bookmarkStart w:id="9" w:name="_Toc21614"/>
      <w:r>
        <w:rPr>
          <w:rFonts w:hint="eastAsia" w:ascii="宋体" w:hAnsi="宋体" w:eastAsia="宋体" w:cs="宋体"/>
          <w:b/>
          <w:bCs/>
          <w:sz w:val="36"/>
          <w:szCs w:val="36"/>
          <w:lang w:eastAsia="zh-CN"/>
        </w:rPr>
        <w:t>一般债券资金绩效评价报告</w:t>
      </w:r>
      <w:bookmarkEnd w:id="3"/>
      <w:bookmarkEnd w:id="4"/>
      <w:bookmarkEnd w:id="5"/>
      <w:bookmarkEnd w:id="7"/>
      <w:bookmarkEnd w:id="8"/>
      <w:bookmarkEnd w:id="9"/>
    </w:p>
    <w:p>
      <w:pPr>
        <w:spacing w:line="600" w:lineRule="exact"/>
        <w:ind w:right="-31" w:rightChars="-15"/>
        <w:rPr>
          <w:rFonts w:hint="eastAsia" w:ascii="宋体" w:hAnsi="宋体" w:eastAsia="宋体" w:cs="宋体"/>
          <w:sz w:val="28"/>
          <w:szCs w:val="28"/>
        </w:rPr>
      </w:pPr>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highlight w:val="none"/>
          <w:lang w:val="en-US" w:eastAsia="zh-CN"/>
        </w:rPr>
        <w:t>围场县</w:t>
      </w:r>
      <w:r>
        <w:rPr>
          <w:rFonts w:hint="eastAsia" w:ascii="宋体" w:hAnsi="宋体" w:eastAsia="宋体" w:cs="宋体"/>
          <w:i w:val="0"/>
          <w:caps w:val="0"/>
          <w:color w:val="222222"/>
          <w:spacing w:val="0"/>
          <w:sz w:val="28"/>
          <w:szCs w:val="28"/>
          <w:shd w:val="clear" w:fill="FFFFFF"/>
          <w:lang w:val="en-US" w:eastAsia="zh-CN"/>
        </w:rPr>
        <w:t>公共安全视频监控建设联网应用项目一期建设及乡镇综治中心视联网建设项目</w:t>
      </w:r>
      <w:r>
        <w:rPr>
          <w:rFonts w:hint="eastAsia" w:ascii="宋体" w:hAnsi="宋体" w:eastAsia="宋体" w:cs="宋体"/>
          <w:sz w:val="28"/>
          <w:szCs w:val="28"/>
          <w:lang w:val="en-US" w:eastAsia="zh-CN"/>
        </w:rPr>
        <w:t>新增一般债券资金使用情况做绩效评价分析。</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10" w:name="_Toc8932"/>
      <w:bookmarkStart w:id="11" w:name="_Toc26637"/>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10"/>
      <w:bookmarkEnd w:id="11"/>
    </w:p>
    <w:p>
      <w:pPr>
        <w:spacing w:line="600" w:lineRule="exact"/>
        <w:ind w:firstLine="643" w:firstLineChars="200"/>
        <w:outlineLvl w:val="1"/>
        <w:rPr>
          <w:rFonts w:hint="eastAsia" w:ascii="楷体" w:hAnsi="楷体" w:eastAsia="楷体" w:cs="楷体"/>
          <w:b/>
          <w:bCs w:val="0"/>
          <w:sz w:val="32"/>
          <w:szCs w:val="32"/>
          <w:lang w:eastAsia="zh-CN"/>
        </w:rPr>
      </w:pPr>
      <w:bookmarkStart w:id="12" w:name="_Toc1188"/>
      <w:bookmarkStart w:id="13" w:name="_Toc367"/>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2"/>
      <w:bookmarkEnd w:id="13"/>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根据《中华人民共和国预算法》和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其中本次投入</w:t>
      </w:r>
      <w:r>
        <w:rPr>
          <w:rFonts w:hint="eastAsia" w:ascii="宋体" w:hAnsi="宋体" w:eastAsia="宋体" w:cs="宋体"/>
          <w:sz w:val="28"/>
          <w:szCs w:val="28"/>
          <w:highlight w:val="none"/>
          <w:lang w:val="en-US" w:eastAsia="zh-CN"/>
        </w:rPr>
        <w:t>围场县</w:t>
      </w:r>
      <w:r>
        <w:rPr>
          <w:rFonts w:hint="eastAsia" w:ascii="宋体" w:hAnsi="宋体" w:eastAsia="宋体" w:cs="宋体"/>
          <w:i w:val="0"/>
          <w:caps w:val="0"/>
          <w:color w:val="222222"/>
          <w:spacing w:val="0"/>
          <w:sz w:val="28"/>
          <w:szCs w:val="28"/>
          <w:shd w:val="clear" w:fill="FFFFFF"/>
          <w:lang w:val="en-US" w:eastAsia="zh-CN"/>
        </w:rPr>
        <w:t>公共安全视频监控建设联网应用项目一期建设及乡镇综治中心视联网建设项目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419.90万元。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val="en-US" w:eastAsia="zh-CN"/>
        </w:rPr>
        <w:t>围场县</w:t>
      </w:r>
      <w:r>
        <w:rPr>
          <w:rFonts w:hint="eastAsia" w:ascii="宋体" w:hAnsi="宋体" w:eastAsia="宋体" w:cs="宋体"/>
          <w:i w:val="0"/>
          <w:caps w:val="0"/>
          <w:color w:val="222222"/>
          <w:spacing w:val="0"/>
          <w:sz w:val="28"/>
          <w:szCs w:val="28"/>
          <w:shd w:val="clear" w:fill="FFFFFF"/>
          <w:lang w:val="en-US" w:eastAsia="zh-CN"/>
        </w:rPr>
        <w:t>公共安全视频监控建设联网应用项目一期建设及乡镇综治中心视联网建设项目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围场满族蒙古族自治县域内</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中共围场满族蒙古族自治县委政法委员会</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4.项目概况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公共安全视频监控建设联网平台，将政府各职能单位建设的视频资源统一接入中心，实现跨区域、跨行业的联合执法、办公、学习、指挥调度等功能。</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乡镇综治视联网建设平台，实现视联网视频资源和综治各类工作数据信息的上传下达，并且达到与中央、省、市、县、乡、村六级直连直通，充分发挥其在打击犯罪、维护稳定、城市管理中的最大效能。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工程范围:(1)中心平台(2)中心大屏系统(3)中心扩声系统(4)中心机房建设(5)综治中心网络(6)三十七个乡镇综治中心</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5.项目总投资及资金来源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项目总投资419.9万元，资金来源由2019年新增一般债券安排的项目资金提供，专项用于公共安全视频监控建设项目的支出。</w:t>
      </w:r>
    </w:p>
    <w:p>
      <w:pPr>
        <w:spacing w:line="600" w:lineRule="exact"/>
        <w:ind w:firstLine="643" w:firstLineChars="200"/>
        <w:outlineLvl w:val="1"/>
        <w:rPr>
          <w:rFonts w:hint="eastAsia" w:ascii="宋体" w:hAnsi="宋体" w:eastAsia="宋体" w:cs="宋体"/>
          <w:kern w:val="2"/>
          <w:sz w:val="28"/>
          <w:szCs w:val="28"/>
          <w:lang w:val="en-US" w:eastAsia="zh-CN" w:bidi="ar-SA"/>
        </w:rPr>
      </w:pPr>
      <w:bookmarkStart w:id="14" w:name="_Toc14460"/>
      <w:r>
        <w:rPr>
          <w:rFonts w:hint="eastAsia" w:ascii="楷体" w:hAnsi="楷体" w:eastAsia="楷体" w:cs="楷体"/>
          <w:b/>
          <w:bCs w:val="0"/>
          <w:sz w:val="32"/>
          <w:szCs w:val="32"/>
          <w:highlight w:val="none"/>
          <w:lang w:val="en-US" w:eastAsia="zh-CN"/>
        </w:rPr>
        <w:t>（二）项目绩效目标</w:t>
      </w:r>
      <w:bookmarkEnd w:id="14"/>
      <w:bookmarkStart w:id="15" w:name="_Toc28894"/>
      <w:bookmarkStart w:id="16" w:name="_Toc1227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7" w:name="_Toc10011"/>
      <w:bookmarkStart w:id="18" w:name="_Toc31882"/>
      <w:bookmarkStart w:id="19" w:name="_Toc18925"/>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5"/>
      <w:bookmarkEnd w:id="17"/>
      <w:bookmarkEnd w:id="18"/>
      <w:bookmarkEnd w:id="19"/>
    </w:p>
    <w:p>
      <w:pPr>
        <w:spacing w:line="600" w:lineRule="exact"/>
        <w:ind w:firstLine="643" w:firstLineChars="200"/>
        <w:outlineLvl w:val="1"/>
        <w:rPr>
          <w:rFonts w:hint="eastAsia" w:ascii="楷体" w:hAnsi="楷体" w:eastAsia="楷体" w:cs="楷体"/>
          <w:b/>
          <w:bCs w:val="0"/>
          <w:sz w:val="32"/>
          <w:szCs w:val="32"/>
          <w:lang w:val="en-US" w:eastAsia="zh-CN"/>
        </w:rPr>
      </w:pPr>
      <w:bookmarkStart w:id="20" w:name="_Toc28990"/>
      <w:r>
        <w:rPr>
          <w:rFonts w:hint="eastAsia" w:ascii="楷体" w:hAnsi="楷体" w:eastAsia="楷体" w:cs="楷体"/>
          <w:b/>
          <w:bCs w:val="0"/>
          <w:sz w:val="32"/>
          <w:szCs w:val="32"/>
          <w:lang w:val="en-US" w:eastAsia="zh-CN"/>
        </w:rPr>
        <w:t>（三）评价对象和时段</w:t>
      </w:r>
      <w:bookmarkEnd w:id="16"/>
      <w:bookmarkEnd w:id="20"/>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highlight w:val="none"/>
          <w:lang w:val="en-US" w:eastAsia="zh-CN"/>
        </w:rPr>
        <w:t>围场县</w:t>
      </w:r>
      <w:r>
        <w:rPr>
          <w:rFonts w:hint="eastAsia" w:ascii="宋体" w:hAnsi="宋体" w:eastAsia="宋体" w:cs="宋体"/>
          <w:i w:val="0"/>
          <w:caps w:val="0"/>
          <w:color w:val="222222"/>
          <w:spacing w:val="0"/>
          <w:sz w:val="28"/>
          <w:szCs w:val="28"/>
          <w:shd w:val="clear" w:fill="FFFFFF"/>
          <w:lang w:val="en-US" w:eastAsia="zh-CN"/>
        </w:rPr>
        <w:t>公共安全视频监控建设联网应用项目一期建设及乡镇综治中心视联网建设项目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1" w:name="_Toc10766"/>
      <w:r>
        <w:rPr>
          <w:rFonts w:hint="eastAsia" w:ascii="黑体" w:hAnsi="黑体" w:eastAsia="黑体" w:cs="黑体"/>
          <w:b/>
          <w:bCs/>
          <w:sz w:val="32"/>
          <w:szCs w:val="32"/>
          <w:lang w:val="en-US" w:eastAsia="zh-CN"/>
        </w:rPr>
        <w:t>二、绩效评价工作开展情况</w:t>
      </w:r>
      <w:bookmarkEnd w:id="21"/>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2" w:name="_Toc28230"/>
      <w:r>
        <w:rPr>
          <w:rFonts w:hint="eastAsia" w:ascii="楷体" w:hAnsi="楷体" w:eastAsia="楷体" w:cs="楷体"/>
          <w:b/>
          <w:bCs/>
          <w:sz w:val="32"/>
          <w:szCs w:val="32"/>
          <w:lang w:val="en-US" w:eastAsia="zh-CN"/>
        </w:rPr>
        <w:t>（一）绩效评价指标权重和绩效评价指标体系</w:t>
      </w:r>
      <w:bookmarkEnd w:id="22"/>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2333"/>
        <w:gridCol w:w="2941"/>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123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2333"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cstheme="minorEastAsia"/>
                <w:b/>
                <w:bCs/>
                <w:kern w:val="0"/>
                <w:sz w:val="28"/>
                <w:szCs w:val="28"/>
                <w:lang w:eastAsia="zh-CN"/>
              </w:rPr>
              <w:t>一级指标</w:t>
            </w:r>
          </w:p>
        </w:tc>
        <w:tc>
          <w:tcPr>
            <w:tcW w:w="2941"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cstheme="minorEastAsia"/>
                <w:b/>
                <w:bCs/>
                <w:kern w:val="0"/>
                <w:sz w:val="28"/>
                <w:szCs w:val="28"/>
                <w:lang w:eastAsia="zh-CN"/>
              </w:rPr>
              <w:t>二级指标</w:t>
            </w:r>
          </w:p>
        </w:tc>
        <w:tc>
          <w:tcPr>
            <w:tcW w:w="1726"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23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72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23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726"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3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726"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23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72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23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726"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3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726"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exact"/>
          <w:jc w:val="center"/>
        </w:trPr>
        <w:tc>
          <w:tcPr>
            <w:tcW w:w="3571" w:type="dxa"/>
            <w:gridSpan w:val="2"/>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cstheme="minorEastAsia"/>
                <w:kern w:val="0"/>
                <w:sz w:val="28"/>
                <w:szCs w:val="28"/>
                <w:lang w:eastAsia="zh-CN"/>
              </w:rPr>
              <w:t>合计</w:t>
            </w:r>
          </w:p>
        </w:tc>
        <w:tc>
          <w:tcPr>
            <w:tcW w:w="4667"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bookmarkStart w:id="23" w:name="_Toc12872"/>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8"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7"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1"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outlineLvl w:val="1"/>
        <w:rPr>
          <w:rFonts w:hint="eastAsia" w:ascii="楷体" w:hAnsi="楷体" w:eastAsia="楷体" w:cs="楷体"/>
          <w:b/>
          <w:bCs w:val="0"/>
          <w:kern w:val="0"/>
          <w:sz w:val="32"/>
          <w:szCs w:val="32"/>
          <w:lang w:val="en-US" w:eastAsia="zh-CN" w:bidi="ar-SA"/>
        </w:rPr>
      </w:pPr>
    </w:p>
    <w:p>
      <w:pPr>
        <w:ind w:firstLine="643" w:firstLineChars="200"/>
        <w:outlineLvl w:val="1"/>
        <w:rPr>
          <w:rFonts w:hint="eastAsia" w:ascii="楷体" w:hAnsi="楷体" w:eastAsia="楷体" w:cs="楷体"/>
          <w:b/>
          <w:bCs w:val="0"/>
          <w:kern w:val="0"/>
          <w:sz w:val="32"/>
          <w:szCs w:val="32"/>
          <w:lang w:val="en-US" w:eastAsia="zh-CN" w:bidi="ar-SA"/>
        </w:rPr>
      </w:pPr>
      <w:bookmarkStart w:id="24" w:name="_Toc9424"/>
      <w:r>
        <w:rPr>
          <w:rFonts w:hint="eastAsia" w:ascii="楷体" w:hAnsi="楷体" w:eastAsia="楷体" w:cs="楷体"/>
          <w:b/>
          <w:bCs w:val="0"/>
          <w:kern w:val="0"/>
          <w:sz w:val="32"/>
          <w:szCs w:val="32"/>
          <w:lang w:val="en-US" w:eastAsia="zh-CN" w:bidi="ar-SA"/>
        </w:rPr>
        <w:t>（二）绩效评价目的和依据</w:t>
      </w:r>
      <w:bookmarkEnd w:id="23"/>
      <w:bookmarkEnd w:id="2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eastAsia" w:asciiTheme="minorEastAsia" w:hAnsiTheme="minorEastAsia" w:cstheme="minorEastAsia"/>
          <w:b/>
          <w:bCs/>
          <w:spacing w:val="15"/>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w:t>
            </w:r>
            <w:r>
              <w:rPr>
                <w:rFonts w:hint="eastAsia" w:ascii="宋体" w:hAnsi="宋体" w:eastAsia="宋体" w:cs="宋体"/>
                <w:kern w:val="0"/>
                <w:sz w:val="24"/>
                <w:szCs w:val="24"/>
                <w:lang w:val="en-US" w:eastAsia="zh-CN"/>
              </w:rPr>
              <w:t>47</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地方政府一般债券预算管理办法</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5" w:name="_Toc22990"/>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6" w:name="_Toc18957"/>
      <w:r>
        <w:rPr>
          <w:rFonts w:hint="eastAsia" w:ascii="楷体" w:hAnsi="楷体" w:eastAsia="楷体" w:cs="楷体"/>
          <w:b/>
          <w:bCs w:val="0"/>
          <w:sz w:val="32"/>
          <w:szCs w:val="32"/>
          <w:lang w:val="en-US" w:eastAsia="zh-CN"/>
        </w:rPr>
        <w:t>（三）绩效评价工作内容和范围</w:t>
      </w:r>
      <w:bookmarkEnd w:id="25"/>
      <w:bookmarkEnd w:id="26"/>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中共围场满族蒙古族自治县委政法委员会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评价范围包括2019年度围场县地方政府新增一般债劵资金的预算投入、支出情况。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7" w:name="_Toc30379"/>
      <w:bookmarkStart w:id="28" w:name="_Toc1855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7"/>
      <w:bookmarkEnd w:id="28"/>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9" w:name="_Toc8164"/>
      <w:bookmarkStart w:id="30" w:name="_Toc12042"/>
      <w:bookmarkStart w:id="31" w:name="_Toc26825"/>
      <w:bookmarkStart w:id="32"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3" w:name="_Toc18780"/>
      <w:bookmarkStart w:id="34" w:name="_Toc13042"/>
      <w:bookmarkStart w:id="35" w:name="_Toc22556"/>
      <w:bookmarkStart w:id="36" w:name="_Toc2087"/>
      <w:bookmarkStart w:id="37" w:name="_Toc31807"/>
      <w:bookmarkStart w:id="38" w:name="_Toc17563"/>
      <w:bookmarkStart w:id="39" w:name="_Toc17240"/>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我方对</w:t>
      </w:r>
      <w:r>
        <w:rPr>
          <w:rFonts w:hint="eastAsia" w:ascii="宋体" w:hAnsi="宋体" w:eastAsia="宋体" w:cs="宋体"/>
          <w:sz w:val="28"/>
          <w:szCs w:val="28"/>
          <w:highlight w:val="none"/>
          <w:lang w:val="en-US" w:eastAsia="zh-CN"/>
        </w:rPr>
        <w:t>围场县</w:t>
      </w:r>
      <w:r>
        <w:rPr>
          <w:rFonts w:hint="eastAsia" w:ascii="宋体" w:hAnsi="宋体" w:eastAsia="宋体" w:cs="宋体"/>
          <w:i w:val="0"/>
          <w:caps w:val="0"/>
          <w:color w:val="222222"/>
          <w:spacing w:val="0"/>
          <w:sz w:val="28"/>
          <w:szCs w:val="28"/>
          <w:shd w:val="clear" w:fill="FFFFFF"/>
          <w:lang w:val="en-US" w:eastAsia="zh-CN"/>
        </w:rPr>
        <w:t>公共安全视频监控建设联网应用项目一期建设及乡镇综治中心视联网建设项目</w:t>
      </w:r>
      <w:r>
        <w:rPr>
          <w:rFonts w:hint="eastAsia" w:ascii="宋体" w:hAnsi="宋体" w:eastAsia="宋体" w:cs="宋体"/>
          <w:sz w:val="28"/>
          <w:szCs w:val="28"/>
          <w:lang w:eastAsia="zh-CN"/>
        </w:rPr>
        <w:t>做以下工作：</w:t>
      </w:r>
      <w:bookmarkEnd w:id="33"/>
      <w:bookmarkEnd w:id="34"/>
      <w:bookmarkEnd w:id="35"/>
      <w:bookmarkEnd w:id="36"/>
      <w:bookmarkEnd w:id="37"/>
      <w:bookmarkEnd w:id="38"/>
      <w:bookmarkEnd w:id="39"/>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0" w:name="_Toc17036"/>
      <w:bookmarkStart w:id="41" w:name="_Toc19058"/>
      <w:bookmarkStart w:id="42" w:name="_Toc24311"/>
      <w:bookmarkStart w:id="43" w:name="_Toc15494"/>
      <w:bookmarkStart w:id="44" w:name="_Toc24972"/>
      <w:bookmarkStart w:id="45" w:name="_Toc24529"/>
      <w:bookmarkStart w:id="46" w:name="_Toc14572"/>
      <w:bookmarkStart w:id="47" w:name="_Toc14297"/>
      <w:bookmarkStart w:id="48" w:name="_Toc1487"/>
      <w:bookmarkStart w:id="49" w:name="_Toc27413"/>
      <w:bookmarkStart w:id="50" w:name="_Toc5768"/>
      <w:r>
        <w:rPr>
          <w:rFonts w:hint="eastAsia" w:ascii="宋体" w:hAnsi="宋体" w:eastAsia="宋体" w:cs="宋体"/>
          <w:b/>
          <w:bCs/>
          <w:kern w:val="0"/>
          <w:sz w:val="28"/>
          <w:szCs w:val="28"/>
          <w:lang w:val="en-US" w:eastAsia="zh-CN" w:bidi="ar-SA"/>
        </w:rPr>
        <w:t>1、明确项目团队的职责与分工</w:t>
      </w:r>
      <w:bookmarkEnd w:id="40"/>
      <w:bookmarkEnd w:id="41"/>
      <w:bookmarkEnd w:id="42"/>
      <w:bookmarkEnd w:id="43"/>
      <w:bookmarkEnd w:id="44"/>
      <w:bookmarkEnd w:id="45"/>
      <w:bookmarkEnd w:id="46"/>
      <w:bookmarkEnd w:id="47"/>
      <w:bookmarkEnd w:id="48"/>
      <w:bookmarkEnd w:id="49"/>
      <w:bookmarkEnd w:id="50"/>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1" w:name="_Toc29931"/>
      <w:bookmarkStart w:id="52" w:name="_Toc25494"/>
      <w:bookmarkStart w:id="53" w:name="_Toc6642"/>
      <w:bookmarkStart w:id="54" w:name="_Toc28394"/>
      <w:bookmarkStart w:id="55" w:name="_Toc27143"/>
      <w:bookmarkStart w:id="56" w:name="_Toc31637"/>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7" w:name="_Toc29716"/>
      <w:r>
        <w:rPr>
          <w:rFonts w:hint="eastAsia" w:ascii="宋体" w:hAnsi="宋体" w:eastAsia="宋体" w:cs="宋体"/>
          <w:b/>
          <w:bCs/>
          <w:kern w:val="0"/>
          <w:sz w:val="28"/>
          <w:szCs w:val="28"/>
          <w:lang w:val="en-US" w:eastAsia="zh-CN" w:bidi="ar-SA"/>
        </w:rPr>
        <w:t>2、评价工作各相关当事方的职责</w:t>
      </w:r>
      <w:bookmarkEnd w:id="51"/>
      <w:bookmarkEnd w:id="52"/>
      <w:bookmarkEnd w:id="53"/>
      <w:bookmarkEnd w:id="54"/>
      <w:bookmarkEnd w:id="55"/>
      <w:bookmarkEnd w:id="56"/>
      <w:bookmarkEnd w:id="5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8" w:name="_Toc27067"/>
      <w:bookmarkStart w:id="59" w:name="_Toc17781"/>
      <w:bookmarkStart w:id="60" w:name="_Toc332"/>
      <w:bookmarkStart w:id="61" w:name="_Toc24530"/>
      <w:bookmarkStart w:id="62" w:name="_Toc5900"/>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8"/>
      <w:bookmarkEnd w:id="59"/>
      <w:bookmarkEnd w:id="60"/>
      <w:bookmarkEnd w:id="61"/>
      <w:bookmarkEnd w:id="6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3" w:name="_Toc30842"/>
      <w:r>
        <w:rPr>
          <w:rFonts w:hint="eastAsia" w:ascii="黑体" w:hAnsi="黑体" w:eastAsia="黑体" w:cs="黑体"/>
          <w:b w:val="0"/>
          <w:bCs w:val="0"/>
          <w:sz w:val="32"/>
          <w:szCs w:val="32"/>
          <w:lang w:eastAsia="zh-CN"/>
        </w:rPr>
        <w:t>三、</w:t>
      </w:r>
      <w:bookmarkEnd w:id="32"/>
      <w:r>
        <w:rPr>
          <w:rFonts w:hint="eastAsia" w:ascii="黑体" w:hAnsi="黑体" w:eastAsia="黑体" w:cs="黑体"/>
          <w:kern w:val="2"/>
          <w:sz w:val="32"/>
          <w:szCs w:val="32"/>
          <w:highlight w:val="none"/>
          <w:lang w:val="en-US" w:eastAsia="zh-CN" w:bidi="ar-SA"/>
        </w:rPr>
        <w:t>项目实施及资金使用情况</w:t>
      </w:r>
      <w:bookmarkEnd w:id="63"/>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4" w:name="_Toc6786"/>
      <w:bookmarkStart w:id="65" w:name="_Toc15771"/>
      <w:r>
        <w:rPr>
          <w:rFonts w:hint="eastAsia" w:ascii="楷体" w:hAnsi="楷体" w:eastAsia="楷体" w:cs="楷体"/>
          <w:b/>
          <w:bCs/>
          <w:kern w:val="2"/>
          <w:sz w:val="32"/>
          <w:szCs w:val="32"/>
          <w:highlight w:val="none"/>
          <w:lang w:val="en-US" w:eastAsia="zh-CN" w:bidi="ar-SA"/>
        </w:rPr>
        <w:t>（一）项目实施情况</w:t>
      </w:r>
      <w:bookmarkEnd w:id="64"/>
      <w:bookmarkEnd w:id="65"/>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11月1日，中共围场满族蒙古族自治县委政法委员会向县委做了关于推进雪亮工程建设情况的报告。原有设备约30%已经老化甚至损坏或存在显示效果问题，屏幕分辨率较低，如果勉强使用，当前修复和后期维护都存在相当大的困难。按照中央综治办、河北省综治办相关要求，无法实现与省、市互通。要实现综治中心的平台功能，需要重新建设以下内容：1.综治中心平台建设(2)综治中心大屏显示系统(3)中心扩声系统(4)综治中心机房建设(5)综治中心网络(6)三十七个乡镇综治中心视联网建设。</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2018年11月5日，县委作出回复：此项目由县政法委、县财政落实，此项目为承德市重点考核内容，要加快推进，简化程序，确保验收。</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2018年11月27日，县委领导池大勇同志做了批复：请财政按照刘书记批示加快落实，并依据政策规定办理相关手续。</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2019年7月22日，围场县财政局对县委政法委下达了关于2019年预算追加指标的通知。同意下达2019年新增一般债券资金419.9万元，</w:t>
      </w:r>
      <w:r>
        <w:rPr>
          <w:rFonts w:hint="eastAsia" w:ascii="宋体" w:hAnsi="宋体" w:eastAsia="宋体" w:cs="宋体"/>
          <w:kern w:val="2"/>
          <w:sz w:val="28"/>
          <w:szCs w:val="28"/>
          <w:lang w:val="en-US" w:eastAsia="zh-CN" w:bidi="ar-SA"/>
        </w:rPr>
        <w:t>专项用于公共安全视频监控建设项目的支出。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2月27日，经谈判小组综合评审，并报经项目采购领导小组确认,承德阳光高科科贸有限公司以419.90万元中标围场县公共安全视频监控建设联网应用项目一期建设及乡镇综治中心视网建设项目，并签订了政府集中采购合同。资金来源全部使用政府新增一般债券资金。</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项目于2019年7月11日组织验收，验收报告显示交货数量符合要求；产品设备技术参数、型号规格、产地符合要求；实现的功能、指标、效果或约定的验收标准相符；整体建设符合招标文件和商务合同约定内容，基本满足用户工作需要，验收合格</w:t>
      </w:r>
      <w:r>
        <w:rPr>
          <w:rFonts w:hint="eastAsia" w:ascii="宋体" w:hAnsi="宋体" w:eastAsia="宋体" w:cs="宋体"/>
          <w:kern w:val="2"/>
          <w:sz w:val="28"/>
          <w:szCs w:val="28"/>
          <w:lang w:val="en-US" w:eastAsia="zh-CN" w:bidi="ar-SA"/>
        </w:rPr>
        <w:t>。</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6" w:name="_Toc14809"/>
      <w:bookmarkStart w:id="67" w:name="_Toc6314"/>
      <w:r>
        <w:rPr>
          <w:rFonts w:hint="eastAsia" w:ascii="楷体" w:hAnsi="楷体" w:eastAsia="楷体" w:cs="楷体"/>
          <w:b/>
          <w:bCs/>
          <w:kern w:val="2"/>
          <w:sz w:val="32"/>
          <w:szCs w:val="32"/>
          <w:highlight w:val="none"/>
          <w:lang w:val="en-US" w:eastAsia="zh-CN" w:bidi="ar-SA"/>
        </w:rPr>
        <w:t>（二）资金使用情况</w:t>
      </w:r>
      <w:bookmarkEnd w:id="66"/>
      <w:bookmarkEnd w:id="67"/>
    </w:p>
    <w:p>
      <w:pPr>
        <w:ind w:firstLine="560" w:firstLineChars="200"/>
        <w:rPr>
          <w:rFonts w:hint="eastAsia" w:ascii="楷体" w:hAnsi="楷体" w:eastAsia="楷体" w:cs="楷体"/>
          <w:b/>
          <w:bCs/>
          <w:kern w:val="2"/>
          <w:sz w:val="32"/>
          <w:szCs w:val="32"/>
          <w:highlight w:val="none"/>
          <w:lang w:val="en-US" w:eastAsia="zh-CN" w:bidi="ar-SA"/>
        </w:rPr>
      </w:pPr>
      <w:bookmarkStart w:id="68" w:name="_Toc15054"/>
      <w:bookmarkStart w:id="69" w:name="_Toc13622"/>
      <w:r>
        <w:rPr>
          <w:rFonts w:hint="eastAsia" w:ascii="宋体" w:hAnsi="宋体" w:eastAsia="宋体" w:cs="宋体"/>
          <w:kern w:val="2"/>
          <w:sz w:val="28"/>
          <w:szCs w:val="28"/>
          <w:highlight w:val="none"/>
          <w:lang w:val="en-US" w:eastAsia="zh-CN" w:bidi="ar-SA"/>
        </w:rPr>
        <w:t>2019年7月31日中共围场满族蒙古族自治县委政法委员会收到财政拨款资金419.9万元，并于2019年8月8日支付供应商承德阳光高科科贸有限公司356.915万元，2020年10月27日支付供应商承德阳光高科科贸有限公司62.985万元。合计支付419.9万元。建设单位记账凭证和发票清晰，符合财务制度要求，无抽逃、挪用现象</w:t>
      </w:r>
      <w:r>
        <w:rPr>
          <w:rFonts w:hint="eastAsia" w:ascii="宋体" w:hAnsi="宋体" w:eastAsia="宋体" w:cs="宋体"/>
          <w:kern w:val="2"/>
          <w:sz w:val="28"/>
          <w:szCs w:val="28"/>
          <w:lang w:val="en-US" w:eastAsia="zh-CN" w:bidi="ar-SA"/>
        </w:rPr>
        <w:t>。</w:t>
      </w:r>
      <w:bookmarkEnd w:id="68"/>
      <w:bookmarkEnd w:id="69"/>
    </w:p>
    <w:p>
      <w:pPr>
        <w:ind w:firstLine="640" w:firstLineChars="200"/>
        <w:outlineLvl w:val="0"/>
        <w:rPr>
          <w:rFonts w:hint="eastAsia" w:ascii="黑体" w:hAnsi="黑体" w:eastAsia="黑体" w:cs="黑体"/>
          <w:kern w:val="2"/>
          <w:sz w:val="32"/>
          <w:szCs w:val="32"/>
          <w:lang w:val="en-US" w:eastAsia="zh-CN" w:bidi="ar-SA"/>
        </w:rPr>
      </w:pPr>
      <w:bookmarkStart w:id="70" w:name="_Toc5143"/>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7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1" w:name="_Toc16548"/>
      <w:bookmarkStart w:id="72" w:name="_Toc6197"/>
      <w:r>
        <w:rPr>
          <w:rFonts w:hint="eastAsia" w:ascii="楷体" w:hAnsi="楷体" w:eastAsia="楷体" w:cs="楷体"/>
          <w:b/>
          <w:bCs w:val="0"/>
          <w:kern w:val="0"/>
          <w:sz w:val="32"/>
          <w:szCs w:val="32"/>
          <w:lang w:val="en-US" w:eastAsia="zh-CN"/>
        </w:rPr>
        <w:t>（一）绩效评价分析</w:t>
      </w:r>
      <w:bookmarkEnd w:id="71"/>
      <w:bookmarkEnd w:id="72"/>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2018年11月1日，中共围场满族蒙古族自治县委政法委员会向县委做了关于推进雪亮工程建设情况的报告，2018年11月5日，县委作出回复，要加快推进，简化程序，确保验收。</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2018年11月27日，县委领导池大勇同志做了批复：请财政按照刘书记批示加快落实，并依据政策规定办理相关手续。依据此批复，我方认为本项目合规、设立过程符合政策规定。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原有设备大部分已经老化甚至损坏，无法实现与省、市互通，无法正常运行。改造后综治中心的设备可以和上级综治中心互联，达到雪亮护城河工程聚合资源、避免重复建设、本地实时监控、时跨地区随时查看的目的。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建设单位严格按照计划实施，依据绩效目标设定的绩效指标清晰、合理、细化、可衡量。通过对</w:t>
      </w:r>
      <w:r>
        <w:rPr>
          <w:rFonts w:hint="eastAsia" w:ascii="宋体" w:hAnsi="宋体" w:eastAsia="宋体" w:cs="宋体"/>
          <w:sz w:val="28"/>
          <w:szCs w:val="28"/>
          <w:highlight w:val="none"/>
          <w:lang w:val="en-US" w:eastAsia="zh-CN"/>
        </w:rPr>
        <w:t>围场县</w:t>
      </w:r>
      <w:r>
        <w:rPr>
          <w:rFonts w:hint="eastAsia" w:ascii="宋体" w:hAnsi="宋体" w:eastAsia="宋体" w:cs="宋体"/>
          <w:i w:val="0"/>
          <w:caps w:val="0"/>
          <w:color w:val="222222"/>
          <w:spacing w:val="0"/>
          <w:sz w:val="28"/>
          <w:szCs w:val="28"/>
          <w:shd w:val="clear" w:fill="FFFFFF"/>
          <w:lang w:val="en-US" w:eastAsia="zh-CN"/>
        </w:rPr>
        <w:t>公共安全视频监控建设联网应用项目一期建设及乡镇综治中心视联网建设项目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本项目缺少实施方案。施工合同、竣工验收报告、财务收支凭证等资料齐全。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②项目公开招投标指标标准分值为6分，考评得分6分。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本项目新增债券资金安排的情况均已公示，项目通过正规程序公开招标，本项目没有发现应该招标没有招标的情况。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经我方人员核实，本项目债券资金均未用于经常性支出，全部用于本项目建设，未用于中央明令禁止的项目支出，资金使用合规。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②县级财政国库集中支付情况指标标准分值为6分，考评得分6分。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本项目依据国库集中支付制度要求，按照工程进度在县级财政集中支付，从目前工程款支付情况分析，未出现资金拖欠现象。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本项目债券资金部分未发现资金有挪用、抽逃、延迟支付现象，项目建设资金使用合理，账务处理基本合规。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验收报告单显示本项目已完成的工程投资与计划实施的实际工程总投资基本吻合，完成的工程范围与设计要求相符，主要工程量按照要求全部完成。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本项目完成时间2019年4月20日，能够按照合同约定计划工期完成施工并交付使用，未出现工程滞后现象。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本项目验收时间2019年7月11日</w:t>
      </w:r>
      <w:r>
        <w:rPr>
          <w:rFonts w:hint="eastAsia" w:ascii="宋体" w:hAnsi="宋体" w:eastAsia="宋体" w:cs="宋体"/>
          <w:kern w:val="2"/>
          <w:sz w:val="28"/>
          <w:szCs w:val="28"/>
          <w:lang w:val="en-US" w:eastAsia="zh-CN" w:bidi="ar-SA"/>
        </w:rPr>
        <w:t>，时间略有滞后扣减2分。验收交货数量、设备技术参数、型号规格均符合要求，技术资料、售后服务资料等均已移交。建设单位经查验，项目整体建设符合招标文件和商务合同约定内容，基本满足用户工作需要，验收通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本项目建设完成后</w:t>
      </w:r>
      <w:r>
        <w:rPr>
          <w:rFonts w:hint="eastAsia" w:ascii="宋体" w:hAnsi="宋体" w:eastAsia="宋体" w:cs="宋体"/>
          <w:kern w:val="2"/>
          <w:sz w:val="28"/>
          <w:szCs w:val="28"/>
          <w:lang w:val="en-US" w:eastAsia="zh-CN" w:bidi="ar-SA"/>
        </w:rPr>
        <w:t>，可充分整合政府和社会面的图像资源，实时掌握现场情况，实现可视化指挥调度，提供事后分析证据，为城市反恐、应急、处理突发事件提供有力支撑。</w:t>
      </w:r>
      <w:r>
        <w:rPr>
          <w:rFonts w:hint="eastAsia" w:ascii="宋体" w:hAnsi="宋体" w:eastAsia="宋体" w:cs="宋体"/>
          <w:kern w:val="2"/>
          <w:sz w:val="28"/>
          <w:szCs w:val="28"/>
          <w:highlight w:val="none"/>
          <w:lang w:val="en-US" w:eastAsia="zh-CN" w:bidi="ar-SA"/>
        </w:rPr>
        <w:t>对社会的稳定发展起到了一定的作用</w:t>
      </w:r>
      <w:r>
        <w:rPr>
          <w:rFonts w:hint="default" w:ascii="宋体" w:hAnsi="宋体" w:eastAsia="宋体" w:cs="宋体"/>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社会效益显著。</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的建设提高了社会治安防控体系建设法治化、社会化、信息化水平，公共安全视频监控建设联网应用，是新形势下维护国家安全和社会稳定、预防和打击暴力恐怖犯罪的重要手段，是动态化、信息化条件下完善社会治安防控体系、深化平安中国建设的重要基础性工程，对于提升城乡管理水平、创新社会治理体制具有重要意义。对目前的社会环境改善尤为重要。</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由于本项目债券资金投入的为社会公益性项目，不产生直接经济效益。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项目建设带来的</w:t>
      </w:r>
      <w:r>
        <w:rPr>
          <w:rFonts w:hint="eastAsia" w:ascii="宋体" w:hAnsi="宋体" w:eastAsia="宋体" w:cs="宋体"/>
          <w:sz w:val="28"/>
          <w:szCs w:val="28"/>
          <w:highlight w:val="none"/>
          <w:lang w:val="en-US" w:eastAsia="zh-CN"/>
        </w:rPr>
        <w:t>间接经济效益和社会效益非常明显，</w:t>
      </w:r>
      <w:r>
        <w:rPr>
          <w:rFonts w:hint="eastAsia" w:ascii="宋体" w:hAnsi="宋体" w:eastAsia="宋体" w:cs="宋体"/>
          <w:kern w:val="2"/>
          <w:sz w:val="28"/>
          <w:szCs w:val="28"/>
          <w:highlight w:val="none"/>
          <w:lang w:val="en-US" w:eastAsia="zh-CN" w:bidi="ar-SA"/>
        </w:rPr>
        <w:t>改造后综治中心的设备可以和上级综治中心互联，达到雪亮护城河工程聚合资源、避免重复建设、本地实时监控、时跨地区随时查看的目的。</w:t>
      </w:r>
      <w:r>
        <w:rPr>
          <w:rFonts w:hint="eastAsia" w:ascii="宋体" w:hAnsi="宋体" w:eastAsia="宋体" w:cs="宋体"/>
          <w:sz w:val="28"/>
          <w:szCs w:val="28"/>
          <w:highlight w:val="none"/>
          <w:lang w:val="en-US" w:eastAsia="zh-CN"/>
        </w:rPr>
        <w:t>提高了信息处理量，破案率明显提升，维护了社会稳定，并可持续发展，因此本项考核得分为7分。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3" w:name="_Toc14098"/>
      <w:bookmarkStart w:id="74" w:name="_Toc5150"/>
      <w:r>
        <w:rPr>
          <w:rFonts w:hint="eastAsia" w:ascii="楷体" w:hAnsi="楷体" w:eastAsia="楷体" w:cs="楷体"/>
          <w:b/>
          <w:bCs w:val="0"/>
          <w:kern w:val="0"/>
          <w:sz w:val="32"/>
          <w:szCs w:val="32"/>
          <w:lang w:eastAsia="zh-CN"/>
        </w:rPr>
        <w:t>（二）绩效评价结论</w:t>
      </w:r>
      <w:bookmarkEnd w:id="73"/>
      <w:bookmarkEnd w:id="7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sz w:val="28"/>
          <w:szCs w:val="28"/>
          <w:highlight w:val="none"/>
          <w:lang w:val="en-US" w:eastAsia="zh-CN"/>
        </w:rPr>
        <w:t>围场县</w:t>
      </w:r>
      <w:r>
        <w:rPr>
          <w:rFonts w:hint="eastAsia" w:ascii="宋体" w:hAnsi="宋体" w:eastAsia="宋体" w:cs="宋体"/>
          <w:i w:val="0"/>
          <w:caps w:val="0"/>
          <w:color w:val="222222"/>
          <w:spacing w:val="0"/>
          <w:sz w:val="28"/>
          <w:szCs w:val="28"/>
          <w:shd w:val="clear" w:fill="FFFFFF"/>
          <w:lang w:val="en-US" w:eastAsia="zh-CN"/>
        </w:rPr>
        <w:t>公共安全视频监控建设联网应用项目一期建设及乡镇综治中心视联网建设项目</w:t>
      </w:r>
      <w:r>
        <w:rPr>
          <w:rFonts w:hint="eastAsia" w:ascii="宋体" w:hAnsi="宋体" w:eastAsia="宋体" w:cs="宋体"/>
          <w:kern w:val="2"/>
          <w:sz w:val="28"/>
          <w:szCs w:val="28"/>
          <w:highlight w:val="none"/>
          <w:lang w:val="en-US" w:eastAsia="zh-CN" w:bidi="ar-SA"/>
        </w:rPr>
        <w:t>绩效考评结果，其中：投入指标考评得分10分、管理指标考评得分29分、产出指标考评得分30分、效益指标考评得分28分。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通过对各项指标的具体分析评价，汇总得出本次绩效评价考核综合得分为97分，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通过项目建设，对社会效益影响是长期的，促进了围场县的经济繁荣和社会稳定。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rPr>
      </w:pPr>
      <w:r>
        <w:rPr>
          <w:rFonts w:hint="eastAsia" w:ascii="宋体" w:hAnsi="宋体" w:eastAsia="宋体" w:cs="宋体"/>
          <w:sz w:val="28"/>
          <w:szCs w:val="28"/>
          <w:lang w:val="en-US" w:eastAsia="zh-CN"/>
        </w:rPr>
        <w:t>评价结果表明，</w:t>
      </w:r>
      <w:r>
        <w:rPr>
          <w:rFonts w:hint="eastAsia" w:ascii="宋体" w:hAnsi="宋体" w:eastAsia="宋体" w:cs="宋体"/>
          <w:sz w:val="28"/>
          <w:szCs w:val="28"/>
          <w:highlight w:val="none"/>
          <w:lang w:val="en-US" w:eastAsia="zh-CN"/>
        </w:rPr>
        <w:t>围场县</w:t>
      </w:r>
      <w:r>
        <w:rPr>
          <w:rFonts w:hint="eastAsia" w:ascii="宋体" w:hAnsi="宋体" w:eastAsia="宋体" w:cs="宋体"/>
          <w:i w:val="0"/>
          <w:caps w:val="0"/>
          <w:color w:val="222222"/>
          <w:spacing w:val="0"/>
          <w:sz w:val="28"/>
          <w:szCs w:val="28"/>
          <w:shd w:val="clear" w:fill="FFFFFF"/>
          <w:lang w:val="en-US" w:eastAsia="zh-CN"/>
        </w:rPr>
        <w:t>公共安全视频监控建设联网应用项目一期建设及乡镇综治中心视联网建设项目</w:t>
      </w:r>
      <w:r>
        <w:rPr>
          <w:rFonts w:hint="eastAsia" w:ascii="宋体" w:hAnsi="宋体" w:eastAsia="宋体" w:cs="宋体"/>
          <w:sz w:val="28"/>
          <w:szCs w:val="28"/>
          <w:lang w:val="en-US" w:eastAsia="zh-CN"/>
        </w:rPr>
        <w:t>组织和管理较好地执行了相关规定要求，组织管理有序，对项目资金的监督管理总体有效，资金使用合理合规，实施的社会效益和持续性明显。为社会的稳定作出了贡献</w:t>
      </w:r>
      <w:r>
        <w:rPr>
          <w:rFonts w:hint="eastAsia" w:ascii="宋体" w:hAnsi="宋体" w:eastAsia="宋体" w:cs="宋体"/>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5" w:name="_Toc32395"/>
      <w:bookmarkStart w:id="76" w:name="_Toc1350"/>
      <w:r>
        <w:rPr>
          <w:rFonts w:hint="eastAsia" w:ascii="黑体" w:hAnsi="黑体" w:eastAsia="黑体" w:cs="黑体"/>
          <w:b w:val="0"/>
          <w:bCs/>
          <w:kern w:val="0"/>
          <w:sz w:val="32"/>
          <w:szCs w:val="32"/>
          <w:highlight w:val="none"/>
          <w:lang w:eastAsia="zh-CN"/>
        </w:rPr>
        <w:t>五、</w:t>
      </w:r>
      <w:bookmarkEnd w:id="75"/>
      <w:r>
        <w:rPr>
          <w:rFonts w:hint="eastAsia" w:ascii="黑体" w:hAnsi="黑体" w:eastAsia="黑体" w:cs="黑体"/>
          <w:b w:val="0"/>
          <w:bCs/>
          <w:kern w:val="0"/>
          <w:sz w:val="32"/>
          <w:szCs w:val="32"/>
          <w:highlight w:val="none"/>
          <w:lang w:eastAsia="zh-CN"/>
        </w:rPr>
        <w:t>意见及建议</w:t>
      </w:r>
      <w:bookmarkEnd w:id="76"/>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加强项目资料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7" w:name="_Toc31396"/>
      <w:bookmarkStart w:id="78" w:name="_Toc5786"/>
      <w:bookmarkStart w:id="79" w:name="_Toc25821"/>
      <w:bookmarkStart w:id="80" w:name="_Toc7010"/>
      <w:bookmarkStart w:id="81" w:name="_Toc26763"/>
      <w:bookmarkStart w:id="82" w:name="_Toc18959"/>
      <w:r>
        <w:rPr>
          <w:rFonts w:hint="eastAsia" w:ascii="楷体" w:hAnsi="楷体" w:eastAsia="楷体" w:cs="楷体"/>
          <w:b/>
          <w:bCs/>
          <w:sz w:val="32"/>
          <w:szCs w:val="32"/>
          <w:lang w:val="en-US" w:eastAsia="zh-CN"/>
        </w:rPr>
        <w:t>（一）强化绩效理念，深入推进评价工作</w:t>
      </w:r>
      <w:bookmarkEnd w:id="77"/>
      <w:bookmarkEnd w:id="78"/>
      <w:bookmarkEnd w:id="79"/>
      <w:bookmarkEnd w:id="80"/>
      <w:bookmarkEnd w:id="81"/>
      <w:bookmarkEnd w:id="82"/>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3" w:name="_Toc6863"/>
      <w:bookmarkStart w:id="84" w:name="_Toc14241"/>
      <w:bookmarkStart w:id="85" w:name="_Toc10505"/>
      <w:bookmarkStart w:id="86" w:name="_Toc21411"/>
      <w:bookmarkStart w:id="87" w:name="_Toc11860"/>
      <w:bookmarkStart w:id="88" w:name="_Toc7714"/>
      <w:r>
        <w:rPr>
          <w:rFonts w:hint="eastAsia" w:ascii="楷体" w:hAnsi="楷体" w:eastAsia="楷体" w:cs="楷体"/>
          <w:b/>
          <w:bCs/>
          <w:sz w:val="32"/>
          <w:szCs w:val="32"/>
          <w:lang w:val="en-US" w:eastAsia="zh-CN"/>
        </w:rPr>
        <w:t>（二）强化事前准备，切实提升评价质量</w:t>
      </w:r>
      <w:bookmarkEnd w:id="83"/>
      <w:bookmarkEnd w:id="84"/>
      <w:bookmarkEnd w:id="85"/>
      <w:bookmarkEnd w:id="86"/>
      <w:bookmarkEnd w:id="87"/>
      <w:bookmarkEnd w:id="8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9" w:name="_Toc10592"/>
      <w:bookmarkStart w:id="90" w:name="_Toc3001"/>
      <w:bookmarkStart w:id="91" w:name="_Toc21034"/>
      <w:bookmarkStart w:id="92" w:name="_Toc30061"/>
      <w:bookmarkStart w:id="93" w:name="_Toc11787"/>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4" w:name="_Toc14611"/>
      <w:r>
        <w:rPr>
          <w:rFonts w:hint="eastAsia" w:ascii="楷体" w:hAnsi="楷体" w:eastAsia="楷体" w:cs="楷体"/>
          <w:b/>
          <w:bCs/>
          <w:sz w:val="32"/>
          <w:szCs w:val="32"/>
          <w:lang w:val="en-US" w:eastAsia="zh-CN"/>
        </w:rPr>
        <w:t>（三）强化结果应用，不断巩固评价</w:t>
      </w:r>
      <w:bookmarkEnd w:id="89"/>
      <w:bookmarkEnd w:id="90"/>
      <w:bookmarkEnd w:id="91"/>
      <w:bookmarkEnd w:id="92"/>
      <w:bookmarkEnd w:id="93"/>
      <w:r>
        <w:rPr>
          <w:rFonts w:hint="eastAsia" w:ascii="楷体" w:hAnsi="楷体" w:eastAsia="楷体" w:cs="楷体"/>
          <w:b/>
          <w:bCs/>
          <w:sz w:val="32"/>
          <w:szCs w:val="32"/>
          <w:lang w:val="en-US" w:eastAsia="zh-CN"/>
        </w:rPr>
        <w:t>成效</w:t>
      </w:r>
      <w:bookmarkEnd w:id="94"/>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5" w:name="_Toc26485"/>
      <w:r>
        <w:rPr>
          <w:rFonts w:hint="eastAsia" w:ascii="黑体" w:hAnsi="黑体" w:eastAsia="黑体" w:cs="黑体"/>
          <w:b w:val="0"/>
          <w:bCs/>
          <w:kern w:val="0"/>
          <w:sz w:val="32"/>
          <w:szCs w:val="32"/>
          <w:lang w:val="en-US" w:eastAsia="zh-CN"/>
        </w:rPr>
        <w:t>六、附件</w:t>
      </w:r>
      <w:bookmarkEnd w:id="95"/>
    </w:p>
    <w:p>
      <w:pPr>
        <w:pStyle w:val="3"/>
        <w:bidi w:val="0"/>
        <w:rPr>
          <w:rFonts w:hint="eastAsia" w:ascii="楷体" w:hAnsi="楷体" w:eastAsia="楷体" w:cs="楷体"/>
          <w:lang w:val="en-US" w:eastAsia="zh-CN"/>
        </w:rPr>
      </w:pPr>
      <w:bookmarkStart w:id="96" w:name="_Toc20642"/>
      <w:r>
        <w:rPr>
          <w:rFonts w:hint="eastAsia" w:ascii="楷体" w:hAnsi="楷体" w:eastAsia="楷体" w:cs="楷体"/>
          <w:lang w:val="en-US" w:eastAsia="zh-CN"/>
        </w:rPr>
        <w:t>绩效评价指标体系得分表</w:t>
      </w:r>
      <w:bookmarkEnd w:id="96"/>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asciiTheme="minorEastAsia" w:hAnsiTheme="minorEastAsia"/>
          <w:sz w:val="32"/>
          <w:szCs w:val="32"/>
        </w:rPr>
      </w:pPr>
      <w:bookmarkStart w:id="97" w:name="_Toc15162"/>
      <w:bookmarkStart w:id="98" w:name="_Toc8781"/>
      <w:r>
        <w:rPr>
          <w:rFonts w:hint="eastAsia" w:asciiTheme="minorEastAsia" w:hAnsiTheme="minorEastAsia"/>
          <w:sz w:val="32"/>
          <w:szCs w:val="32"/>
        </w:rPr>
        <w:t>承德燕山会计师事务所         中国注册会计师：崔春华</w:t>
      </w:r>
      <w:bookmarkEnd w:id="97"/>
      <w:bookmarkEnd w:id="98"/>
    </w:p>
    <w:p>
      <w:pPr>
        <w:adjustRightInd w:val="0"/>
        <w:snapToGrid w:val="0"/>
        <w:spacing w:line="540" w:lineRule="exact"/>
        <w:ind w:firstLine="640" w:firstLineChars="200"/>
        <w:outlineLvl w:val="0"/>
        <w:rPr>
          <w:rFonts w:asciiTheme="minorEastAsia" w:hAnsiTheme="minorEastAsia"/>
          <w:sz w:val="32"/>
          <w:szCs w:val="32"/>
        </w:rPr>
      </w:pPr>
      <w:bookmarkStart w:id="99" w:name="_Toc14815"/>
      <w:bookmarkStart w:id="100" w:name="_Toc1832"/>
      <w:r>
        <w:rPr>
          <w:rFonts w:hint="eastAsia" w:asciiTheme="minorEastAsia" w:hAnsiTheme="minorEastAsia"/>
          <w:sz w:val="32"/>
          <w:szCs w:val="32"/>
        </w:rPr>
        <w:t>有限责任公司</w:t>
      </w:r>
      <w:bookmarkEnd w:id="99"/>
      <w:bookmarkEnd w:id="10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101" w:name="_Toc13463"/>
      <w:bookmarkStart w:id="102" w:name="_Toc1716"/>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101"/>
      <w:bookmarkEnd w:id="102"/>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rPr>
          <w:rFonts w:hint="default" w:ascii="楷体" w:hAnsi="楷体" w:eastAsia="楷体" w:cs="楷体"/>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103" w:name="_Toc29542"/>
      <w:r>
        <w:rPr>
          <w:rFonts w:hint="eastAsia" w:asciiTheme="minorEastAsia" w:hAnsiTheme="minorEastAsia"/>
          <w:sz w:val="32"/>
          <w:szCs w:val="32"/>
          <w:lang w:val="en-US" w:eastAsia="zh-CN"/>
        </w:rPr>
        <w:t xml:space="preserve">                         </w:t>
      </w:r>
      <w:r>
        <w:rPr>
          <w:rFonts w:hint="eastAsia" w:asciiTheme="minorEastAsia" w:hAnsiTheme="minorEastAsia"/>
          <w:sz w:val="32"/>
          <w:szCs w:val="32"/>
        </w:rPr>
        <w:t>二○</w:t>
      </w:r>
      <w:r>
        <w:rPr>
          <w:rFonts w:hint="eastAsia" w:asciiTheme="minorEastAsia" w:hAnsiTheme="minorEastAsia"/>
          <w:sz w:val="32"/>
          <w:szCs w:val="32"/>
          <w:lang w:eastAsia="zh-CN"/>
        </w:rPr>
        <w:t>二</w:t>
      </w:r>
      <w:r>
        <w:rPr>
          <w:rFonts w:hint="eastAsia" w:asciiTheme="minorEastAsia" w:hAnsiTheme="minorEastAsia"/>
          <w:sz w:val="32"/>
          <w:szCs w:val="32"/>
          <w:lang w:val="en-US" w:eastAsia="zh-CN"/>
        </w:rPr>
        <w:t>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二十六</w:t>
      </w:r>
      <w:r>
        <w:rPr>
          <w:rFonts w:hint="eastAsia" w:asciiTheme="minorEastAsia" w:hAnsiTheme="minorEastAsia"/>
          <w:sz w:val="32"/>
          <w:szCs w:val="32"/>
        </w:rPr>
        <w:t>日</w:t>
      </w:r>
      <w:bookmarkEnd w:id="103"/>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eastAsia="zh-CN"/>
        </w:rPr>
        <w:t>公共安全视频监控及综治中心视联网建设项目绩效评价指标体系得分表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项目依法依规招投标得6分，应该招标项目没有招标不得分；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、资金使用合规性（</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、县级财政国库集中支付情况（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及时拨付项目资金得6分，未及时拨付每发现一次扣1分；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、工程完工情况（10分）；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、工期控制情况（10分）；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、完工项目验收情况（10分）；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r>
              <w:rPr>
                <w:rFonts w:hint="eastAsia" w:ascii="宋体" w:hAnsi="宋体" w:eastAsia="宋体" w:cs="宋体"/>
                <w:color w:val="000000"/>
                <w:sz w:val="24"/>
                <w:szCs w:val="24"/>
                <w:lang w:val="en-US" w:eastAsia="zh-CN"/>
              </w:rPr>
              <w:t>项目建设带来的间接经济效益（7分）；</w:t>
            </w:r>
          </w:p>
        </w:tc>
        <w:tc>
          <w:tcPr>
            <w:tcW w:w="1208"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97</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3906ECE"/>
    <w:rsid w:val="03B73450"/>
    <w:rsid w:val="047E3D7B"/>
    <w:rsid w:val="06B3136F"/>
    <w:rsid w:val="09DF3A36"/>
    <w:rsid w:val="0A617961"/>
    <w:rsid w:val="0CF76258"/>
    <w:rsid w:val="0E252CA5"/>
    <w:rsid w:val="0FF14209"/>
    <w:rsid w:val="1007583F"/>
    <w:rsid w:val="105259B6"/>
    <w:rsid w:val="105E04DB"/>
    <w:rsid w:val="11CA6AB4"/>
    <w:rsid w:val="13426D82"/>
    <w:rsid w:val="13440023"/>
    <w:rsid w:val="134C1C6E"/>
    <w:rsid w:val="13D04FA7"/>
    <w:rsid w:val="15406BE0"/>
    <w:rsid w:val="1671287C"/>
    <w:rsid w:val="167B16E8"/>
    <w:rsid w:val="178D6B51"/>
    <w:rsid w:val="179E01C8"/>
    <w:rsid w:val="18596D27"/>
    <w:rsid w:val="18B14196"/>
    <w:rsid w:val="19B12636"/>
    <w:rsid w:val="1B4C0C87"/>
    <w:rsid w:val="1C0818FD"/>
    <w:rsid w:val="1DCB30AC"/>
    <w:rsid w:val="1E3912B7"/>
    <w:rsid w:val="1F3109C5"/>
    <w:rsid w:val="21C358CA"/>
    <w:rsid w:val="23265249"/>
    <w:rsid w:val="23962522"/>
    <w:rsid w:val="23EF5E50"/>
    <w:rsid w:val="27DD72F2"/>
    <w:rsid w:val="284D6241"/>
    <w:rsid w:val="299A0DB6"/>
    <w:rsid w:val="2A2E1F00"/>
    <w:rsid w:val="2AB10930"/>
    <w:rsid w:val="2B284D4B"/>
    <w:rsid w:val="2C137100"/>
    <w:rsid w:val="2F950954"/>
    <w:rsid w:val="327F7BC1"/>
    <w:rsid w:val="341D133B"/>
    <w:rsid w:val="39777A58"/>
    <w:rsid w:val="39FB1AB6"/>
    <w:rsid w:val="3A130773"/>
    <w:rsid w:val="3B943A5F"/>
    <w:rsid w:val="3BB5552B"/>
    <w:rsid w:val="3D7533AC"/>
    <w:rsid w:val="3EE432ED"/>
    <w:rsid w:val="40A00F76"/>
    <w:rsid w:val="41764DEF"/>
    <w:rsid w:val="41A52C9E"/>
    <w:rsid w:val="46056165"/>
    <w:rsid w:val="46437D54"/>
    <w:rsid w:val="47C37A03"/>
    <w:rsid w:val="48771478"/>
    <w:rsid w:val="495C6C5B"/>
    <w:rsid w:val="49C5006E"/>
    <w:rsid w:val="4A924A90"/>
    <w:rsid w:val="4BDD4F47"/>
    <w:rsid w:val="4CBE224A"/>
    <w:rsid w:val="4DF57240"/>
    <w:rsid w:val="4E150C2E"/>
    <w:rsid w:val="4F5D274A"/>
    <w:rsid w:val="4F8B1069"/>
    <w:rsid w:val="54252E1D"/>
    <w:rsid w:val="569318BE"/>
    <w:rsid w:val="57147DE6"/>
    <w:rsid w:val="577B4A42"/>
    <w:rsid w:val="58541FD9"/>
    <w:rsid w:val="591A7C75"/>
    <w:rsid w:val="5C180F8A"/>
    <w:rsid w:val="5FD6603C"/>
    <w:rsid w:val="62280465"/>
    <w:rsid w:val="634A07FA"/>
    <w:rsid w:val="684610AA"/>
    <w:rsid w:val="68AE658A"/>
    <w:rsid w:val="6EC845C2"/>
    <w:rsid w:val="710016B0"/>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2021-03-05T07:59:00Z</cp:lastPrinted>
  <dcterms:modified xsi:type="dcterms:W3CDTF">2021-04-25T08:14:39Z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60CF1FAC2AAB417AA0CC00FD96E22BB9</vt:lpwstr>
  </property>
</Properties>
</file>