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围场县御道口治超站硬化和防尘罩棚及监测用房项目</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hint="eastAsia" w:ascii="宋体" w:hAnsi="宋体" w:eastAsia="宋体" w:cs="宋体"/>
          <w:b/>
          <w:bCs/>
          <w:sz w:val="52"/>
          <w:szCs w:val="52"/>
          <w:lang w:eastAsia="zh-CN"/>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报告文号：承燕会所审专字（2020）第284号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8" o:title=""/>
            <o:lock v:ext="edit" aspectratio="t"/>
            <w10:wrap type="square"/>
          </v:shape>
          <o:OLEObject Type="Embed" ProgID="Word.Picture.8" ShapeID="_x0000_s1026" DrawAspect="Content" ObjectID="_1468075725" r:id="rId7">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57" w:firstLineChars="1850"/>
        <w:rPr>
          <w:rFonts w:ascii="仿宋" w:hAnsi="仿宋" w:eastAsia="仿宋" w:cs="仿宋_GB2312"/>
          <w:b/>
          <w:bCs/>
          <w:sz w:val="36"/>
          <w:szCs w:val="36"/>
        </w:rPr>
      </w:pPr>
      <w:r>
        <w:rPr>
          <w:rFonts w:hint="eastAsia" w:ascii="仿宋" w:hAnsi="仿宋" w:eastAsia="仿宋"/>
          <w:b/>
          <w:sz w:val="24"/>
        </w:rPr>
        <w:t>承燕会所审专字</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（2020）第284号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rPr>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"_Toc19677"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_Toc19677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"_Toc23508"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_Toc23508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"_Toc18268"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_Toc18268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"_Toc2956"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_Toc2956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"_Toc18880"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_Toc18880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"_Toc10476"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_Toc10476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"_Toc14076"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_Toc14076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"_Toc24385"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_Toc24385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"_Toc12161"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_Toc12161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"_Toc25154"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_Toc25154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"_Toc8862"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_Toc8862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"_Toc15261"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_Toc15261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"_Toc9519"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_Toc9519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"_Toc10107"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_Toc10107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"_Toc3458"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_Toc3458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"_Toc22235"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_Toc22235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"_Toc497"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_Toc497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"_Toc16124"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_Toc16124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"_Toc4582"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_Toc4582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"_Toc27706"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_Toc27706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"_Toc20604"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_Toc20604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"_Toc17575"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_Toc17575 </w:instrText>
          </w:r>
          <w:r>
            <w:rPr>
              <w:sz w:val="28"/>
              <w:szCs w:val="28"/>
            </w:rPr>
            <w:fldChar w:fldCharType="separate"/>
          </w:r>
          <w:r>
            <w:rPr>
              <w:sz w:val="28"/>
              <w:szCs w:val="28"/>
            </w:rPr>
            <w:t>23</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29565"/>
      <w:bookmarkStart w:id="1" w:name="_Toc13259"/>
      <w:bookmarkStart w:id="2" w:name="_Toc20697"/>
      <w:bookmarkStart w:id="3" w:name="_Toc5589"/>
      <w:bookmarkStart w:id="4" w:name="_Toc32502"/>
      <w:bookmarkStart w:id="5" w:name="_Toc7123"/>
      <w:bookmarkStart w:id="6" w:name="_Toc25062"/>
      <w:r>
        <w:rPr>
          <w:rFonts w:hint="eastAsia" w:ascii="宋体" w:hAnsi="宋体" w:eastAsia="宋体" w:cs="宋体"/>
          <w:b/>
          <w:bCs/>
          <w:sz w:val="36"/>
          <w:szCs w:val="36"/>
        </w:rPr>
        <w:t>围场县御道口治超站硬化和防尘罩棚及监测用房</w:t>
      </w:r>
      <w:bookmarkEnd w:id="0"/>
      <w:bookmarkEnd w:id="1"/>
      <w:bookmarkEnd w:id="2"/>
      <w:bookmarkEnd w:id="3"/>
    </w:p>
    <w:p>
      <w:pPr>
        <w:jc w:val="center"/>
        <w:outlineLvl w:val="0"/>
        <w:rPr>
          <w:rFonts w:ascii="宋体" w:hAnsi="宋体" w:eastAsia="宋体" w:cs="宋体"/>
          <w:b/>
          <w:bCs/>
          <w:sz w:val="36"/>
          <w:szCs w:val="36"/>
        </w:rPr>
      </w:pPr>
      <w:bookmarkStart w:id="7" w:name="_Toc11034"/>
      <w:bookmarkStart w:id="8" w:name="_Toc26503"/>
      <w:bookmarkStart w:id="9" w:name="_Toc3241"/>
      <w:bookmarkStart w:id="10" w:name="_Toc15258"/>
      <w:r>
        <w:rPr>
          <w:rFonts w:hint="eastAsia" w:ascii="宋体" w:hAnsi="宋体" w:eastAsia="宋体" w:cs="宋体"/>
          <w:b/>
          <w:bCs/>
          <w:sz w:val="36"/>
          <w:szCs w:val="36"/>
        </w:rPr>
        <w:t>一般债券资金绩效评价报告</w:t>
      </w:r>
      <w:bookmarkEnd w:id="4"/>
      <w:bookmarkEnd w:id="5"/>
      <w:bookmarkEnd w:id="6"/>
      <w:bookmarkEnd w:id="7"/>
      <w:bookmarkEnd w:id="8"/>
      <w:bookmarkEnd w:id="9"/>
      <w:bookmarkEnd w:id="10"/>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御道口治超站硬化和防尘罩棚及监测用房项目新增一般债券资金使用情况做绩效评价分析。本次绩效评价所涉及到的债券资金使用部分的工程项目资料、财务数据以及其他与本评价项目相关资料的真实性、合法性、完整性、有效性由被评价单位负责并提供给我方。根据2019年度围场县地方政府新增一般债劵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11" w:name="_Toc19677"/>
      <w:bookmarkStart w:id="12" w:name="_Toc8932"/>
      <w:r>
        <w:rPr>
          <w:rFonts w:hint="eastAsia" w:ascii="黑体" w:hAnsi="黑体" w:eastAsia="黑体" w:cs="黑体"/>
          <w:b/>
          <w:sz w:val="32"/>
          <w:szCs w:val="32"/>
        </w:rPr>
        <w:t>一、项目基本情况</w:t>
      </w:r>
      <w:bookmarkEnd w:id="11"/>
      <w:bookmarkEnd w:id="12"/>
    </w:p>
    <w:p>
      <w:pPr>
        <w:spacing w:line="600" w:lineRule="exact"/>
        <w:ind w:firstLine="643" w:firstLineChars="200"/>
        <w:outlineLvl w:val="1"/>
        <w:rPr>
          <w:rFonts w:ascii="楷体" w:hAnsi="楷体" w:eastAsia="楷体" w:cs="楷体"/>
          <w:b/>
          <w:sz w:val="32"/>
          <w:szCs w:val="32"/>
        </w:rPr>
      </w:pPr>
      <w:bookmarkStart w:id="13" w:name="_Toc23508"/>
      <w:bookmarkStart w:id="14" w:name="_Toc1188"/>
      <w:r>
        <w:rPr>
          <w:rFonts w:hint="eastAsia" w:ascii="楷体" w:hAnsi="楷体" w:eastAsia="楷体" w:cs="楷体"/>
          <w:b/>
          <w:sz w:val="32"/>
          <w:szCs w:val="32"/>
        </w:rPr>
        <w:t>（一）项目概况</w:t>
      </w:r>
      <w:bookmarkEnd w:id="13"/>
      <w:bookmarkEnd w:id="14"/>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w:t>
      </w:r>
      <w:r>
        <w:rPr>
          <w:rFonts w:hint="eastAsia" w:ascii="宋体" w:hAnsi="宋体" w:eastAsia="宋体" w:cs="宋体"/>
          <w:sz w:val="28"/>
          <w:szCs w:val="28"/>
          <w:lang w:val="en-US" w:eastAsia="zh-CN"/>
        </w:rPr>
        <w:t>中华人民共和国</w:t>
      </w:r>
      <w:bookmarkStart w:id="107" w:name="_GoBack"/>
      <w:bookmarkEnd w:id="107"/>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其中投入围场县御道口治超站硬化和防尘罩棚及监测用房项目的债券资金共计240.18万元。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围场县御道口治超站硬化和防尘罩棚及监测用房项目</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围场满族蒙古族自治县御道口</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围场满族蒙古族自治县交通运输局治理超限运输办公室</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4.项目概况</w:t>
      </w:r>
    </w:p>
    <w:p>
      <w:pPr>
        <w:pStyle w:val="5"/>
        <w:ind w:left="0" w:firstLine="560" w:firstLineChars="200"/>
        <w:rPr>
          <w:rFonts w:ascii="宋体" w:hAnsi="宋体" w:eastAsia="宋体" w:cs="宋体"/>
        </w:rPr>
      </w:pPr>
      <w:r>
        <w:rPr>
          <w:rFonts w:hint="eastAsia" w:ascii="宋体" w:hAnsi="宋体" w:eastAsia="宋体" w:cs="宋体"/>
        </w:rPr>
        <w:t>围场满族蒙古族自治县御道口治超站场地硬化工程建设地点在围场满族蒙古族自治县御道口。新建混凝土场地硬化面积为7121.09平方米，垫层为300mm厚3:7灰土，面层为300mm厚C40混凝土。</w:t>
      </w:r>
    </w:p>
    <w:p>
      <w:pPr>
        <w:pStyle w:val="5"/>
        <w:ind w:left="0" w:firstLine="560" w:firstLineChars="200"/>
        <w:rPr>
          <w:rFonts w:ascii="宋体" w:hAnsi="宋体" w:eastAsia="宋体" w:cs="宋体"/>
        </w:rPr>
      </w:pPr>
      <w:r>
        <w:rPr>
          <w:rFonts w:hint="eastAsia" w:ascii="宋体" w:hAnsi="宋体" w:eastAsia="宋体" w:cs="宋体"/>
        </w:rPr>
        <w:t>围场满族蒙古族自治县御道口治超站防尘罩棚及监测用房工程建设地点在围场满族蒙古族自治县御道口。新建御道口治超站执勤岗亭建筑面积9平方米、监测用房一建筑面积21平方米、监测用房二建筑面积70平方米及罩棚等工程。</w:t>
      </w:r>
    </w:p>
    <w:p>
      <w:pPr>
        <w:pStyle w:val="5"/>
        <w:ind w:left="0" w:firstLine="560" w:firstLineChars="200"/>
        <w:rPr>
          <w:rFonts w:ascii="宋体" w:hAnsi="宋体" w:eastAsia="宋体" w:cs="宋体"/>
        </w:rPr>
      </w:pPr>
      <w:r>
        <w:rPr>
          <w:rFonts w:hint="eastAsia" w:ascii="宋体" w:hAnsi="宋体" w:eastAsia="宋体" w:cs="宋体"/>
        </w:rPr>
        <w:t>建设单位：围场满族蒙古族自治县交通运输局治理超限运输办公室。</w:t>
      </w:r>
    </w:p>
    <w:p>
      <w:pPr>
        <w:pStyle w:val="5"/>
        <w:ind w:left="0" w:firstLine="560" w:firstLineChars="200"/>
        <w:rPr>
          <w:rFonts w:ascii="宋体" w:hAnsi="宋体" w:eastAsia="宋体" w:cs="宋体"/>
        </w:rPr>
      </w:pPr>
      <w:r>
        <w:rPr>
          <w:rFonts w:hint="eastAsia" w:ascii="宋体" w:hAnsi="宋体" w:eastAsia="宋体" w:cs="宋体"/>
        </w:rPr>
        <w:t>监理单位：围场满族蒙古族自治县信诚工程建设监理有限公司。</w:t>
      </w:r>
    </w:p>
    <w:p>
      <w:pPr>
        <w:ind w:firstLine="560" w:firstLineChars="200"/>
        <w:rPr>
          <w:rFonts w:ascii="宋体" w:hAnsi="宋体" w:eastAsia="宋体" w:cs="宋体"/>
          <w:sz w:val="28"/>
          <w:szCs w:val="28"/>
        </w:rPr>
      </w:pPr>
      <w:r>
        <w:rPr>
          <w:rFonts w:hint="eastAsia" w:ascii="宋体" w:hAnsi="宋体" w:eastAsia="宋体" w:cs="宋体"/>
          <w:sz w:val="28"/>
          <w:szCs w:val="28"/>
        </w:rPr>
        <w:t>施工单位：围场满族蒙古族自治县兴源建筑安装有限公司。</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5.项目总投资及资金来源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此项目根据交通局的资金申请，经请示领导同意后，县财政局下达了2019年新增一般债券安排的项目资金240.18万元，专项用于御道口治超站建设防尘罩棚资金。</w:t>
      </w:r>
    </w:p>
    <w:p>
      <w:pPr>
        <w:spacing w:line="600" w:lineRule="exact"/>
        <w:ind w:firstLine="643" w:firstLineChars="200"/>
        <w:outlineLvl w:val="1"/>
        <w:rPr>
          <w:rFonts w:ascii="楷体" w:hAnsi="楷体" w:eastAsia="楷体" w:cs="楷体"/>
          <w:b/>
          <w:sz w:val="32"/>
          <w:szCs w:val="32"/>
        </w:rPr>
      </w:pPr>
      <w:bookmarkStart w:id="15" w:name="_Toc18268"/>
      <w:r>
        <w:rPr>
          <w:rFonts w:hint="eastAsia" w:ascii="楷体" w:hAnsi="楷体" w:eastAsia="楷体" w:cs="楷体"/>
          <w:b/>
          <w:sz w:val="32"/>
          <w:szCs w:val="32"/>
        </w:rPr>
        <w:t>（二）项目绩效目标</w:t>
      </w:r>
      <w:bookmarkEnd w:id="15"/>
    </w:p>
    <w:p>
      <w:pPr>
        <w:spacing w:line="600" w:lineRule="exact"/>
        <w:ind w:firstLine="560" w:firstLineChars="200"/>
        <w:outlineLvl w:val="1"/>
        <w:rPr>
          <w:rFonts w:ascii="宋体" w:hAnsi="宋体" w:eastAsia="宋体" w:cs="宋体"/>
          <w:sz w:val="28"/>
          <w:szCs w:val="28"/>
        </w:rPr>
      </w:pPr>
      <w:bookmarkStart w:id="16" w:name="_Toc31882"/>
      <w:bookmarkStart w:id="17" w:name="_Toc22887"/>
      <w:bookmarkStart w:id="18" w:name="_Toc28894"/>
      <w:bookmarkStart w:id="19" w:name="_Toc10011"/>
      <w:bookmarkStart w:id="20" w:name="_Toc2935"/>
      <w:bookmarkStart w:id="21" w:name="_Toc12271"/>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6"/>
      <w:bookmarkEnd w:id="17"/>
      <w:bookmarkEnd w:id="18"/>
      <w:bookmarkEnd w:id="19"/>
      <w:bookmarkEnd w:id="20"/>
    </w:p>
    <w:p>
      <w:pPr>
        <w:spacing w:line="600" w:lineRule="exact"/>
        <w:ind w:firstLine="643" w:firstLineChars="200"/>
        <w:outlineLvl w:val="1"/>
        <w:rPr>
          <w:rFonts w:ascii="楷体" w:hAnsi="楷体" w:eastAsia="楷体" w:cs="楷体"/>
          <w:b/>
          <w:sz w:val="32"/>
          <w:szCs w:val="32"/>
        </w:rPr>
      </w:pPr>
      <w:bookmarkStart w:id="22" w:name="_Toc2956"/>
      <w:r>
        <w:rPr>
          <w:rFonts w:hint="eastAsia" w:ascii="楷体" w:hAnsi="楷体" w:eastAsia="楷体" w:cs="楷体"/>
          <w:b/>
          <w:sz w:val="32"/>
          <w:szCs w:val="32"/>
        </w:rPr>
        <w:t>（三）评价对象和时段</w:t>
      </w:r>
      <w:bookmarkEnd w:id="21"/>
      <w:bookmarkEnd w:id="22"/>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本次考核评价对象：围场县御道口治超站硬化和防尘罩棚及监测用房项目。从项目投入、管理、产出、效益等方面进行全面的评价考核。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23" w:name="_Toc18880"/>
      <w:r>
        <w:rPr>
          <w:rFonts w:hint="eastAsia" w:ascii="黑体" w:hAnsi="黑体" w:eastAsia="黑体" w:cs="黑体"/>
          <w:b/>
          <w:bCs/>
          <w:sz w:val="32"/>
          <w:szCs w:val="32"/>
        </w:rPr>
        <w:t>二、绩效评价工作开展情况</w:t>
      </w:r>
      <w:bookmarkEnd w:id="23"/>
    </w:p>
    <w:p>
      <w:pPr>
        <w:ind w:firstLine="643" w:firstLineChars="200"/>
        <w:outlineLvl w:val="1"/>
        <w:rPr>
          <w:rFonts w:ascii="楷体" w:hAnsi="楷体" w:eastAsia="楷体" w:cs="楷体"/>
          <w:b/>
          <w:bCs/>
          <w:sz w:val="32"/>
          <w:szCs w:val="32"/>
        </w:rPr>
      </w:pPr>
      <w:bookmarkStart w:id="24" w:name="_Toc10476"/>
      <w:r>
        <w:rPr>
          <w:rFonts w:hint="eastAsia" w:ascii="楷体" w:hAnsi="楷体" w:eastAsia="楷体" w:cs="楷体"/>
          <w:b/>
          <w:bCs/>
          <w:sz w:val="32"/>
          <w:szCs w:val="32"/>
        </w:rPr>
        <w:t>（一）绩效评价指标权重和绩效评价指标体系</w:t>
      </w:r>
      <w:bookmarkEnd w:id="24"/>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项目决策管理10分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trPr>
        <w:tc>
          <w:tcPr>
            <w:tcW w:w="726"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项目决策管理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立项手续合规、方案可行得5分，立项手续不完整扣2分，方案欠佳扣2分；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6、债券资金变更控制情况（3分）；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15、社会效益实现情况（8分）；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16、社会环境（交通环境等）改善情况（4分）；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609" w:type="pct"/>
          </w:tcPr>
          <w:p>
            <w:pPr>
              <w:pStyle w:val="16"/>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5"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bookmarkStart w:id="25" w:name="_Toc14076"/>
      <w:bookmarkStart w:id="26" w:name="_Toc12872"/>
      <w:r>
        <w:rPr>
          <w:rFonts w:hint="eastAsia" w:ascii="楷体" w:hAnsi="楷体" w:eastAsia="楷体" w:cs="楷体"/>
          <w:b/>
          <w:kern w:val="0"/>
          <w:sz w:val="32"/>
          <w:szCs w:val="32"/>
        </w:rPr>
        <w:t>（二）绩效评价目的和依据</w:t>
      </w:r>
      <w:bookmarkEnd w:id="25"/>
      <w:bookmarkEnd w:id="26"/>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pStyle w:val="5"/>
        <w:spacing w:line="530" w:lineRule="exact"/>
        <w:ind w:left="0" w:firstLine="560" w:firstLineChars="200"/>
        <w:rPr>
          <w:rFonts w:ascii="仿宋" w:hAnsi="仿宋" w:eastAsia="仿宋" w:cs="仿宋"/>
          <w:sz w:val="32"/>
          <w:szCs w:val="32"/>
        </w:rPr>
      </w:pPr>
      <w:r>
        <w:rPr>
          <w:rFonts w:hint="eastAsia" w:ascii="宋体" w:hAnsi="宋体" w:eastAsia="宋体" w:cs="宋体"/>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pStyle w:val="5"/>
        <w:spacing w:line="530" w:lineRule="exact"/>
        <w:ind w:left="0" w:firstLine="560" w:firstLineChars="200"/>
        <w:rPr>
          <w:rFonts w:ascii="宋体" w:hAnsi="宋体" w:eastAsia="宋体" w:cs="宋体"/>
        </w:rPr>
      </w:pPr>
      <w:r>
        <w:rPr>
          <w:rFonts w:hint="eastAsia" w:ascii="宋体" w:hAnsi="宋体" w:eastAsia="宋体" w:cs="宋体"/>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pStyle w:val="5"/>
        <w:spacing w:line="530" w:lineRule="exact"/>
        <w:ind w:left="0" w:firstLine="560" w:firstLineChars="200"/>
        <w:rPr>
          <w:rFonts w:ascii="宋体" w:hAnsi="宋体" w:eastAsia="宋体" w:cs="宋体"/>
        </w:rPr>
      </w:pPr>
      <w:r>
        <w:rPr>
          <w:rFonts w:hint="eastAsia" w:ascii="宋体" w:hAnsi="宋体" w:eastAsia="宋体" w:cs="宋体"/>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pStyle w:val="5"/>
        <w:spacing w:line="530" w:lineRule="exact"/>
        <w:ind w:left="0" w:firstLine="560" w:firstLineChars="200"/>
        <w:rPr>
          <w:rFonts w:ascii="仿宋" w:hAnsi="仿宋" w:eastAsia="仿宋" w:cs="仿宋"/>
          <w:sz w:val="32"/>
          <w:szCs w:val="32"/>
        </w:rPr>
      </w:pPr>
      <w:r>
        <w:rPr>
          <w:rFonts w:hint="eastAsia" w:ascii="宋体" w:hAnsi="宋体" w:eastAsia="宋体" w:cs="宋体"/>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pStyle w:val="5"/>
        <w:spacing w:line="530" w:lineRule="exact"/>
        <w:ind w:left="0" w:firstLine="560" w:firstLineChars="200"/>
        <w:rPr>
          <w:rFonts w:ascii="仿宋" w:hAnsi="仿宋" w:eastAsia="仿宋" w:cs="仿宋"/>
          <w:sz w:val="32"/>
          <w:szCs w:val="32"/>
        </w:rPr>
      </w:pPr>
      <w:r>
        <w:rPr>
          <w:rFonts w:hint="eastAsia" w:ascii="宋体" w:hAnsi="宋体" w:eastAsia="宋体" w:cs="宋体"/>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《中华人民共和国预算法》（2018年修正）</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《中华人民共和国环境保护法》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《中华人民共和国合同法》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《中华人民共和国建筑法》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《中华人民共和国会计法》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《中华人民共和国公司法》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《中华人民共和国招标投标法》</w:t>
      </w:r>
    </w:p>
    <w:p>
      <w:pPr>
        <w:pStyle w:val="5"/>
        <w:spacing w:line="530" w:lineRule="exact"/>
        <w:ind w:left="0" w:firstLine="56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项目建议书、可行性研究报告及其批复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项目招标采购文件及中标通知书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资金收支凭证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b/>
                <w:bCs/>
                <w:color w:val="000000"/>
                <w:kern w:val="0"/>
                <w:sz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施工单位竣工报告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建设单位绩效评价自评报告</w:t>
            </w:r>
          </w:p>
        </w:tc>
      </w:tr>
    </w:tbl>
    <w:p>
      <w:pPr>
        <w:pStyle w:val="4"/>
        <w:ind w:left="0" w:leftChars="0" w:firstLine="643" w:firstLineChars="200"/>
        <w:rPr>
          <w:rFonts w:hint="default" w:ascii="楷体" w:hAnsi="楷体" w:eastAsia="楷体" w:cs="楷体"/>
          <w:szCs w:val="32"/>
        </w:rPr>
      </w:pPr>
      <w:bookmarkStart w:id="27" w:name="_Toc22990"/>
      <w:bookmarkStart w:id="28" w:name="_Toc24385"/>
    </w:p>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27"/>
      <w:bookmarkEnd w:id="28"/>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满族蒙古族自治县交通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评价范围包括2019年度围场县地方政府新增一般债劵资金的预算投入、支出情况。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9" w:name="_Toc30379"/>
      <w:bookmarkStart w:id="30" w:name="_Toc12161"/>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9"/>
      <w:bookmarkEnd w:id="30"/>
    </w:p>
    <w:p>
      <w:pPr>
        <w:ind w:firstLine="560" w:firstLineChars="200"/>
        <w:rPr>
          <w:rFonts w:ascii="宋体" w:hAnsi="宋体" w:eastAsia="宋体" w:cs="宋体"/>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hAnsi="宋体" w:eastAsia="宋体" w:cs="宋体"/>
          <w:sz w:val="28"/>
          <w:szCs w:val="28"/>
        </w:rPr>
      </w:pPr>
      <w:r>
        <w:rPr>
          <w:rFonts w:hint="eastAsia" w:ascii="宋体" w:hAnsi="宋体" w:eastAsia="宋体" w:cs="宋体"/>
          <w:sz w:val="28"/>
          <w:szCs w:val="28"/>
        </w:rPr>
        <w:t>评价方法：</w:t>
      </w:r>
    </w:p>
    <w:p>
      <w:pPr>
        <w:ind w:firstLine="560" w:firstLineChars="200"/>
        <w:rPr>
          <w:rFonts w:ascii="宋体" w:hAnsi="宋体" w:eastAsia="宋体" w:cs="宋体"/>
          <w:sz w:val="28"/>
          <w:szCs w:val="28"/>
        </w:rPr>
      </w:pPr>
      <w:r>
        <w:rPr>
          <w:rFonts w:hint="eastAsia" w:ascii="宋体" w:hAnsi="宋体" w:eastAsia="宋体" w:cs="宋体"/>
          <w:sz w:val="28"/>
          <w:szCs w:val="28"/>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ascii="宋体" w:hAnsi="宋体" w:eastAsia="宋体" w:cs="宋体"/>
          <w:sz w:val="28"/>
          <w:szCs w:val="28"/>
        </w:rPr>
      </w:pPr>
      <w:r>
        <w:rPr>
          <w:rFonts w:hint="eastAsia" w:ascii="宋体" w:hAnsi="宋体" w:eastAsia="宋体" w:cs="宋体"/>
          <w:sz w:val="28"/>
          <w:szCs w:val="28"/>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hAnsi="宋体" w:eastAsia="宋体" w:cs="宋体"/>
          <w:sz w:val="28"/>
          <w:szCs w:val="28"/>
        </w:rPr>
      </w:pPr>
      <w:r>
        <w:rPr>
          <w:rFonts w:hint="eastAsia" w:ascii="宋体" w:hAnsi="宋体" w:eastAsia="宋体" w:cs="宋体"/>
          <w:sz w:val="28"/>
          <w:szCs w:val="28"/>
        </w:rPr>
        <w:t>3、成本效益分析法。是指将投入与产出、效益进行关联性分析的方法。</w:t>
      </w:r>
    </w:p>
    <w:p>
      <w:pPr>
        <w:ind w:firstLine="560" w:firstLineChars="200"/>
        <w:rPr>
          <w:rFonts w:ascii="宋体" w:hAnsi="宋体" w:eastAsia="宋体" w:cs="宋体"/>
          <w:sz w:val="28"/>
          <w:szCs w:val="28"/>
        </w:rPr>
      </w:pPr>
      <w:r>
        <w:rPr>
          <w:rFonts w:hint="eastAsia" w:ascii="宋体" w:hAnsi="宋体" w:eastAsia="宋体" w:cs="宋体"/>
          <w:sz w:val="28"/>
          <w:szCs w:val="28"/>
        </w:rPr>
        <w:t>4、因素分析法。是指综合分析影响绩效目标实现、实施效果的内外部因素的方法。</w:t>
      </w:r>
    </w:p>
    <w:p>
      <w:pPr>
        <w:ind w:firstLine="560" w:firstLineChars="200"/>
        <w:rPr>
          <w:rFonts w:ascii="宋体" w:hAnsi="宋体" w:eastAsia="宋体" w:cs="宋体"/>
          <w:sz w:val="28"/>
          <w:szCs w:val="28"/>
        </w:rPr>
      </w:pPr>
      <w:r>
        <w:rPr>
          <w:rFonts w:hint="eastAsia" w:ascii="宋体" w:hAnsi="宋体" w:eastAsia="宋体" w:cs="宋体"/>
          <w:sz w:val="28"/>
          <w:szCs w:val="28"/>
        </w:rPr>
        <w:t>5、调查法</w:t>
      </w:r>
    </w:p>
    <w:p>
      <w:pPr>
        <w:ind w:firstLine="560" w:firstLineChars="200"/>
        <w:rPr>
          <w:rFonts w:ascii="宋体" w:hAnsi="宋体" w:eastAsia="宋体" w:cs="宋体"/>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31" w:name="_Toc25154"/>
      <w:bookmarkStart w:id="32" w:name="_Toc12042"/>
      <w:bookmarkStart w:id="33" w:name="_Toc8164"/>
      <w:bookmarkStart w:id="34"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31"/>
      <w:bookmarkEnd w:id="32"/>
      <w:bookmarkEnd w:id="33"/>
    </w:p>
    <w:p>
      <w:pPr>
        <w:adjustRightInd w:val="0"/>
        <w:snapToGrid w:val="0"/>
        <w:spacing w:line="600" w:lineRule="exact"/>
        <w:ind w:firstLine="560" w:firstLineChars="200"/>
        <w:outlineLvl w:val="0"/>
        <w:rPr>
          <w:rFonts w:ascii="宋体" w:hAnsi="宋体" w:eastAsia="宋体" w:cs="宋体"/>
          <w:sz w:val="28"/>
          <w:szCs w:val="28"/>
        </w:rPr>
      </w:pPr>
      <w:bookmarkStart w:id="35" w:name="_Toc31807"/>
      <w:bookmarkStart w:id="36" w:name="_Toc22556"/>
      <w:bookmarkStart w:id="37" w:name="_Toc9073"/>
      <w:bookmarkStart w:id="38" w:name="_Toc13042"/>
      <w:bookmarkStart w:id="39" w:name="_Toc2087"/>
      <w:bookmarkStart w:id="40" w:name="_Toc18780"/>
      <w:bookmarkStart w:id="41" w:name="_Toc2952"/>
      <w:bookmarkStart w:id="42" w:name="_Toc17563"/>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对围场县御道口治超站硬化和防尘罩棚及监测用房项目做以下工作：</w:t>
      </w:r>
      <w:bookmarkEnd w:id="35"/>
      <w:bookmarkEnd w:id="36"/>
      <w:bookmarkEnd w:id="37"/>
      <w:bookmarkEnd w:id="38"/>
      <w:bookmarkEnd w:id="39"/>
      <w:bookmarkEnd w:id="40"/>
      <w:bookmarkEnd w:id="41"/>
      <w:bookmarkEnd w:id="42"/>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3" w:name="_Toc19058"/>
      <w:bookmarkStart w:id="44" w:name="_Toc24529"/>
      <w:bookmarkStart w:id="45" w:name="_Toc17036"/>
      <w:bookmarkStart w:id="46" w:name="_Toc5287"/>
      <w:bookmarkStart w:id="47" w:name="_Toc18374"/>
      <w:bookmarkStart w:id="48" w:name="_Toc14572"/>
      <w:bookmarkStart w:id="49" w:name="_Toc14297"/>
      <w:bookmarkStart w:id="50" w:name="_Toc24972"/>
      <w:bookmarkStart w:id="51" w:name="_Toc1487"/>
      <w:bookmarkStart w:id="52" w:name="_Toc15494"/>
      <w:bookmarkStart w:id="53" w:name="_Toc24311"/>
      <w:bookmarkStart w:id="54" w:name="_Toc27413"/>
      <w:r>
        <w:rPr>
          <w:rFonts w:hint="eastAsia" w:ascii="宋体" w:hAnsi="宋体" w:eastAsia="宋体" w:cs="宋体"/>
          <w:b/>
          <w:bCs/>
          <w:kern w:val="0"/>
          <w:sz w:val="28"/>
          <w:szCs w:val="28"/>
        </w:rPr>
        <w:t>1、明确项目团队的职责与分工</w:t>
      </w:r>
      <w:bookmarkEnd w:id="43"/>
      <w:bookmarkEnd w:id="44"/>
      <w:bookmarkEnd w:id="45"/>
      <w:bookmarkEnd w:id="46"/>
      <w:bookmarkEnd w:id="47"/>
      <w:bookmarkEnd w:id="48"/>
      <w:bookmarkEnd w:id="49"/>
      <w:bookmarkEnd w:id="50"/>
      <w:bookmarkEnd w:id="51"/>
      <w:bookmarkEnd w:id="52"/>
      <w:bookmarkEnd w:id="53"/>
      <w:bookmarkEnd w:id="54"/>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55" w:name="_Toc27143"/>
      <w:bookmarkStart w:id="56" w:name="_Toc25494"/>
      <w:bookmarkStart w:id="57" w:name="_Toc31637"/>
      <w:bookmarkStart w:id="58" w:name="_Toc28394"/>
      <w:bookmarkStart w:id="59" w:name="_Toc29097"/>
      <w:bookmarkStart w:id="60" w:name="_Toc1680"/>
      <w:bookmarkStart w:id="61" w:name="_Toc29931"/>
      <w:bookmarkStart w:id="62" w:name="_Toc6642"/>
    </w:p>
    <w:p>
      <w:pPr>
        <w:spacing w:before="156" w:beforeLines="50" w:after="156" w:afterLines="50"/>
        <w:ind w:left="420" w:leftChars="200" w:firstLine="281" w:firstLineChars="100"/>
        <w:outlineLvl w:val="1"/>
        <w:rPr>
          <w:rFonts w:ascii="宋体" w:hAnsi="宋体" w:eastAsia="宋体" w:cs="宋体"/>
          <w:b/>
          <w:bCs/>
          <w:kern w:val="0"/>
          <w:sz w:val="28"/>
          <w:szCs w:val="28"/>
        </w:rPr>
      </w:pPr>
      <w:r>
        <w:rPr>
          <w:rFonts w:hint="eastAsia" w:ascii="宋体" w:hAnsi="宋体" w:eastAsia="宋体" w:cs="宋体"/>
          <w:b/>
          <w:bCs/>
          <w:kern w:val="0"/>
          <w:sz w:val="28"/>
          <w:szCs w:val="28"/>
        </w:rPr>
        <w:t>2、评价工作各相关当事方的职责</w:t>
      </w:r>
      <w:bookmarkEnd w:id="55"/>
      <w:bookmarkEnd w:id="56"/>
      <w:bookmarkEnd w:id="57"/>
      <w:bookmarkEnd w:id="58"/>
      <w:bookmarkEnd w:id="59"/>
      <w:bookmarkEnd w:id="60"/>
      <w:bookmarkEnd w:id="61"/>
      <w:bookmarkEnd w:id="6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63" w:name="_Toc17781"/>
      <w:bookmarkStart w:id="64" w:name="_Toc27067"/>
      <w:bookmarkStart w:id="65" w:name="_Toc24530"/>
      <w:bookmarkStart w:id="66" w:name="_Toc332"/>
      <w:bookmarkStart w:id="67" w:name="_Toc17013"/>
      <w:bookmarkStart w:id="68" w:name="_Toc23684"/>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63"/>
      <w:bookmarkEnd w:id="64"/>
      <w:bookmarkEnd w:id="65"/>
      <w:bookmarkEnd w:id="66"/>
      <w:bookmarkEnd w:id="67"/>
      <w:bookmarkEnd w:id="68"/>
    </w:p>
    <w:p>
      <w:pPr>
        <w:adjustRightInd w:val="0"/>
        <w:snapToGrid w:val="0"/>
        <w:spacing w:line="600" w:lineRule="exact"/>
        <w:ind w:firstLine="640" w:firstLineChars="200"/>
        <w:outlineLvl w:val="0"/>
        <w:rPr>
          <w:rFonts w:ascii="黑体" w:hAnsi="黑体" w:eastAsia="黑体" w:cs="黑体"/>
          <w:sz w:val="32"/>
          <w:szCs w:val="32"/>
        </w:rPr>
      </w:pPr>
      <w:bookmarkStart w:id="69" w:name="_Toc8862"/>
      <w:r>
        <w:rPr>
          <w:rFonts w:hint="eastAsia" w:ascii="黑体" w:hAnsi="黑体" w:eastAsia="黑体" w:cs="黑体"/>
          <w:sz w:val="32"/>
          <w:szCs w:val="32"/>
        </w:rPr>
        <w:t>三、</w:t>
      </w:r>
      <w:bookmarkEnd w:id="34"/>
      <w:r>
        <w:rPr>
          <w:rFonts w:hint="eastAsia" w:ascii="黑体" w:hAnsi="黑体" w:eastAsia="黑体" w:cs="黑体"/>
          <w:sz w:val="32"/>
          <w:szCs w:val="32"/>
        </w:rPr>
        <w:t>项目实施及资金使用情况</w:t>
      </w:r>
      <w:bookmarkEnd w:id="69"/>
    </w:p>
    <w:p>
      <w:pPr>
        <w:ind w:firstLine="643" w:firstLineChars="200"/>
        <w:outlineLvl w:val="1"/>
        <w:rPr>
          <w:rFonts w:ascii="楷体" w:hAnsi="楷体" w:eastAsia="楷体" w:cs="楷体"/>
          <w:b/>
          <w:bCs/>
          <w:sz w:val="32"/>
          <w:szCs w:val="32"/>
          <w:highlight w:val="yellow"/>
        </w:rPr>
      </w:pPr>
      <w:bookmarkStart w:id="70" w:name="_Toc6786"/>
      <w:bookmarkStart w:id="71" w:name="_Toc15261"/>
      <w:r>
        <w:rPr>
          <w:rFonts w:hint="eastAsia" w:ascii="楷体" w:hAnsi="楷体" w:eastAsia="楷体" w:cs="楷体"/>
          <w:b/>
          <w:bCs/>
          <w:sz w:val="32"/>
          <w:szCs w:val="32"/>
        </w:rPr>
        <w:t>（一）项目实施情况</w:t>
      </w:r>
      <w:bookmarkEnd w:id="70"/>
      <w:bookmarkEnd w:id="71"/>
    </w:p>
    <w:p>
      <w:pPr>
        <w:pStyle w:val="5"/>
        <w:ind w:left="0" w:firstLine="560" w:firstLineChars="200"/>
        <w:rPr>
          <w:rFonts w:ascii="宋体" w:hAnsi="宋体" w:eastAsia="宋体" w:cs="宋体"/>
        </w:rPr>
      </w:pPr>
      <w:r>
        <w:rPr>
          <w:rFonts w:hint="eastAsia" w:ascii="宋体" w:hAnsi="宋体" w:eastAsia="宋体" w:cs="宋体"/>
        </w:rPr>
        <w:t>围场满族蒙古族自治县财政局关于御道口治超站建设防尘罩棚项目下达了2019年预算指标的通知（围财预〔2019〕195号）。2019年新增一般债券安排的项目资金240.18万元，专项用于御道口治超站建设防尘罩棚资金。</w:t>
      </w:r>
    </w:p>
    <w:p>
      <w:pPr>
        <w:pStyle w:val="5"/>
        <w:ind w:left="0" w:firstLine="560" w:firstLineChars="200"/>
        <w:rPr>
          <w:rFonts w:ascii="宋体" w:hAnsi="宋体" w:eastAsia="宋体" w:cs="宋体"/>
        </w:rPr>
      </w:pPr>
      <w:r>
        <w:rPr>
          <w:rFonts w:hint="eastAsia" w:ascii="宋体" w:hAnsi="宋体" w:eastAsia="宋体" w:cs="宋体"/>
        </w:rPr>
        <w:t>本次御道口治超站场地硬化工程招标控制价为199.134491万元，2018年12月21日在围场县公共资源交易中心对御道口治超站场地硬化项目进行政府采购公开招标，采购方式为竞争性磋商，经专家评审，确定围场满族蒙古族自治县兴源建筑安装有限公司为成交供应商，成交价为：199万元。并于2018年12月27日签订了工程承包合同。</w:t>
      </w:r>
    </w:p>
    <w:p>
      <w:pPr>
        <w:pStyle w:val="5"/>
        <w:ind w:left="0" w:firstLine="560" w:firstLineChars="200"/>
        <w:rPr>
          <w:rFonts w:ascii="宋体" w:hAnsi="宋体" w:eastAsia="宋体" w:cs="宋体"/>
        </w:rPr>
      </w:pPr>
      <w:r>
        <w:rPr>
          <w:rFonts w:hint="eastAsia" w:ascii="宋体" w:hAnsi="宋体" w:eastAsia="宋体" w:cs="宋体"/>
        </w:rPr>
        <w:t>同时中标了围场县御道口治超站防尘罩棚及监测用房等工程项目，成交价41.18万元，并与围场满族蒙古族自治县交通运输局治理超限运输办公室签订了施工合同。</w:t>
      </w:r>
    </w:p>
    <w:p>
      <w:pPr>
        <w:pStyle w:val="5"/>
        <w:ind w:left="0" w:firstLine="560" w:firstLineChars="200"/>
        <w:rPr>
          <w:rFonts w:ascii="宋体" w:hAnsi="宋体" w:eastAsia="宋体" w:cs="宋体"/>
        </w:rPr>
      </w:pPr>
      <w:r>
        <w:rPr>
          <w:rFonts w:hint="eastAsia" w:ascii="宋体" w:hAnsi="宋体" w:eastAsia="宋体" w:cs="宋体"/>
        </w:rPr>
        <w:t>本项目监理单位出具了质量评估报告：场地硬化压实度符合设计要求；卸载罩棚工程：基础砼强度等级符合设计要求；钢构件外形、尺寸、焊接、安装等均符合设计要求；各分部分项工程验收合格，相关安全和功能抽查均为合格，观感质量评价为好。整体工程已按设计图纸要求和验收规范规定施工，达到了合格等级标准。</w:t>
      </w:r>
    </w:p>
    <w:p>
      <w:pPr>
        <w:ind w:firstLine="560" w:firstLineChars="200"/>
        <w:rPr>
          <w:rFonts w:ascii="宋体" w:hAnsi="宋体" w:eastAsia="宋体" w:cs="宋体"/>
          <w:sz w:val="28"/>
          <w:szCs w:val="28"/>
        </w:rPr>
      </w:pPr>
      <w:r>
        <w:rPr>
          <w:rFonts w:hint="eastAsia" w:ascii="宋体" w:hAnsi="宋体" w:eastAsia="宋体" w:cs="宋体"/>
          <w:sz w:val="28"/>
          <w:szCs w:val="28"/>
        </w:rPr>
        <w:t>2019年1月14日，由建设单位组织御道口治超站防尘罩棚及监测用房工程验收，项目内容按图纸及合同约定按时完成，质量良好。</w:t>
      </w:r>
    </w:p>
    <w:p>
      <w:pPr>
        <w:ind w:firstLine="643" w:firstLineChars="200"/>
        <w:outlineLvl w:val="1"/>
        <w:rPr>
          <w:rFonts w:ascii="楷体" w:hAnsi="楷体" w:eastAsia="楷体" w:cs="楷体"/>
          <w:b/>
          <w:bCs/>
          <w:sz w:val="32"/>
          <w:szCs w:val="32"/>
          <w:highlight w:val="yellow"/>
        </w:rPr>
      </w:pPr>
      <w:bookmarkStart w:id="72" w:name="_Toc9519"/>
      <w:bookmarkStart w:id="73" w:name="_Toc14809"/>
      <w:r>
        <w:rPr>
          <w:rFonts w:hint="eastAsia" w:ascii="楷体" w:hAnsi="楷体" w:eastAsia="楷体" w:cs="楷体"/>
          <w:b/>
          <w:bCs/>
          <w:sz w:val="32"/>
          <w:szCs w:val="32"/>
        </w:rPr>
        <w:t>（二）资金使用情况</w:t>
      </w:r>
      <w:bookmarkEnd w:id="72"/>
      <w:bookmarkEnd w:id="73"/>
    </w:p>
    <w:p>
      <w:pPr>
        <w:pStyle w:val="5"/>
        <w:ind w:left="0" w:firstLine="560" w:firstLineChars="200"/>
        <w:rPr>
          <w:rFonts w:ascii="宋体" w:hAnsi="宋体" w:eastAsia="宋体" w:cs="宋体"/>
        </w:rPr>
      </w:pPr>
      <w:bookmarkStart w:id="74" w:name="_Toc13622"/>
      <w:bookmarkStart w:id="75" w:name="_Toc15054"/>
      <w:r>
        <w:rPr>
          <w:rFonts w:hint="eastAsia" w:ascii="宋体" w:hAnsi="宋体" w:eastAsia="宋体" w:cs="宋体"/>
        </w:rPr>
        <w:t>2019年9月24日围场满族蒙古族自治县交通运输局收到财政拨付御道口治超站场地硬化及防尘罩棚工程款92.7946万元，同时将工程款支付给围场满族蒙古族自治县兴源建筑安装有限公司。</w:t>
      </w:r>
    </w:p>
    <w:p>
      <w:pPr>
        <w:pStyle w:val="5"/>
        <w:ind w:left="0" w:firstLine="560" w:firstLineChars="200"/>
        <w:rPr>
          <w:rFonts w:ascii="宋体" w:hAnsi="宋体" w:eastAsia="宋体" w:cs="宋体"/>
        </w:rPr>
      </w:pPr>
      <w:r>
        <w:rPr>
          <w:rFonts w:hint="eastAsia" w:ascii="宋体" w:hAnsi="宋体" w:eastAsia="宋体" w:cs="宋体"/>
        </w:rPr>
        <w:t>2019年12月26日围场满族蒙古族自治县交通运输局收到财政拨付御道口治超站场地硬化及防尘罩棚工程款138.026135万元，同时将138.026135万元工程款支付给围场满族蒙古族自治县兴源建筑安装有限公司。</w:t>
      </w:r>
    </w:p>
    <w:p>
      <w:pPr>
        <w:ind w:firstLine="560" w:firstLineChars="200"/>
        <w:rPr>
          <w:rFonts w:ascii="楷体" w:hAnsi="楷体" w:eastAsia="楷体" w:cs="楷体"/>
          <w:b/>
          <w:bCs/>
          <w:sz w:val="32"/>
          <w:szCs w:val="32"/>
        </w:rPr>
      </w:pPr>
      <w:r>
        <w:rPr>
          <w:rFonts w:hint="eastAsia" w:ascii="宋体" w:hAnsi="宋体" w:eastAsia="宋体" w:cs="宋体"/>
          <w:sz w:val="28"/>
          <w:szCs w:val="28"/>
        </w:rPr>
        <w:t>2019年12月31日，围场满族蒙古族自治县交通运输局支付工程款7.2054万元。</w:t>
      </w:r>
      <w:bookmarkEnd w:id="74"/>
      <w:bookmarkEnd w:id="75"/>
    </w:p>
    <w:p>
      <w:pPr>
        <w:ind w:firstLine="640" w:firstLineChars="200"/>
        <w:outlineLvl w:val="0"/>
        <w:rPr>
          <w:rFonts w:ascii="黑体" w:hAnsi="黑体" w:eastAsia="黑体" w:cs="黑体"/>
          <w:sz w:val="32"/>
          <w:szCs w:val="32"/>
        </w:rPr>
      </w:pPr>
      <w:bookmarkStart w:id="76" w:name="_Toc10107"/>
      <w:r>
        <w:rPr>
          <w:rFonts w:hint="eastAsia" w:ascii="黑体" w:hAnsi="黑体" w:eastAsia="黑体" w:cs="黑体"/>
          <w:sz w:val="32"/>
          <w:szCs w:val="32"/>
        </w:rPr>
        <w:t>四、绩效评价分析与结论</w:t>
      </w:r>
      <w:bookmarkEnd w:id="76"/>
    </w:p>
    <w:p>
      <w:pPr>
        <w:adjustRightInd w:val="0"/>
        <w:snapToGrid w:val="0"/>
        <w:spacing w:line="360" w:lineRule="auto"/>
        <w:ind w:firstLine="643" w:firstLineChars="200"/>
        <w:outlineLvl w:val="1"/>
        <w:rPr>
          <w:rFonts w:ascii="楷体" w:hAnsi="楷体" w:eastAsia="楷体" w:cs="楷体"/>
          <w:b/>
          <w:kern w:val="0"/>
          <w:sz w:val="32"/>
          <w:szCs w:val="32"/>
        </w:rPr>
      </w:pPr>
      <w:bookmarkStart w:id="77" w:name="_Toc3458"/>
      <w:bookmarkStart w:id="78" w:name="_Toc16548"/>
      <w:r>
        <w:rPr>
          <w:rFonts w:hint="eastAsia" w:ascii="楷体" w:hAnsi="楷体" w:eastAsia="楷体" w:cs="楷体"/>
          <w:b/>
          <w:kern w:val="0"/>
          <w:sz w:val="32"/>
          <w:szCs w:val="32"/>
        </w:rPr>
        <w:t>（一）绩效评价分析</w:t>
      </w:r>
      <w:bookmarkEnd w:id="77"/>
      <w:bookmarkEnd w:id="78"/>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8分。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本项目立项手续不完整、只有围场县财政局下达的御道口治超站硬化和防尘罩棚及监测用房项目的2019年预算指标。</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建设单位按照项目所设定的绩效目标依据充分，投入可行，项目资金来源为2019年新增一般债券安排的240.18万元，专项用于御道口治超站建设防尘罩棚资金，资金来源合规，符合客观实际，能够达到设定的目标。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严格按照计划实施，依据绩效目标完成御道口治超站场地硬化项目和御道口治超站防尘罩棚及监测用房等工程项目。通过对围场县御道口治超站硬化和防尘罩棚及监测用房项目的分析，本项目的建设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管理指标绩效评价设定分值为30分，考评得分26分。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（1）业务管理指标绩效评价设定分值为15分，考评得分11分。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我方在对围场县御道口治超站硬化和防尘罩棚及监测用房项目资料审查过程中没有发现本项目的实施方案，其他一些相关资料基本齐全。</w:t>
      </w:r>
    </w:p>
    <w:p>
      <w:pPr>
        <w:ind w:firstLine="560" w:firstLineChars="200"/>
        <w:rPr>
          <w:rFonts w:ascii="宋体" w:hAnsi="宋体" w:eastAsia="宋体" w:cs="宋体"/>
          <w:sz w:val="28"/>
          <w:szCs w:val="28"/>
        </w:rPr>
      </w:pPr>
      <w:r>
        <w:rPr>
          <w:rFonts w:hint="eastAsia" w:ascii="宋体" w:hAnsi="宋体" w:eastAsia="宋体" w:cs="宋体"/>
          <w:sz w:val="28"/>
          <w:szCs w:val="28"/>
        </w:rPr>
        <w:t>②政务公开情况指标标准分值为3分，考评得分3分。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御道口治超站硬化和防尘罩棚及监测用房项目新增债券资金安排的情况均已公示，本项目没有发现应该招标没有招标的情况。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③债券资金变更控制情况指标标准分值为3分，考评得分3分。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本项目债券资金使用部分项目变更控制情况较好，没有出现对工程质量、进度造成的影响，项目资金能够按照县财政下达的2019年预算指标完成使用。</w:t>
      </w:r>
    </w:p>
    <w:p>
      <w:pPr>
        <w:ind w:firstLine="560" w:firstLineChars="200"/>
        <w:rPr>
          <w:rFonts w:ascii="宋体" w:hAnsi="宋体" w:eastAsia="宋体" w:cs="宋体"/>
          <w:sz w:val="28"/>
          <w:szCs w:val="28"/>
        </w:rPr>
      </w:pPr>
      <w:r>
        <w:rPr>
          <w:rFonts w:hint="eastAsia" w:ascii="宋体" w:hAnsi="宋体" w:eastAsia="宋体" w:cs="宋体"/>
          <w:sz w:val="28"/>
          <w:szCs w:val="28"/>
        </w:rPr>
        <w:t>④项目实施方案编制情况指标标准分值为3分，考评得分0分。</w:t>
      </w:r>
    </w:p>
    <w:p>
      <w:pPr>
        <w:pStyle w:val="15"/>
        <w:ind w:firstLine="560" w:firstLineChars="200"/>
        <w:jc w:val="both"/>
        <w:rPr>
          <w:sz w:val="28"/>
          <w:szCs w:val="28"/>
        </w:rPr>
      </w:pPr>
      <w:r>
        <w:rPr>
          <w:rFonts w:hint="eastAsia" w:hAnsi="宋体" w:cs="宋体"/>
          <w:sz w:val="28"/>
          <w:szCs w:val="28"/>
        </w:rPr>
        <w:t>御道口治超站硬化和防尘罩棚及监测用房项目无</w:t>
      </w:r>
      <w:r>
        <w:rPr>
          <w:rFonts w:hint="eastAsia"/>
          <w:sz w:val="28"/>
          <w:szCs w:val="28"/>
        </w:rPr>
        <w:t>实施方案编制。</w:t>
      </w:r>
    </w:p>
    <w:p>
      <w:pPr>
        <w:pStyle w:val="15"/>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本项目按照围场县财政局下发的预算指标的通知要求，严格按照《地方政府一般债券预算管理办法》有关规定，确保专款专用，债券资金均未用于经常性支出，未用于中央明令禁止的项目支出，资金使用合规。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御道口治超站硬化和防尘罩棚及监测用房项目已按国库集中支付制度要求在县级财政集中支付，未出现资金拖欠现象。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御道口治超站硬化和防尘罩棚及监测用房项目在我方审查过程中，未发现资金有挪用、抽逃、延迟支付现象，项目建设资金使用合规，账务处理基本合规。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御道口治超站硬化和防尘罩棚及监测用房项目已完成的工程投资与计划实施的实际工程总投资基本吻合，主要工程量按照要求全部完成。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本工程项目2018年12月27日正式开工，2019年1月10日完工，工期15天。项目建设能够按照合同约定在计划工期完成施工进度，未出现工程滞后现象。</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2019年1月14日，由建设单位组织御道口治超站硬化和防尘罩棚及监测用房项目验收，项目内容按图纸及合同约定按时完成，质量良好。</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效益指标绩效评价设定分值为30分，考评得分29分。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御道口治超站硬化和防尘罩棚及监测用房项目已顺利完工，按批复设定的总体目标全面实现，达到预期目标。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此项目的建设改善了行车条件、保证行车安全，通过对本项目的建设，对超载车辆进行严格管控，减少了因超载行为导致的交通安全事故，间接挽回了巨大经济损失，维护了国家和人民的利益，社会效益明显提升。</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③社会环境（交通环境等）改善情况指标标准分值为4分，考评得分4分。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通过对本项目的建设，合理的整治了一直以来的严重超载现象，避免了因超载行为导致的交通安全事故，对目前的交通环境和社会环境有所改善。</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（2）经济效益指标绩效评价设定分值为10分，考评得分9分。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由于债券资金投入的项目多为社会公益性项目，依法用于公益性资本支出，本项目建设产生的直接经济效益不明显。</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由于对超载车辆进行了严格管控，大大减少了因超载行为导致的交通安全事故，将安全隐患控制在萌芽之初，御道口治超站硬化和防尘罩棚及监测用房项目的建设，间接挽回了因严重超载引起的巨大经济损失，项目建设带来的间接经济效益和社会效益相对较明显，因此本项考核得分为7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79" w:name="_Toc22235"/>
      <w:bookmarkStart w:id="80" w:name="_Toc14098"/>
      <w:r>
        <w:rPr>
          <w:rFonts w:hint="eastAsia" w:ascii="楷体" w:hAnsi="楷体" w:eastAsia="楷体" w:cs="楷体"/>
          <w:b/>
          <w:kern w:val="0"/>
          <w:sz w:val="32"/>
          <w:szCs w:val="32"/>
        </w:rPr>
        <w:t>（二）绩效评价结论</w:t>
      </w:r>
      <w:bookmarkEnd w:id="79"/>
      <w:bookmarkEnd w:id="80"/>
    </w:p>
    <w:p>
      <w:pPr>
        <w:ind w:firstLine="560" w:firstLineChars="200"/>
        <w:rPr>
          <w:rFonts w:ascii="宋体" w:hAnsi="宋体" w:eastAsia="宋体" w:cs="宋体"/>
          <w:sz w:val="28"/>
          <w:szCs w:val="28"/>
        </w:rPr>
      </w:pPr>
      <w:r>
        <w:rPr>
          <w:rFonts w:hint="eastAsia" w:ascii="宋体" w:hAnsi="宋体" w:eastAsia="宋体" w:cs="宋体"/>
          <w:bCs/>
          <w:kern w:val="0"/>
          <w:sz w:val="28"/>
          <w:szCs w:val="28"/>
        </w:rPr>
        <w:t>绩</w:t>
      </w:r>
      <w:r>
        <w:rPr>
          <w:rFonts w:hint="eastAsia" w:ascii="宋体" w:hAnsi="宋体" w:eastAsia="宋体" w:cs="宋体"/>
          <w:sz w:val="28"/>
          <w:szCs w:val="28"/>
        </w:rPr>
        <w:t>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绩效评价指标综合得分情况：</w:t>
      </w:r>
    </w:p>
    <w:p>
      <w:pPr>
        <w:ind w:firstLine="560" w:firstLineChars="200"/>
        <w:rPr>
          <w:rFonts w:ascii="宋体" w:hAnsi="宋体" w:eastAsia="宋体" w:cs="宋体"/>
          <w:sz w:val="28"/>
          <w:szCs w:val="28"/>
        </w:rPr>
      </w:pPr>
      <w:r>
        <w:rPr>
          <w:rFonts w:hint="eastAsia" w:ascii="宋体" w:hAnsi="宋体" w:eastAsia="宋体" w:cs="宋体"/>
          <w:sz w:val="28"/>
          <w:szCs w:val="28"/>
        </w:rPr>
        <w:t>御道口治超站硬化和防尘罩棚及监测用房项目绩效考评结果，其中：投入指标考评得分8分、管理指标考评得分26分、产出指标考评得分30分、效益指标考评得分29分。通过对各项指标的具体分析评价，汇总得出本次绩效评价考核综合得分为93分，总体评价为“优”。</w:t>
      </w:r>
    </w:p>
    <w:p>
      <w:pPr>
        <w:ind w:firstLine="560" w:firstLineChars="200"/>
        <w:rPr>
          <w:rFonts w:ascii="宋体" w:hAnsi="宋体" w:eastAsia="宋体" w:cs="宋体"/>
          <w:sz w:val="28"/>
          <w:szCs w:val="28"/>
        </w:rPr>
      </w:pPr>
      <w:r>
        <w:rPr>
          <w:rFonts w:hint="eastAsia" w:ascii="宋体" w:hAnsi="宋体" w:eastAsia="宋体" w:cs="宋体"/>
          <w:sz w:val="28"/>
          <w:szCs w:val="28"/>
        </w:rPr>
        <w:t>通过项目建设，对社会效益影响是长期的，促进了围场县的经济繁荣。</w:t>
      </w:r>
    </w:p>
    <w:p>
      <w:pPr>
        <w:ind w:firstLine="560" w:firstLineChars="200"/>
        <w:rPr>
          <w:rFonts w:ascii="宋体" w:hAnsi="宋体" w:eastAsia="宋体" w:cs="宋体"/>
          <w:sz w:val="28"/>
          <w:szCs w:val="28"/>
        </w:rPr>
      </w:pPr>
      <w:r>
        <w:rPr>
          <w:rFonts w:hint="eastAsia" w:ascii="宋体" w:hAnsi="宋体" w:eastAsia="宋体" w:cs="宋体"/>
          <w:sz w:val="28"/>
          <w:szCs w:val="28"/>
        </w:rPr>
        <w:t>评价结果表明，御道口治超站硬化和防尘罩棚及监测用房项目组织和管理较好地执行了相关规定要求，组织管理有序，单位财务管理制度基本健全，对项目资金的监督管理总体有效，资金使用合理合规，实施的社会效益和持续性较明显。</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1" w:name="_Toc32395"/>
      <w:bookmarkStart w:id="82" w:name="_Toc497"/>
      <w:r>
        <w:rPr>
          <w:rFonts w:hint="eastAsia" w:ascii="黑体" w:hAnsi="黑体" w:eastAsia="黑体" w:cs="黑体"/>
          <w:bCs/>
          <w:kern w:val="0"/>
          <w:sz w:val="32"/>
          <w:szCs w:val="32"/>
        </w:rPr>
        <w:t>五、</w:t>
      </w:r>
      <w:bookmarkEnd w:id="81"/>
      <w:r>
        <w:rPr>
          <w:rFonts w:hint="eastAsia" w:ascii="黑体" w:hAnsi="黑体" w:eastAsia="黑体" w:cs="黑体"/>
          <w:bCs/>
          <w:kern w:val="0"/>
          <w:sz w:val="32"/>
          <w:szCs w:val="32"/>
        </w:rPr>
        <w:t>意见及建议</w:t>
      </w:r>
      <w:bookmarkEnd w:id="82"/>
    </w:p>
    <w:p>
      <w:pPr>
        <w:adjustRightInd w:val="0"/>
        <w:snapToGrid w:val="0"/>
        <w:spacing w:line="360" w:lineRule="auto"/>
        <w:ind w:firstLine="560" w:firstLineChars="200"/>
        <w:rPr>
          <w:rFonts w:ascii="仿宋" w:hAnsi="仿宋" w:eastAsia="仿宋" w:cs="宋体"/>
          <w:bCs/>
          <w:kern w:val="0"/>
          <w:sz w:val="32"/>
          <w:szCs w:val="32"/>
        </w:rPr>
      </w:pPr>
      <w:r>
        <w:rPr>
          <w:rFonts w:hint="eastAsia" w:ascii="宋体" w:hAnsi="宋体" w:eastAsia="宋体" w:cs="宋体"/>
          <w:bCs/>
          <w:kern w:val="0"/>
          <w:sz w:val="28"/>
          <w:szCs w:val="28"/>
        </w:rPr>
        <w:t>加强项目管理、完善建设程序及资金支付方面的管理。</w:t>
      </w:r>
    </w:p>
    <w:p>
      <w:pPr>
        <w:pStyle w:val="3"/>
        <w:spacing w:line="240" w:lineRule="auto"/>
        <w:ind w:firstLine="643" w:firstLineChars="200"/>
        <w:rPr>
          <w:rFonts w:ascii="楷体" w:hAnsi="楷体" w:eastAsia="楷体" w:cs="楷体"/>
        </w:rPr>
      </w:pPr>
      <w:bookmarkStart w:id="83" w:name="_Toc5786"/>
      <w:bookmarkStart w:id="84" w:name="_Toc16124"/>
      <w:bookmarkStart w:id="85" w:name="_Toc31396"/>
      <w:bookmarkStart w:id="86" w:name="_Toc25821"/>
      <w:bookmarkStart w:id="87" w:name="_Toc7010"/>
      <w:bookmarkStart w:id="88" w:name="_Toc26763"/>
      <w:r>
        <w:rPr>
          <w:rFonts w:hint="eastAsia" w:ascii="楷体" w:hAnsi="楷体" w:eastAsia="楷体" w:cs="楷体"/>
        </w:rPr>
        <w:t>（一）强化绩效理念，深入推进评价工作</w:t>
      </w:r>
      <w:bookmarkEnd w:id="83"/>
      <w:bookmarkEnd w:id="84"/>
      <w:bookmarkEnd w:id="85"/>
      <w:bookmarkEnd w:id="86"/>
      <w:bookmarkEnd w:id="87"/>
      <w:bookmarkEnd w:id="88"/>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89" w:name="_Toc21411"/>
      <w:bookmarkStart w:id="90" w:name="_Toc14241"/>
      <w:bookmarkStart w:id="91" w:name="_Toc11860"/>
      <w:bookmarkStart w:id="92" w:name="_Toc10505"/>
      <w:bookmarkStart w:id="93" w:name="_Toc4582"/>
      <w:bookmarkStart w:id="94" w:name="_Toc6863"/>
      <w:r>
        <w:rPr>
          <w:rFonts w:hint="eastAsia" w:ascii="楷体" w:hAnsi="楷体" w:eastAsia="楷体" w:cs="楷体"/>
        </w:rPr>
        <w:t>（二）强化事前准备，切实提升评价质量</w:t>
      </w:r>
      <w:bookmarkEnd w:id="89"/>
      <w:bookmarkEnd w:id="90"/>
      <w:bookmarkEnd w:id="91"/>
      <w:bookmarkEnd w:id="92"/>
      <w:bookmarkEnd w:id="93"/>
      <w:bookmarkEnd w:id="94"/>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95" w:name="_Toc21034"/>
      <w:bookmarkStart w:id="96" w:name="_Toc3001"/>
      <w:bookmarkStart w:id="97" w:name="_Toc30061"/>
      <w:bookmarkStart w:id="98" w:name="_Toc10592"/>
      <w:bookmarkStart w:id="99" w:name="_Toc11787"/>
    </w:p>
    <w:p>
      <w:pPr>
        <w:pStyle w:val="3"/>
        <w:spacing w:line="240" w:lineRule="auto"/>
        <w:ind w:firstLine="643" w:firstLineChars="200"/>
        <w:rPr>
          <w:rFonts w:ascii="楷体" w:hAnsi="楷体" w:eastAsia="楷体" w:cs="楷体"/>
        </w:rPr>
      </w:pPr>
      <w:bookmarkStart w:id="100" w:name="_Toc27706"/>
      <w:r>
        <w:rPr>
          <w:rFonts w:hint="eastAsia" w:ascii="楷体" w:hAnsi="楷体" w:eastAsia="楷体" w:cs="楷体"/>
        </w:rPr>
        <w:t>（三）强化结果应用，不断巩固评价</w:t>
      </w:r>
      <w:bookmarkEnd w:id="95"/>
      <w:bookmarkEnd w:id="96"/>
      <w:bookmarkEnd w:id="97"/>
      <w:bookmarkEnd w:id="98"/>
      <w:bookmarkEnd w:id="99"/>
      <w:r>
        <w:rPr>
          <w:rFonts w:hint="eastAsia" w:ascii="楷体" w:hAnsi="楷体" w:eastAsia="楷体" w:cs="楷体"/>
        </w:rPr>
        <w:t>成效</w:t>
      </w:r>
      <w:bookmarkEnd w:id="100"/>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101" w:name="_Toc20604"/>
      <w:r>
        <w:rPr>
          <w:rFonts w:hint="eastAsia" w:ascii="黑体" w:hAnsi="黑体" w:eastAsia="黑体" w:cs="黑体"/>
          <w:bCs/>
          <w:kern w:val="0"/>
          <w:sz w:val="32"/>
          <w:szCs w:val="32"/>
        </w:rPr>
        <w:t>六、附件</w:t>
      </w:r>
      <w:bookmarkEnd w:id="101"/>
    </w:p>
    <w:p>
      <w:pPr>
        <w:pStyle w:val="3"/>
        <w:rPr>
          <w:rFonts w:ascii="楷体" w:hAnsi="楷体" w:eastAsia="楷体" w:cs="楷体"/>
        </w:rPr>
      </w:pPr>
      <w:bookmarkStart w:id="102" w:name="_Toc17575"/>
      <w:r>
        <w:rPr>
          <w:rFonts w:hint="eastAsia" w:ascii="楷体" w:hAnsi="楷体" w:eastAsia="楷体" w:cs="楷体"/>
        </w:rPr>
        <w:t>绩效评价指标体系得分表</w:t>
      </w:r>
      <w:bookmarkEnd w:id="102"/>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adjustRightInd w:val="0"/>
        <w:snapToGrid w:val="0"/>
        <w:spacing w:line="540" w:lineRule="exact"/>
        <w:outlineLvl w:val="0"/>
        <w:rPr>
          <w:rFonts w:hint="eastAsia" w:asciiTheme="minorEastAsia" w:hAnsiTheme="minorEastAsia" w:eastAsiaTheme="minorEastAsia"/>
          <w:sz w:val="32"/>
          <w:szCs w:val="32"/>
          <w:lang w:eastAsia="zh-CN"/>
        </w:rPr>
      </w:pPr>
      <w:bookmarkStart w:id="103" w:name="_Toc15162"/>
      <w:r>
        <w:rPr>
          <w:rFonts w:hint="eastAsia" w:asciiTheme="minorEastAsia" w:hAnsiTheme="minorEastAsia"/>
          <w:sz w:val="32"/>
          <w:szCs w:val="32"/>
        </w:rPr>
        <w:t>承德燕山会计师事务所         中国注册会计师：</w:t>
      </w:r>
      <w:bookmarkEnd w:id="103"/>
      <w:r>
        <w:rPr>
          <w:rFonts w:hint="eastAsia" w:asciiTheme="minorEastAsia" w:hAnsiTheme="minor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104" w:name="_Toc14815"/>
      <w:r>
        <w:rPr>
          <w:rFonts w:hint="eastAsia" w:asciiTheme="minorEastAsia" w:hAnsiTheme="minorEastAsia"/>
          <w:sz w:val="32"/>
          <w:szCs w:val="32"/>
        </w:rPr>
        <w:t>有限责任公司</w:t>
      </w:r>
      <w:bookmarkEnd w:id="104"/>
    </w:p>
    <w:p>
      <w:pPr>
        <w:ind w:firstLine="640" w:firstLineChars="200"/>
        <w:outlineLvl w:val="0"/>
        <w:rPr>
          <w:rFonts w:hint="eastAsia" w:asciiTheme="minorEastAsia" w:hAnsiTheme="minorEastAsia" w:eastAsiaTheme="minorEastAsia"/>
          <w:sz w:val="32"/>
          <w:szCs w:val="32"/>
          <w:lang w:eastAsia="zh-CN"/>
        </w:rPr>
      </w:pPr>
      <w:bookmarkStart w:id="105" w:name="_Toc13463"/>
      <w:r>
        <w:rPr>
          <w:rFonts w:hint="eastAsia" w:asciiTheme="minorEastAsia" w:hAnsiTheme="minorEastAsia"/>
          <w:sz w:val="32"/>
          <w:szCs w:val="32"/>
        </w:rPr>
        <w:t>河北·承德               中国注册会计师：</w:t>
      </w:r>
      <w:bookmarkEnd w:id="105"/>
      <w:r>
        <w:rPr>
          <w:rFonts w:hint="eastAsia" w:asciiTheme="minorEastAsia" w:hAnsiTheme="minorEastAsia"/>
          <w:sz w:val="32"/>
          <w:szCs w:val="32"/>
          <w:lang w:eastAsia="zh-CN"/>
        </w:rPr>
        <w:t>白秀云</w:t>
      </w:r>
    </w:p>
    <w:p>
      <w:pPr>
        <w:ind w:firstLine="640" w:firstLineChars="200"/>
        <w:rPr>
          <w:rFonts w:asciiTheme="minorEastAsia" w:hAnsiTheme="minorEastAsia"/>
          <w:sz w:val="32"/>
          <w:szCs w:val="32"/>
        </w:rPr>
      </w:pPr>
    </w:p>
    <w:p>
      <w:pPr>
        <w:ind w:firstLine="640" w:firstLineChars="200"/>
        <w:rPr>
          <w:rFonts w:asciiTheme="minorEastAsia" w:hAnsiTheme="minorEastAsia"/>
          <w:sz w:val="32"/>
          <w:szCs w:val="32"/>
        </w:rPr>
      </w:pPr>
    </w:p>
    <w:p>
      <w:pPr>
        <w:rPr>
          <w:rFonts w:ascii="楷体" w:hAnsi="楷体" w:eastAsia="楷体" w:cs="楷体"/>
        </w:rPr>
      </w:pPr>
      <w:r>
        <w:rPr>
          <w:rFonts w:hint="eastAsia" w:asciiTheme="minorEastAsia" w:hAnsiTheme="minorEastAsia"/>
          <w:sz w:val="32"/>
          <w:szCs w:val="32"/>
        </w:rPr>
        <w:t xml:space="preserve">                          </w:t>
      </w:r>
      <w:bookmarkStart w:id="106" w:name="_Toc29542"/>
      <w:r>
        <w:rPr>
          <w:rFonts w:hint="eastAsia" w:asciiTheme="minorEastAsia" w:hAnsiTheme="minorEastAsia"/>
          <w:sz w:val="32"/>
          <w:szCs w:val="32"/>
        </w:rPr>
        <w:t>二○二〇年十二月二十八日</w:t>
      </w:r>
      <w:bookmarkEnd w:id="106"/>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jc w:val="center"/>
        <w:rPr>
          <w:rFonts w:ascii="宋体" w:hAnsi="宋体" w:eastAsia="宋体" w:cs="宋体"/>
          <w:b/>
          <w:bCs/>
          <w:sz w:val="28"/>
          <w:szCs w:val="28"/>
          <w:highlight w:val="yellow"/>
        </w:rPr>
      </w:pPr>
      <w:r>
        <w:rPr>
          <w:rFonts w:hint="eastAsia" w:ascii="宋体" w:hAnsi="宋体" w:eastAsia="宋体" w:cs="宋体"/>
          <w:b/>
          <w:bCs/>
          <w:sz w:val="28"/>
          <w:szCs w:val="28"/>
        </w:rPr>
        <w:t>御道口治超站硬化和防尘罩棚及监测用房项目绩效评价指标体系得分表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项目决策管理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立项手续合规、方案可行得5分，立项手续不完整扣2分，方案欠佳扣2分；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6、债券资金变更控制情况（3分）；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16、社会环境（交通环境等）改善情况（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93</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49051E"/>
    <w:rsid w:val="0052094A"/>
    <w:rsid w:val="00527B71"/>
    <w:rsid w:val="009455B4"/>
    <w:rsid w:val="03906ECE"/>
    <w:rsid w:val="03B73450"/>
    <w:rsid w:val="047E3D7B"/>
    <w:rsid w:val="06B3136F"/>
    <w:rsid w:val="09DF3A36"/>
    <w:rsid w:val="0A617961"/>
    <w:rsid w:val="0CF76258"/>
    <w:rsid w:val="0E252CA5"/>
    <w:rsid w:val="0FF14209"/>
    <w:rsid w:val="105259B6"/>
    <w:rsid w:val="105E04DB"/>
    <w:rsid w:val="11CA6AB4"/>
    <w:rsid w:val="13426D82"/>
    <w:rsid w:val="134C1C6E"/>
    <w:rsid w:val="13D04FA7"/>
    <w:rsid w:val="15F930BC"/>
    <w:rsid w:val="1671287C"/>
    <w:rsid w:val="178D6B51"/>
    <w:rsid w:val="179E01C8"/>
    <w:rsid w:val="18596D27"/>
    <w:rsid w:val="18B14196"/>
    <w:rsid w:val="19B12636"/>
    <w:rsid w:val="1C0818FD"/>
    <w:rsid w:val="1DCB30AC"/>
    <w:rsid w:val="1E3912B7"/>
    <w:rsid w:val="1F3109C5"/>
    <w:rsid w:val="21C358CA"/>
    <w:rsid w:val="23962522"/>
    <w:rsid w:val="23EF5E50"/>
    <w:rsid w:val="27DD72F2"/>
    <w:rsid w:val="284D6241"/>
    <w:rsid w:val="2A2E1F00"/>
    <w:rsid w:val="2B284D4B"/>
    <w:rsid w:val="2C137100"/>
    <w:rsid w:val="2CBF5E3C"/>
    <w:rsid w:val="2E254BFB"/>
    <w:rsid w:val="327F7BC1"/>
    <w:rsid w:val="344727D7"/>
    <w:rsid w:val="366043FC"/>
    <w:rsid w:val="39FB1AB6"/>
    <w:rsid w:val="3A1151DA"/>
    <w:rsid w:val="3B943A5F"/>
    <w:rsid w:val="3BB5552B"/>
    <w:rsid w:val="3D7533AC"/>
    <w:rsid w:val="3EE432ED"/>
    <w:rsid w:val="3FC91BD3"/>
    <w:rsid w:val="40A00F76"/>
    <w:rsid w:val="41764DEF"/>
    <w:rsid w:val="41A52C9E"/>
    <w:rsid w:val="46437D54"/>
    <w:rsid w:val="47C37A03"/>
    <w:rsid w:val="48771478"/>
    <w:rsid w:val="49C5006E"/>
    <w:rsid w:val="4A924A90"/>
    <w:rsid w:val="4DF57240"/>
    <w:rsid w:val="4F5D274A"/>
    <w:rsid w:val="54252E1D"/>
    <w:rsid w:val="569318BE"/>
    <w:rsid w:val="577B4A42"/>
    <w:rsid w:val="5CF534AD"/>
    <w:rsid w:val="62280465"/>
    <w:rsid w:val="69F13450"/>
    <w:rsid w:val="6EC845C2"/>
    <w:rsid w:val="710016B0"/>
    <w:rsid w:val="72114D33"/>
    <w:rsid w:val="75840E38"/>
    <w:rsid w:val="772B6771"/>
    <w:rsid w:val="77AB17FD"/>
    <w:rsid w:val="7D87276F"/>
    <w:rsid w:val="7E07307E"/>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Char"/>
    <w:basedOn w:val="14"/>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11798</Words>
  <Characters>2737</Characters>
  <Lines>22</Lines>
  <Paragraphs>29</Paragraphs>
  <TotalTime>3</TotalTime>
  <ScaleCrop>false</ScaleCrop>
  <LinksUpToDate>false</LinksUpToDate>
  <CharactersWithSpaces>14506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2023-12-27T09:47:28Z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A17920BD7DC643FABFA5A5B6A601AA11</vt:lpwstr>
  </property>
</Properties>
</file>