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525" w:leftChars="250"/>
        <w:rPr>
          <w:rFonts w:ascii="Times New Roman" w:hAnsi="Times New Roman" w:eastAsia="仿宋_GB2312" w:cs="Times New Roman"/>
          <w:color w:val="auto"/>
          <w:sz w:val="36"/>
          <w:szCs w:val="36"/>
        </w:rPr>
      </w:pPr>
      <w:bookmarkStart w:id="5" w:name="_GoBack"/>
      <w:bookmarkEnd w:id="5"/>
    </w:p>
    <w:p>
      <w:pPr>
        <w:rPr>
          <w:rFonts w:ascii="Times New Roman" w:hAnsi="Times New Roman" w:eastAsia="仿宋_GB2312" w:cs="Times New Roman"/>
          <w:color w:val="auto"/>
          <w:sz w:val="36"/>
          <w:szCs w:val="36"/>
        </w:rPr>
      </w:pPr>
    </w:p>
    <w:p>
      <w:pPr>
        <w:rPr>
          <w:rFonts w:ascii="Times New Roman" w:hAnsi="Times New Roman" w:eastAsia="仿宋_GB2312" w:cs="Times New Roman"/>
          <w:color w:val="auto"/>
          <w:sz w:val="36"/>
          <w:szCs w:val="36"/>
        </w:rPr>
      </w:pPr>
    </w:p>
    <w:p>
      <w:pPr>
        <w:adjustRightInd w:val="0"/>
        <w:snapToGrid w:val="0"/>
        <w:jc w:val="center"/>
        <w:outlineLvl w:val="0"/>
        <w:rPr>
          <w:rFonts w:ascii="Times New Roman" w:hAnsi="Times New Roman" w:eastAsia="方正小标宋_GBK" w:cs="Times New Roman"/>
          <w:bCs/>
          <w:color w:val="auto"/>
          <w:sz w:val="72"/>
          <w:szCs w:val="72"/>
        </w:rPr>
      </w:pPr>
      <w:r>
        <w:rPr>
          <w:rFonts w:ascii="Times New Roman" w:hAnsi="Times New Roman" w:eastAsia="方正小标宋_GBK" w:cs="Times New Roman"/>
          <w:bCs/>
          <w:color w:val="auto"/>
          <w:sz w:val="72"/>
          <w:szCs w:val="72"/>
        </w:rPr>
        <w:t>建设项目环境影响报告表</w:t>
      </w:r>
    </w:p>
    <w:p>
      <w:pPr>
        <w:adjustRightInd w:val="0"/>
        <w:snapToGrid w:val="0"/>
        <w:spacing w:before="249" w:beforeLines="80"/>
        <w:jc w:val="center"/>
        <w:rPr>
          <w:rFonts w:ascii="Times New Roman" w:hAnsi="Times New Roman" w:eastAsia="楷体_GB2312" w:cs="Times New Roman"/>
          <w:bCs/>
          <w:color w:val="auto"/>
          <w:sz w:val="48"/>
          <w:szCs w:val="48"/>
        </w:rPr>
      </w:pPr>
      <w:r>
        <w:rPr>
          <w:rFonts w:ascii="Times New Roman" w:hAnsi="Times New Roman" w:eastAsia="楷体_GB2312" w:cs="Times New Roman"/>
          <w:bCs/>
          <w:color w:val="auto"/>
          <w:sz w:val="48"/>
          <w:szCs w:val="48"/>
        </w:rPr>
        <w:t>（污染影响类）</w:t>
      </w:r>
    </w:p>
    <w:p>
      <w:pPr>
        <w:rPr>
          <w:rFonts w:ascii="Times New Roman" w:hAnsi="Times New Roman" w:cs="Times New Roman"/>
          <w:color w:val="auto"/>
        </w:rPr>
      </w:pPr>
    </w:p>
    <w:p>
      <w:pPr>
        <w:rPr>
          <w:rFonts w:ascii="Times New Roman" w:hAnsi="Times New Roman" w:cs="Times New Roman"/>
          <w:color w:val="auto"/>
        </w:rPr>
      </w:pPr>
    </w:p>
    <w:p>
      <w:pPr>
        <w:jc w:val="center"/>
        <w:rPr>
          <w:rFonts w:ascii="Times New Roman" w:hAnsi="Times New Roman" w:eastAsia="仿宋" w:cs="Times New Roman"/>
          <w:color w:val="auto"/>
          <w:sz w:val="52"/>
          <w:szCs w:val="52"/>
        </w:rPr>
      </w:pPr>
    </w:p>
    <w:p>
      <w:pPr>
        <w:rPr>
          <w:rFonts w:ascii="Times New Roman" w:hAnsi="Times New Roman" w:eastAsia="仿宋" w:cs="Times New Roman"/>
          <w:color w:val="auto"/>
          <w:sz w:val="44"/>
          <w:szCs w:val="44"/>
        </w:rPr>
      </w:pPr>
    </w:p>
    <w:p>
      <w:pPr>
        <w:rPr>
          <w:rFonts w:ascii="Times New Roman" w:hAnsi="Times New Roman" w:eastAsia="仿宋" w:cs="Times New Roman"/>
          <w:color w:val="auto"/>
          <w:sz w:val="44"/>
          <w:szCs w:val="44"/>
        </w:rPr>
      </w:pPr>
    </w:p>
    <w:p>
      <w:pPr>
        <w:rPr>
          <w:rFonts w:ascii="Times New Roman" w:hAnsi="Times New Roman" w:eastAsia="仿宋" w:cs="Times New Roman"/>
          <w:color w:val="auto"/>
          <w:sz w:val="44"/>
          <w:szCs w:val="44"/>
        </w:rPr>
      </w:pPr>
    </w:p>
    <w:p>
      <w:pPr>
        <w:pStyle w:val="10"/>
        <w:rPr>
          <w:rFonts w:ascii="Times New Roman" w:hAnsi="Times New Roman" w:eastAsia="仿宋" w:cs="Times New Roman"/>
          <w:color w:val="auto"/>
          <w:sz w:val="44"/>
          <w:szCs w:val="44"/>
        </w:rPr>
      </w:pPr>
    </w:p>
    <w:p>
      <w:pPr>
        <w:pStyle w:val="10"/>
        <w:ind w:left="0" w:leftChars="0" w:firstLine="0" w:firstLineChars="0"/>
        <w:rPr>
          <w:rFonts w:ascii="Times New Roman" w:hAnsi="Times New Roman" w:eastAsia="仿宋" w:cs="Times New Roman"/>
          <w:color w:val="auto"/>
          <w:sz w:val="44"/>
          <w:szCs w:val="44"/>
        </w:rPr>
      </w:pPr>
    </w:p>
    <w:p>
      <w:pPr>
        <w:pStyle w:val="8"/>
        <w:rPr>
          <w:color w:val="auto"/>
        </w:rPr>
      </w:pPr>
    </w:p>
    <w:p>
      <w:pPr>
        <w:adjustRightInd w:val="0"/>
        <w:snapToGrid w:val="0"/>
        <w:spacing w:line="360" w:lineRule="auto"/>
        <w:jc w:val="left"/>
        <w:rPr>
          <w:rFonts w:hint="default" w:ascii="Times New Roman" w:hAnsi="Times New Roman" w:eastAsia="仿宋_GB2312" w:cs="Times New Roman"/>
          <w:color w:val="auto"/>
          <w:sz w:val="36"/>
          <w:szCs w:val="36"/>
          <w:u w:val="single"/>
          <w:lang w:val="en-US" w:eastAsia="zh-CN"/>
        </w:rPr>
      </w:pPr>
      <w:r>
        <w:rPr>
          <w:rFonts w:ascii="Times New Roman" w:hAnsi="Times New Roman" w:eastAsia="仿宋_GB2312" w:cs="Times New Roman"/>
          <w:color w:val="auto"/>
          <w:sz w:val="36"/>
          <w:szCs w:val="36"/>
        </w:rPr>
        <w:t>项目名称：</w:t>
      </w:r>
      <w:r>
        <w:rPr>
          <w:rFonts w:hint="eastAsia" w:ascii="Times New Roman" w:hAnsi="Times New Roman" w:eastAsia="仿宋_GB2312" w:cs="Times New Roman"/>
          <w:color w:val="auto"/>
          <w:sz w:val="36"/>
          <w:szCs w:val="36"/>
          <w:u w:val="single"/>
          <w:lang w:val="en-US" w:eastAsia="zh-CN"/>
        </w:rPr>
        <w:t xml:space="preserve"> 围场满族蒙古族自治县腾兴供热有限公司   </w:t>
      </w:r>
    </w:p>
    <w:p>
      <w:pPr>
        <w:adjustRightInd w:val="0"/>
        <w:snapToGrid w:val="0"/>
        <w:spacing w:line="360" w:lineRule="auto"/>
        <w:ind w:firstLine="1800" w:firstLineChars="500"/>
        <w:jc w:val="left"/>
        <w:rPr>
          <w:rFonts w:hint="eastAsia" w:ascii="Times New Roman" w:hAnsi="Times New Roman" w:eastAsia="仿宋_GB2312" w:cs="Times New Roman"/>
          <w:color w:val="auto"/>
          <w:sz w:val="36"/>
          <w:szCs w:val="36"/>
          <w:u w:val="single"/>
          <w:lang w:eastAsia="zh-CN"/>
        </w:rPr>
      </w:pPr>
      <w:r>
        <w:rPr>
          <w:rFonts w:hint="eastAsia" w:ascii="Times New Roman" w:hAnsi="Times New Roman" w:eastAsia="仿宋_GB2312" w:cs="Times New Roman"/>
          <w:color w:val="auto"/>
          <w:sz w:val="36"/>
          <w:szCs w:val="36"/>
          <w:u w:val="single"/>
          <w:lang w:val="en-US" w:eastAsia="zh-CN"/>
        </w:rPr>
        <w:t xml:space="preserve">    城北热源厂（金字供热站）项</w:t>
      </w:r>
      <w:r>
        <w:rPr>
          <w:rFonts w:hint="eastAsia" w:ascii="Times New Roman" w:hAnsi="Times New Roman" w:eastAsia="仿宋_GB2312" w:cs="Times New Roman"/>
          <w:color w:val="auto"/>
          <w:sz w:val="36"/>
          <w:szCs w:val="36"/>
          <w:u w:val="single"/>
          <w:lang w:eastAsia="zh-CN"/>
        </w:rPr>
        <w:t>目</w:t>
      </w:r>
      <w:r>
        <w:rPr>
          <w:rFonts w:hint="eastAsia" w:ascii="Times New Roman" w:hAnsi="Times New Roman" w:eastAsia="仿宋_GB2312" w:cs="Times New Roman"/>
          <w:color w:val="auto"/>
          <w:sz w:val="36"/>
          <w:szCs w:val="36"/>
          <w:u w:val="single"/>
          <w:lang w:val="en-US" w:eastAsia="zh-CN"/>
        </w:rPr>
        <w:t xml:space="preserve">      </w:t>
      </w:r>
      <w:r>
        <w:rPr>
          <w:rFonts w:hint="eastAsia" w:ascii="Times New Roman" w:hAnsi="Times New Roman" w:eastAsia="仿宋_GB2312" w:cs="Times New Roman"/>
          <w:color w:val="auto"/>
          <w:sz w:val="36"/>
          <w:szCs w:val="36"/>
          <w:u w:val="single"/>
          <w:lang w:eastAsia="zh-CN"/>
        </w:rPr>
        <w:t xml:space="preserve"> </w:t>
      </w:r>
    </w:p>
    <w:p>
      <w:pPr>
        <w:adjustRightInd w:val="0"/>
        <w:snapToGrid w:val="0"/>
        <w:spacing w:line="360" w:lineRule="auto"/>
        <w:jc w:val="left"/>
        <w:rPr>
          <w:rFonts w:ascii="Times New Roman" w:hAnsi="Times New Roman" w:eastAsia="仿宋_GB2312" w:cs="Times New Roman"/>
          <w:color w:val="auto"/>
          <w:spacing w:val="-20"/>
          <w:sz w:val="32"/>
          <w:szCs w:val="32"/>
          <w:u w:val="single"/>
        </w:rPr>
      </w:pPr>
      <w:r>
        <w:rPr>
          <w:rFonts w:ascii="Times New Roman" w:hAnsi="Times New Roman" w:eastAsia="仿宋_GB2312" w:cs="Times New Roman"/>
          <w:color w:val="auto"/>
          <w:spacing w:val="-20"/>
          <w:sz w:val="36"/>
          <w:szCs w:val="36"/>
        </w:rPr>
        <w:t>建设单位（盖章）：</w:t>
      </w:r>
      <w:r>
        <w:rPr>
          <w:rFonts w:ascii="Times New Roman" w:hAnsi="Times New Roman" w:eastAsia="仿宋_GB2312" w:cs="Times New Roman"/>
          <w:color w:val="auto"/>
          <w:spacing w:val="-20"/>
          <w:sz w:val="36"/>
          <w:szCs w:val="36"/>
          <w:u w:val="single"/>
        </w:rPr>
        <w:t xml:space="preserve"> </w:t>
      </w:r>
      <w:r>
        <w:rPr>
          <w:rFonts w:hint="eastAsia" w:ascii="Times New Roman" w:hAnsi="Times New Roman" w:eastAsia="仿宋_GB2312" w:cs="Times New Roman"/>
          <w:color w:val="auto"/>
          <w:sz w:val="32"/>
          <w:szCs w:val="32"/>
          <w:u w:val="single"/>
          <w:lang w:val="en-US" w:eastAsia="zh-CN"/>
        </w:rPr>
        <w:t>围场满族蒙古族自治县腾兴供热有限公司</w:t>
      </w:r>
      <w:r>
        <w:rPr>
          <w:rFonts w:ascii="Times New Roman" w:hAnsi="Times New Roman" w:eastAsia="仿宋_GB2312" w:cs="Times New Roman"/>
          <w:color w:val="auto"/>
          <w:spacing w:val="-20"/>
          <w:sz w:val="32"/>
          <w:szCs w:val="32"/>
          <w:u w:val="single"/>
        </w:rPr>
        <w:t xml:space="preserve">  </w:t>
      </w:r>
    </w:p>
    <w:p>
      <w:pPr>
        <w:adjustRightInd w:val="0"/>
        <w:snapToGrid w:val="0"/>
        <w:spacing w:line="360" w:lineRule="auto"/>
        <w:rPr>
          <w:rFonts w:hint="default" w:ascii="Times New Roman" w:hAnsi="Times New Roman" w:eastAsia="仿宋_GB2312" w:cs="Times New Roman"/>
          <w:color w:val="auto"/>
          <w:sz w:val="36"/>
          <w:szCs w:val="36"/>
          <w:u w:val="single"/>
          <w:lang w:val="en-US" w:eastAsia="zh-CN"/>
        </w:rPr>
      </w:pPr>
      <w:r>
        <w:rPr>
          <w:rFonts w:ascii="Times New Roman" w:hAnsi="Times New Roman" w:eastAsia="仿宋_GB2312" w:cs="Times New Roman"/>
          <w:color w:val="auto"/>
          <w:sz w:val="36"/>
          <w:szCs w:val="36"/>
        </w:rPr>
        <w:t>编制日期：</w:t>
      </w:r>
      <w:r>
        <w:rPr>
          <w:rFonts w:hint="eastAsia" w:ascii="Times New Roman" w:hAnsi="Times New Roman" w:eastAsia="仿宋_GB2312" w:cs="Times New Roman"/>
          <w:color w:val="auto"/>
          <w:sz w:val="36"/>
          <w:szCs w:val="36"/>
          <w:u w:val="single"/>
          <w:lang w:val="en-US" w:eastAsia="zh-CN"/>
        </w:rPr>
        <w:t xml:space="preserve">             2</w:t>
      </w:r>
      <w:r>
        <w:rPr>
          <w:rFonts w:ascii="Times New Roman" w:hAnsi="Times New Roman" w:eastAsia="仿宋_GB2312" w:cs="Times New Roman"/>
          <w:color w:val="auto"/>
          <w:sz w:val="36"/>
          <w:szCs w:val="36"/>
          <w:u w:val="single"/>
        </w:rPr>
        <w:t>02</w:t>
      </w:r>
      <w:r>
        <w:rPr>
          <w:rFonts w:hint="eastAsia" w:ascii="Times New Roman" w:hAnsi="Times New Roman" w:eastAsia="仿宋_GB2312" w:cs="Times New Roman"/>
          <w:color w:val="auto"/>
          <w:sz w:val="36"/>
          <w:szCs w:val="36"/>
          <w:u w:val="single"/>
          <w:lang w:val="en-US" w:eastAsia="zh-CN"/>
        </w:rPr>
        <w:t>3</w:t>
      </w:r>
      <w:r>
        <w:rPr>
          <w:rFonts w:ascii="Times New Roman" w:hAnsi="Times New Roman" w:eastAsia="仿宋_GB2312" w:cs="Times New Roman"/>
          <w:color w:val="auto"/>
          <w:sz w:val="36"/>
          <w:szCs w:val="36"/>
          <w:u w:val="single"/>
        </w:rPr>
        <w:t>年</w:t>
      </w:r>
      <w:r>
        <w:rPr>
          <w:rFonts w:hint="eastAsia" w:ascii="Times New Roman" w:hAnsi="Times New Roman" w:eastAsia="仿宋_GB2312" w:cs="Times New Roman"/>
          <w:color w:val="auto"/>
          <w:sz w:val="36"/>
          <w:szCs w:val="36"/>
          <w:u w:val="single"/>
          <w:lang w:val="en-US" w:eastAsia="zh-CN"/>
        </w:rPr>
        <w:t>2</w:t>
      </w:r>
      <w:r>
        <w:rPr>
          <w:rFonts w:ascii="Times New Roman" w:hAnsi="Times New Roman" w:eastAsia="仿宋_GB2312" w:cs="Times New Roman"/>
          <w:color w:val="auto"/>
          <w:sz w:val="36"/>
          <w:szCs w:val="36"/>
          <w:u w:val="single"/>
        </w:rPr>
        <w:t>月</w:t>
      </w:r>
      <w:r>
        <w:rPr>
          <w:rFonts w:hint="eastAsia" w:ascii="Times New Roman" w:hAnsi="Times New Roman" w:eastAsia="仿宋_GB2312" w:cs="Times New Roman"/>
          <w:color w:val="auto"/>
          <w:sz w:val="36"/>
          <w:szCs w:val="36"/>
          <w:u w:val="single"/>
          <w:lang w:val="en-US" w:eastAsia="zh-CN"/>
        </w:rPr>
        <w:t xml:space="preserve">                      </w:t>
      </w:r>
    </w:p>
    <w:p>
      <w:pPr>
        <w:adjustRightInd w:val="0"/>
        <w:snapToGrid w:val="0"/>
        <w:spacing w:line="360" w:lineRule="auto"/>
        <w:ind w:firstLine="1040"/>
        <w:rPr>
          <w:rFonts w:ascii="Times New Roman" w:hAnsi="Times New Roman" w:eastAsia="仿宋_GB2312" w:cs="Times New Roman"/>
          <w:color w:val="auto"/>
          <w:sz w:val="36"/>
          <w:szCs w:val="36"/>
          <w:u w:val="single"/>
        </w:rPr>
      </w:pPr>
      <w:bookmarkStart w:id="0" w:name="_Hlk57884087"/>
    </w:p>
    <w:p>
      <w:pPr>
        <w:adjustRightInd w:val="0"/>
        <w:snapToGrid w:val="0"/>
        <w:spacing w:line="288" w:lineRule="auto"/>
        <w:ind w:firstLine="1040"/>
        <w:rPr>
          <w:rFonts w:ascii="Times New Roman" w:hAnsi="Times New Roman" w:eastAsia="仿宋_GB2312" w:cs="Times New Roman"/>
          <w:color w:val="auto"/>
          <w:sz w:val="36"/>
          <w:szCs w:val="36"/>
        </w:rPr>
      </w:pPr>
    </w:p>
    <w:bookmarkEnd w:id="0"/>
    <w:p>
      <w:pPr>
        <w:adjustRightInd w:val="0"/>
        <w:snapToGrid w:val="0"/>
        <w:spacing w:line="288" w:lineRule="auto"/>
        <w:jc w:val="center"/>
        <w:rPr>
          <w:rFonts w:ascii="Times New Roman" w:hAnsi="Times New Roman" w:eastAsia="楷体_GB2312" w:cs="Times New Roman"/>
          <w:color w:val="auto"/>
          <w:sz w:val="36"/>
          <w:szCs w:val="36"/>
        </w:rPr>
        <w:sectPr>
          <w:footerReference r:id="rId3" w:type="default"/>
          <w:pgSz w:w="11906" w:h="16838"/>
          <w:pgMar w:top="1702" w:right="1531" w:bottom="1702" w:left="1531" w:header="851" w:footer="1077" w:gutter="0"/>
          <w:pgNumType w:start="1"/>
          <w:cols w:space="425" w:num="1"/>
          <w:docGrid w:type="lines" w:linePitch="312" w:charSpace="0"/>
        </w:sectPr>
      </w:pPr>
      <w:r>
        <w:rPr>
          <w:rFonts w:ascii="Times New Roman" w:hAnsi="Times New Roman" w:eastAsia="楷体_GB2312" w:cs="Times New Roman"/>
          <w:color w:val="auto"/>
          <w:sz w:val="36"/>
          <w:szCs w:val="36"/>
        </w:rPr>
        <w:t>中华人民共和国生态环境部制</w:t>
      </w:r>
    </w:p>
    <w:p>
      <w:pPr>
        <w:pStyle w:val="17"/>
        <w:spacing w:beforeAutospacing="0" w:afterAutospacing="0" w:line="360" w:lineRule="auto"/>
        <w:jc w:val="center"/>
        <w:outlineLvl w:val="0"/>
        <w:rPr>
          <w:rFonts w:hint="default" w:ascii="Times New Roman" w:hAnsi="Times New Roman" w:eastAsia="黑体"/>
          <w:color w:val="auto"/>
          <w:sz w:val="30"/>
          <w:szCs w:val="30"/>
        </w:rPr>
      </w:pPr>
      <w:r>
        <w:rPr>
          <w:rFonts w:hint="default" w:ascii="Times New Roman" w:hAnsi="Times New Roman" w:eastAsia="黑体"/>
          <w:snapToGrid w:val="0"/>
          <w:color w:val="auto"/>
          <w:sz w:val="30"/>
          <w:szCs w:val="30"/>
        </w:rPr>
        <w:t>一、建设项目基本情况</w:t>
      </w:r>
    </w:p>
    <w:tbl>
      <w:tblPr>
        <w:tblStyle w:val="21"/>
        <w:tblW w:w="49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56"/>
        <w:gridCol w:w="1306"/>
        <w:gridCol w:w="1946"/>
        <w:gridCol w:w="2152"/>
        <w:gridCol w:w="3002"/>
        <w:gridCol w:w="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93" w:type="pct"/>
            <w:gridSpan w:val="2"/>
            <w:tcBorders>
              <w:top w:val="single" w:color="auto" w:sz="8"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建设项目名称</w:t>
            </w:r>
          </w:p>
        </w:tc>
        <w:tc>
          <w:tcPr>
            <w:tcW w:w="4006" w:type="pct"/>
            <w:gridSpan w:val="4"/>
            <w:tcBorders>
              <w:top w:val="single" w:color="auto" w:sz="8"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eastAsia="宋体" w:cs="Times New Roman"/>
                <w:color w:val="auto"/>
                <w:sz w:val="24"/>
                <w:lang w:eastAsia="zh-CN"/>
              </w:rPr>
            </w:pPr>
            <w:r>
              <w:rPr>
                <w:rFonts w:hint="eastAsia" w:cs="Times New Roman"/>
                <w:color w:val="auto"/>
                <w:sz w:val="24"/>
                <w:szCs w:val="24"/>
                <w:lang w:val="en-US" w:eastAsia="zh-CN"/>
              </w:rPr>
              <w:t>围场满族蒙古族自治县腾兴供热有限公司城北热源厂（金字供热站）项目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93" w:type="pct"/>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项目代码</w:t>
            </w:r>
          </w:p>
        </w:tc>
        <w:tc>
          <w:tcPr>
            <w:tcW w:w="4006" w:type="pct"/>
            <w:gridSpan w:val="4"/>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93" w:type="pct"/>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建设单位联系人</w:t>
            </w:r>
          </w:p>
        </w:tc>
        <w:tc>
          <w:tcPr>
            <w:tcW w:w="109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韩冰峰</w:t>
            </w:r>
          </w:p>
        </w:tc>
        <w:tc>
          <w:tcPr>
            <w:tcW w:w="1213"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联系方式</w:t>
            </w:r>
          </w:p>
        </w:tc>
        <w:tc>
          <w:tcPr>
            <w:tcW w:w="1695" w:type="pct"/>
            <w:gridSpan w:val="2"/>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157</w:t>
            </w:r>
            <w:r>
              <w:rPr>
                <w:rFonts w:hint="eastAsia" w:ascii="Times New Roman" w:hAnsi="Times New Roman"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93" w:type="pct"/>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建设地点</w:t>
            </w:r>
          </w:p>
        </w:tc>
        <w:tc>
          <w:tcPr>
            <w:tcW w:w="4006" w:type="pct"/>
            <w:gridSpan w:val="4"/>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szCs w:val="24"/>
                <w:lang w:val="en-US" w:eastAsia="zh-CN"/>
              </w:rPr>
              <w:t>河北省承德市围场满族蒙古族自治县围场镇金字村口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93" w:type="pct"/>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地理坐标</w:t>
            </w:r>
          </w:p>
        </w:tc>
        <w:tc>
          <w:tcPr>
            <w:tcW w:w="4006" w:type="pct"/>
            <w:gridSpan w:val="4"/>
            <w:tcBorders>
              <w:top w:val="single" w:color="auto" w:sz="4" w:space="0"/>
              <w:left w:val="single" w:color="auto" w:sz="4" w:space="0"/>
              <w:bottom w:val="single" w:color="auto" w:sz="4" w:space="0"/>
              <w:right w:val="single" w:color="auto" w:sz="8" w:space="0"/>
            </w:tcBorders>
            <w:shd w:val="clear" w:color="auto" w:fill="auto"/>
            <w:vAlign w:val="center"/>
          </w:tcPr>
          <w:p>
            <w:pPr>
              <w:jc w:val="center"/>
              <w:rPr>
                <w:rFonts w:hint="default" w:ascii="Times New Roman" w:hAnsi="Times New Roman" w:eastAsia="宋体" w:cs="Times New Roman"/>
                <w:color w:val="auto"/>
                <w:sz w:val="24"/>
                <w:highlight w:val="none"/>
              </w:rPr>
            </w:pPr>
            <w:bookmarkStart w:id="1" w:name="_Hlk93325224"/>
            <w:r>
              <w:rPr>
                <w:rFonts w:hint="default" w:ascii="Times New Roman" w:hAnsi="Times New Roman" w:eastAsia="宋体" w:cs="Times New Roman"/>
                <w:color w:val="auto"/>
                <w:sz w:val="24"/>
                <w:highlight w:val="none"/>
                <w:u w:val="single"/>
              </w:rPr>
              <w:t>11</w:t>
            </w:r>
            <w:r>
              <w:rPr>
                <w:rFonts w:hint="eastAsia" w:ascii="Times New Roman" w:hAnsi="Times New Roman" w:eastAsia="宋体" w:cs="Times New Roman"/>
                <w:color w:val="auto"/>
                <w:sz w:val="24"/>
                <w:highlight w:val="none"/>
                <w:u w:val="single"/>
                <w:lang w:val="en-US" w:eastAsia="zh-CN"/>
              </w:rPr>
              <w:t>7</w:t>
            </w:r>
            <w:r>
              <w:rPr>
                <w:rFonts w:hint="default" w:ascii="Times New Roman" w:hAnsi="Times New Roman" w:eastAsia="宋体" w:cs="Times New Roman"/>
                <w:color w:val="auto"/>
                <w:sz w:val="24"/>
                <w:highlight w:val="none"/>
              </w:rPr>
              <w:t>度</w:t>
            </w:r>
            <w:r>
              <w:rPr>
                <w:rFonts w:hint="eastAsia" w:ascii="Times New Roman" w:hAnsi="Times New Roman" w:eastAsia="宋体" w:cs="Times New Roman"/>
                <w:color w:val="auto"/>
                <w:sz w:val="24"/>
                <w:highlight w:val="none"/>
                <w:u w:val="single"/>
                <w:lang w:val="en-US" w:eastAsia="zh-CN"/>
              </w:rPr>
              <w:t>42</w:t>
            </w:r>
            <w:r>
              <w:rPr>
                <w:rFonts w:hint="default" w:ascii="Times New Roman" w:hAnsi="Times New Roman" w:eastAsia="宋体" w:cs="Times New Roman"/>
                <w:color w:val="auto"/>
                <w:sz w:val="24"/>
                <w:highlight w:val="none"/>
              </w:rPr>
              <w:t>分</w:t>
            </w:r>
            <w:r>
              <w:rPr>
                <w:rFonts w:hint="eastAsia" w:ascii="Times New Roman" w:hAnsi="Times New Roman" w:eastAsia="宋体" w:cs="Times New Roman"/>
                <w:color w:val="auto"/>
                <w:sz w:val="24"/>
                <w:highlight w:val="none"/>
                <w:u w:val="single"/>
                <w:lang w:val="en-US" w:eastAsia="zh-CN"/>
              </w:rPr>
              <w:t>21.421</w:t>
            </w:r>
            <w:r>
              <w:rPr>
                <w:rFonts w:hint="default" w:ascii="Times New Roman" w:hAnsi="Times New Roman" w:eastAsia="宋体" w:cs="Times New Roman"/>
                <w:color w:val="auto"/>
                <w:sz w:val="24"/>
                <w:highlight w:val="none"/>
              </w:rPr>
              <w:t>秒，</w:t>
            </w:r>
            <w:r>
              <w:rPr>
                <w:rFonts w:hint="default" w:ascii="Times New Roman" w:hAnsi="Times New Roman" w:eastAsia="宋体" w:cs="Times New Roman"/>
                <w:color w:val="auto"/>
                <w:sz w:val="24"/>
                <w:highlight w:val="none"/>
                <w:u w:val="single"/>
              </w:rPr>
              <w:t>4</w:t>
            </w:r>
            <w:r>
              <w:rPr>
                <w:rFonts w:hint="eastAsia" w:ascii="Times New Roman" w:hAnsi="Times New Roman" w:eastAsia="宋体" w:cs="Times New Roman"/>
                <w:color w:val="auto"/>
                <w:sz w:val="24"/>
                <w:highlight w:val="none"/>
                <w:u w:val="single"/>
                <w:lang w:val="en-US" w:eastAsia="zh-CN"/>
              </w:rPr>
              <w:t>1</w:t>
            </w:r>
            <w:r>
              <w:rPr>
                <w:rFonts w:hint="default" w:ascii="Times New Roman" w:hAnsi="Times New Roman" w:eastAsia="宋体" w:cs="Times New Roman"/>
                <w:color w:val="auto"/>
                <w:sz w:val="24"/>
                <w:highlight w:val="none"/>
              </w:rPr>
              <w:t>度</w:t>
            </w:r>
            <w:r>
              <w:rPr>
                <w:rFonts w:hint="eastAsia" w:ascii="Times New Roman" w:hAnsi="Times New Roman" w:eastAsia="宋体" w:cs="Times New Roman"/>
                <w:color w:val="auto"/>
                <w:sz w:val="24"/>
                <w:highlight w:val="none"/>
                <w:u w:val="single"/>
                <w:lang w:val="en-US" w:eastAsia="zh-CN"/>
              </w:rPr>
              <w:t>59</w:t>
            </w:r>
            <w:r>
              <w:rPr>
                <w:rFonts w:hint="default" w:ascii="Times New Roman" w:hAnsi="Times New Roman" w:eastAsia="宋体" w:cs="Times New Roman"/>
                <w:color w:val="auto"/>
                <w:sz w:val="24"/>
                <w:highlight w:val="none"/>
              </w:rPr>
              <w:t>分</w:t>
            </w:r>
            <w:r>
              <w:rPr>
                <w:rFonts w:hint="eastAsia" w:ascii="Times New Roman" w:hAnsi="Times New Roman" w:eastAsia="宋体" w:cs="Times New Roman"/>
                <w:color w:val="auto"/>
                <w:sz w:val="24"/>
                <w:highlight w:val="none"/>
                <w:u w:val="single"/>
                <w:lang w:val="en-US" w:eastAsia="zh-CN"/>
              </w:rPr>
              <w:t>0.404</w:t>
            </w:r>
            <w:r>
              <w:rPr>
                <w:rFonts w:hint="default" w:ascii="Times New Roman" w:hAnsi="Times New Roman" w:eastAsia="宋体" w:cs="Times New Roman"/>
                <w:color w:val="auto"/>
                <w:sz w:val="24"/>
                <w:highlight w:val="none"/>
              </w:rPr>
              <w:t>秒</w:t>
            </w:r>
            <w:bookmarkEnd w:id="1"/>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93" w:type="pct"/>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国民经济</w:t>
            </w:r>
          </w:p>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行业类别</w:t>
            </w:r>
          </w:p>
        </w:tc>
        <w:tc>
          <w:tcPr>
            <w:tcW w:w="109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cs="Times New Roman"/>
                <w:color w:val="auto"/>
                <w:sz w:val="24"/>
                <w:szCs w:val="24"/>
                <w:lang w:val="en-US" w:eastAsia="zh-CN"/>
              </w:rPr>
              <w:t>D4430热力生产和供应</w:t>
            </w:r>
          </w:p>
        </w:tc>
        <w:tc>
          <w:tcPr>
            <w:tcW w:w="1213"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color w:val="auto"/>
                <w:sz w:val="24"/>
              </w:rPr>
            </w:pPr>
            <w:bookmarkStart w:id="2" w:name="_Hlk49843745"/>
            <w:r>
              <w:rPr>
                <w:rFonts w:hint="default" w:ascii="Times New Roman" w:hAnsi="Times New Roman" w:eastAsia="宋体" w:cs="Times New Roman"/>
                <w:color w:val="auto"/>
                <w:sz w:val="24"/>
              </w:rPr>
              <w:t>建设项目</w:t>
            </w:r>
          </w:p>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行业类别</w:t>
            </w:r>
            <w:bookmarkEnd w:id="2"/>
          </w:p>
        </w:tc>
        <w:tc>
          <w:tcPr>
            <w:tcW w:w="1695" w:type="pct"/>
            <w:gridSpan w:val="2"/>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cs="Times New Roman" w:eastAsiaTheme="minorEastAsia"/>
                <w:color w:val="auto"/>
                <w:sz w:val="24"/>
                <w:lang w:val="en-US" w:eastAsia="zh-CN"/>
              </w:rPr>
            </w:pPr>
            <w:r>
              <w:rPr>
                <w:rFonts w:hint="eastAsia" w:ascii="Times New Roman" w:hAnsi="Times New Roman" w:cs="Times New Roman"/>
                <w:color w:val="auto"/>
                <w:sz w:val="24"/>
                <w:lang w:val="en-US" w:eastAsia="zh-CN"/>
              </w:rPr>
              <w:t>四十一、电力、热力生产和供应业—91热力生产和供应工程（包括建设单位自建自用的供热工程）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93" w:type="pct"/>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建设性质</w:t>
            </w:r>
          </w:p>
        </w:tc>
        <w:tc>
          <w:tcPr>
            <w:tcW w:w="1097" w:type="pct"/>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52"/>
            </w:r>
            <w:r>
              <w:rPr>
                <w:rFonts w:hint="default" w:ascii="Times New Roman" w:hAnsi="Times New Roman" w:eastAsia="宋体" w:cs="Times New Roman"/>
                <w:color w:val="auto"/>
                <w:sz w:val="24"/>
              </w:rPr>
              <w:t>新建（迁建）</w:t>
            </w:r>
          </w:p>
          <w:p>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改建</w:t>
            </w:r>
          </w:p>
          <w:p>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扩建</w:t>
            </w:r>
          </w:p>
          <w:p>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技术改造</w:t>
            </w:r>
          </w:p>
        </w:tc>
        <w:tc>
          <w:tcPr>
            <w:tcW w:w="1213"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建设项目</w:t>
            </w:r>
          </w:p>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申报情形</w:t>
            </w:r>
          </w:p>
        </w:tc>
        <w:tc>
          <w:tcPr>
            <w:tcW w:w="1695" w:type="pct"/>
            <w:gridSpan w:val="2"/>
            <w:tcBorders>
              <w:top w:val="single" w:color="auto" w:sz="4" w:space="0"/>
              <w:left w:val="single" w:color="auto" w:sz="4" w:space="0"/>
              <w:bottom w:val="single" w:color="auto" w:sz="4" w:space="0"/>
              <w:right w:val="single" w:color="auto" w:sz="8" w:space="0"/>
            </w:tcBorders>
            <w:shd w:val="clear" w:color="auto" w:fill="auto"/>
            <w:vAlign w:val="center"/>
          </w:tcPr>
          <w:p>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52"/>
            </w:r>
            <w:r>
              <w:rPr>
                <w:rFonts w:hint="default" w:ascii="Times New Roman" w:hAnsi="Times New Roman" w:eastAsia="宋体" w:cs="Times New Roman"/>
                <w:color w:val="auto"/>
                <w:sz w:val="24"/>
              </w:rPr>
              <w:t>首次申报项目</w:t>
            </w:r>
          </w:p>
          <w:p>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不予批准后再次申报项目</w:t>
            </w:r>
          </w:p>
          <w:p>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超五年重新审核项目</w:t>
            </w:r>
          </w:p>
          <w:p>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93" w:type="pct"/>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项目审批（核准/</w:t>
            </w:r>
          </w:p>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备案）部门（选填）</w:t>
            </w:r>
          </w:p>
        </w:tc>
        <w:tc>
          <w:tcPr>
            <w:tcW w:w="109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无</w:t>
            </w:r>
          </w:p>
        </w:tc>
        <w:tc>
          <w:tcPr>
            <w:tcW w:w="1213"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项目审批（核准/</w:t>
            </w:r>
          </w:p>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备案）文号（选填）</w:t>
            </w:r>
          </w:p>
        </w:tc>
        <w:tc>
          <w:tcPr>
            <w:tcW w:w="1695" w:type="pct"/>
            <w:gridSpan w:val="2"/>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93" w:type="pct"/>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总投资（万元）</w:t>
            </w:r>
          </w:p>
        </w:tc>
        <w:tc>
          <w:tcPr>
            <w:tcW w:w="109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11182.7</w:t>
            </w:r>
          </w:p>
        </w:tc>
        <w:tc>
          <w:tcPr>
            <w:tcW w:w="1213" w:type="pct"/>
            <w:tcBorders>
              <w:top w:val="single" w:color="auto" w:sz="4" w:space="0"/>
              <w:left w:val="single" w:color="auto" w:sz="4"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环保投资（万元）</w:t>
            </w:r>
          </w:p>
        </w:tc>
        <w:tc>
          <w:tcPr>
            <w:tcW w:w="1695" w:type="pct"/>
            <w:gridSpan w:val="2"/>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173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93" w:type="pct"/>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环保投资占比（%）</w:t>
            </w:r>
          </w:p>
        </w:tc>
        <w:tc>
          <w:tcPr>
            <w:tcW w:w="109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1.5</w:t>
            </w:r>
          </w:p>
        </w:tc>
        <w:tc>
          <w:tcPr>
            <w:tcW w:w="1213" w:type="pct"/>
            <w:tcBorders>
              <w:top w:val="single" w:color="auto" w:sz="4" w:space="0"/>
              <w:left w:val="single" w:color="auto" w:sz="4"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施工工期</w:t>
            </w:r>
          </w:p>
        </w:tc>
        <w:tc>
          <w:tcPr>
            <w:tcW w:w="1695" w:type="pct"/>
            <w:gridSpan w:val="2"/>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93" w:type="pct"/>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是否开工建设</w:t>
            </w:r>
          </w:p>
        </w:tc>
        <w:tc>
          <w:tcPr>
            <w:tcW w:w="109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否</w:t>
            </w:r>
          </w:p>
          <w:p>
            <w:pPr>
              <w:adjustRightInd w:val="0"/>
              <w:snapToGrid w:val="0"/>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sym w:font="Wingdings 2" w:char="0052"/>
            </w:r>
            <w:r>
              <w:rPr>
                <w:rFonts w:hint="default" w:ascii="Times New Roman" w:hAnsi="Times New Roman" w:eastAsia="宋体" w:cs="Times New Roman"/>
                <w:color w:val="auto"/>
                <w:sz w:val="24"/>
              </w:rPr>
              <w:t>是：</w:t>
            </w:r>
            <w:r>
              <w:rPr>
                <w:rFonts w:hint="default" w:ascii="Times New Roman" w:hAnsi="Times New Roman" w:eastAsia="宋体" w:cs="Times New Roman"/>
                <w:color w:val="auto"/>
                <w:sz w:val="24"/>
                <w:u w:val="single"/>
              </w:rPr>
              <w:t>已建</w:t>
            </w:r>
            <w:r>
              <w:rPr>
                <w:rFonts w:hint="eastAsia" w:ascii="Times New Roman" w:hAnsi="Times New Roman" w:eastAsia="宋体" w:cs="Times New Roman"/>
                <w:color w:val="auto"/>
                <w:sz w:val="24"/>
                <w:u w:val="single"/>
                <w:lang w:val="en-US" w:eastAsia="zh-CN"/>
              </w:rPr>
              <w:t>设</w:t>
            </w:r>
          </w:p>
        </w:tc>
        <w:tc>
          <w:tcPr>
            <w:tcW w:w="1213" w:type="pct"/>
            <w:tcBorders>
              <w:top w:val="single" w:color="auto" w:sz="4" w:space="0"/>
              <w:left w:val="single" w:color="auto" w:sz="4"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pacing w:val="-6"/>
                <w:sz w:val="24"/>
              </w:rPr>
            </w:pPr>
            <w:r>
              <w:rPr>
                <w:rFonts w:hint="default" w:ascii="Times New Roman" w:hAnsi="Times New Roman" w:eastAsia="宋体" w:cs="Times New Roman"/>
                <w:color w:val="auto"/>
                <w:spacing w:val="-6"/>
                <w:sz w:val="24"/>
              </w:rPr>
              <w:t>用地（用海）</w:t>
            </w:r>
          </w:p>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pacing w:val="-6"/>
                <w:sz w:val="24"/>
              </w:rPr>
              <w:t>面积（m</w:t>
            </w:r>
            <w:r>
              <w:rPr>
                <w:rFonts w:hint="default" w:ascii="Times New Roman" w:hAnsi="Times New Roman" w:eastAsia="宋体" w:cs="Times New Roman"/>
                <w:color w:val="auto"/>
                <w:spacing w:val="-6"/>
                <w:sz w:val="24"/>
                <w:vertAlign w:val="superscript"/>
              </w:rPr>
              <w:t>2</w:t>
            </w:r>
            <w:r>
              <w:rPr>
                <w:rFonts w:hint="default" w:ascii="Times New Roman" w:hAnsi="Times New Roman" w:eastAsia="宋体" w:cs="Times New Roman"/>
                <w:color w:val="auto"/>
                <w:spacing w:val="-6"/>
                <w:sz w:val="24"/>
              </w:rPr>
              <w:t>）</w:t>
            </w:r>
          </w:p>
        </w:tc>
        <w:tc>
          <w:tcPr>
            <w:tcW w:w="1695" w:type="pct"/>
            <w:gridSpan w:val="2"/>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22825.19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64" w:hRule="atLeast"/>
          <w:jc w:val="center"/>
        </w:trPr>
        <w:tc>
          <w:tcPr>
            <w:tcW w:w="993" w:type="pct"/>
            <w:gridSpan w:val="2"/>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pPr>
              <w:autoSpaceDE w:val="0"/>
              <w:autoSpaceDN w:val="0"/>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专项评价设置情况</w:t>
            </w:r>
          </w:p>
        </w:tc>
        <w:tc>
          <w:tcPr>
            <w:tcW w:w="4006" w:type="pct"/>
            <w:gridSpan w:val="4"/>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pPr>
              <w:autoSpaceDE w:val="0"/>
              <w:autoSpaceDN w:val="0"/>
              <w:adjustRightInd w:val="0"/>
              <w:snapToGrid w:val="0"/>
              <w:jc w:val="center"/>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专项评价类别：大气专项</w:t>
            </w:r>
          </w:p>
          <w:p>
            <w:pPr>
              <w:autoSpaceDE w:val="0"/>
              <w:autoSpaceDN w:val="0"/>
              <w:adjustRightInd w:val="0"/>
              <w:snapToGrid w:val="0"/>
              <w:jc w:val="center"/>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rPr>
              <w:t>项目排放废气</w:t>
            </w:r>
            <w:r>
              <w:rPr>
                <w:rFonts w:hint="eastAsia" w:ascii="Times New Roman" w:hAnsi="Times New Roman" w:eastAsia="宋体" w:cs="Times New Roman"/>
                <w:color w:val="auto"/>
                <w:kern w:val="0"/>
                <w:sz w:val="24"/>
                <w:lang w:val="en-US" w:eastAsia="zh-CN"/>
              </w:rPr>
              <w:t>含有《有毒有害大气污染物名录》中的汞及其化合物。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3" w:hRule="atLeast"/>
          <w:jc w:val="center"/>
        </w:trPr>
        <w:tc>
          <w:tcPr>
            <w:tcW w:w="993" w:type="pct"/>
            <w:gridSpan w:val="2"/>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pPr>
              <w:autoSpaceDE w:val="0"/>
              <w:autoSpaceDN w:val="0"/>
              <w:adjustRightInd w:val="0"/>
              <w:snapToGrid w:val="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sz w:val="24"/>
                <w:highlight w:val="none"/>
              </w:rPr>
              <w:t>规划情况</w:t>
            </w:r>
          </w:p>
        </w:tc>
        <w:tc>
          <w:tcPr>
            <w:tcW w:w="4006" w:type="pct"/>
            <w:gridSpan w:val="4"/>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pPr>
              <w:autoSpaceDE w:val="0"/>
              <w:autoSpaceDN w:val="0"/>
              <w:adjustRightInd w:val="0"/>
              <w:snapToGrid w:val="0"/>
              <w:spacing w:line="240" w:lineRule="auto"/>
              <w:jc w:val="left"/>
              <w:rPr>
                <w:rFonts w:ascii="Times New Roman" w:hAnsi="Times New Roman" w:eastAsia="宋体" w:cs="Times New Roman"/>
                <w:color w:val="auto"/>
                <w:kern w:val="0"/>
                <w:sz w:val="24"/>
                <w:highlight w:val="none"/>
              </w:rPr>
            </w:pPr>
            <w:r>
              <w:rPr>
                <w:rFonts w:ascii="Times New Roman" w:hAnsi="Times New Roman" w:eastAsia="宋体" w:cs="Times New Roman"/>
                <w:color w:val="auto"/>
                <w:kern w:val="0"/>
                <w:sz w:val="24"/>
                <w:highlight w:val="none"/>
              </w:rPr>
              <w:t>规划名称：《</w:t>
            </w:r>
            <w:r>
              <w:rPr>
                <w:rFonts w:hint="eastAsia" w:ascii="Times New Roman" w:hAnsi="Times New Roman" w:eastAsia="宋体" w:cs="Times New Roman"/>
                <w:color w:val="auto"/>
                <w:kern w:val="0"/>
                <w:sz w:val="24"/>
                <w:highlight w:val="none"/>
                <w:lang w:val="en-US" w:eastAsia="zh-CN"/>
              </w:rPr>
              <w:t>河北围场经济开发区总体规划（2018-2030）</w:t>
            </w:r>
            <w:r>
              <w:rPr>
                <w:rFonts w:ascii="Times New Roman" w:hAnsi="Times New Roman" w:eastAsia="宋体" w:cs="Times New Roman"/>
                <w:color w:val="auto"/>
                <w:kern w:val="0"/>
                <w:sz w:val="24"/>
                <w:highlight w:val="none"/>
              </w:rPr>
              <w:t>》</w:t>
            </w:r>
          </w:p>
          <w:p>
            <w:pPr>
              <w:autoSpaceDE w:val="0"/>
              <w:autoSpaceDN w:val="0"/>
              <w:adjustRightInd w:val="0"/>
              <w:snapToGrid w:val="0"/>
              <w:spacing w:line="240" w:lineRule="auto"/>
              <w:jc w:val="left"/>
              <w:rPr>
                <w:rFonts w:hint="default" w:ascii="Times New Roman" w:hAnsi="Times New Roman" w:eastAsia="宋体" w:cs="Times New Roman"/>
                <w:color w:val="auto"/>
                <w:kern w:val="0"/>
                <w:sz w:val="24"/>
                <w:highlight w:val="none"/>
                <w:lang w:val="en-US" w:eastAsia="zh-CN"/>
              </w:rPr>
            </w:pPr>
            <w:r>
              <w:rPr>
                <w:rFonts w:ascii="Times New Roman" w:hAnsi="Times New Roman" w:eastAsia="宋体" w:cs="Times New Roman"/>
                <w:color w:val="auto"/>
                <w:kern w:val="0"/>
                <w:sz w:val="24"/>
                <w:highlight w:val="none"/>
              </w:rPr>
              <w:t>审批机关：</w:t>
            </w:r>
            <w:r>
              <w:rPr>
                <w:rFonts w:hint="eastAsia" w:ascii="Times New Roman" w:hAnsi="Times New Roman" w:eastAsia="宋体" w:cs="Times New Roman"/>
                <w:color w:val="auto"/>
                <w:kern w:val="0"/>
                <w:sz w:val="24"/>
                <w:highlight w:val="none"/>
                <w:lang w:val="en-US" w:eastAsia="zh-CN"/>
              </w:rPr>
              <w:t>河北省生态环境厅</w:t>
            </w:r>
          </w:p>
          <w:p>
            <w:pPr>
              <w:autoSpaceDE w:val="0"/>
              <w:autoSpaceDN w:val="0"/>
              <w:adjustRightInd w:val="0"/>
              <w:snapToGrid w:val="0"/>
              <w:spacing w:line="240" w:lineRule="auto"/>
              <w:jc w:val="left"/>
              <w:rPr>
                <w:rFonts w:hint="default" w:ascii="Times New Roman" w:hAnsi="Times New Roman" w:eastAsia="宋体" w:cs="Times New Roman"/>
                <w:color w:val="auto"/>
                <w:kern w:val="0"/>
                <w:sz w:val="24"/>
                <w:highlight w:val="none"/>
                <w:lang w:val="en-US" w:eastAsia="zh-CN"/>
              </w:rPr>
            </w:pPr>
            <w:r>
              <w:rPr>
                <w:rFonts w:ascii="Times New Roman" w:hAnsi="Times New Roman" w:eastAsia="宋体" w:cs="Times New Roman"/>
                <w:color w:val="auto"/>
                <w:kern w:val="0"/>
                <w:sz w:val="24"/>
                <w:highlight w:val="none"/>
              </w:rPr>
              <w:t>审批文号：</w:t>
            </w:r>
            <w:r>
              <w:rPr>
                <w:rFonts w:hint="eastAsia" w:ascii="Times New Roman" w:hAnsi="Times New Roman" w:eastAsia="宋体" w:cs="Times New Roman"/>
                <w:color w:val="auto"/>
                <w:kern w:val="0"/>
                <w:sz w:val="24"/>
                <w:highlight w:val="none"/>
                <w:lang w:val="en-US" w:eastAsia="zh-CN"/>
              </w:rPr>
              <w:t>冀环环评函[2020]1185号</w:t>
            </w:r>
          </w:p>
          <w:p>
            <w:pPr>
              <w:adjustRightInd w:val="0"/>
              <w:snapToGrid w:val="0"/>
              <w:spacing w:line="240" w:lineRule="auto"/>
              <w:jc w:val="left"/>
              <w:rPr>
                <w:rFonts w:hint="default" w:ascii="Times New Roman" w:hAnsi="Times New Roman" w:eastAsia="宋体" w:cs="Times New Roman"/>
                <w:color w:val="auto"/>
                <w:kern w:val="0"/>
                <w:sz w:val="24"/>
                <w:highlight w:val="none"/>
              </w:rPr>
            </w:pPr>
            <w:r>
              <w:rPr>
                <w:rFonts w:ascii="Times New Roman" w:hAnsi="Times New Roman" w:eastAsia="宋体" w:cs="Times New Roman"/>
                <w:color w:val="auto"/>
                <w:kern w:val="0"/>
                <w:sz w:val="24"/>
                <w:highlight w:val="none"/>
              </w:rPr>
              <w:t>规划内容：根据《</w:t>
            </w:r>
            <w:r>
              <w:rPr>
                <w:rFonts w:hint="eastAsia" w:ascii="Times New Roman" w:hAnsi="Times New Roman" w:eastAsia="宋体" w:cs="Times New Roman"/>
                <w:color w:val="auto"/>
                <w:kern w:val="0"/>
                <w:sz w:val="24"/>
                <w:highlight w:val="none"/>
                <w:lang w:val="en-US" w:eastAsia="zh-CN"/>
              </w:rPr>
              <w:t>河北围场经济开发区总体规划</w:t>
            </w:r>
            <w:r>
              <w:rPr>
                <w:rFonts w:ascii="Times New Roman" w:hAnsi="Times New Roman" w:eastAsia="宋体" w:cs="Times New Roman"/>
                <w:color w:val="auto"/>
                <w:kern w:val="0"/>
                <w:sz w:val="24"/>
                <w:highlight w:val="none"/>
              </w:rPr>
              <w:t>》，</w:t>
            </w:r>
            <w:r>
              <w:rPr>
                <w:rFonts w:hint="eastAsia" w:ascii="Times New Roman" w:hAnsi="Times New Roman" w:eastAsia="宋体" w:cs="Times New Roman"/>
                <w:color w:val="auto"/>
                <w:kern w:val="0"/>
                <w:sz w:val="24"/>
                <w:highlight w:val="none"/>
              </w:rPr>
              <w:t>规划总用地为12.61平方公里，其中河流水面、农用地等非建设用地面积0.90平方公里，建设用地11.71平方公里。为“一区三园”空间结构布局，分别为中国北方现代物流园区、围场科教园区和四合永工业园区。中国北方现代物流园区位于县城总体规划范围用地的西北方向，沿伊逊河两侧带状向县城西北方向发展。围场科教园区位于县城中心城区南部至坡字村附近。四合永工业园区位于坡字村南部至东官地</w:t>
            </w:r>
            <w:r>
              <w:rPr>
                <w:rFonts w:hint="eastAsia" w:ascii="Times New Roman" w:hAnsi="Times New Roman" w:eastAsia="宋体" w:cs="Times New Roman"/>
                <w:color w:val="auto"/>
                <w:kern w:val="0"/>
                <w:sz w:val="24"/>
                <w:highlight w:val="none"/>
                <w:lang w:val="en-US" w:eastAsia="zh-CN"/>
              </w:rPr>
              <w:t>一</w:t>
            </w:r>
            <w:r>
              <w:rPr>
                <w:rFonts w:hint="eastAsia" w:ascii="Times New Roman" w:hAnsi="Times New Roman" w:eastAsia="宋体" w:cs="Times New Roman"/>
                <w:color w:val="auto"/>
                <w:kern w:val="0"/>
                <w:sz w:val="24"/>
                <w:highlight w:val="none"/>
              </w:rPr>
              <w:t>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64" w:hRule="atLeast"/>
          <w:jc w:val="center"/>
        </w:trPr>
        <w:tc>
          <w:tcPr>
            <w:tcW w:w="993" w:type="pct"/>
            <w:gridSpan w:val="2"/>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规划环境影响</w:t>
            </w:r>
          </w:p>
          <w:p>
            <w:pPr>
              <w:adjustRightInd w:val="0"/>
              <w:snapToGrid w:val="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sz w:val="24"/>
                <w:highlight w:val="none"/>
              </w:rPr>
              <w:t>评价情况</w:t>
            </w:r>
          </w:p>
        </w:tc>
        <w:tc>
          <w:tcPr>
            <w:tcW w:w="4006" w:type="pct"/>
            <w:gridSpan w:val="4"/>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pPr>
              <w:autoSpaceDE w:val="0"/>
              <w:autoSpaceDN w:val="0"/>
              <w:adjustRightInd w:val="0"/>
              <w:snapToGrid w:val="0"/>
              <w:spacing w:line="240" w:lineRule="auto"/>
              <w:jc w:val="left"/>
              <w:rPr>
                <w:rFonts w:ascii="Times New Roman" w:hAnsi="Times New Roman" w:eastAsia="宋体" w:cs="Times New Roman"/>
                <w:color w:val="auto"/>
                <w:kern w:val="0"/>
                <w:sz w:val="24"/>
                <w:highlight w:val="none"/>
              </w:rPr>
            </w:pPr>
            <w:r>
              <w:rPr>
                <w:rFonts w:ascii="Times New Roman" w:hAnsi="Times New Roman" w:eastAsia="宋体" w:cs="Times New Roman"/>
                <w:color w:val="auto"/>
                <w:kern w:val="0"/>
                <w:sz w:val="24"/>
                <w:highlight w:val="none"/>
              </w:rPr>
              <w:t>规划环评文件名称：《</w:t>
            </w:r>
            <w:r>
              <w:rPr>
                <w:rFonts w:hint="eastAsia" w:ascii="Times New Roman" w:hAnsi="Times New Roman" w:eastAsia="宋体" w:cs="Times New Roman"/>
                <w:color w:val="auto"/>
                <w:kern w:val="0"/>
                <w:sz w:val="24"/>
                <w:highlight w:val="none"/>
                <w:lang w:val="en-US" w:eastAsia="zh-CN"/>
              </w:rPr>
              <w:t>河北围场经济开发区总体规划环境影响报告书</w:t>
            </w:r>
            <w:r>
              <w:rPr>
                <w:rFonts w:ascii="Times New Roman" w:hAnsi="Times New Roman" w:eastAsia="宋体" w:cs="Times New Roman"/>
                <w:color w:val="auto"/>
                <w:kern w:val="0"/>
                <w:sz w:val="24"/>
                <w:highlight w:val="none"/>
              </w:rPr>
              <w:t>》；</w:t>
            </w:r>
          </w:p>
          <w:p>
            <w:pPr>
              <w:autoSpaceDE w:val="0"/>
              <w:autoSpaceDN w:val="0"/>
              <w:adjustRightInd w:val="0"/>
              <w:snapToGrid w:val="0"/>
              <w:spacing w:line="240" w:lineRule="auto"/>
              <w:jc w:val="left"/>
              <w:rPr>
                <w:rFonts w:ascii="Times New Roman" w:hAnsi="Times New Roman" w:eastAsia="宋体" w:cs="Times New Roman"/>
                <w:color w:val="auto"/>
                <w:kern w:val="0"/>
                <w:sz w:val="24"/>
                <w:highlight w:val="none"/>
              </w:rPr>
            </w:pPr>
            <w:r>
              <w:rPr>
                <w:rFonts w:ascii="Times New Roman" w:hAnsi="Times New Roman" w:eastAsia="宋体" w:cs="Times New Roman"/>
                <w:color w:val="auto"/>
                <w:kern w:val="0"/>
                <w:sz w:val="24"/>
                <w:highlight w:val="none"/>
              </w:rPr>
              <w:t>召集审查机关：</w:t>
            </w:r>
            <w:r>
              <w:rPr>
                <w:rFonts w:hint="eastAsia" w:ascii="Times New Roman" w:hAnsi="Times New Roman" w:eastAsia="宋体" w:cs="Times New Roman"/>
                <w:color w:val="auto"/>
                <w:kern w:val="0"/>
                <w:sz w:val="24"/>
                <w:highlight w:val="none"/>
                <w:lang w:val="en-US" w:eastAsia="zh-CN"/>
              </w:rPr>
              <w:t>河北省生态环境厅</w:t>
            </w:r>
            <w:r>
              <w:rPr>
                <w:rFonts w:ascii="Times New Roman" w:hAnsi="Times New Roman" w:eastAsia="宋体" w:cs="Times New Roman"/>
                <w:color w:val="auto"/>
                <w:kern w:val="0"/>
                <w:sz w:val="24"/>
                <w:highlight w:val="none"/>
              </w:rPr>
              <w:t>；</w:t>
            </w:r>
          </w:p>
          <w:p>
            <w:pPr>
              <w:autoSpaceDE w:val="0"/>
              <w:autoSpaceDN w:val="0"/>
              <w:adjustRightInd w:val="0"/>
              <w:snapToGrid w:val="0"/>
              <w:spacing w:line="240" w:lineRule="auto"/>
              <w:jc w:val="left"/>
              <w:rPr>
                <w:rFonts w:hint="default" w:ascii="Times New Roman" w:hAnsi="Times New Roman" w:eastAsia="宋体" w:cs="Times New Roman"/>
                <w:color w:val="auto"/>
                <w:kern w:val="0"/>
                <w:sz w:val="24"/>
                <w:highlight w:val="none"/>
              </w:rPr>
            </w:pPr>
            <w:r>
              <w:rPr>
                <w:rFonts w:ascii="Times New Roman" w:hAnsi="Times New Roman" w:eastAsia="宋体" w:cs="Times New Roman"/>
                <w:color w:val="auto"/>
                <w:kern w:val="0"/>
                <w:sz w:val="24"/>
                <w:highlight w:val="none"/>
              </w:rPr>
              <w:t>审查文件名称及文号：关于</w:t>
            </w:r>
            <w:r>
              <w:rPr>
                <w:rFonts w:hint="eastAsia" w:ascii="Times New Roman" w:hAnsi="Times New Roman" w:eastAsia="宋体" w:cs="Times New Roman"/>
                <w:color w:val="auto"/>
                <w:kern w:val="0"/>
                <w:sz w:val="24"/>
                <w:highlight w:val="none"/>
                <w:lang w:val="en-US" w:eastAsia="zh-CN"/>
              </w:rPr>
              <w:t>转送河北围场经济开发区总体规划环境影响报告书审查意见的函，</w:t>
            </w:r>
            <w:r>
              <w:rPr>
                <w:rFonts w:ascii="Times New Roman" w:hAnsi="Times New Roman" w:eastAsia="宋体" w:cs="Times New Roman"/>
                <w:color w:val="auto"/>
                <w:kern w:val="0"/>
                <w:sz w:val="24"/>
                <w:highlight w:val="none"/>
              </w:rPr>
              <w:t>其文号为</w:t>
            </w: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val="en-US" w:eastAsia="zh-CN"/>
              </w:rPr>
              <w:t>冀环环评函[2020]1185号</w:t>
            </w:r>
            <w:r>
              <w:rPr>
                <w:rFonts w:hint="eastAsia" w:ascii="Times New Roman" w:hAnsi="Times New Roman" w:eastAsia="宋体" w:cs="Times New Roman"/>
                <w:color w:val="auto"/>
                <w:kern w:val="0"/>
                <w:sz w:val="24"/>
                <w:highlight w:val="none"/>
                <w:lang w:eastAsia="zh-CN"/>
              </w:rPr>
              <w:t>”</w:t>
            </w:r>
            <w:r>
              <w:rPr>
                <w:rFonts w:ascii="Times New Roman" w:hAnsi="Times New Roman" w:eastAsia="宋体" w:cs="Times New Roman"/>
                <w:color w:val="auto"/>
                <w:kern w:val="0"/>
                <w:sz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64" w:hRule="atLeast"/>
          <w:jc w:val="center"/>
        </w:trPr>
        <w:tc>
          <w:tcPr>
            <w:tcW w:w="993" w:type="pct"/>
            <w:gridSpan w:val="2"/>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pPr>
              <w:adjustRightInd w:val="0"/>
              <w:snapToGrid w:val="0"/>
              <w:jc w:val="center"/>
              <w:rPr>
                <w:rFonts w:hint="default" w:ascii="Times New Roman" w:hAnsi="Times New Roman" w:eastAsia="宋体" w:cs="Times New Roman"/>
                <w:color w:val="auto"/>
                <w:sz w:val="24"/>
                <w:highlight w:val="yellow"/>
              </w:rPr>
            </w:pPr>
            <w:r>
              <w:rPr>
                <w:rFonts w:hint="default" w:ascii="Times New Roman" w:hAnsi="Times New Roman" w:eastAsia="宋体" w:cs="Times New Roman"/>
                <w:color w:val="auto"/>
                <w:sz w:val="24"/>
                <w:highlight w:val="none"/>
              </w:rPr>
              <w:t>规划及规划环境影响评价符合性分析</w:t>
            </w:r>
          </w:p>
        </w:tc>
        <w:tc>
          <w:tcPr>
            <w:tcW w:w="4006" w:type="pct"/>
            <w:gridSpan w:val="4"/>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pPr>
              <w:autoSpaceDE w:val="0"/>
              <w:autoSpaceDN w:val="0"/>
              <w:adjustRightInd w:val="0"/>
              <w:snapToGrid w:val="0"/>
              <w:spacing w:line="360" w:lineRule="auto"/>
              <w:jc w:val="left"/>
              <w:rPr>
                <w:rFonts w:hint="eastAsia" w:ascii="Times New Roman" w:hAnsi="Times New Roman" w:eastAsia="宋体" w:cs="Times New Roman"/>
                <w:color w:val="auto"/>
                <w:kern w:val="0"/>
                <w:sz w:val="24"/>
                <w:lang w:eastAsia="zh-CN"/>
              </w:rPr>
            </w:pPr>
            <w:r>
              <w:rPr>
                <w:rFonts w:ascii="Times New Roman" w:hAnsi="Times New Roman" w:eastAsia="宋体" w:cs="Times New Roman"/>
                <w:color w:val="auto"/>
                <w:kern w:val="0"/>
                <w:sz w:val="24"/>
              </w:rPr>
              <w:t>《</w:t>
            </w:r>
            <w:r>
              <w:rPr>
                <w:rFonts w:hint="eastAsia" w:ascii="Times New Roman" w:hAnsi="Times New Roman" w:eastAsia="宋体" w:cs="Times New Roman"/>
                <w:color w:val="auto"/>
                <w:kern w:val="0"/>
                <w:sz w:val="24"/>
                <w:lang w:val="en-US" w:eastAsia="zh-CN"/>
              </w:rPr>
              <w:t>河北围场经济开发区总体规划环境影响报告书</w:t>
            </w:r>
            <w:r>
              <w:rPr>
                <w:rFonts w:ascii="Times New Roman" w:hAnsi="Times New Roman" w:eastAsia="宋体" w:cs="Times New Roman"/>
                <w:color w:val="auto"/>
                <w:kern w:val="0"/>
                <w:sz w:val="24"/>
              </w:rPr>
              <w:t>》及审查意见符合性分析</w:t>
            </w:r>
            <w:r>
              <w:rPr>
                <w:rFonts w:hint="eastAsia" w:ascii="Times New Roman" w:hAnsi="Times New Roman" w:eastAsia="宋体" w:cs="Times New Roman"/>
                <w:color w:val="auto"/>
                <w:kern w:val="0"/>
                <w:sz w:val="24"/>
                <w:lang w:eastAsia="zh-CN"/>
              </w:rPr>
              <w:t>：</w:t>
            </w:r>
          </w:p>
          <w:p>
            <w:pPr>
              <w:autoSpaceDE w:val="0"/>
              <w:autoSpaceDN w:val="0"/>
              <w:adjustRightInd w:val="0"/>
              <w:snapToGrid w:val="0"/>
              <w:spacing w:line="360" w:lineRule="auto"/>
              <w:jc w:val="left"/>
              <w:rPr>
                <w:rFonts w:hint="eastAsia" w:ascii="Times New Roman" w:hAnsi="Times New Roman" w:eastAsia="宋体" w:cs="Times New Roman"/>
                <w:color w:val="auto"/>
                <w:kern w:val="0"/>
                <w:sz w:val="24"/>
                <w:lang w:val="en-US" w:eastAsia="zh-CN"/>
              </w:rPr>
            </w:pPr>
            <w:r>
              <w:rPr>
                <w:rFonts w:ascii="Times New Roman" w:hAnsi="Times New Roman" w:eastAsia="宋体" w:cs="Times New Roman"/>
                <w:color w:val="auto"/>
                <w:kern w:val="0"/>
                <w:sz w:val="24"/>
              </w:rPr>
              <w:t>关于</w:t>
            </w:r>
            <w:r>
              <w:rPr>
                <w:rFonts w:hint="eastAsia" w:ascii="Times New Roman" w:hAnsi="Times New Roman" w:eastAsia="宋体" w:cs="Times New Roman"/>
                <w:color w:val="auto"/>
                <w:kern w:val="0"/>
                <w:sz w:val="24"/>
                <w:lang w:val="en-US" w:eastAsia="zh-CN"/>
              </w:rPr>
              <w:t>转送河北围场经济开发区总体规划环境影响报告书审查意见的函指出：（六）注重开发区发展与区域资源承载力相协调，统筹规划建设供水、排水、供热、供气等基础设施。开发区供水依托龙头山水厂和规划新建水厂，龙头山水厂已投入运行，供水规模4万立方米/日，远期供水规模6万立方米/日；规划新建水厂供水规模2万立方米/日，供水工程及配套管网应于2022年底前建设完成。开发区现状生活污水依托鑫汇污水净化处理中心处理；工业废水经过预处理，达到《污水综合排放标准》( GB8978-1996)中的三级标准及污水处理厂进水水质要求后，排入天澄污水处理厂，鑫汇污水处理中心和天澄污水处理厂应于2021年底前配套建成中水处理回用设施，实现中水全部回用。中国北方物流园区依托围场县供热公司供热,规划新增龙头山车字供热厂、</w:t>
            </w:r>
            <w:r>
              <w:rPr>
                <w:rFonts w:hint="eastAsia" w:ascii="Times New Roman" w:hAnsi="Times New Roman" w:eastAsia="宋体" w:cs="Times New Roman"/>
                <w:b/>
                <w:bCs/>
                <w:color w:val="auto"/>
                <w:kern w:val="0"/>
                <w:sz w:val="24"/>
                <w:lang w:val="en-US" w:eastAsia="zh-CN"/>
              </w:rPr>
              <w:t>腾兴供热有限公司</w:t>
            </w:r>
            <w:r>
              <w:rPr>
                <w:rFonts w:hint="eastAsia" w:ascii="Times New Roman" w:hAnsi="Times New Roman" w:eastAsia="宋体" w:cs="Times New Roman"/>
                <w:color w:val="auto"/>
                <w:kern w:val="0"/>
                <w:sz w:val="24"/>
                <w:lang w:val="en-US" w:eastAsia="zh-CN"/>
              </w:rPr>
              <w:t>供热站两个热源；科教园区由城南调峰热源厂供热，四合永工业园区由东官地哈拉沟供热厂供热，以上供热设施应于2022年底前建设完成。开发区应于2021年底前实现集中供应天然气。围场满族蒙古族自治县腾兴供热有限公司城北热源厂（金字供热站）项目属于园区配套供热设施，符合园区规划。</w:t>
            </w:r>
          </w:p>
          <w:p>
            <w:pPr>
              <w:autoSpaceDE w:val="0"/>
              <w:autoSpaceDN w:val="0"/>
              <w:adjustRightInd w:val="0"/>
              <w:snapToGrid w:val="0"/>
              <w:spacing w:line="240" w:lineRule="auto"/>
              <w:jc w:val="left"/>
              <w:rPr>
                <w:rFonts w:hint="eastAsia" w:ascii="Times New Roman" w:hAnsi="Times New Roman" w:eastAsia="宋体" w:cs="Times New Roman"/>
                <w:color w:val="auto"/>
                <w:kern w:val="0"/>
                <w:sz w:val="24"/>
                <w:lang w:val="en-US" w:eastAsia="zh-CN"/>
              </w:rPr>
            </w:pPr>
          </w:p>
          <w:p>
            <w:pPr>
              <w:autoSpaceDE w:val="0"/>
              <w:autoSpaceDN w:val="0"/>
              <w:adjustRightInd w:val="0"/>
              <w:snapToGrid w:val="0"/>
              <w:spacing w:line="240" w:lineRule="auto"/>
              <w:jc w:val="left"/>
              <w:rPr>
                <w:rFonts w:hint="eastAsia" w:ascii="Times New Roman" w:hAnsi="Times New Roman" w:eastAsia="宋体" w:cs="Times New Roman"/>
                <w:color w:val="auto"/>
                <w:kern w:val="0"/>
                <w:sz w:val="24"/>
                <w:lang w:val="en-US" w:eastAsia="zh-CN"/>
              </w:rPr>
            </w:pPr>
          </w:p>
          <w:p>
            <w:pPr>
              <w:autoSpaceDE w:val="0"/>
              <w:autoSpaceDN w:val="0"/>
              <w:adjustRightInd w:val="0"/>
              <w:snapToGrid w:val="0"/>
              <w:spacing w:line="240" w:lineRule="auto"/>
              <w:jc w:val="left"/>
              <w:rPr>
                <w:rFonts w:hint="eastAsia" w:ascii="Times New Roman" w:hAnsi="Times New Roman" w:eastAsia="宋体" w:cs="Times New Roman"/>
                <w:color w:val="auto"/>
                <w:kern w:val="0"/>
                <w:sz w:val="24"/>
                <w:lang w:val="en-US" w:eastAsia="zh-CN"/>
              </w:rPr>
            </w:pPr>
          </w:p>
          <w:p>
            <w:pPr>
              <w:autoSpaceDE w:val="0"/>
              <w:autoSpaceDN w:val="0"/>
              <w:adjustRightInd w:val="0"/>
              <w:snapToGrid w:val="0"/>
              <w:spacing w:line="240" w:lineRule="auto"/>
              <w:jc w:val="left"/>
              <w:rPr>
                <w:rFonts w:hint="eastAsia" w:ascii="Times New Roman" w:hAnsi="Times New Roman" w:eastAsia="宋体" w:cs="Times New Roman"/>
                <w:color w:val="auto"/>
                <w:kern w:val="0"/>
                <w:sz w:val="24"/>
                <w:lang w:val="en-US" w:eastAsia="zh-CN"/>
              </w:rPr>
            </w:pPr>
          </w:p>
          <w:p>
            <w:pPr>
              <w:autoSpaceDE w:val="0"/>
              <w:autoSpaceDN w:val="0"/>
              <w:adjustRightInd w:val="0"/>
              <w:snapToGrid w:val="0"/>
              <w:spacing w:line="240" w:lineRule="auto"/>
              <w:jc w:val="left"/>
              <w:rPr>
                <w:rFonts w:hint="eastAsia" w:ascii="Times New Roman" w:hAnsi="Times New Roman" w:eastAsia="宋体" w:cs="Times New Roman"/>
                <w:color w:val="auto"/>
                <w:kern w:val="0"/>
                <w:sz w:val="24"/>
                <w:lang w:val="en-US" w:eastAsia="zh-CN"/>
              </w:rPr>
            </w:pPr>
          </w:p>
          <w:p>
            <w:pPr>
              <w:autoSpaceDE w:val="0"/>
              <w:autoSpaceDN w:val="0"/>
              <w:adjustRightInd w:val="0"/>
              <w:snapToGrid w:val="0"/>
              <w:spacing w:line="240" w:lineRule="auto"/>
              <w:jc w:val="left"/>
              <w:rPr>
                <w:rFonts w:hint="eastAsia" w:ascii="Times New Roman" w:hAnsi="Times New Roman" w:eastAsia="宋体" w:cs="Times New Roman"/>
                <w:color w:val="auto"/>
                <w:kern w:val="0"/>
                <w:sz w:val="24"/>
                <w:lang w:val="en-US" w:eastAsia="zh-CN"/>
              </w:rPr>
            </w:pPr>
          </w:p>
          <w:p>
            <w:pPr>
              <w:autoSpaceDE w:val="0"/>
              <w:autoSpaceDN w:val="0"/>
              <w:adjustRightInd w:val="0"/>
              <w:snapToGrid w:val="0"/>
              <w:spacing w:line="240" w:lineRule="auto"/>
              <w:jc w:val="left"/>
              <w:rPr>
                <w:rFonts w:hint="eastAsia" w:ascii="Times New Roman" w:hAnsi="Times New Roman" w:eastAsia="宋体" w:cs="Times New Roman"/>
                <w:color w:val="auto"/>
                <w:kern w:val="0"/>
                <w:sz w:val="24"/>
                <w:lang w:val="en-US" w:eastAsia="zh-CN"/>
              </w:rPr>
            </w:pPr>
          </w:p>
          <w:p>
            <w:pPr>
              <w:autoSpaceDE w:val="0"/>
              <w:autoSpaceDN w:val="0"/>
              <w:adjustRightInd w:val="0"/>
              <w:snapToGrid w:val="0"/>
              <w:spacing w:line="240" w:lineRule="auto"/>
              <w:jc w:val="left"/>
              <w:rPr>
                <w:rFonts w:hint="eastAsia" w:ascii="Times New Roman" w:hAnsi="Times New Roman" w:eastAsia="宋体" w:cs="Times New Roman"/>
                <w:color w:val="auto"/>
                <w:kern w:val="0"/>
                <w:sz w:val="24"/>
                <w:lang w:val="en-US" w:eastAsia="zh-CN"/>
              </w:rPr>
            </w:pPr>
          </w:p>
          <w:p>
            <w:pPr>
              <w:autoSpaceDE w:val="0"/>
              <w:autoSpaceDN w:val="0"/>
              <w:adjustRightInd w:val="0"/>
              <w:snapToGrid w:val="0"/>
              <w:spacing w:line="240" w:lineRule="auto"/>
              <w:jc w:val="left"/>
              <w:rPr>
                <w:rFonts w:hint="eastAsia" w:ascii="Times New Roman" w:hAnsi="Times New Roman" w:eastAsia="宋体" w:cs="Times New Roman"/>
                <w:color w:val="auto"/>
                <w:kern w:val="0"/>
                <w:sz w:val="24"/>
                <w:lang w:val="en-US" w:eastAsia="zh-CN"/>
              </w:rPr>
            </w:pPr>
          </w:p>
          <w:p>
            <w:pPr>
              <w:autoSpaceDE w:val="0"/>
              <w:autoSpaceDN w:val="0"/>
              <w:adjustRightInd w:val="0"/>
              <w:snapToGrid w:val="0"/>
              <w:spacing w:line="240" w:lineRule="auto"/>
              <w:jc w:val="left"/>
              <w:rPr>
                <w:rFonts w:hint="default" w:ascii="Times New Roman" w:hAnsi="Times New Roman" w:eastAsia="宋体" w:cs="Times New Roman"/>
                <w:color w:val="auto"/>
                <w:kern w:val="0"/>
                <w:sz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3" w:type="pct"/>
          <w:trHeight w:val="1021" w:hRule="atLeast"/>
          <w:jc w:val="center"/>
        </w:trPr>
        <w:tc>
          <w:tcPr>
            <w:tcW w:w="257" w:type="pct"/>
            <w:tcBorders>
              <w:top w:val="single" w:color="auto" w:sz="4" w:space="0"/>
              <w:left w:val="single" w:color="auto" w:sz="8" w:space="0"/>
              <w:bottom w:val="single" w:color="auto" w:sz="8" w:space="0"/>
              <w:right w:val="single" w:color="auto" w:sz="4" w:space="0"/>
            </w:tcBorders>
            <w:shd w:val="clear" w:color="auto" w:fill="auto"/>
            <w:tcMar>
              <w:left w:w="108" w:type="dxa"/>
              <w:right w:w="108" w:type="dxa"/>
            </w:tcMar>
            <w:vAlign w:val="center"/>
          </w:tcPr>
          <w:p>
            <w:pPr>
              <w:rPr>
                <w:rFonts w:hint="default" w:ascii="Times New Roman" w:hAnsi="Times New Roman" w:eastAsia="宋体" w:cs="Times New Roman"/>
                <w:color w:val="auto"/>
                <w:kern w:val="0"/>
                <w:sz w:val="24"/>
              </w:rPr>
            </w:pPr>
            <w:r>
              <w:rPr>
                <w:rFonts w:hint="default" w:ascii="Times New Roman" w:hAnsi="Times New Roman" w:cs="Times New Roman"/>
                <w:color w:val="auto"/>
              </w:rPr>
              <w:br w:type="page"/>
            </w:r>
            <w:r>
              <w:rPr>
                <w:rFonts w:hint="default" w:ascii="Times New Roman" w:hAnsi="Times New Roman" w:eastAsia="宋体" w:cs="Times New Roman"/>
                <w:color w:val="auto"/>
                <w:kern w:val="0"/>
                <w:sz w:val="24"/>
              </w:rPr>
              <w:t>其他符合性分析</w:t>
            </w:r>
          </w:p>
        </w:tc>
        <w:tc>
          <w:tcPr>
            <w:tcW w:w="4738" w:type="pct"/>
            <w:gridSpan w:val="4"/>
            <w:tcBorders>
              <w:top w:val="single" w:color="auto" w:sz="4" w:space="0"/>
              <w:left w:val="single" w:color="auto" w:sz="4"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1、三线一单符合性</w:t>
            </w:r>
          </w:p>
          <w:p>
            <w:pPr>
              <w:pStyle w:val="36"/>
              <w:keepNext w:val="0"/>
              <w:keepLines w:val="0"/>
              <w:pageBreakBefore w:val="0"/>
              <w:widowControl w:val="0"/>
              <w:kinsoku/>
              <w:wordWrap/>
              <w:overflowPunct/>
              <w:topLinePunct w:val="0"/>
              <w:bidi w:val="0"/>
              <w:adjustRightInd w:val="0"/>
              <w:snapToGrid w:val="0"/>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关于以改善环境质量为核心加强环境影响评价管理的通知》（环境保护部文件：环环评[2016]150号）、《承德市人民政府关于加快实施“三线一单”生态环境分区管控的意见》（承德市生态环境局2021年6月18发布），进行项目“三线一单”符合性分析，判定内容如下表所示：</w:t>
            </w:r>
          </w:p>
          <w:p>
            <w:pPr>
              <w:pStyle w:val="59"/>
              <w:keepNext w:val="0"/>
              <w:keepLines w:val="0"/>
              <w:pageBreakBefore w:val="0"/>
              <w:widowControl w:val="0"/>
              <w:numPr>
                <w:ilvl w:val="0"/>
                <w:numId w:val="2"/>
              </w:numPr>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项目与“三线一单”符合性分析表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3863"/>
              <w:gridCol w:w="2904"/>
              <w:gridCol w:w="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序号</w:t>
                  </w:r>
                </w:p>
              </w:tc>
              <w:tc>
                <w:tcPr>
                  <w:tcW w:w="2361"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分析内容</w:t>
                  </w:r>
                </w:p>
              </w:tc>
              <w:tc>
                <w:tcPr>
                  <w:tcW w:w="1775"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企业情况</w:t>
                  </w:r>
                </w:p>
              </w:tc>
              <w:tc>
                <w:tcPr>
                  <w:tcW w:w="463"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评估结果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生态保护红线</w:t>
                  </w:r>
                </w:p>
              </w:tc>
              <w:tc>
                <w:tcPr>
                  <w:tcW w:w="2361"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rPr>
                    <w:t>生态保护红线是生态空间范围内具有特殊重要生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w:t>
                  </w:r>
                  <w:r>
                    <w:rPr>
                      <w:rFonts w:hint="default" w:ascii="Times New Roman" w:hAnsi="Times New Roman" w:cs="Times New Roman"/>
                      <w:color w:val="auto"/>
                      <w:highlight w:val="none"/>
                    </w:rPr>
                    <w:t>通讯</w:t>
                  </w:r>
                  <w:r>
                    <w:rPr>
                      <w:rFonts w:hint="default" w:ascii="Times New Roman" w:hAnsi="Times New Roman" w:cs="Times New Roman"/>
                      <w:color w:val="auto"/>
                    </w:rPr>
                    <w:t>、输变电等重要础设施项目外，在生态保护红线范围内，严控各类开发建设活动，依法不予审批技改工业项目和矿产开发项目的环评文件。</w:t>
                  </w:r>
                </w:p>
              </w:tc>
              <w:tc>
                <w:tcPr>
                  <w:tcW w:w="1775"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根据承德市生态保护红线成果，本项目不在生态保护红线范围内，距离项目最近生态保护红线位于</w:t>
                  </w:r>
                  <w:r>
                    <w:rPr>
                      <w:rFonts w:hint="default" w:ascii="Times New Roman" w:hAnsi="Times New Roman" w:cs="Times New Roman"/>
                      <w:color w:val="auto"/>
                      <w:szCs w:val="21"/>
                      <w:lang w:val="en-US" w:eastAsia="zh-CN"/>
                    </w:rPr>
                    <w:t>供热站南侧137m</w:t>
                  </w:r>
                  <w:r>
                    <w:rPr>
                      <w:rFonts w:hint="default" w:ascii="Times New Roman" w:hAnsi="Times New Roman" w:cs="Times New Roman"/>
                      <w:color w:val="auto"/>
                      <w:szCs w:val="21"/>
                    </w:rPr>
                    <w:t>，关系图详见附图。</w:t>
                  </w:r>
                </w:p>
              </w:tc>
              <w:tc>
                <w:tcPr>
                  <w:tcW w:w="463"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环境质量底线</w:t>
                  </w:r>
                </w:p>
              </w:tc>
              <w:tc>
                <w:tcPr>
                  <w:tcW w:w="2361"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1775"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根据《2021年承德市生态环境状况公报》中</w:t>
                  </w:r>
                  <w:r>
                    <w:rPr>
                      <w:rFonts w:hint="eastAsia" w:ascii="Times New Roman" w:hAnsi="Times New Roman" w:cs="Times New Roman"/>
                      <w:color w:val="auto"/>
                      <w:szCs w:val="21"/>
                      <w:lang w:val="en-US" w:eastAsia="zh-CN"/>
                    </w:rPr>
                    <w:t>围场</w:t>
                  </w:r>
                  <w:r>
                    <w:rPr>
                      <w:rFonts w:hint="default" w:ascii="Times New Roman" w:hAnsi="Times New Roman" w:cs="Times New Roman"/>
                      <w:color w:val="auto"/>
                      <w:szCs w:val="21"/>
                    </w:rPr>
                    <w:t>大气常规污染物数据，项目所在区域环境空气中，O</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日最大8小时年均值、PM</w:t>
                  </w:r>
                  <w:r>
                    <w:rPr>
                      <w:rFonts w:hint="default" w:ascii="Times New Roman" w:hAnsi="Times New Roman" w:cs="Times New Roman"/>
                      <w:color w:val="auto"/>
                      <w:szCs w:val="21"/>
                      <w:vertAlign w:val="subscript"/>
                    </w:rPr>
                    <w:t>10</w:t>
                  </w:r>
                  <w:r>
                    <w:rPr>
                      <w:rFonts w:hint="default" w:ascii="Times New Roman" w:hAnsi="Times New Roman" w:cs="Times New Roman"/>
                      <w:color w:val="auto"/>
                      <w:szCs w:val="21"/>
                    </w:rPr>
                    <w:t>年均值、PM</w:t>
                  </w:r>
                  <w:r>
                    <w:rPr>
                      <w:rFonts w:hint="default" w:ascii="Times New Roman" w:hAnsi="Times New Roman" w:cs="Times New Roman"/>
                      <w:color w:val="auto"/>
                      <w:szCs w:val="21"/>
                      <w:vertAlign w:val="subscript"/>
                    </w:rPr>
                    <w:t>2.5</w:t>
                  </w:r>
                  <w:r>
                    <w:rPr>
                      <w:rFonts w:hint="default" w:ascii="Times New Roman" w:hAnsi="Times New Roman" w:cs="Times New Roman"/>
                      <w:color w:val="auto"/>
                      <w:szCs w:val="21"/>
                    </w:rPr>
                    <w:t>年均值、SO</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年均值、NO</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年均值、CO24小时平均值和TSP24小时均值均满足《环境空气质量标准》（GB3095-2012）及其修改单中的二级标准，项目所在区域为达标区。项目运营期</w:t>
                  </w:r>
                  <w:r>
                    <w:rPr>
                      <w:rFonts w:hint="eastAsia" w:ascii="Times New Roman" w:hAnsi="Times New Roman" w:cs="Times New Roman"/>
                      <w:color w:val="auto"/>
                      <w:szCs w:val="21"/>
                      <w:lang w:val="en-US" w:eastAsia="zh-CN"/>
                    </w:rPr>
                    <w:t>废气主要为锅炉产生的烟气，以及煤库、渣库、灰库产生的无组织颗粒物</w:t>
                  </w:r>
                  <w:r>
                    <w:rPr>
                      <w:rFonts w:hint="default" w:ascii="Times New Roman" w:hAnsi="Times New Roman" w:cs="Times New Roman"/>
                      <w:color w:val="auto"/>
                      <w:szCs w:val="21"/>
                    </w:rPr>
                    <w:t>，</w:t>
                  </w:r>
                  <w:r>
                    <w:rPr>
                      <w:rFonts w:hint="eastAsia" w:ascii="Times New Roman" w:hAnsi="Times New Roman" w:cs="Times New Roman"/>
                      <w:color w:val="auto"/>
                      <w:szCs w:val="21"/>
                      <w:lang w:val="en-US" w:eastAsia="zh-CN"/>
                    </w:rPr>
                    <w:t>采取相应措施后可达标排放</w:t>
                  </w:r>
                  <w:r>
                    <w:rPr>
                      <w:rFonts w:hint="default" w:ascii="Times New Roman" w:hAnsi="Times New Roman" w:cs="Times New Roman"/>
                      <w:color w:val="auto"/>
                      <w:szCs w:val="21"/>
                    </w:rPr>
                    <w:t>，符合环境质量底线的要求。</w:t>
                  </w:r>
                </w:p>
              </w:tc>
              <w:tc>
                <w:tcPr>
                  <w:tcW w:w="463"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资源利用上线</w:t>
                  </w:r>
                </w:p>
              </w:tc>
              <w:tc>
                <w:tcPr>
                  <w:tcW w:w="2361"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防护措施等方面提出建议，为规划编制和审批决策提供重要依据。</w:t>
                  </w:r>
                </w:p>
              </w:tc>
              <w:tc>
                <w:tcPr>
                  <w:tcW w:w="1775"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本项目用电量1</w:t>
                  </w:r>
                  <w:r>
                    <w:rPr>
                      <w:rFonts w:hint="eastAsia" w:ascii="Times New Roman" w:hAnsi="Times New Roman" w:cs="Times New Roman"/>
                      <w:color w:val="auto"/>
                      <w:szCs w:val="21"/>
                      <w:lang w:val="en-US" w:eastAsia="zh-CN"/>
                    </w:rPr>
                    <w:t>03.45</w:t>
                  </w:r>
                  <w:r>
                    <w:rPr>
                      <w:rFonts w:hint="default" w:ascii="Times New Roman" w:hAnsi="Times New Roman" w:cs="Times New Roman"/>
                      <w:color w:val="auto"/>
                      <w:szCs w:val="21"/>
                    </w:rPr>
                    <w:t>万kW·h</w:t>
                  </w:r>
                  <w:r>
                    <w:rPr>
                      <w:rFonts w:hint="default" w:ascii="Times New Roman" w:hAnsi="Times New Roman" w:cs="Times New Roman"/>
                      <w:bCs/>
                      <w:color w:val="auto"/>
                      <w:szCs w:val="21"/>
                    </w:rPr>
                    <w:t>/a</w:t>
                  </w:r>
                  <w:r>
                    <w:rPr>
                      <w:rFonts w:hint="default" w:ascii="Times New Roman" w:hAnsi="Times New Roman" w:cs="Times New Roman"/>
                      <w:color w:val="auto"/>
                      <w:szCs w:val="21"/>
                    </w:rPr>
                    <w:t>，用水量为</w:t>
                  </w:r>
                  <w:r>
                    <w:rPr>
                      <w:rFonts w:hint="eastAsia" w:ascii="Times New Roman" w:hAnsi="Times New Roman" w:cs="Times New Roman"/>
                      <w:color w:val="auto"/>
                      <w:szCs w:val="21"/>
                      <w:lang w:val="en-US" w:eastAsia="zh-CN"/>
                    </w:rPr>
                    <w:t>29575.65</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bCs/>
                      <w:color w:val="auto"/>
                      <w:szCs w:val="21"/>
                    </w:rPr>
                    <w:t>/a</w:t>
                  </w:r>
                  <w:r>
                    <w:rPr>
                      <w:rFonts w:hint="default" w:ascii="Times New Roman" w:hAnsi="Times New Roman" w:cs="Times New Roman"/>
                      <w:color w:val="auto"/>
                      <w:szCs w:val="21"/>
                    </w:rPr>
                    <w:t>，项目占地面积为</w:t>
                  </w:r>
                  <w:r>
                    <w:rPr>
                      <w:rFonts w:hint="eastAsia" w:ascii="Times New Roman" w:hAnsi="Times New Roman" w:cs="Times New Roman"/>
                      <w:color w:val="auto"/>
                      <w:szCs w:val="21"/>
                      <w:lang w:val="en-US" w:eastAsia="zh-CN"/>
                    </w:rPr>
                    <w:t>22825.19</w:t>
                  </w:r>
                  <w:r>
                    <w:rPr>
                      <w:rFonts w:hint="default" w:ascii="Times New Roman" w:hAnsi="Times New Roman" w:cs="Times New Roman"/>
                      <w:color w:val="auto"/>
                      <w:szCs w:val="21"/>
                      <w:lang w:val="en-US" w:eastAsia="zh-CN"/>
                    </w:rPr>
                    <w:t>m</w:t>
                  </w:r>
                  <w:r>
                    <w:rPr>
                      <w:rFonts w:hint="default" w:ascii="Times New Roman" w:hAnsi="Times New Roman" w:cs="Times New Roman"/>
                      <w:color w:val="auto"/>
                      <w:szCs w:val="21"/>
                      <w:vertAlign w:val="superscript"/>
                      <w:lang w:val="en-US" w:eastAsia="zh-CN"/>
                    </w:rPr>
                    <w:t>2</w:t>
                  </w:r>
                  <w:r>
                    <w:rPr>
                      <w:rFonts w:hint="default" w:ascii="Times New Roman" w:hAnsi="Times New Roman" w:cs="Times New Roman"/>
                      <w:color w:val="auto"/>
                      <w:szCs w:val="21"/>
                      <w:lang w:val="en-US" w:eastAsia="zh-CN"/>
                    </w:rPr>
                    <w:t>，不</w:t>
                  </w:r>
                  <w:r>
                    <w:rPr>
                      <w:rFonts w:hint="default" w:ascii="Times New Roman" w:hAnsi="Times New Roman" w:cs="Times New Roman"/>
                      <w:color w:val="auto"/>
                      <w:szCs w:val="21"/>
                    </w:rPr>
                    <w:t>涉及突破资源利用上限。</w:t>
                  </w:r>
                </w:p>
              </w:tc>
              <w:tc>
                <w:tcPr>
                  <w:tcW w:w="463"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负面</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清单</w:t>
                  </w:r>
                </w:p>
              </w:tc>
              <w:tc>
                <w:tcPr>
                  <w:tcW w:w="2361"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环境准入负面清单是基于生态保护红线、环境质量底线和资源利用上线，以清单方式列出的禁止、限制等差别化环境准入条件和要求。</w:t>
                  </w:r>
                </w:p>
              </w:tc>
              <w:tc>
                <w:tcPr>
                  <w:tcW w:w="1775"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项目属于</w:t>
                  </w:r>
                  <w:r>
                    <w:rPr>
                      <w:rFonts w:hint="default" w:ascii="Times New Roman" w:hAnsi="Times New Roman" w:cs="Times New Roman"/>
                      <w:color w:val="auto"/>
                    </w:rPr>
                    <w:t>《国民经济行业分类》（GB/T4754-2017）中</w:t>
                  </w:r>
                  <w:r>
                    <w:rPr>
                      <w:rFonts w:hint="eastAsia" w:ascii="Times New Roman" w:hAnsi="Times New Roman" w:cs="Times New Roman"/>
                      <w:color w:val="auto"/>
                      <w:lang w:val="en-US" w:eastAsia="zh-CN"/>
                    </w:rPr>
                    <w:t>4430</w:t>
                  </w:r>
                  <w:r>
                    <w:rPr>
                      <w:rFonts w:hint="default" w:ascii="Times New Roman" w:hAnsi="Times New Roman" w:cs="Times New Roman"/>
                      <w:color w:val="auto"/>
                      <w:lang w:val="en-US" w:eastAsia="zh-CN"/>
                    </w:rPr>
                    <w:t>热力生产和供应</w:t>
                  </w:r>
                  <w:r>
                    <w:rPr>
                      <w:rFonts w:hint="default" w:ascii="Times New Roman" w:hAnsi="Times New Roman" w:cs="Times New Roman"/>
                      <w:color w:val="auto"/>
                    </w:rPr>
                    <w:t>，经查阅《产业结构调整指导目录(2019年本)》、《关于印发河北省新增限制和淘汰类产业目录(2015年版)的通知》（冀政办发[2015]7号），本项目为不属于限制类、淘汰类，运营过程中不使用国家明令禁止淘汰类和限制类工艺和设备，</w:t>
                  </w:r>
                  <w:r>
                    <w:rPr>
                      <w:rFonts w:hint="default" w:ascii="Times New Roman" w:hAnsi="Times New Roman" w:eastAsia="宋体" w:cs="Times New Roman"/>
                      <w:color w:val="auto"/>
                    </w:rPr>
                    <w:t>因此项目符合相关产业政策要求。</w:t>
                  </w:r>
                  <w:r>
                    <w:rPr>
                      <w:rFonts w:hint="eastAsia" w:ascii="Times New Roman" w:hAnsi="Times New Roman" w:eastAsia="宋体" w:cs="Times New Roman"/>
                      <w:color w:val="auto"/>
                      <w:lang w:val="en-US" w:eastAsia="zh-CN"/>
                    </w:rPr>
                    <w:t>本项目不属于</w:t>
                  </w:r>
                  <w:r>
                    <w:rPr>
                      <w:rFonts w:hint="default" w:ascii="Times New Roman" w:hAnsi="Times New Roman" w:cs="Times New Roman"/>
                      <w:color w:val="auto"/>
                      <w:szCs w:val="22"/>
                    </w:rPr>
                    <w:t>《康保县等坝上六县国家重点生态功能区产业准入负面清单（试行）》</w:t>
                  </w:r>
                  <w:r>
                    <w:rPr>
                      <w:rFonts w:hint="eastAsia" w:ascii="Times New Roman" w:hAnsi="Times New Roman" w:cs="Times New Roman"/>
                      <w:color w:val="auto"/>
                      <w:szCs w:val="22"/>
                      <w:lang w:eastAsia="zh-CN"/>
                    </w:rPr>
                    <w:t>（</w:t>
                  </w:r>
                  <w:r>
                    <w:rPr>
                      <w:rFonts w:hint="eastAsia" w:ascii="Times New Roman" w:hAnsi="Times New Roman" w:cs="Times New Roman"/>
                      <w:color w:val="auto"/>
                      <w:szCs w:val="22"/>
                      <w:lang w:val="en-US" w:eastAsia="zh-CN"/>
                    </w:rPr>
                    <w:t>冀发改规划[2017]248号</w:t>
                  </w:r>
                  <w:r>
                    <w:rPr>
                      <w:rFonts w:hint="eastAsia" w:ascii="Times New Roman" w:hAnsi="Times New Roman" w:cs="Times New Roman"/>
                      <w:color w:val="auto"/>
                      <w:szCs w:val="22"/>
                      <w:lang w:eastAsia="zh-CN"/>
                    </w:rPr>
                    <w:t>）</w:t>
                  </w:r>
                  <w:r>
                    <w:rPr>
                      <w:rFonts w:hint="default" w:ascii="Times New Roman" w:hAnsi="Times New Roman" w:cs="Times New Roman"/>
                      <w:color w:val="auto"/>
                      <w:szCs w:val="22"/>
                      <w:lang w:eastAsia="zh-CN"/>
                    </w:rPr>
                    <w:t>限制行业类型、禁止行业类型</w:t>
                  </w:r>
                  <w:r>
                    <w:rPr>
                      <w:rFonts w:hint="default" w:ascii="Times New Roman" w:hAnsi="Times New Roman" w:cs="Times New Roman"/>
                      <w:color w:val="auto"/>
                      <w:szCs w:val="22"/>
                    </w:rPr>
                    <w:t>。</w:t>
                  </w:r>
                </w:p>
              </w:tc>
              <w:tc>
                <w:tcPr>
                  <w:tcW w:w="463"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bl>
          <w:p>
            <w:pPr>
              <w:keepNext w:val="0"/>
              <w:keepLines w:val="0"/>
              <w:pageBreakBefore w:val="0"/>
              <w:widowControl w:val="0"/>
              <w:kinsoku/>
              <w:wordWrap/>
              <w:overflowPunct/>
              <w:topLinePunct w:val="0"/>
              <w:autoSpaceDE w:val="0"/>
              <w:autoSpaceDN w:val="0"/>
              <w:bidi w:val="0"/>
              <w:adjustRightInd w:val="0"/>
              <w:snapToGrid w:val="0"/>
              <w:spacing w:before="156" w:beforeLines="50" w:line="360" w:lineRule="auto"/>
              <w:ind w:firstLine="480" w:firstLineChars="200"/>
              <w:jc w:val="left"/>
              <w:textAlignment w:val="auto"/>
              <w:rPr>
                <w:rFonts w:ascii="Times New Roman" w:hAnsi="Times New Roman" w:eastAsia="宋体" w:cs="Times New Roman"/>
                <w:b/>
                <w:bCs/>
                <w:color w:val="auto"/>
                <w:kern w:val="0"/>
                <w:sz w:val="24"/>
              </w:rPr>
            </w:pPr>
            <w:r>
              <w:rPr>
                <w:rFonts w:ascii="Times New Roman" w:hAnsi="Times New Roman" w:eastAsia="宋体" w:cs="Times New Roman"/>
                <w:color w:val="auto"/>
                <w:sz w:val="24"/>
              </w:rPr>
              <w:t>2021年6月18日，承德市人民政府发布了《承德市人民政府关于加快实施“三线一单”生态环境分区管控的意见》，对照该意见及承德市环境管控单元图分析如下：</w:t>
            </w:r>
          </w:p>
          <w:p>
            <w:pPr>
              <w:keepNext w:val="0"/>
              <w:keepLines w:val="0"/>
              <w:pageBreakBefore w:val="0"/>
              <w:widowControl w:val="0"/>
              <w:kinsoku/>
              <w:wordWrap/>
              <w:overflowPunct/>
              <w:topLinePunct w:val="0"/>
              <w:autoSpaceDE/>
              <w:autoSpaceDN/>
              <w:bidi w:val="0"/>
              <w:adjustRightInd w:val="0"/>
              <w:snapToGrid w:val="0"/>
              <w:spacing w:beforeLines="0"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①</w:t>
            </w:r>
            <w:r>
              <w:rPr>
                <w:rFonts w:hint="default" w:ascii="Times New Roman" w:hAnsi="Times New Roman" w:eastAsia="宋体" w:cs="Times New Roman"/>
                <w:color w:val="auto"/>
                <w:sz w:val="24"/>
                <w:szCs w:val="24"/>
              </w:rPr>
              <w:t>生态环境管控单元划分</w:t>
            </w:r>
          </w:p>
          <w:p>
            <w:pPr>
              <w:keepNext w:val="0"/>
              <w:keepLines w:val="0"/>
              <w:pageBreakBefore w:val="0"/>
              <w:widowControl w:val="0"/>
              <w:kinsoku/>
              <w:wordWrap/>
              <w:overflowPunct/>
              <w:topLinePunct w:val="0"/>
              <w:autoSpaceDE/>
              <w:autoSpaceDN/>
              <w:bidi w:val="0"/>
              <w:adjustRightInd w:val="0"/>
              <w:snapToGrid w:val="0"/>
              <w:spacing w:beforeLines="0"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环境管控单元包括优先保护、重点管控和一般管控单元三类。</w:t>
            </w:r>
          </w:p>
          <w:p>
            <w:pPr>
              <w:keepNext w:val="0"/>
              <w:keepLines w:val="0"/>
              <w:pageBreakBefore w:val="0"/>
              <w:widowControl w:val="0"/>
              <w:kinsoku/>
              <w:wordWrap/>
              <w:overflowPunct/>
              <w:topLinePunct w:val="0"/>
              <w:autoSpaceDE/>
              <w:autoSpaceDN/>
              <w:bidi w:val="0"/>
              <w:adjustRightInd w:val="0"/>
              <w:snapToGrid w:val="0"/>
              <w:spacing w:beforeLines="0"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优先保护单元。主要包括生态保护红线，各类自然保护地、饮用水水源保护区及其他重要生态功能区等一般生态空间。</w:t>
            </w:r>
          </w:p>
          <w:p>
            <w:pPr>
              <w:keepNext w:val="0"/>
              <w:keepLines w:val="0"/>
              <w:pageBreakBefore w:val="0"/>
              <w:widowControl w:val="0"/>
              <w:kinsoku/>
              <w:wordWrap/>
              <w:overflowPunct/>
              <w:topLinePunct w:val="0"/>
              <w:autoSpaceDE/>
              <w:autoSpaceDN/>
              <w:bidi w:val="0"/>
              <w:adjustRightInd w:val="0"/>
              <w:snapToGrid w:val="0"/>
              <w:spacing w:beforeLines="0"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重点管控单元。主要包括城市规划区、省级以上产业园区和开发强度高、污染物排放强度大、环境问题较为突出的区域等。</w:t>
            </w:r>
          </w:p>
          <w:p>
            <w:pPr>
              <w:keepNext w:val="0"/>
              <w:keepLines w:val="0"/>
              <w:pageBreakBefore w:val="0"/>
              <w:widowControl w:val="0"/>
              <w:kinsoku/>
              <w:wordWrap/>
              <w:overflowPunct/>
              <w:topLinePunct w:val="0"/>
              <w:autoSpaceDE/>
              <w:autoSpaceDN/>
              <w:bidi w:val="0"/>
              <w:adjustRightInd w:val="0"/>
              <w:snapToGrid w:val="0"/>
              <w:spacing w:beforeLines="0"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一般管控单元。优先保护单元和重点管控单元之外的其他区域。</w:t>
            </w:r>
          </w:p>
          <w:p>
            <w:pPr>
              <w:keepNext w:val="0"/>
              <w:keepLines w:val="0"/>
              <w:pageBreakBefore w:val="0"/>
              <w:widowControl w:val="0"/>
              <w:kinsoku/>
              <w:wordWrap/>
              <w:overflowPunct/>
              <w:topLinePunct w:val="0"/>
              <w:autoSpaceDE/>
              <w:autoSpaceDN/>
              <w:bidi w:val="0"/>
              <w:adjustRightInd w:val="0"/>
              <w:snapToGrid w:val="0"/>
              <w:spacing w:beforeLines="0"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②</w:t>
            </w:r>
            <w:r>
              <w:rPr>
                <w:rFonts w:hint="default" w:ascii="Times New Roman" w:hAnsi="Times New Roman" w:eastAsia="宋体" w:cs="Times New Roman"/>
                <w:color w:val="auto"/>
                <w:sz w:val="24"/>
                <w:szCs w:val="24"/>
              </w:rPr>
              <w:t>生态环境管控要求</w:t>
            </w:r>
          </w:p>
          <w:p>
            <w:pPr>
              <w:keepNext w:val="0"/>
              <w:keepLines w:val="0"/>
              <w:pageBreakBefore w:val="0"/>
              <w:widowControl w:val="0"/>
              <w:kinsoku/>
              <w:wordWrap/>
              <w:overflowPunct/>
              <w:topLinePunct w:val="0"/>
              <w:autoSpaceDE/>
              <w:autoSpaceDN/>
              <w:bidi w:val="0"/>
              <w:adjustRightInd w:val="0"/>
              <w:snapToGrid w:val="0"/>
              <w:spacing w:beforeLines="0"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突出区域特征、发展定位和生态环境保护要求，立足经济绿色转型和高质量发展，以建设首都水源涵养功能区和生态环境支撑区为主导，统筹山水林田湖草沙生态系统整体保护，加大生态修复和环境治理力度，促进环境质量持续改善，实施生态空间分区管控。构建“</w:t>
            </w:r>
            <w:r>
              <w:rPr>
                <w:rFonts w:hint="default" w:ascii="Times New Roman" w:hAnsi="Times New Roman" w:eastAsia="Times New Roman" w:cs="Times New Roman"/>
                <w:color w:val="auto"/>
                <w:sz w:val="24"/>
                <w:szCs w:val="24"/>
              </w:rPr>
              <w:t>1+1+169</w:t>
            </w:r>
            <w:r>
              <w:rPr>
                <w:rFonts w:hint="default" w:ascii="Times New Roman" w:hAnsi="Times New Roman" w:eastAsia="宋体" w:cs="Times New Roman"/>
                <w:color w:val="auto"/>
                <w:sz w:val="24"/>
                <w:szCs w:val="24"/>
              </w:rPr>
              <w:t>”生态环境分区管控体系，实施生态环境准入清单管理。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为河北省生态环境准入总体清单，适用于全省范围；</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为承德市生态环境准入清单，适用于市域范围；“</w:t>
            </w:r>
            <w:r>
              <w:rPr>
                <w:rFonts w:hint="default" w:ascii="Times New Roman" w:hAnsi="Times New Roman" w:eastAsia="Times New Roman" w:cs="Times New Roman"/>
                <w:color w:val="auto"/>
                <w:sz w:val="24"/>
                <w:szCs w:val="24"/>
              </w:rPr>
              <w:t>169</w:t>
            </w:r>
            <w:r>
              <w:rPr>
                <w:rFonts w:hint="default" w:ascii="Times New Roman" w:hAnsi="Times New Roman" w:eastAsia="宋体" w:cs="Times New Roman"/>
                <w:color w:val="auto"/>
                <w:sz w:val="24"/>
                <w:szCs w:val="24"/>
              </w:rPr>
              <w:t>”为生态环境管控单元准入清单，适用于环境管控单元范围。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③</w:t>
            </w:r>
            <w:r>
              <w:rPr>
                <w:rFonts w:hint="default" w:ascii="Times New Roman" w:hAnsi="Times New Roman" w:eastAsia="宋体" w:cs="Times New Roman"/>
                <w:color w:val="auto"/>
                <w:sz w:val="24"/>
                <w:szCs w:val="24"/>
              </w:rPr>
              <w:t>分类管控要求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优先保护单元</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严格落实生态保护红线管理要求，除有限人为活动外，依法依规禁止其他城镇和建设活动。一般生态空间突出生态保护，严禁不符合主体功能定位的各类开发活动，严禁任意改变用途。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重点管控单元</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城镇重点管控单元：优化工业布局，有序实施高污染、高排放工业企业整改或搬迁退出；强化交通污染源管控；完善污水治理设施；加快城镇河流水系环境整治；加强工业污染场地环境风险防控和开发再利用监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省级以上产业园区重点管控单元：严格产业准入，完善园区设施建设，推动设施提标改造；实施污染物总量控制，落实排污许可证制度；强化资源利用效率和地下水开采管控。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农业农村重点管控单元：优化规模化畜禽养殖布局，加快农村生态环境综合整治，逐步推进农村污水和生活垃圾治理；减少化肥农药施用量，优化农业种植结构，推动秸秆综合利用。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一般管控单元</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严格执行国家和省关于产业准入、总量控制和污染物排放标准等管控要求。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④</w:t>
            </w:r>
            <w:r>
              <w:rPr>
                <w:rFonts w:hint="default" w:ascii="Times New Roman" w:hAnsi="Times New Roman" w:eastAsia="宋体" w:cs="Times New Roman"/>
                <w:color w:val="auto"/>
                <w:sz w:val="24"/>
                <w:szCs w:val="24"/>
              </w:rPr>
              <w:t>一般生态空间管控要求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承德市生态功能主要为水源涵养与防风固沙型，其分类管控要求如下：针对水源涵养型一般生态空间，禁止新建与扩建各种损害生态系统水源涵养功能的项目，如无序采矿、毁林开荒、湿地和草地开垦、采砂采土等，现有相关开发建设活动，严格管控，引导其合理退出；禁止新建、扩建导致水体污染的产业项目，开展生态清洁小流域的建设；坚持自然恢复为主，人工造林为辅的原则；严格控制载畜量，实行以草定畜，在农牧交错区提倡农牧结合，发展生态产业，培育替代产业，减轻区内畜牧业对水源和生态系统的压力。针对</w:t>
            </w:r>
            <w:r>
              <w:rPr>
                <w:rFonts w:hint="default" w:ascii="Times New Roman" w:hAnsi="Times New Roman" w:eastAsia="宋体" w:cs="Times New Roman"/>
                <w:b w:val="0"/>
                <w:bCs w:val="0"/>
                <w:color w:val="auto"/>
                <w:sz w:val="24"/>
                <w:szCs w:val="24"/>
              </w:rPr>
              <w:t>防风固沙型</w:t>
            </w:r>
            <w:r>
              <w:rPr>
                <w:rFonts w:hint="default" w:ascii="Times New Roman" w:hAnsi="Times New Roman" w:eastAsia="宋体" w:cs="Times New Roman"/>
                <w:color w:val="auto"/>
                <w:sz w:val="24"/>
                <w:szCs w:val="24"/>
              </w:rPr>
              <w:t>一般生态空间应对主要沙尘源区、沙尘暴频发区实行封禁管理；严格控制放牧和草原生物资源的利用，加强植被恢复和保护；严格控制过度放牧、樵采、开荒，合理利用水资源，保障生态用水，提高区域生态系统防沙固沙的能力；开展荒漠植被和沙化土地封禁保护，加强退化林带修复，禁止滥开垦、滥放牧和滥樵采，构建乔灌草相结合的防护林体系；对防风固沙林只能进行抚育和更新性质的采伐；转变畜牧业生产方式，实行禁牧休牧，推行舍饲圈养，以草定畜，严格控制载畜量；加大退耕还林力度，恢复草原植被；加强对内陆河流的规划和管理，保护沙区湿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般生态空间内应在重要水源保护区上游干流、支流沿岸的规划建设，在河道干流、支流两岸因地制宜划定生态缓冲带和生态绿化廊道。生态缓冲带内应保持自然岸线和生态系统的完整性，严禁建设项目侵占责任生态空间和“贴边”发展。在重要的生态功能区和</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四区</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水源保护区、自然保护区、风景名胜区、湿地公园</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区域，严禁违规建设别墅类和高尔夫球场等项目，严禁</w:t>
            </w:r>
            <w:r>
              <w:rPr>
                <w:rFonts w:hint="eastAsia" w:ascii="Times New Roman" w:hAnsi="Times New Roman" w:eastAsia="宋体" w:cs="Times New Roman"/>
                <w:color w:val="auto"/>
                <w:sz w:val="24"/>
                <w:szCs w:val="24"/>
                <w:lang w:eastAsia="zh-CN"/>
              </w:rPr>
              <w:t>破坏</w:t>
            </w:r>
            <w:r>
              <w:rPr>
                <w:rFonts w:hint="default" w:ascii="Times New Roman" w:hAnsi="Times New Roman" w:eastAsia="宋体" w:cs="Times New Roman"/>
                <w:color w:val="auto"/>
                <w:sz w:val="24"/>
                <w:szCs w:val="24"/>
              </w:rPr>
              <w:t>生态环境功能的开发建设活动。严格饮用水水源保护区、自然保护区、风景名胜区、森林公园、地质公园等环境敏感区域及周边地区开发建设管理。在上述环境敏感区域内，严禁建设污染环境、破坏资源和景观的生产设施。对未经批准擅自建设“玻璃栈道”、观光索道等</w:t>
            </w:r>
            <w:r>
              <w:rPr>
                <w:rFonts w:hint="eastAsia" w:ascii="Times New Roman" w:hAnsi="Times New Roman" w:eastAsia="宋体" w:cs="Times New Roman"/>
                <w:color w:val="auto"/>
                <w:sz w:val="24"/>
                <w:szCs w:val="24"/>
                <w:lang w:eastAsia="zh-CN"/>
              </w:rPr>
              <w:t>破坏</w:t>
            </w:r>
            <w:r>
              <w:rPr>
                <w:rFonts w:hint="default" w:ascii="Times New Roman" w:hAnsi="Times New Roman" w:eastAsia="宋体" w:cs="Times New Roman"/>
                <w:color w:val="auto"/>
                <w:sz w:val="24"/>
                <w:szCs w:val="24"/>
              </w:rPr>
              <w:t>生态和景观的违法建设项目，可依法责令拆除并恢复原状。对擅自在法律法规规定禁止建设区域内建成的违法违规项目和设施，要依法采取行政处罚和移交司法部门强制执行等措施，依法责令拆除并恢复原状。未纳入生态保护红线的各类自然保护地等按照相关法律法规规定进行管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严格控制矿产资源开发范围。禁止在生态保护红线范围内及自然保护区、风景名胜区、地质遗迹保护区等各类保护地，以及饮用水水源保护区、文物保护范围内、永久基本农田、城镇开发边界内、铁路高速公路国道两侧规定范围内新建固体矿产开发项目，己有的应当有序退出。严格控制承德坝上高原生态功能区、燕山一太行山生态涵养区、国家公益林等重点林区、水土流失重点预防区和水土流失重点治理区固体矿产资源开发。</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项目位于</w:t>
            </w:r>
            <w:r>
              <w:rPr>
                <w:rFonts w:hint="eastAsia" w:ascii="Times New Roman" w:hAnsi="Times New Roman" w:eastAsia="宋体" w:cs="Times New Roman"/>
                <w:color w:val="auto"/>
                <w:sz w:val="24"/>
                <w:szCs w:val="24"/>
                <w:lang w:val="en-US" w:eastAsia="zh-CN"/>
              </w:rPr>
              <w:t>河北省承德市围场满族蒙古族自治县围场镇金字村口</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根据《承德市“三线一单”生态环境准入清单》（承德市生态环境局，2021年6月）</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项目所属区域的环境管控空间编码涉及</w:t>
            </w:r>
            <w:r>
              <w:rPr>
                <w:rFonts w:hint="default" w:ascii="Times New Roman" w:hAnsi="Times New Roman" w:eastAsia="宋体" w:cs="Times New Roman"/>
                <w:color w:val="auto"/>
                <w:sz w:val="24"/>
                <w:szCs w:val="24"/>
              </w:rPr>
              <w:t>ZH130</w:t>
            </w:r>
            <w:r>
              <w:rPr>
                <w:rFonts w:hint="eastAsia" w:ascii="Times New Roman" w:hAnsi="Times New Roman" w:eastAsia="宋体" w:cs="Times New Roman"/>
                <w:color w:val="auto"/>
                <w:sz w:val="24"/>
                <w:szCs w:val="24"/>
                <w:lang w:val="en-US" w:eastAsia="zh-CN"/>
              </w:rPr>
              <w:t>82820001</w:t>
            </w:r>
            <w:r>
              <w:rPr>
                <w:rFonts w:hint="default" w:ascii="Times New Roman" w:hAnsi="Times New Roman" w:eastAsia="宋体" w:cs="Times New Roman"/>
                <w:color w:val="auto"/>
                <w:sz w:val="24"/>
                <w:szCs w:val="24"/>
              </w:rPr>
              <w:t>，管控类型为</w:t>
            </w:r>
            <w:r>
              <w:rPr>
                <w:rFonts w:hint="eastAsia" w:ascii="Times New Roman" w:hAnsi="Times New Roman" w:eastAsia="宋体" w:cs="Times New Roman"/>
                <w:color w:val="auto"/>
                <w:sz w:val="24"/>
                <w:szCs w:val="24"/>
                <w:lang w:val="en-US" w:eastAsia="zh-CN"/>
              </w:rPr>
              <w:t>重点管控单元</w:t>
            </w:r>
            <w:r>
              <w:rPr>
                <w:rFonts w:hint="default" w:ascii="Times New Roman" w:hAnsi="Times New Roman" w:eastAsia="宋体" w:cs="Times New Roman"/>
                <w:color w:val="auto"/>
                <w:sz w:val="24"/>
                <w:szCs w:val="24"/>
              </w:rPr>
              <w:t>，环境要素类别为：</w:t>
            </w:r>
            <w:r>
              <w:rPr>
                <w:rFonts w:hint="eastAsia" w:ascii="Times New Roman" w:hAnsi="Times New Roman" w:eastAsia="宋体" w:cs="Times New Roman"/>
                <w:color w:val="auto"/>
                <w:sz w:val="24"/>
                <w:szCs w:val="24"/>
                <w:lang w:val="en-US" w:eastAsia="zh-CN"/>
              </w:rPr>
              <w:t>大气环境高排放重点管控区、河北围场经济开发区（北方现代物流园、东山文化产业园）、水环境工业重点管控区</w:t>
            </w:r>
            <w:r>
              <w:rPr>
                <w:rFonts w:hint="default" w:ascii="Times New Roman" w:hAnsi="Times New Roman" w:eastAsia="宋体" w:cs="Times New Roman"/>
                <w:color w:val="auto"/>
                <w:sz w:val="24"/>
                <w:szCs w:val="24"/>
              </w:rPr>
              <w:t>，维度为：空间布局约束、污染物排放管控、环境风险防控、资源利用效率，项目环境管控单元准入清单符合性分析判定内容如下表所示：</w:t>
            </w:r>
          </w:p>
          <w:p>
            <w:pPr>
              <w:pStyle w:val="2"/>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pStyle w:val="59"/>
              <w:keepNext w:val="0"/>
              <w:keepLines w:val="0"/>
              <w:pageBreakBefore w:val="0"/>
              <w:widowControl w:val="0"/>
              <w:numPr>
                <w:ilvl w:val="0"/>
                <w:numId w:val="2"/>
              </w:numPr>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项目环境管控单元准入清单符合性分析表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1"/>
              <w:gridCol w:w="3275"/>
              <w:gridCol w:w="2359"/>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7" w:type="pct"/>
                  <w:vAlign w:val="center"/>
                </w:tcPr>
                <w:p>
                  <w:pP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维度</w:t>
                  </w:r>
                </w:p>
              </w:tc>
              <w:tc>
                <w:tcPr>
                  <w:tcW w:w="2002" w:type="pct"/>
                  <w:vAlign w:val="center"/>
                </w:tcPr>
                <w:p>
                  <w:pP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管控措施</w:t>
                  </w:r>
                </w:p>
              </w:tc>
              <w:tc>
                <w:tcPr>
                  <w:tcW w:w="1442" w:type="pct"/>
                  <w:vAlign w:val="center"/>
                </w:tcPr>
                <w:p>
                  <w:pP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企业情况</w:t>
                  </w:r>
                </w:p>
              </w:tc>
              <w:tc>
                <w:tcPr>
                  <w:tcW w:w="557" w:type="pct"/>
                  <w:vAlign w:val="center"/>
                </w:tcPr>
                <w:p>
                  <w:pP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7" w:type="pct"/>
                  <w:vAlign w:val="center"/>
                </w:tcPr>
                <w:p>
                  <w:pPr>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color w:val="auto"/>
                      <w:szCs w:val="21"/>
                    </w:rPr>
                    <w:t>空间布局约束</w:t>
                  </w:r>
                </w:p>
              </w:tc>
              <w:tc>
                <w:tcPr>
                  <w:tcW w:w="2002" w:type="pct"/>
                  <w:vAlign w:val="center"/>
                </w:tcPr>
                <w:p>
                  <w:pPr>
                    <w:snapToGrid w:val="0"/>
                    <w:jc w:val="both"/>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 xml:space="preserve">1.园区距离围场满蒙自治县城区较近，新建项目应加强对城区生态环境影响的论证。 </w:t>
                  </w:r>
                </w:p>
                <w:p>
                  <w:pPr>
                    <w:snapToGrid w:val="0"/>
                    <w:jc w:val="both"/>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 xml:space="preserve">2.严格落实规划环评及其批复文件制定的环境准入条件。 </w:t>
                  </w:r>
                </w:p>
                <w:p>
                  <w:pPr>
                    <w:snapToGrid w:val="0"/>
                    <w:jc w:val="both"/>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 xml:space="preserve">3.原则上对于不符合园区定位的行业不得入园。 </w:t>
                  </w:r>
                </w:p>
                <w:p>
                  <w:pPr>
                    <w:snapToGrid w:val="0"/>
                    <w:jc w:val="both"/>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 xml:space="preserve">4.废水含难降解的有机污染物、“三致”污染物项目禁止入园。 </w:t>
                  </w:r>
                </w:p>
                <w:p>
                  <w:pPr>
                    <w:snapToGrid w:val="0"/>
                    <w:jc w:val="both"/>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 xml:space="preserve">5.禁止建设生产和使用高VOCs含量的溶剂型涂料、油墨、胶粘剂等项目。 </w:t>
                  </w:r>
                </w:p>
              </w:tc>
              <w:tc>
                <w:tcPr>
                  <w:tcW w:w="1442" w:type="pct"/>
                  <w:vAlign w:val="center"/>
                </w:tcPr>
                <w:p>
                  <w:pPr>
                    <w:snapToGrid w:val="0"/>
                    <w:jc w:val="both"/>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围场满族蒙古族自治县腾兴供热有限公司城北热源厂（金字供热站）项目属于园区配套供热设施，符合园区规划。</w:t>
                  </w:r>
                </w:p>
              </w:tc>
              <w:tc>
                <w:tcPr>
                  <w:tcW w:w="557" w:type="pct"/>
                  <w:vMerge w:val="restart"/>
                  <w:vAlign w:val="center"/>
                </w:tcPr>
                <w:p>
                  <w:pPr>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7" w:type="pct"/>
                  <w:vAlign w:val="center"/>
                </w:tcPr>
                <w:p>
                  <w:pPr>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color w:val="auto"/>
                      <w:szCs w:val="21"/>
                    </w:rPr>
                    <w:t>污染物排放管控</w:t>
                  </w:r>
                </w:p>
              </w:tc>
              <w:tc>
                <w:tcPr>
                  <w:tcW w:w="2002" w:type="pct"/>
                  <w:vAlign w:val="center"/>
                </w:tcPr>
                <w:p>
                  <w:pPr>
                    <w:snapToGrid w:val="0"/>
                    <w:jc w:val="both"/>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6.PM</w:t>
                  </w:r>
                  <w:r>
                    <w:rPr>
                      <w:rFonts w:hint="eastAsia" w:ascii="Times New Roman" w:hAnsi="Times New Roman" w:eastAsia="宋体" w:cs="Times New Roman"/>
                      <w:color w:val="auto"/>
                      <w:szCs w:val="21"/>
                      <w:vertAlign w:val="subscript"/>
                      <w:lang w:val="en-US" w:eastAsia="zh-CN"/>
                    </w:rPr>
                    <w:t>2.5</w:t>
                  </w:r>
                  <w:r>
                    <w:rPr>
                      <w:rFonts w:hint="eastAsia" w:ascii="Times New Roman" w:hAnsi="Times New Roman" w:eastAsia="宋体" w:cs="Times New Roman"/>
                      <w:color w:val="auto"/>
                      <w:szCs w:val="21"/>
                      <w:lang w:val="en-US" w:eastAsia="zh-CN"/>
                    </w:rPr>
                    <w:t xml:space="preserve">年均浓度达标之前，氮氧化物、烟粉尘、挥发性有机物污染物需进行倍量削减替代。 </w:t>
                  </w:r>
                </w:p>
                <w:p>
                  <w:pPr>
                    <w:snapToGrid w:val="0"/>
                    <w:jc w:val="both"/>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 xml:space="preserve">7.严格落实规划环评及其批复文件制定的环保措施。 </w:t>
                  </w:r>
                </w:p>
                <w:p>
                  <w:pPr>
                    <w:snapToGrid w:val="0"/>
                    <w:jc w:val="both"/>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 xml:space="preserve">8.加强医疗废物污染控制，医疗废物处理处置设施的选址、运行、监测和废物接收、贮存及处理处置过程的生态环境保护要求应满足《医疗危险废物处置污染控制标准》（GB39707-2020）要求。 </w:t>
                  </w:r>
                </w:p>
                <w:p>
                  <w:pPr>
                    <w:snapToGrid w:val="0"/>
                    <w:jc w:val="both"/>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9.新建食品加工制造业企业水污染物的排放控制要求应符合《食品加工制造业水污染物排放标准》。</w:t>
                  </w:r>
                </w:p>
              </w:tc>
              <w:tc>
                <w:tcPr>
                  <w:tcW w:w="1442" w:type="pct"/>
                  <w:vAlign w:val="center"/>
                </w:tcPr>
                <w:p>
                  <w:pPr>
                    <w:snapToGrid w:val="0"/>
                    <w:jc w:val="center"/>
                    <w:rPr>
                      <w:rFonts w:hint="eastAsia" w:ascii="Times New Roman" w:hAnsi="Times New Roman" w:cs="Times New Roman" w:eastAsiaTheme="minorEastAsia"/>
                      <w:b/>
                      <w:bCs/>
                      <w:color w:val="auto"/>
                      <w:szCs w:val="21"/>
                      <w:lang w:eastAsia="zh-CN"/>
                    </w:rPr>
                  </w:pPr>
                  <w:r>
                    <w:rPr>
                      <w:rFonts w:hint="default" w:ascii="Times New Roman" w:hAnsi="Times New Roman" w:cs="Times New Roman"/>
                      <w:color w:val="auto"/>
                      <w:szCs w:val="21"/>
                    </w:rPr>
                    <w:t>根据《2021年承德市生态环境状况公报》中</w:t>
                  </w:r>
                  <w:r>
                    <w:rPr>
                      <w:rFonts w:hint="eastAsia" w:ascii="Times New Roman" w:hAnsi="Times New Roman" w:cs="Times New Roman"/>
                      <w:color w:val="auto"/>
                      <w:szCs w:val="21"/>
                      <w:lang w:val="en-US" w:eastAsia="zh-CN"/>
                    </w:rPr>
                    <w:t>围场</w:t>
                  </w:r>
                  <w:r>
                    <w:rPr>
                      <w:rFonts w:hint="default" w:ascii="Times New Roman" w:hAnsi="Times New Roman" w:cs="Times New Roman"/>
                      <w:color w:val="auto"/>
                      <w:szCs w:val="21"/>
                    </w:rPr>
                    <w:t>大气常规污染物数据，PM</w:t>
                  </w:r>
                  <w:r>
                    <w:rPr>
                      <w:rFonts w:hint="default" w:ascii="Times New Roman" w:hAnsi="Times New Roman" w:cs="Times New Roman"/>
                      <w:color w:val="auto"/>
                      <w:szCs w:val="21"/>
                      <w:vertAlign w:val="subscript"/>
                    </w:rPr>
                    <w:t>2.5</w:t>
                  </w:r>
                  <w:r>
                    <w:rPr>
                      <w:rFonts w:hint="default" w:ascii="Times New Roman" w:hAnsi="Times New Roman" w:cs="Times New Roman"/>
                      <w:color w:val="auto"/>
                      <w:szCs w:val="21"/>
                    </w:rPr>
                    <w:t>年均值满足《环境空气质量标准》（GB3095-2012）及其修改单中的二级标准</w:t>
                  </w:r>
                  <w:r>
                    <w:rPr>
                      <w:rFonts w:hint="eastAsia" w:ascii="Times New Roman" w:hAnsi="Times New Roman" w:cs="Times New Roman"/>
                      <w:color w:val="auto"/>
                      <w:szCs w:val="21"/>
                      <w:lang w:eastAsia="zh-CN"/>
                    </w:rPr>
                    <w:t>。</w:t>
                  </w:r>
                </w:p>
              </w:tc>
              <w:tc>
                <w:tcPr>
                  <w:tcW w:w="557" w:type="pct"/>
                  <w:vMerge w:val="continue"/>
                  <w:vAlign w:val="center"/>
                </w:tcPr>
                <w:p>
                  <w:pPr>
                    <w:snapToGrid w:val="0"/>
                    <w:jc w:val="center"/>
                    <w:rPr>
                      <w:rFonts w:hint="default" w:ascii="Times New Roman" w:hAnsi="Times New Roman" w:eastAsia="宋体" w:cs="Times New Roman"/>
                      <w:b/>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7" w:type="pct"/>
                  <w:vAlign w:val="center"/>
                </w:tcPr>
                <w:p>
                  <w:pPr>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color w:val="auto"/>
                      <w:szCs w:val="21"/>
                    </w:rPr>
                    <w:t>环境风险防控</w:t>
                  </w:r>
                </w:p>
              </w:tc>
              <w:tc>
                <w:tcPr>
                  <w:tcW w:w="2002" w:type="pct"/>
                  <w:vAlign w:val="center"/>
                </w:tcPr>
                <w:p>
                  <w:pPr>
                    <w:snapToGrid w:val="0"/>
                    <w:jc w:val="both"/>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 xml:space="preserve">10.严格落实规划环评及其批复文件制定的环境风险防范措施。 </w:t>
                  </w:r>
                </w:p>
                <w:p>
                  <w:pPr>
                    <w:snapToGrid w:val="0"/>
                    <w:jc w:val="both"/>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11.防止废水直接排入伊逊河。</w:t>
                  </w:r>
                </w:p>
              </w:tc>
              <w:tc>
                <w:tcPr>
                  <w:tcW w:w="1442" w:type="pct"/>
                  <w:vAlign w:val="center"/>
                </w:tcPr>
                <w:p>
                  <w:pPr>
                    <w:snapToGrid w:val="0"/>
                    <w:jc w:val="both"/>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本项目</w:t>
                  </w:r>
                  <w:r>
                    <w:rPr>
                      <w:rFonts w:hint="default" w:ascii="Times New Roman" w:hAnsi="Times New Roman" w:eastAsia="宋体" w:cs="Times New Roman"/>
                      <w:color w:val="auto"/>
                      <w:szCs w:val="21"/>
                      <w:lang w:val="en-US" w:eastAsia="zh-CN"/>
                    </w:rPr>
                    <w:t>生产废水主要为锅炉排污水和树脂交换器冲洗废水。锅炉排污水，用于脱硫系统补充水。树脂交换器冲洗废水用于脱硫系统补充水。生活污水，</w:t>
                  </w:r>
                  <w:r>
                    <w:rPr>
                      <w:rFonts w:hint="eastAsia" w:ascii="Times New Roman" w:hAnsi="Times New Roman" w:eastAsia="宋体" w:cs="Times New Roman"/>
                      <w:color w:val="auto"/>
                      <w:szCs w:val="21"/>
                      <w:lang w:val="en-US" w:eastAsia="zh-CN"/>
                    </w:rPr>
                    <w:t>食堂废水</w:t>
                  </w:r>
                  <w:r>
                    <w:rPr>
                      <w:rFonts w:hint="default" w:ascii="Times New Roman" w:hAnsi="Times New Roman" w:eastAsia="宋体" w:cs="Times New Roman"/>
                      <w:color w:val="auto"/>
                      <w:szCs w:val="21"/>
                      <w:lang w:val="en-US" w:eastAsia="zh-CN"/>
                    </w:rPr>
                    <w:t>经化粪池处理后，抽排至污水处理厂统一处理。</w:t>
                  </w:r>
                </w:p>
              </w:tc>
              <w:tc>
                <w:tcPr>
                  <w:tcW w:w="557" w:type="pct"/>
                  <w:vMerge w:val="continue"/>
                  <w:vAlign w:val="center"/>
                </w:tcPr>
                <w:p>
                  <w:pPr>
                    <w:snapToGrid w:val="0"/>
                    <w:jc w:val="center"/>
                    <w:rPr>
                      <w:rFonts w:hint="default" w:ascii="Times New Roman" w:hAnsi="Times New Roman" w:eastAsia="宋体" w:cs="Times New Roman"/>
                      <w:b/>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7" w:type="pct"/>
                  <w:vAlign w:val="center"/>
                </w:tcPr>
                <w:p>
                  <w:pPr>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color w:val="auto"/>
                      <w:szCs w:val="21"/>
                    </w:rPr>
                    <w:t>资源利用效率</w:t>
                  </w:r>
                </w:p>
              </w:tc>
              <w:tc>
                <w:tcPr>
                  <w:tcW w:w="2002" w:type="pct"/>
                  <w:vAlign w:val="center"/>
                </w:tcPr>
                <w:p>
                  <w:pPr>
                    <w:snapToGrid w:val="0"/>
                    <w:jc w:val="both"/>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 xml:space="preserve">12.减少新鲜水用量，提高中水回用率。 </w:t>
                  </w:r>
                </w:p>
                <w:p>
                  <w:pPr>
                    <w:snapToGrid w:val="0"/>
                    <w:jc w:val="both"/>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13.新建项目清洁生产应不低于高内一般水平，新建产业园区应按生态工业园区标准进行规划建设。</w:t>
                  </w:r>
                </w:p>
              </w:tc>
              <w:tc>
                <w:tcPr>
                  <w:tcW w:w="1442" w:type="pct"/>
                  <w:vAlign w:val="center"/>
                </w:tcPr>
                <w:p>
                  <w:pPr>
                    <w:snapToGrid w:val="0"/>
                    <w:jc w:val="center"/>
                    <w:rPr>
                      <w:rFonts w:hint="eastAsia"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本项目</w:t>
                  </w:r>
                  <w:r>
                    <w:rPr>
                      <w:rFonts w:hint="default" w:ascii="Times New Roman" w:hAnsi="Times New Roman" w:eastAsia="宋体" w:cs="Times New Roman"/>
                      <w:color w:val="auto"/>
                      <w:szCs w:val="21"/>
                      <w:lang w:val="en-US" w:eastAsia="zh-CN"/>
                    </w:rPr>
                    <w:t>锅炉排污水，</w:t>
                  </w:r>
                  <w:r>
                    <w:rPr>
                      <w:rFonts w:hint="eastAsia" w:ascii="Times New Roman" w:hAnsi="Times New Roman" w:eastAsia="宋体" w:cs="Times New Roman"/>
                      <w:color w:val="auto"/>
                      <w:szCs w:val="21"/>
                      <w:lang w:val="en-US" w:eastAsia="zh-CN"/>
                    </w:rPr>
                    <w:t>循环使用</w:t>
                  </w:r>
                  <w:r>
                    <w:rPr>
                      <w:rFonts w:hint="default" w:ascii="Times New Roman" w:hAnsi="Times New Roman" w:eastAsia="宋体" w:cs="Times New Roman"/>
                      <w:color w:val="auto"/>
                      <w:szCs w:val="21"/>
                      <w:lang w:val="en-US" w:eastAsia="zh-CN"/>
                    </w:rPr>
                    <w:t>。</w:t>
                  </w:r>
                </w:p>
              </w:tc>
              <w:tc>
                <w:tcPr>
                  <w:tcW w:w="557" w:type="pct"/>
                  <w:vMerge w:val="continue"/>
                  <w:vAlign w:val="center"/>
                </w:tcPr>
                <w:p>
                  <w:pPr>
                    <w:snapToGrid w:val="0"/>
                    <w:jc w:val="center"/>
                    <w:rPr>
                      <w:rFonts w:hint="default" w:ascii="Times New Roman" w:hAnsi="Times New Roman" w:eastAsia="宋体" w:cs="Times New Roman"/>
                      <w:b/>
                      <w:bCs/>
                      <w:color w:val="auto"/>
                      <w:szCs w:val="21"/>
                    </w:rPr>
                  </w:pP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cs="Times New Roman"/>
                <w:color w:val="auto"/>
                <w:sz w:val="24"/>
                <w:lang w:eastAsia="zh-CN"/>
              </w:rPr>
            </w:pPr>
            <w:r>
              <w:rPr>
                <w:rFonts w:hint="default" w:ascii="Times New Roman" w:hAnsi="Times New Roman" w:cs="Times New Roman"/>
                <w:color w:val="auto"/>
                <w:sz w:val="24"/>
              </w:rPr>
              <w:t>承德市环境管控单元图见下图</w:t>
            </w:r>
            <w:r>
              <w:rPr>
                <w:rFonts w:hint="eastAsia" w:ascii="Times New Roman" w:hAnsi="Times New Roman" w:cs="Times New Roman"/>
                <w:color w:val="auto"/>
                <w:sz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cs="Times New Roman"/>
                <w:color w:val="auto"/>
                <w:sz w:val="24"/>
                <w:lang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cs="Times New Roman"/>
                <w:color w:val="auto"/>
                <w:sz w:val="24"/>
                <w:lang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cs="Times New Roman"/>
                <w:color w:val="auto"/>
                <w:sz w:val="24"/>
                <w:lang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cs="Times New Roman" w:eastAsiaTheme="minorEastAsia"/>
                <w:b/>
                <w:bCs/>
                <w:color w:val="auto"/>
                <w:kern w:val="0"/>
                <w:sz w:val="24"/>
                <w:lang w:eastAsia="zh-CN"/>
              </w:rPr>
            </w:pPr>
            <w:r>
              <w:rPr>
                <w:rFonts w:hint="default" w:ascii="Times New Roman" w:hAnsi="Times New Roman" w:cs="Times New Roman" w:eastAsiaTheme="minorEastAsia"/>
                <w:b/>
                <w:bCs/>
                <w:color w:val="auto"/>
                <w:kern w:val="0"/>
                <w:sz w:val="24"/>
                <w:lang w:eastAsia="zh-CN"/>
              </w:rPr>
              <w:drawing>
                <wp:inline distT="0" distB="0" distL="114300" distR="114300">
                  <wp:extent cx="5175885" cy="3657600"/>
                  <wp:effectExtent l="0" t="0" r="5715" b="0"/>
                  <wp:docPr id="5" name="图片 5" descr="项目与三线一单位置关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项目与三线一单位置关系图"/>
                          <pic:cNvPicPr>
                            <a:picLocks noChangeAspect="1"/>
                          </pic:cNvPicPr>
                        </pic:nvPicPr>
                        <pic:blipFill>
                          <a:blip r:embed="rId7"/>
                          <a:stretch>
                            <a:fillRect/>
                          </a:stretch>
                        </pic:blipFill>
                        <pic:spPr>
                          <a:xfrm>
                            <a:off x="0" y="0"/>
                            <a:ext cx="5175885" cy="3657600"/>
                          </a:xfrm>
                          <a:prstGeom prst="rect">
                            <a:avLst/>
                          </a:prstGeom>
                        </pic:spPr>
                      </pic:pic>
                    </a:graphicData>
                  </a:graphic>
                </wp:inline>
              </w:drawing>
            </w:r>
          </w:p>
          <w:p>
            <w:pPr>
              <w:pStyle w:val="59"/>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承德市环境管控单元图</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kern w:val="0"/>
                <w:sz w:val="24"/>
              </w:rPr>
            </w:pPr>
            <w:r>
              <w:rPr>
                <w:rFonts w:hint="default" w:ascii="Times New Roman" w:hAnsi="Times New Roman" w:eastAsia="宋体" w:cs="Times New Roman"/>
                <w:color w:val="auto"/>
                <w:sz w:val="24"/>
              </w:rPr>
              <w:t>由上表及图可知，项目符合《关于以改善环境质量为核心加强环境影响评价管理的通知》（环评[2016]150号）、《承德市人民政府关于加快实施“三线一单”生态环境分区管控的意见》（承德市生态环境局2021年6月18发布）的环境管理</w:t>
            </w:r>
            <w:r>
              <w:rPr>
                <w:rFonts w:hint="default" w:ascii="Times New Roman" w:hAnsi="Times New Roman" w:eastAsia="宋体" w:cs="Times New Roman"/>
                <w:b w:val="0"/>
                <w:bCs w:val="0"/>
                <w:color w:val="auto"/>
                <w:kern w:val="0"/>
                <w:sz w:val="24"/>
              </w:rPr>
              <w:t>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rPr>
                <w:rFonts w:hint="eastAsia" w:ascii="Times New Roman" w:hAnsi="Times New Roman" w:eastAsia="宋体" w:cs="Times New Roman"/>
                <w:b/>
                <w:bCs/>
                <w:color w:val="auto"/>
                <w:kern w:val="0"/>
                <w:sz w:val="24"/>
                <w:lang w:val="en-US" w:eastAsia="zh-CN"/>
              </w:rPr>
            </w:pPr>
            <w:r>
              <w:rPr>
                <w:rFonts w:hint="eastAsia" w:ascii="Times New Roman" w:hAnsi="Times New Roman" w:eastAsia="宋体" w:cs="Times New Roman"/>
                <w:b/>
                <w:bCs/>
                <w:color w:val="auto"/>
                <w:kern w:val="0"/>
                <w:sz w:val="24"/>
                <w:lang w:val="en-US" w:eastAsia="zh-CN"/>
              </w:rPr>
              <w:t>2、政策符合性分析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项目属于《国民经济行业分类》（GB/T4754-2017）中</w:t>
            </w:r>
            <w:r>
              <w:rPr>
                <w:rFonts w:hint="eastAsia" w:ascii="Times New Roman" w:hAnsi="Times New Roman" w:eastAsia="宋体" w:cs="Times New Roman"/>
                <w:color w:val="auto"/>
                <w:sz w:val="24"/>
                <w:lang w:val="en-US" w:eastAsia="zh-CN"/>
              </w:rPr>
              <w:t>4430</w:t>
            </w:r>
            <w:r>
              <w:rPr>
                <w:rFonts w:hint="default" w:ascii="Times New Roman" w:hAnsi="Times New Roman" w:eastAsia="宋体" w:cs="Times New Roman"/>
                <w:color w:val="auto"/>
                <w:sz w:val="24"/>
                <w:lang w:val="en-US" w:eastAsia="zh-CN"/>
              </w:rPr>
              <w:t>热力生产和供应</w:t>
            </w:r>
            <w:r>
              <w:rPr>
                <w:rFonts w:hint="default" w:ascii="Times New Roman" w:hAnsi="Times New Roman" w:eastAsia="宋体" w:cs="Times New Roman"/>
                <w:color w:val="auto"/>
                <w:sz w:val="24"/>
              </w:rPr>
              <w:t>，经查阅《产业结构调整指导目录(2019年本)》、《关于印发河北省新增限制和淘汰类产业目录(2015年版)的通知》（冀政办发[2015]7号），本项目为不属于限制类、淘汰类，运营过程中不使用国家明令禁止淘汰类和限制类工艺和设备，因此项目符合相关产业政策要求。</w:t>
            </w:r>
            <w:r>
              <w:rPr>
                <w:rFonts w:hint="eastAsia" w:ascii="Times New Roman" w:hAnsi="Times New Roman" w:eastAsia="宋体" w:cs="Times New Roman"/>
                <w:color w:val="auto"/>
                <w:sz w:val="24"/>
                <w:lang w:val="en-US" w:eastAsia="zh-CN"/>
              </w:rPr>
              <w:t>本项目不属于</w:t>
            </w:r>
            <w:r>
              <w:rPr>
                <w:rFonts w:hint="default" w:ascii="Times New Roman" w:hAnsi="Times New Roman" w:eastAsia="宋体" w:cs="Times New Roman"/>
                <w:color w:val="auto"/>
                <w:sz w:val="24"/>
              </w:rPr>
              <w:t>《康保县等坝上六县国家重点生态功能区产业准入负面清单（试行）》</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冀发改规划[2017]248号</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eastAsia="zh-CN"/>
              </w:rPr>
              <w:t>限制行业类型、禁止行业类型</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综上所述，本项目建设符合国家及地方产业政策要求。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kern w:val="0"/>
                <w:sz w:val="24"/>
              </w:rPr>
            </w:pPr>
            <w:r>
              <w:rPr>
                <w:rFonts w:hint="eastAsia" w:ascii="Times New Roman" w:hAnsi="Times New Roman" w:eastAsia="宋体" w:cs="Times New Roman"/>
                <w:b/>
                <w:bCs/>
                <w:color w:val="auto"/>
                <w:kern w:val="0"/>
                <w:sz w:val="24"/>
                <w:lang w:val="en-US" w:eastAsia="zh-CN"/>
              </w:rPr>
              <w:t>3</w:t>
            </w:r>
            <w:r>
              <w:rPr>
                <w:rFonts w:hint="default" w:ascii="Times New Roman" w:hAnsi="Times New Roman" w:eastAsia="宋体" w:cs="Times New Roman"/>
                <w:b/>
                <w:bCs/>
                <w:color w:val="auto"/>
                <w:kern w:val="0"/>
                <w:sz w:val="24"/>
              </w:rPr>
              <w:t>、规划符合性</w:t>
            </w:r>
          </w:p>
          <w:p>
            <w:pPr>
              <w:keepNext w:val="0"/>
              <w:keepLines w:val="0"/>
              <w:pageBreakBefore w:val="0"/>
              <w:widowControl w:val="0"/>
              <w:kinsoku/>
              <w:wordWrap/>
              <w:overflowPunct/>
              <w:topLinePunct w:val="0"/>
              <w:bidi w:val="0"/>
              <w:adjustRightInd w:val="0"/>
              <w:snapToGrid w:val="0"/>
              <w:spacing w:line="360" w:lineRule="auto"/>
              <w:ind w:firstLine="48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（1）《承德市城市总体规划》（2016-2030年）</w:t>
            </w:r>
          </w:p>
          <w:p>
            <w:pPr>
              <w:keepNext w:val="0"/>
              <w:keepLines w:val="0"/>
              <w:pageBreakBefore w:val="0"/>
              <w:widowControl w:val="0"/>
              <w:kinsoku/>
              <w:wordWrap/>
              <w:overflowPunct/>
              <w:topLinePunct w:val="0"/>
              <w:bidi w:val="0"/>
              <w:adjustRightInd w:val="0"/>
              <w:snapToGrid w:val="0"/>
              <w:spacing w:line="360" w:lineRule="auto"/>
              <w:ind w:firstLine="480"/>
              <w:textAlignment w:val="auto"/>
              <w:rPr>
                <w:rFonts w:hint="default" w:ascii="Times New Roman" w:hAnsi="Times New Roman" w:cs="Times New Roman"/>
                <w:color w:val="auto"/>
                <w:sz w:val="24"/>
              </w:rPr>
            </w:pPr>
            <w:r>
              <w:rPr>
                <w:rFonts w:hint="default" w:ascii="Times New Roman" w:hAnsi="Times New Roman" w:cs="Times New Roman"/>
                <w:color w:val="auto"/>
                <w:sz w:val="24"/>
              </w:rPr>
              <w:t>《承德市城市总体规划》（2016-2030）中的生态功能区划将承德市划分出一级区两个，即坝上高原生态区、冀北及燕山山地生态区；生态亚区六个，即坝上高原西部草原生态亚区、坝上高原东部森林草原生态亚区、冀北山地森林生态亚区、七老图山森林灌草生态亚区、燕山山地南部林果生态亚区、城市规划发展生态亚区。</w:t>
            </w:r>
          </w:p>
          <w:p>
            <w:pPr>
              <w:keepNext w:val="0"/>
              <w:keepLines w:val="0"/>
              <w:pageBreakBefore w:val="0"/>
              <w:widowControl w:val="0"/>
              <w:kinsoku/>
              <w:wordWrap/>
              <w:overflowPunct/>
              <w:topLinePunct w:val="0"/>
              <w:bidi w:val="0"/>
              <w:adjustRightInd w:val="0"/>
              <w:snapToGrid w:val="0"/>
              <w:spacing w:line="360" w:lineRule="auto"/>
              <w:ind w:firstLine="48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位于河北省承德市围场满族蒙古族自治县围场镇金字村口，根据承德市总体规划，围场镇属于“冀北及燕山山地生态区（Ⅱ）—冀北山地森林生态亚区（II-1）—围场中部水源涵养，水资源保护与防风固沙生态功能区（II-1-2）”，该区域主要生态环境问题、生态服务功能、建设方向及措施如下表所示。</w:t>
            </w:r>
          </w:p>
          <w:p>
            <w:pPr>
              <w:pStyle w:val="59"/>
              <w:keepNext w:val="0"/>
              <w:keepLines w:val="0"/>
              <w:pageBreakBefore w:val="0"/>
              <w:widowControl w:val="0"/>
              <w:numPr>
                <w:ilvl w:val="0"/>
                <w:numId w:val="2"/>
              </w:numPr>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承德市总体规划中生态功能区划相关功能分区</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699"/>
              <w:gridCol w:w="1036"/>
              <w:gridCol w:w="1085"/>
              <w:gridCol w:w="1211"/>
              <w:gridCol w:w="3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vAlign w:val="center"/>
                </w:tcPr>
                <w:p>
                  <w:pPr>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生态区</w:t>
                  </w:r>
                </w:p>
              </w:tc>
              <w:tc>
                <w:tcPr>
                  <w:tcW w:w="427" w:type="pct"/>
                  <w:vAlign w:val="center"/>
                </w:tcPr>
                <w:p>
                  <w:pPr>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生态亚区</w:t>
                  </w:r>
                </w:p>
              </w:tc>
              <w:tc>
                <w:tcPr>
                  <w:tcW w:w="633" w:type="pct"/>
                  <w:vAlign w:val="center"/>
                </w:tcPr>
                <w:p>
                  <w:pPr>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生态功能区</w:t>
                  </w:r>
                </w:p>
              </w:tc>
              <w:tc>
                <w:tcPr>
                  <w:tcW w:w="663" w:type="pct"/>
                  <w:vAlign w:val="center"/>
                </w:tcPr>
                <w:p>
                  <w:pPr>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主要生态环境问题</w:t>
                  </w:r>
                </w:p>
              </w:tc>
              <w:tc>
                <w:tcPr>
                  <w:tcW w:w="740" w:type="pct"/>
                  <w:vAlign w:val="center"/>
                </w:tcPr>
                <w:p>
                  <w:pPr>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生态服务功能</w:t>
                  </w:r>
                </w:p>
              </w:tc>
              <w:tc>
                <w:tcPr>
                  <w:tcW w:w="2136" w:type="pct"/>
                  <w:vAlign w:val="center"/>
                </w:tcPr>
                <w:p>
                  <w:pPr>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建设方向及措施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vAlign w:val="center"/>
                </w:tcPr>
                <w:p>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冀北及燕山山地生态区Ⅱ</w:t>
                  </w:r>
                </w:p>
              </w:tc>
              <w:tc>
                <w:tcPr>
                  <w:tcW w:w="427" w:type="pct"/>
                  <w:vAlign w:val="center"/>
                </w:tcPr>
                <w:p>
                  <w:pPr>
                    <w:snapToGrid w:val="0"/>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冀北山地森林生态亚区II-1</w:t>
                  </w:r>
                </w:p>
              </w:tc>
              <w:tc>
                <w:tcPr>
                  <w:tcW w:w="633" w:type="pct"/>
                  <w:vAlign w:val="center"/>
                </w:tcPr>
                <w:p>
                  <w:pPr>
                    <w:snapToGrid w:val="0"/>
                    <w:jc w:val="center"/>
                    <w:rPr>
                      <w:rFonts w:hint="default" w:ascii="Times New Roman" w:hAnsi="Times New Roman" w:cs="Times New Roman"/>
                      <w:color w:val="auto"/>
                      <w:szCs w:val="21"/>
                      <w:highlight w:val="none"/>
                      <w:lang w:val="en-US"/>
                    </w:rPr>
                  </w:pPr>
                  <w:r>
                    <w:rPr>
                      <w:rFonts w:hint="eastAsia" w:ascii="Times New Roman" w:hAnsi="Times New Roman" w:cs="Times New Roman"/>
                      <w:color w:val="auto"/>
                      <w:szCs w:val="21"/>
                      <w:highlight w:val="none"/>
                      <w:lang w:val="en-US" w:eastAsia="zh-CN"/>
                    </w:rPr>
                    <w:t>围场中部水源涵养，水资源保护与防风固沙生态功能区II-1-2</w:t>
                  </w:r>
                </w:p>
              </w:tc>
              <w:tc>
                <w:tcPr>
                  <w:tcW w:w="663" w:type="pct"/>
                  <w:vAlign w:val="center"/>
                </w:tcPr>
                <w:p>
                  <w:pPr>
                    <w:snapToGrid w:val="0"/>
                    <w:jc w:val="center"/>
                    <w:rPr>
                      <w:rFonts w:hint="default" w:ascii="Times New Roman" w:hAnsi="Times New Roman" w:cs="Times New Roman"/>
                      <w:color w:val="auto"/>
                      <w:szCs w:val="21"/>
                      <w:highlight w:val="none"/>
                      <w:lang w:val="en-US"/>
                    </w:rPr>
                  </w:pPr>
                  <w:r>
                    <w:rPr>
                      <w:rFonts w:hint="eastAsia" w:ascii="Times New Roman" w:hAnsi="Times New Roman" w:cs="Times New Roman"/>
                      <w:color w:val="auto"/>
                      <w:szCs w:val="21"/>
                      <w:highlight w:val="none"/>
                      <w:lang w:val="en-US" w:eastAsia="zh-CN"/>
                    </w:rPr>
                    <w:t>农业开垦活动比较严重，导致水土流失及荒漠化现象严重</w:t>
                  </w:r>
                </w:p>
              </w:tc>
              <w:tc>
                <w:tcPr>
                  <w:tcW w:w="740" w:type="pct"/>
                  <w:vAlign w:val="center"/>
                </w:tcPr>
                <w:p>
                  <w:pPr>
                    <w:snapToGrid w:val="0"/>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水源涵养、荒漠化防治、水土保持</w:t>
                  </w:r>
                </w:p>
              </w:tc>
              <w:tc>
                <w:tcPr>
                  <w:tcW w:w="2136" w:type="pct"/>
                  <w:vAlign w:val="center"/>
                </w:tcPr>
                <w:p>
                  <w:pPr>
                    <w:snapToGrid w:val="0"/>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在加强现有林地保护的基础上，进一步提高植被覆盖率和水源涵养能力；提高农业系统中林木组分含量，搞好荒山绿化工作；改善城镇生态环境，控制生产和生活污水排放，保护河流水质，全面推行生态农业，减少面源污染对河流水质的影响，保证下游地区的用水安全。</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textAlignment w:val="auto"/>
              <w:rPr>
                <w:rFonts w:hint="default" w:ascii="Times New Roman" w:hAnsi="Times New Roman" w:cs="Times New Roman"/>
                <w:color w:val="auto"/>
                <w:sz w:val="24"/>
              </w:rPr>
            </w:pPr>
            <w:r>
              <w:rPr>
                <w:rFonts w:hint="default" w:ascii="Times New Roman" w:hAnsi="Times New Roman" w:cs="Times New Roman"/>
                <w:color w:val="auto"/>
                <w:sz w:val="24"/>
              </w:rPr>
              <w:t>承德市城市总体规划中生态功能区如下图所示：</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color w:val="auto"/>
                <w:szCs w:val="21"/>
              </w:rPr>
            </w:pPr>
            <w:r>
              <w:rPr>
                <w:rFonts w:hint="default" w:ascii="Times New Roman" w:hAnsi="Times New Roman" w:cs="Times New Roman"/>
                <w:color w:val="auto"/>
              </w:rPr>
              <mc:AlternateContent>
                <mc:Choice Requires="wpg">
                  <w:drawing>
                    <wp:anchor distT="0" distB="0" distL="114300" distR="114300" simplePos="0" relativeHeight="251661312" behindDoc="0" locked="0" layoutInCell="1" allowOverlap="1">
                      <wp:simplePos x="0" y="0"/>
                      <wp:positionH relativeFrom="column">
                        <wp:posOffset>1259840</wp:posOffset>
                      </wp:positionH>
                      <wp:positionV relativeFrom="paragraph">
                        <wp:posOffset>1842770</wp:posOffset>
                      </wp:positionV>
                      <wp:extent cx="894715" cy="294640"/>
                      <wp:effectExtent l="6350" t="20955" r="32385" b="8255"/>
                      <wp:wrapNone/>
                      <wp:docPr id="16" name="组合 18"/>
                      <wp:cNvGraphicFramePr/>
                      <a:graphic xmlns:a="http://schemas.openxmlformats.org/drawingml/2006/main">
                        <a:graphicData uri="http://schemas.microsoft.com/office/word/2010/wordprocessingGroup">
                          <wpg:wgp>
                            <wpg:cNvGrpSpPr/>
                            <wpg:grpSpPr>
                              <a:xfrm>
                                <a:off x="0" y="0"/>
                                <a:ext cx="894715" cy="294640"/>
                                <a:chOff x="6651" y="55728"/>
                                <a:chExt cx="1409" cy="464"/>
                              </a:xfrm>
                            </wpg:grpSpPr>
                            <wps:wsp>
                              <wps:cNvPr id="10" name="圆角矩形标注 449"/>
                              <wps:cNvSpPr/>
                              <wps:spPr>
                                <a:xfrm>
                                  <a:off x="6651" y="55766"/>
                                  <a:ext cx="1116" cy="427"/>
                                </a:xfrm>
                                <a:prstGeom prst="wedgeRoundRectCallout">
                                  <a:avLst>
                                    <a:gd name="adj1" fmla="val 65051"/>
                                    <a:gd name="adj2" fmla="val -31500"/>
                                    <a:gd name="adj3" fmla="val 16667"/>
                                  </a:avLst>
                                </a:prstGeom>
                                <a:solidFill>
                                  <a:srgbClr val="FFFFFF"/>
                                </a:solidFill>
                                <a:ln w="12700" cap="flat" cmpd="sng">
                                  <a:solidFill>
                                    <a:srgbClr val="FF0000"/>
                                  </a:solidFill>
                                  <a:prstDash val="solid"/>
                                  <a:miter/>
                                  <a:headEnd type="none" w="med" len="med"/>
                                  <a:tailEnd type="none" w="med" len="med"/>
                                </a:ln>
                              </wps:spPr>
                              <wps:txbx>
                                <w:txbxContent>
                                  <w:p>
                                    <w:pPr>
                                      <w:snapToGrid w:val="0"/>
                                      <w:spacing w:line="360" w:lineRule="auto"/>
                                      <w:jc w:val="center"/>
                                      <w:rPr>
                                        <w:color w:val="FF0000"/>
                                        <w:szCs w:val="21"/>
                                      </w:rPr>
                                    </w:pPr>
                                    <w:r>
                                      <w:rPr>
                                        <w:rFonts w:hint="eastAsia"/>
                                        <w:color w:val="FF0000"/>
                                        <w:szCs w:val="21"/>
                                      </w:rPr>
                                      <w:t>项目选址</w:t>
                                    </w:r>
                                  </w:p>
                                </w:txbxContent>
                              </wps:txbx>
                              <wps:bodyPr lIns="18000" tIns="45720" rIns="18000" bIns="45720" anchor="ctr" anchorCtr="0" upright="1"/>
                            </wps:wsp>
                            <wps:wsp>
                              <wps:cNvPr id="15" name="五角星 448"/>
                              <wps:cNvSpPr/>
                              <wps:spPr>
                                <a:xfrm>
                                  <a:off x="7948" y="55728"/>
                                  <a:ext cx="113" cy="113"/>
                                </a:xfrm>
                                <a:custGeom>
                                  <a:avLst/>
                                  <a:gdLst/>
                                  <a:ahLst/>
                                  <a:cxnLst>
                                    <a:cxn ang="0">
                                      <a:pos x="0" y="43"/>
                                    </a:cxn>
                                    <a:cxn ang="0">
                                      <a:pos x="43" y="43"/>
                                    </a:cxn>
                                    <a:cxn ang="0">
                                      <a:pos x="57" y="0"/>
                                    </a:cxn>
                                    <a:cxn ang="0">
                                      <a:pos x="70" y="43"/>
                                    </a:cxn>
                                    <a:cxn ang="0">
                                      <a:pos x="113" y="43"/>
                                    </a:cxn>
                                    <a:cxn ang="0">
                                      <a:pos x="78" y="70"/>
                                    </a:cxn>
                                    <a:cxn ang="0">
                                      <a:pos x="91" y="113"/>
                                    </a:cxn>
                                    <a:cxn ang="0">
                                      <a:pos x="57" y="86"/>
                                    </a:cxn>
                                    <a:cxn ang="0">
                                      <a:pos x="22" y="113"/>
                                    </a:cxn>
                                    <a:cxn ang="0">
                                      <a:pos x="35" y="70"/>
                                    </a:cxn>
                                    <a:cxn ang="0">
                                      <a:pos x="0" y="43"/>
                                    </a:cxn>
                                  </a:cxnLst>
                                  <a:pathLst>
                                    <a:path w="10000" h="10000">
                                      <a:moveTo>
                                        <a:pt x="0" y="3805"/>
                                      </a:moveTo>
                                      <a:lnTo>
                                        <a:pt x="3805" y="3805"/>
                                      </a:lnTo>
                                      <a:lnTo>
                                        <a:pt x="5044" y="0"/>
                                      </a:lnTo>
                                      <a:lnTo>
                                        <a:pt x="6195" y="3805"/>
                                      </a:lnTo>
                                      <a:lnTo>
                                        <a:pt x="10000" y="3805"/>
                                      </a:lnTo>
                                      <a:lnTo>
                                        <a:pt x="6903" y="6195"/>
                                      </a:lnTo>
                                      <a:lnTo>
                                        <a:pt x="8053" y="10000"/>
                                      </a:lnTo>
                                      <a:lnTo>
                                        <a:pt x="5044" y="7611"/>
                                      </a:lnTo>
                                      <a:lnTo>
                                        <a:pt x="1947" y="10000"/>
                                      </a:lnTo>
                                      <a:lnTo>
                                        <a:pt x="3097" y="6195"/>
                                      </a:lnTo>
                                      <a:lnTo>
                                        <a:pt x="0" y="3805"/>
                                      </a:lnTo>
                                      <a:close/>
                                    </a:path>
                                  </a:pathLst>
                                </a:custGeom>
                                <a:solidFill>
                                  <a:srgbClr val="FF0000"/>
                                </a:solidFill>
                                <a:ln w="12700" cap="flat" cmpd="sng">
                                  <a:solidFill>
                                    <a:srgbClr val="FF0000"/>
                                  </a:solidFill>
                                  <a:prstDash val="solid"/>
                                  <a:miter/>
                                  <a:headEnd type="none" w="med" len="med"/>
                                  <a:tailEnd type="none" w="med" len="med"/>
                                </a:ln>
                              </wps:spPr>
                              <wps:bodyPr anchor="ctr" anchorCtr="0" upright="1"/>
                            </wps:wsp>
                          </wpg:wgp>
                        </a:graphicData>
                      </a:graphic>
                    </wp:anchor>
                  </w:drawing>
                </mc:Choice>
                <mc:Fallback>
                  <w:pict>
                    <v:group id="组合 18" o:spid="_x0000_s1026" o:spt="203" style="position:absolute;left:0pt;margin-left:99.2pt;margin-top:145.1pt;height:23.2pt;width:70.45pt;z-index:251661312;mso-width-relative:page;mso-height-relative:page;" coordorigin="6651,55728" coordsize="140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">
                      <o:lock v:ext="edit" aspectratio="f"/>
                      <v:shape id="圆角矩形标注 449" o:spid="_x0000_s1026" o:spt="62" type="#_x0000_t62" style="position:absolute;left:6651;top:55766;height:427;width:1116;v-text-anchor:middle;"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" adj="24851,3996,14400">
                        <v:fill on="t" focussize="0,0"/>
                        <v:stroke weight="1pt" color="#FF0000" joinstyle="miter"/>
                        <v:imagedata o:title=""/>
                        <o:lock v:ext="edit" aspectratio="f"/>
                        <v:textbox inset="0.5mm,1.27mm,0.5mm,1.27mm">
                          <w:txbxContent>
                            <w:p>
                              <w:pPr>
                                <w:snapToGrid w:val="0"/>
                                <w:spacing w:line="360" w:lineRule="auto"/>
                                <w:jc w:val="center"/>
                                <w:rPr>
                                  <w:color w:val="FF0000"/>
                                  <w:szCs w:val="21"/>
                                </w:rPr>
                              </w:pPr>
                              <w:r>
                                <w:rPr>
                                  <w:rFonts w:hint="eastAsia"/>
                                  <w:color w:val="FF0000"/>
                                  <w:szCs w:val="21"/>
                                </w:rPr>
                                <w:t>项目选址</w:t>
                              </w:r>
                            </w:p>
                          </w:txbxContent>
                        </v:textbox>
                      </v:shape>
                      <v:shape id="五角星 448" o:spid="_x0000_s1026" o:spt="100" style="position:absolute;left:7948;top:55728;height:113;width:113;v-text-anchor:middle;" fillcolor="#FF0000" filled="t" stroked="t"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" path="m0,3805l3805,3805,5044,0,6195,3805,10000,3805,6903,6195,8053,10000,5044,7611,1947,10000,3097,6195,0,3805xe">
                        <v:path o:connecttype="custom" o:connectlocs="0,43;43,43;57,0;70,43;113,43;78,70;91,113;57,86;22,113;35,70;0,43" o:connectangles="0,0,0,0,0,0,0,0,0,0,0"/>
                        <v:fill on="t" focussize="0,0"/>
                        <v:stroke weight="1pt" color="#FF0000" joinstyle="miter"/>
                        <v:imagedata o:title=""/>
                        <o:lock v:ext="edit" aspectratio="f"/>
                      </v:shape>
                    </v:group>
                  </w:pict>
                </mc:Fallback>
              </mc:AlternateContent>
            </w:r>
            <w:r>
              <w:rPr>
                <w:rFonts w:hint="default" w:ascii="Times New Roman" w:hAnsi="Times New Roman" w:eastAsia="宋体" w:cs="Times New Roman"/>
                <w:color w:val="auto"/>
              </w:rPr>
              <w:drawing>
                <wp:inline distT="0" distB="0" distL="114300" distR="114300">
                  <wp:extent cx="5191760" cy="3140075"/>
                  <wp:effectExtent l="0" t="0" r="8890" b="3175"/>
                  <wp:docPr id="8" name="图片 8" descr="1670299028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70299028927"/>
                          <pic:cNvPicPr>
                            <a:picLocks noChangeAspect="1"/>
                          </pic:cNvPicPr>
                        </pic:nvPicPr>
                        <pic:blipFill>
                          <a:blip r:embed="rId8"/>
                          <a:stretch>
                            <a:fillRect/>
                          </a:stretch>
                        </pic:blipFill>
                        <pic:spPr>
                          <a:xfrm>
                            <a:off x="0" y="0"/>
                            <a:ext cx="5191760" cy="3140075"/>
                          </a:xfrm>
                          <a:prstGeom prst="rect">
                            <a:avLst/>
                          </a:prstGeom>
                        </pic:spPr>
                      </pic:pic>
                    </a:graphicData>
                  </a:graphic>
                </wp:inline>
              </w:drawing>
            </w:r>
            <w:r>
              <w:rPr>
                <w:rFonts w:hint="default" w:ascii="Times New Roman" w:hAnsi="Times New Roman" w:eastAsia="宋体" w:cs="Times New Roman"/>
                <w:color w:val="auto"/>
              </w:rPr>
              <w:drawing>
                <wp:inline distT="0" distB="0" distL="114300" distR="114300">
                  <wp:extent cx="5144135" cy="1170940"/>
                  <wp:effectExtent l="0" t="0" r="6985" b="254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9" cstate="print"/>
                          <a:stretch>
                            <a:fillRect/>
                          </a:stretch>
                        </pic:blipFill>
                        <pic:spPr>
                          <a:xfrm>
                            <a:off x="0" y="0"/>
                            <a:ext cx="5144135" cy="1170940"/>
                          </a:xfrm>
                          <a:prstGeom prst="rect">
                            <a:avLst/>
                          </a:prstGeom>
                          <a:noFill/>
                          <a:ln>
                            <a:noFill/>
                          </a:ln>
                        </pic:spPr>
                      </pic:pic>
                    </a:graphicData>
                  </a:graphic>
                </wp:inline>
              </w:drawing>
            </w:r>
          </w:p>
          <w:p>
            <w:pPr>
              <w:pStyle w:val="59"/>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left="0" w:firstLine="0" w:firstLineChars="0"/>
              <w:jc w:val="center"/>
              <w:textAlignment w:val="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承德市生态功能区图</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44"/>
                <w:sz w:val="24"/>
              </w:rPr>
            </w:pPr>
            <w:r>
              <w:rPr>
                <w:rFonts w:hint="default" w:ascii="Times New Roman" w:hAnsi="Times New Roman" w:cs="Times New Roman"/>
                <w:color w:val="auto"/>
                <w:kern w:val="44"/>
                <w:sz w:val="24"/>
              </w:rPr>
              <w:t>本项目为</w:t>
            </w:r>
            <w:r>
              <w:rPr>
                <w:rFonts w:hint="eastAsia" w:ascii="Times New Roman" w:hAnsi="Times New Roman" w:cs="Times New Roman"/>
                <w:color w:val="auto"/>
                <w:kern w:val="44"/>
                <w:sz w:val="24"/>
                <w:lang w:val="en-US" w:eastAsia="zh-CN"/>
              </w:rPr>
              <w:t>热力生产和供应</w:t>
            </w:r>
            <w:r>
              <w:rPr>
                <w:rFonts w:hint="default" w:ascii="Times New Roman" w:hAnsi="Times New Roman" w:cs="Times New Roman"/>
                <w:color w:val="auto"/>
                <w:kern w:val="44"/>
                <w:sz w:val="24"/>
              </w:rPr>
              <w:t>项目，</w:t>
            </w:r>
            <w:r>
              <w:rPr>
                <w:rFonts w:hint="default" w:ascii="Times New Roman" w:hAnsi="Times New Roman" w:cs="Times New Roman"/>
                <w:color w:val="auto"/>
                <w:kern w:val="44"/>
                <w:sz w:val="24"/>
                <w:lang w:val="en-US" w:eastAsia="zh-CN"/>
              </w:rPr>
              <w:t>项目占地位置不在禁建区和限建区，</w:t>
            </w:r>
            <w:r>
              <w:rPr>
                <w:rFonts w:hint="default" w:ascii="Times New Roman" w:hAnsi="Times New Roman" w:eastAsia="宋体" w:cs="Times New Roman"/>
                <w:color w:val="auto"/>
                <w:kern w:val="0"/>
                <w:sz w:val="24"/>
                <w:szCs w:val="24"/>
                <w:highlight w:val="none"/>
                <w:lang w:val="en-US" w:eastAsia="zh-CN" w:bidi="ar"/>
              </w:rPr>
              <w:t>项目</w:t>
            </w:r>
            <w:r>
              <w:rPr>
                <w:rFonts w:hint="eastAsia" w:ascii="Times New Roman" w:hAnsi="Times New Roman" w:eastAsia="宋体" w:cs="Times New Roman"/>
                <w:color w:val="auto"/>
                <w:kern w:val="0"/>
                <w:sz w:val="24"/>
                <w:szCs w:val="24"/>
                <w:highlight w:val="none"/>
                <w:lang w:val="en-US" w:eastAsia="zh-CN" w:bidi="ar"/>
              </w:rPr>
              <w:t>厂界外</w:t>
            </w:r>
            <w:r>
              <w:rPr>
                <w:rFonts w:hint="default" w:ascii="Times New Roman" w:hAnsi="Times New Roman" w:eastAsia="宋体" w:cs="Times New Roman"/>
                <w:color w:val="auto"/>
                <w:kern w:val="0"/>
                <w:sz w:val="24"/>
                <w:szCs w:val="24"/>
                <w:highlight w:val="none"/>
                <w:lang w:val="en-US" w:eastAsia="zh-CN" w:bidi="ar"/>
              </w:rPr>
              <w:t>500m范围内无自然保护区、风景名胜区、文化区</w:t>
            </w:r>
            <w:r>
              <w:rPr>
                <w:rFonts w:hint="eastAsia" w:ascii="Times New Roman" w:hAnsi="Times New Roman" w:eastAsia="宋体" w:cs="Times New Roman"/>
                <w:color w:val="auto"/>
                <w:kern w:val="0"/>
                <w:sz w:val="24"/>
                <w:szCs w:val="24"/>
                <w:highlight w:val="none"/>
                <w:lang w:val="en-US" w:eastAsia="zh-CN" w:bidi="ar"/>
              </w:rPr>
              <w:t>，项目的建设不会对生物多样性产生影响</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cs="Times New Roman"/>
                <w:color w:val="auto"/>
                <w:kern w:val="44"/>
                <w:sz w:val="24"/>
              </w:rPr>
              <w:t>运营期</w:t>
            </w:r>
            <w:r>
              <w:rPr>
                <w:rFonts w:hint="eastAsia" w:ascii="Times New Roman" w:hAnsi="Times New Roman" w:cs="Times New Roman"/>
                <w:color w:val="auto"/>
                <w:kern w:val="44"/>
                <w:sz w:val="24"/>
                <w:lang w:val="en-US" w:eastAsia="zh-CN"/>
              </w:rPr>
              <w:t>库房封闭、</w:t>
            </w:r>
            <w:r>
              <w:rPr>
                <w:rFonts w:hint="default" w:ascii="Times New Roman" w:hAnsi="Times New Roman" w:cs="Times New Roman"/>
                <w:color w:val="auto"/>
                <w:kern w:val="44"/>
                <w:sz w:val="24"/>
              </w:rPr>
              <w:t>地面硬化</w:t>
            </w:r>
            <w:r>
              <w:rPr>
                <w:rFonts w:hint="eastAsia" w:ascii="Times New Roman" w:hAnsi="Times New Roman" w:cs="Times New Roman"/>
                <w:color w:val="auto"/>
                <w:kern w:val="44"/>
                <w:sz w:val="24"/>
                <w:lang w:eastAsia="zh-CN"/>
              </w:rPr>
              <w:t>、</w:t>
            </w:r>
            <w:r>
              <w:rPr>
                <w:rFonts w:hint="eastAsia" w:ascii="Times New Roman" w:hAnsi="Times New Roman" w:cs="Times New Roman"/>
                <w:color w:val="auto"/>
                <w:kern w:val="44"/>
                <w:sz w:val="24"/>
                <w:lang w:val="en-US" w:eastAsia="zh-CN"/>
              </w:rPr>
              <w:t>加强绿化</w:t>
            </w:r>
            <w:r>
              <w:rPr>
                <w:rFonts w:hint="default" w:ascii="Times New Roman" w:hAnsi="Times New Roman" w:cs="Times New Roman"/>
                <w:color w:val="auto"/>
                <w:kern w:val="44"/>
                <w:sz w:val="24"/>
              </w:rPr>
              <w:t>，可有效防控</w:t>
            </w:r>
            <w:r>
              <w:rPr>
                <w:rFonts w:hint="eastAsia" w:ascii="Times New Roman" w:hAnsi="Times New Roman" w:cs="Times New Roman"/>
                <w:color w:val="auto"/>
                <w:kern w:val="44"/>
                <w:sz w:val="24"/>
                <w:lang w:val="en-US" w:eastAsia="zh-CN"/>
              </w:rPr>
              <w:t>面源污染对河流水质的影响</w:t>
            </w:r>
            <w:r>
              <w:rPr>
                <w:rFonts w:hint="default" w:ascii="Times New Roman" w:hAnsi="Times New Roman" w:cs="Times New Roman"/>
                <w:color w:val="auto"/>
                <w:kern w:val="44"/>
                <w:sz w:val="24"/>
              </w:rPr>
              <w:t>，符合《承德市城市总体规划》（2016-2030）中生态功能区划中该区域建设方向及措施相关要求。</w:t>
            </w:r>
          </w:p>
          <w:p>
            <w:pPr>
              <w:autoSpaceDE w:val="0"/>
              <w:autoSpaceDN w:val="0"/>
              <w:adjustRightInd w:val="0"/>
              <w:snapToGrid w:val="0"/>
              <w:spacing w:line="360" w:lineRule="auto"/>
              <w:ind w:firstLine="482" w:firstLineChars="200"/>
              <w:jc w:val="left"/>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（2）</w:t>
            </w:r>
            <w:r>
              <w:rPr>
                <w:rFonts w:hint="default" w:ascii="Times New Roman" w:hAnsi="Times New Roman" w:eastAsia="宋体" w:cs="Times New Roman"/>
                <w:b/>
                <w:bCs/>
                <w:color w:val="auto"/>
                <w:kern w:val="0"/>
                <w:sz w:val="24"/>
                <w:szCs w:val="24"/>
                <w:highlight w:val="none"/>
                <w:lang w:val="en-US" w:eastAsia="zh-CN" w:bidi="ar"/>
              </w:rPr>
              <w:t>《河北省生态环境保护“十四五”规划》</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44"/>
                <w:sz w:val="24"/>
                <w:highlight w:val="none"/>
              </w:rPr>
            </w:pPr>
            <w:r>
              <w:rPr>
                <w:rFonts w:hint="default" w:ascii="Times New Roman" w:hAnsi="Times New Roman" w:cs="Times New Roman"/>
                <w:color w:val="auto"/>
                <w:kern w:val="44"/>
                <w:sz w:val="24"/>
                <w:highlight w:val="none"/>
                <w:lang w:val="en-US" w:eastAsia="zh-CN"/>
              </w:rPr>
              <w:t>《河北省生态环境保护“十四五”规划》指出：</w:t>
            </w:r>
            <w:r>
              <w:rPr>
                <w:rFonts w:hint="eastAsia" w:ascii="Times New Roman" w:hAnsi="Times New Roman" w:cs="Times New Roman"/>
                <w:color w:val="auto"/>
                <w:kern w:val="44"/>
                <w:sz w:val="24"/>
                <w:highlight w:val="none"/>
              </w:rPr>
              <w:t>实施终端用能清洁化替代。建设产业集群集中供汽供热或清洁低碳能源中心，推动锅炉和工业炉窑使用清洁低碳能源或利用工厂余热、电厂热力。有序推进清洁取暖，实施农村清洁取暖农户动态管理，规范“新增”和“退出”农户标准、程序，建立健全维修服务体系，基本完成种养殖业及农副产品加工业燃煤设施清洁能源替代。加强煤炭等化石能源清洁高效利用，提升煤矿洗选技术水平，煤矿原煤入选率保持在90%以上。</w:t>
            </w:r>
            <w:r>
              <w:rPr>
                <w:rFonts w:hint="eastAsia" w:ascii="Times New Roman" w:hAnsi="Times New Roman" w:cs="Times New Roman"/>
                <w:color w:val="auto"/>
                <w:kern w:val="44"/>
                <w:sz w:val="24"/>
                <w:highlight w:val="none"/>
                <w:lang w:val="en-US" w:eastAsia="zh-CN"/>
              </w:rPr>
              <w:t>本项目属于</w:t>
            </w:r>
            <w:r>
              <w:rPr>
                <w:rFonts w:hint="default" w:ascii="Times New Roman" w:hAnsi="Times New Roman" w:cs="Times New Roman"/>
                <w:color w:val="auto"/>
                <w:kern w:val="44"/>
                <w:sz w:val="24"/>
                <w:highlight w:val="none"/>
                <w:lang w:val="en-US" w:eastAsia="zh-CN"/>
              </w:rPr>
              <w:t>热力生产和供应</w:t>
            </w:r>
            <w:r>
              <w:rPr>
                <w:rFonts w:hint="eastAsia" w:ascii="Times New Roman" w:hAnsi="Times New Roman" w:cs="Times New Roman"/>
                <w:color w:val="auto"/>
                <w:kern w:val="44"/>
                <w:sz w:val="24"/>
                <w:highlight w:val="none"/>
                <w:lang w:val="en-US" w:eastAsia="zh-CN"/>
              </w:rPr>
              <w:t>，属于园区供热配套设施，</w:t>
            </w:r>
            <w:r>
              <w:rPr>
                <w:rFonts w:hint="default" w:ascii="Times New Roman" w:hAnsi="Times New Roman" w:cs="Times New Roman"/>
                <w:color w:val="auto"/>
                <w:kern w:val="44"/>
                <w:sz w:val="24"/>
                <w:highlight w:val="none"/>
                <w:lang w:val="en-US" w:eastAsia="zh-CN"/>
              </w:rPr>
              <w:t>符合《河北省生态环境保护“十</w:t>
            </w:r>
            <w:r>
              <w:rPr>
                <w:rFonts w:hint="eastAsia" w:ascii="Times New Roman" w:hAnsi="Times New Roman" w:cs="Times New Roman"/>
                <w:color w:val="auto"/>
                <w:kern w:val="44"/>
                <w:sz w:val="24"/>
                <w:highlight w:val="none"/>
                <w:lang w:val="en-US" w:eastAsia="zh-CN"/>
              </w:rPr>
              <w:t>四</w:t>
            </w:r>
            <w:r>
              <w:rPr>
                <w:rFonts w:hint="default" w:ascii="Times New Roman" w:hAnsi="Times New Roman" w:cs="Times New Roman"/>
                <w:color w:val="auto"/>
                <w:kern w:val="44"/>
                <w:sz w:val="24"/>
                <w:highlight w:val="none"/>
                <w:lang w:val="en-US" w:eastAsia="zh-CN"/>
              </w:rPr>
              <w:t>五”规划》中的相关要求。</w:t>
            </w:r>
          </w:p>
          <w:p>
            <w:pPr>
              <w:autoSpaceDE w:val="0"/>
              <w:autoSpaceDN w:val="0"/>
              <w:adjustRightInd w:val="0"/>
              <w:snapToGrid w:val="0"/>
              <w:spacing w:line="360" w:lineRule="auto"/>
              <w:ind w:firstLine="482" w:firstLineChars="200"/>
              <w:jc w:val="left"/>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（3）</w:t>
            </w:r>
            <w:r>
              <w:rPr>
                <w:rFonts w:hint="default" w:ascii="Times New Roman" w:hAnsi="Times New Roman" w:eastAsia="宋体" w:cs="Times New Roman"/>
                <w:b/>
                <w:bCs/>
                <w:color w:val="auto"/>
                <w:kern w:val="0"/>
                <w:sz w:val="24"/>
                <w:szCs w:val="24"/>
                <w:highlight w:val="none"/>
                <w:lang w:val="en-US" w:eastAsia="zh-CN" w:bidi="ar"/>
              </w:rPr>
              <w:t>《承德市生态环境保护“十四五”规划》</w:t>
            </w:r>
          </w:p>
          <w:p>
            <w:pPr>
              <w:autoSpaceDE w:val="0"/>
              <w:autoSpaceDN w:val="0"/>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kern w:val="44"/>
                <w:sz w:val="24"/>
                <w:highlight w:val="none"/>
                <w:lang w:val="en-US" w:eastAsia="zh-CN"/>
              </w:rPr>
              <w:t>《承德市生态环境保护</w:t>
            </w:r>
            <w:r>
              <w:rPr>
                <w:rFonts w:hint="eastAsia" w:ascii="Times New Roman" w:hAnsi="Times New Roman" w:cs="Times New Roman"/>
                <w:color w:val="auto"/>
                <w:kern w:val="44"/>
                <w:sz w:val="24"/>
                <w:highlight w:val="none"/>
                <w:lang w:val="en-US" w:eastAsia="zh-CN"/>
              </w:rPr>
              <w:t>“</w:t>
            </w:r>
            <w:r>
              <w:rPr>
                <w:rFonts w:hint="default" w:ascii="Times New Roman" w:hAnsi="Times New Roman" w:cs="Times New Roman"/>
                <w:color w:val="auto"/>
                <w:kern w:val="44"/>
                <w:sz w:val="24"/>
                <w:highlight w:val="none"/>
                <w:lang w:val="en-US" w:eastAsia="zh-CN"/>
              </w:rPr>
              <w:t>十四五</w:t>
            </w:r>
            <w:r>
              <w:rPr>
                <w:rFonts w:hint="eastAsia" w:ascii="Times New Roman" w:hAnsi="Times New Roman" w:cs="Times New Roman"/>
                <w:color w:val="auto"/>
                <w:kern w:val="44"/>
                <w:sz w:val="24"/>
                <w:highlight w:val="none"/>
                <w:lang w:val="en-US" w:eastAsia="zh-CN"/>
              </w:rPr>
              <w:t>”</w:t>
            </w:r>
            <w:r>
              <w:rPr>
                <w:rFonts w:hint="default" w:ascii="Times New Roman" w:hAnsi="Times New Roman" w:cs="Times New Roman"/>
                <w:color w:val="auto"/>
                <w:kern w:val="44"/>
                <w:sz w:val="24"/>
                <w:highlight w:val="none"/>
                <w:lang w:val="en-US" w:eastAsia="zh-CN"/>
              </w:rPr>
              <w:t>规划》指出：实施终端用能清洁化替代。</w:t>
            </w:r>
            <w:r>
              <w:rPr>
                <w:rFonts w:hint="eastAsia" w:ascii="Times New Roman" w:hAnsi="Times New Roman" w:cs="Times New Roman"/>
                <w:color w:val="auto"/>
                <w:kern w:val="44"/>
                <w:sz w:val="24"/>
                <w:highlight w:val="none"/>
                <w:lang w:val="en-US" w:eastAsia="zh-CN"/>
              </w:rPr>
              <w:t>建设产业集群集中供汽供热或清洁低碳能源中心，推动锅炉和工业炉窑使用清洁低碳能源或利用工厂余热、电厂热力。有序推进清洁取暖，到2025年，除不具备改造条件的偏远山区和坝上地区外，其他农村地区实现清洁取暖全覆盖，基本完成种养殖业及农副产品加工业燃煤设施清洁能源替代。本项目属于</w:t>
            </w:r>
            <w:r>
              <w:rPr>
                <w:rFonts w:hint="default" w:ascii="Times New Roman" w:hAnsi="Times New Roman" w:cs="Times New Roman"/>
                <w:color w:val="auto"/>
                <w:kern w:val="44"/>
                <w:sz w:val="24"/>
                <w:highlight w:val="none"/>
                <w:lang w:val="en-US" w:eastAsia="zh-CN"/>
              </w:rPr>
              <w:t>热力生产和供应</w:t>
            </w:r>
            <w:r>
              <w:rPr>
                <w:rFonts w:hint="eastAsia" w:ascii="Times New Roman" w:hAnsi="Times New Roman" w:cs="Times New Roman"/>
                <w:color w:val="auto"/>
                <w:kern w:val="44"/>
                <w:sz w:val="24"/>
                <w:highlight w:val="none"/>
                <w:lang w:val="en-US" w:eastAsia="zh-CN"/>
              </w:rPr>
              <w:t>，属于园区供热配套设施，</w:t>
            </w:r>
            <w:r>
              <w:rPr>
                <w:rFonts w:hint="default" w:ascii="Times New Roman" w:hAnsi="Times New Roman" w:eastAsia="宋体" w:cs="Times New Roman"/>
                <w:color w:val="auto"/>
                <w:kern w:val="0"/>
                <w:sz w:val="24"/>
                <w:szCs w:val="24"/>
                <w:highlight w:val="none"/>
                <w:lang w:val="en-US" w:eastAsia="zh-CN" w:bidi="ar"/>
              </w:rPr>
              <w:t>符合《承德市生态环境保护“十四五”规划》中的相关要求。</w:t>
            </w:r>
          </w:p>
        </w:tc>
      </w:tr>
    </w:tbl>
    <w:p>
      <w:pPr>
        <w:spacing w:line="360" w:lineRule="auto"/>
        <w:rPr>
          <w:rFonts w:ascii="Times New Roman" w:hAnsi="Times New Roman" w:eastAsia="黑体" w:cs="Times New Roman"/>
          <w:color w:val="auto"/>
          <w:sz w:val="30"/>
        </w:rPr>
        <w:sectPr>
          <w:footerReference r:id="rId4" w:type="default"/>
          <w:pgSz w:w="11906" w:h="16838"/>
          <w:pgMar w:top="1531" w:right="1531" w:bottom="1531" w:left="1531" w:header="851" w:footer="1077" w:gutter="0"/>
          <w:pgNumType w:start="1"/>
          <w:cols w:space="425" w:num="1"/>
          <w:docGrid w:type="lines" w:linePitch="312" w:charSpace="0"/>
        </w:sectPr>
      </w:pPr>
    </w:p>
    <w:p>
      <w:pPr>
        <w:pStyle w:val="17"/>
        <w:spacing w:beforeAutospacing="0" w:afterAutospacing="0" w:line="360" w:lineRule="auto"/>
        <w:jc w:val="center"/>
        <w:outlineLvl w:val="0"/>
        <w:rPr>
          <w:rFonts w:hint="default" w:ascii="Times New Roman" w:hAnsi="Times New Roman" w:eastAsia="黑体"/>
          <w:snapToGrid w:val="0"/>
          <w:color w:val="auto"/>
          <w:sz w:val="30"/>
          <w:szCs w:val="30"/>
        </w:rPr>
      </w:pPr>
      <w:r>
        <w:rPr>
          <w:rFonts w:hint="default" w:ascii="Times New Roman" w:hAnsi="Times New Roman" w:eastAsia="黑体"/>
          <w:snapToGrid w:val="0"/>
          <w:color w:val="auto"/>
          <w:sz w:val="30"/>
          <w:szCs w:val="30"/>
        </w:rPr>
        <w:t>二、建设项目工程分析</w:t>
      </w:r>
    </w:p>
    <w:tbl>
      <w:tblPr>
        <w:tblStyle w:val="21"/>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11"/>
        <w:gridCol w:w="864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203" w:type="pct"/>
            <w:tcBorders>
              <w:top w:val="single" w:color="auto" w:sz="8" w:space="0"/>
              <w:left w:val="single" w:color="auto" w:sz="8" w:space="0"/>
              <w:bottom w:val="single" w:color="auto" w:sz="4" w:space="0"/>
              <w:right w:val="single" w:color="auto" w:sz="4" w:space="0"/>
            </w:tcBorders>
            <w:shd w:val="clear" w:color="auto" w:fill="auto"/>
            <w:vAlign w:val="center"/>
          </w:tcPr>
          <w:p>
            <w:pPr>
              <w:pStyle w:val="17"/>
              <w:adjustRightInd w:val="0"/>
              <w:snapToGrid w:val="0"/>
              <w:spacing w:beforeAutospacing="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建设内容</w:t>
            </w:r>
          </w:p>
        </w:tc>
        <w:tc>
          <w:tcPr>
            <w:tcW w:w="4796" w:type="pct"/>
            <w:tcBorders>
              <w:top w:val="single" w:color="auto" w:sz="8" w:space="0"/>
              <w:left w:val="single" w:color="auto" w:sz="4" w:space="0"/>
              <w:bottom w:val="single" w:color="auto" w:sz="4" w:space="0"/>
              <w:right w:val="single" w:color="auto" w:sz="8" w:space="0"/>
            </w:tcBorders>
            <w:shd w:val="clear" w:color="auto" w:fill="auto"/>
          </w:tcPr>
          <w:p>
            <w:pPr>
              <w:autoSpaceDE w:val="0"/>
              <w:autoSpaceDN w:val="0"/>
              <w:adjustRightInd w:val="0"/>
              <w:snapToGrid w:val="0"/>
              <w:spacing w:line="360" w:lineRule="auto"/>
              <w:ind w:firstLine="482" w:firstLineChars="200"/>
              <w:jc w:val="left"/>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1、工程内容</w:t>
            </w:r>
          </w:p>
          <w:p>
            <w:pPr>
              <w:pStyle w:val="36"/>
              <w:snapToGrid w:val="0"/>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rPr>
              <w:t>新建</w:t>
            </w:r>
            <w:r>
              <w:rPr>
                <w:rFonts w:hint="default" w:ascii="Times New Roman" w:hAnsi="Times New Roman" w:eastAsia="宋体" w:cs="Times New Roman"/>
                <w:bCs/>
                <w:color w:val="auto"/>
                <w:sz w:val="24"/>
                <w:szCs w:val="24"/>
                <w:lang w:val="en-US" w:eastAsia="zh-CN"/>
              </w:rPr>
              <w:t>1</w:t>
            </w:r>
            <w:r>
              <w:rPr>
                <w:rFonts w:hint="default" w:ascii="Times New Roman" w:hAnsi="Times New Roman" w:eastAsia="宋体" w:cs="Times New Roman"/>
                <w:color w:val="auto"/>
                <w:kern w:val="24"/>
                <w:sz w:val="24"/>
                <w:szCs w:val="24"/>
              </w:rPr>
              <w:t>台</w:t>
            </w:r>
            <w:r>
              <w:rPr>
                <w:rFonts w:hint="default" w:ascii="Times New Roman" w:hAnsi="Times New Roman" w:eastAsia="宋体" w:cs="Times New Roman"/>
                <w:color w:val="auto"/>
                <w:sz w:val="24"/>
                <w:szCs w:val="24"/>
                <w:lang w:val="en-US" w:eastAsia="zh-CN"/>
              </w:rPr>
              <w:t>29MW</w:t>
            </w:r>
            <w:r>
              <w:rPr>
                <w:rFonts w:hint="default" w:ascii="Times New Roman" w:hAnsi="Times New Roman" w:eastAsia="宋体" w:cs="Times New Roman"/>
                <w:color w:val="auto"/>
                <w:kern w:val="24"/>
                <w:sz w:val="24"/>
                <w:szCs w:val="24"/>
                <w:lang w:val="en-US" w:eastAsia="zh-CN"/>
              </w:rPr>
              <w:t>热水锅炉及其附属设施</w:t>
            </w:r>
            <w:r>
              <w:rPr>
                <w:rFonts w:hint="default" w:ascii="Times New Roman" w:hAnsi="Times New Roman" w:eastAsia="宋体" w:cs="Times New Roman"/>
                <w:color w:val="auto"/>
                <w:kern w:val="24"/>
                <w:sz w:val="24"/>
                <w:szCs w:val="24"/>
                <w:lang w:eastAsia="zh-CN"/>
              </w:rPr>
              <w:t>；</w:t>
            </w:r>
            <w:r>
              <w:rPr>
                <w:rFonts w:hint="default" w:ascii="Times New Roman" w:hAnsi="Times New Roman" w:eastAsia="宋体" w:cs="Times New Roman"/>
                <w:b w:val="0"/>
                <w:bCs/>
                <w:color w:val="auto"/>
                <w:kern w:val="44"/>
                <w:sz w:val="24"/>
                <w:szCs w:val="24"/>
                <w:lang w:val="en-US" w:eastAsia="zh-CN"/>
              </w:rPr>
              <w:t>供热站</w:t>
            </w:r>
            <w:r>
              <w:rPr>
                <w:rFonts w:hint="default" w:ascii="Times New Roman" w:hAnsi="Times New Roman" w:eastAsia="宋体" w:cs="Times New Roman"/>
                <w:b w:val="0"/>
                <w:bCs/>
                <w:color w:val="auto"/>
                <w:sz w:val="24"/>
                <w:szCs w:val="24"/>
                <w:highlight w:val="none"/>
                <w:lang w:val="en-US" w:eastAsia="zh-CN"/>
              </w:rPr>
              <w:t>总占地面积为</w:t>
            </w:r>
            <w:r>
              <w:rPr>
                <w:rFonts w:hint="default" w:ascii="Times New Roman" w:hAnsi="Times New Roman" w:eastAsia="宋体" w:cs="Times New Roman"/>
                <w:color w:val="auto"/>
                <w:sz w:val="24"/>
                <w:lang w:val="en-US" w:eastAsia="zh-CN"/>
              </w:rPr>
              <w:t>22825.19</w:t>
            </w:r>
            <w:r>
              <w:rPr>
                <w:rFonts w:hint="default" w:ascii="Times New Roman" w:hAnsi="Times New Roman" w:eastAsia="宋体" w:cs="Times New Roman"/>
                <w:b w:val="0"/>
                <w:bCs/>
                <w:color w:val="auto"/>
                <w:sz w:val="24"/>
                <w:szCs w:val="24"/>
                <w:highlight w:val="none"/>
                <w:lang w:val="en-US" w:eastAsia="zh-CN"/>
              </w:rPr>
              <w:t>m</w:t>
            </w:r>
            <w:r>
              <w:rPr>
                <w:rFonts w:hint="default" w:ascii="Times New Roman" w:hAnsi="Times New Roman" w:eastAsia="宋体" w:cs="Times New Roman"/>
                <w:b w:val="0"/>
                <w:bCs/>
                <w:color w:val="auto"/>
                <w:sz w:val="24"/>
                <w:szCs w:val="24"/>
                <w:highlight w:val="none"/>
                <w:vertAlign w:val="superscript"/>
                <w:lang w:val="en-US" w:eastAsia="zh-CN"/>
              </w:rPr>
              <w:t>2</w:t>
            </w:r>
            <w:r>
              <w:rPr>
                <w:rFonts w:hint="default" w:ascii="Times New Roman" w:hAnsi="Times New Roman" w:eastAsia="宋体" w:cs="Times New Roman"/>
                <w:b w:val="0"/>
                <w:bCs/>
                <w:color w:val="auto"/>
                <w:sz w:val="24"/>
                <w:szCs w:val="24"/>
                <w:highlight w:val="none"/>
                <w:lang w:val="en-US" w:eastAsia="zh-CN"/>
              </w:rPr>
              <w:t>，总建筑面积7749.37m</w:t>
            </w:r>
            <w:r>
              <w:rPr>
                <w:rFonts w:hint="default" w:ascii="Times New Roman" w:hAnsi="Times New Roman" w:eastAsia="宋体" w:cs="Times New Roman"/>
                <w:b w:val="0"/>
                <w:bCs/>
                <w:color w:val="auto"/>
                <w:sz w:val="24"/>
                <w:szCs w:val="24"/>
                <w:highlight w:val="none"/>
                <w:vertAlign w:val="superscript"/>
                <w:lang w:val="en-US" w:eastAsia="zh-CN"/>
              </w:rPr>
              <w:t>2</w:t>
            </w:r>
            <w:r>
              <w:rPr>
                <w:rFonts w:hint="default" w:ascii="Times New Roman" w:hAnsi="Times New Roman" w:eastAsia="宋体" w:cs="Times New Roman"/>
                <w:b w:val="0"/>
                <w:bCs/>
                <w:color w:val="auto"/>
                <w:sz w:val="24"/>
                <w:szCs w:val="24"/>
                <w:highlight w:val="none"/>
                <w:lang w:val="en-US" w:eastAsia="zh-CN"/>
              </w:rPr>
              <w:t>，其中</w:t>
            </w:r>
            <w:r>
              <w:rPr>
                <w:rFonts w:hint="default" w:ascii="Times New Roman" w:hAnsi="Times New Roman" w:eastAsia="宋体" w:cs="Times New Roman"/>
                <w:color w:val="auto"/>
                <w:sz w:val="24"/>
                <w:szCs w:val="24"/>
                <w:highlight w:val="none"/>
              </w:rPr>
              <w:t>锅炉房</w:t>
            </w:r>
            <w:r>
              <w:rPr>
                <w:rFonts w:hint="default" w:ascii="Times New Roman" w:hAnsi="Times New Roman" w:eastAsia="宋体" w:cs="Times New Roman"/>
                <w:color w:val="auto"/>
                <w:sz w:val="24"/>
                <w:szCs w:val="24"/>
                <w:highlight w:val="none"/>
                <w:lang w:val="en-US" w:eastAsia="zh-CN"/>
              </w:rPr>
              <w:t>占地面积2083.41</w:t>
            </w:r>
            <w:r>
              <w:rPr>
                <w:rFonts w:hint="default" w:ascii="Times New Roman" w:hAnsi="Times New Roman" w:eastAsia="宋体" w:cs="Times New Roman"/>
                <w:b w:val="0"/>
                <w:bCs/>
                <w:color w:val="auto"/>
                <w:sz w:val="24"/>
                <w:szCs w:val="24"/>
                <w:highlight w:val="none"/>
                <w:lang w:val="en-US" w:eastAsia="zh-CN"/>
              </w:rPr>
              <w:t>m</w:t>
            </w:r>
            <w:r>
              <w:rPr>
                <w:rFonts w:hint="default" w:ascii="Times New Roman" w:hAnsi="Times New Roman" w:eastAsia="宋体" w:cs="Times New Roman"/>
                <w:b w:val="0"/>
                <w:bCs/>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rPr>
              <w:t>，办公用房</w:t>
            </w:r>
            <w:r>
              <w:rPr>
                <w:rFonts w:hint="default" w:ascii="Times New Roman" w:hAnsi="Times New Roman" w:eastAsia="宋体" w:cs="Times New Roman"/>
                <w:color w:val="auto"/>
                <w:sz w:val="24"/>
                <w:szCs w:val="24"/>
                <w:highlight w:val="none"/>
                <w:lang w:val="en-US" w:eastAsia="zh-CN"/>
              </w:rPr>
              <w:t>占地面积733.39</w:t>
            </w:r>
            <w:r>
              <w:rPr>
                <w:rFonts w:hint="default" w:ascii="Times New Roman" w:hAnsi="Times New Roman" w:eastAsia="宋体" w:cs="Times New Roman"/>
                <w:b w:val="0"/>
                <w:bCs/>
                <w:color w:val="auto"/>
                <w:sz w:val="24"/>
                <w:szCs w:val="24"/>
                <w:highlight w:val="none"/>
                <w:lang w:val="en-US" w:eastAsia="zh-CN"/>
              </w:rPr>
              <w:t>m</w:t>
            </w:r>
            <w:r>
              <w:rPr>
                <w:rFonts w:hint="default" w:ascii="Times New Roman" w:hAnsi="Times New Roman" w:eastAsia="宋体" w:cs="Times New Roman"/>
                <w:b w:val="0"/>
                <w:bCs/>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rPr>
              <w:t>，引风机房</w:t>
            </w:r>
            <w:r>
              <w:rPr>
                <w:rFonts w:hint="default" w:ascii="Times New Roman" w:hAnsi="Times New Roman" w:eastAsia="宋体" w:cs="Times New Roman"/>
                <w:color w:val="auto"/>
                <w:sz w:val="24"/>
                <w:szCs w:val="24"/>
                <w:highlight w:val="none"/>
                <w:lang w:val="en-US" w:eastAsia="zh-CN"/>
              </w:rPr>
              <w:t>占地面积353.34</w:t>
            </w:r>
            <w:r>
              <w:rPr>
                <w:rFonts w:hint="default" w:ascii="Times New Roman" w:hAnsi="Times New Roman" w:eastAsia="宋体" w:cs="Times New Roman"/>
                <w:b w:val="0"/>
                <w:bCs/>
                <w:color w:val="auto"/>
                <w:sz w:val="24"/>
                <w:szCs w:val="24"/>
                <w:highlight w:val="none"/>
                <w:lang w:val="en-US" w:eastAsia="zh-CN"/>
              </w:rPr>
              <w:t>m</w:t>
            </w:r>
            <w:r>
              <w:rPr>
                <w:rFonts w:hint="default" w:ascii="Times New Roman" w:hAnsi="Times New Roman" w:eastAsia="宋体" w:cs="Times New Roman"/>
                <w:b w:val="0"/>
                <w:bCs/>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rPr>
              <w:t>，煤库</w:t>
            </w:r>
            <w:r>
              <w:rPr>
                <w:rFonts w:hint="default" w:ascii="Times New Roman" w:hAnsi="Times New Roman" w:eastAsia="宋体" w:cs="Times New Roman"/>
                <w:color w:val="auto"/>
                <w:sz w:val="24"/>
                <w:szCs w:val="24"/>
                <w:highlight w:val="none"/>
                <w:lang w:val="en-US" w:eastAsia="zh-CN"/>
              </w:rPr>
              <w:t>占地面积2978.46</w:t>
            </w:r>
            <w:r>
              <w:rPr>
                <w:rFonts w:hint="default" w:ascii="Times New Roman" w:hAnsi="Times New Roman" w:eastAsia="宋体" w:cs="Times New Roman"/>
                <w:b w:val="0"/>
                <w:bCs/>
                <w:color w:val="auto"/>
                <w:sz w:val="24"/>
                <w:szCs w:val="24"/>
                <w:highlight w:val="none"/>
                <w:lang w:val="en-US" w:eastAsia="zh-CN"/>
              </w:rPr>
              <w:t>m</w:t>
            </w:r>
            <w:r>
              <w:rPr>
                <w:rFonts w:hint="default" w:ascii="Times New Roman" w:hAnsi="Times New Roman" w:eastAsia="宋体" w:cs="Times New Roman"/>
                <w:b w:val="0"/>
                <w:bCs/>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rPr>
              <w:t>，渣库</w:t>
            </w:r>
            <w:r>
              <w:rPr>
                <w:rFonts w:hint="default" w:ascii="Times New Roman" w:hAnsi="Times New Roman" w:eastAsia="宋体" w:cs="Times New Roman"/>
                <w:color w:val="auto"/>
                <w:sz w:val="24"/>
                <w:szCs w:val="24"/>
                <w:highlight w:val="none"/>
                <w:lang w:val="en-US" w:eastAsia="zh-CN"/>
              </w:rPr>
              <w:t>占地面积505.44</w:t>
            </w:r>
            <w:r>
              <w:rPr>
                <w:rFonts w:hint="default" w:ascii="Times New Roman" w:hAnsi="Times New Roman" w:eastAsia="宋体" w:cs="Times New Roman"/>
                <w:b w:val="0"/>
                <w:bCs/>
                <w:color w:val="auto"/>
                <w:sz w:val="24"/>
                <w:szCs w:val="24"/>
                <w:highlight w:val="none"/>
                <w:lang w:val="en-US" w:eastAsia="zh-CN"/>
              </w:rPr>
              <w:t>m</w:t>
            </w:r>
            <w:r>
              <w:rPr>
                <w:rFonts w:hint="default" w:ascii="Times New Roman" w:hAnsi="Times New Roman" w:eastAsia="宋体" w:cs="Times New Roman"/>
                <w:b w:val="0"/>
                <w:bCs/>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灰库占地面积46.24</w:t>
            </w:r>
            <w:r>
              <w:rPr>
                <w:rFonts w:hint="default" w:ascii="Times New Roman" w:hAnsi="Times New Roman" w:eastAsia="宋体" w:cs="Times New Roman"/>
                <w:b w:val="0"/>
                <w:bCs/>
                <w:color w:val="auto"/>
                <w:sz w:val="24"/>
                <w:szCs w:val="24"/>
                <w:highlight w:val="none"/>
                <w:lang w:val="en-US" w:eastAsia="zh-CN"/>
              </w:rPr>
              <w:t>m</w:t>
            </w:r>
            <w:r>
              <w:rPr>
                <w:rFonts w:hint="default" w:ascii="Times New Roman" w:hAnsi="Times New Roman" w:eastAsia="宋体" w:cs="Times New Roman"/>
                <w:b w:val="0"/>
                <w:bCs/>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rPr>
              <w:t>，脱硫用房</w:t>
            </w:r>
            <w:r>
              <w:rPr>
                <w:rFonts w:hint="default" w:ascii="Times New Roman" w:hAnsi="Times New Roman" w:eastAsia="宋体" w:cs="Times New Roman"/>
                <w:color w:val="auto"/>
                <w:sz w:val="24"/>
                <w:szCs w:val="24"/>
                <w:highlight w:val="none"/>
                <w:lang w:val="en-US" w:eastAsia="zh-CN"/>
              </w:rPr>
              <w:t>占地面积247.5</w:t>
            </w:r>
            <w:r>
              <w:rPr>
                <w:rFonts w:hint="default" w:ascii="Times New Roman" w:hAnsi="Times New Roman" w:eastAsia="宋体" w:cs="Times New Roman"/>
                <w:b w:val="0"/>
                <w:bCs/>
                <w:color w:val="auto"/>
                <w:sz w:val="24"/>
                <w:szCs w:val="24"/>
                <w:highlight w:val="none"/>
                <w:lang w:val="en-US" w:eastAsia="zh-CN"/>
              </w:rPr>
              <w:t>m</w:t>
            </w:r>
            <w:r>
              <w:rPr>
                <w:rFonts w:hint="default" w:ascii="Times New Roman" w:hAnsi="Times New Roman" w:eastAsia="宋体" w:cs="Times New Roman"/>
                <w:b w:val="0"/>
                <w:bCs/>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rPr>
              <w:t>，消防水泵房</w:t>
            </w:r>
            <w:r>
              <w:rPr>
                <w:rFonts w:hint="default" w:ascii="Times New Roman" w:hAnsi="Times New Roman" w:eastAsia="宋体" w:cs="Times New Roman"/>
                <w:color w:val="auto"/>
                <w:sz w:val="24"/>
                <w:szCs w:val="24"/>
                <w:highlight w:val="none"/>
                <w:lang w:val="en-US" w:eastAsia="zh-CN"/>
              </w:rPr>
              <w:t>占地面积476.28</w:t>
            </w:r>
            <w:r>
              <w:rPr>
                <w:rFonts w:hint="default" w:ascii="Times New Roman" w:hAnsi="Times New Roman" w:eastAsia="宋体" w:cs="Times New Roman"/>
                <w:b w:val="0"/>
                <w:bCs/>
                <w:color w:val="auto"/>
                <w:sz w:val="24"/>
                <w:szCs w:val="24"/>
                <w:highlight w:val="none"/>
                <w:lang w:val="en-US" w:eastAsia="zh-CN"/>
              </w:rPr>
              <w:t>m</w:t>
            </w:r>
            <w:r>
              <w:rPr>
                <w:rFonts w:hint="default" w:ascii="Times New Roman" w:hAnsi="Times New Roman" w:eastAsia="宋体" w:cs="Times New Roman"/>
                <w:b w:val="0"/>
                <w:bCs/>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rPr>
              <w:t>，架空输煤廊</w:t>
            </w:r>
            <w:r>
              <w:rPr>
                <w:rFonts w:hint="default" w:ascii="Times New Roman" w:hAnsi="Times New Roman" w:eastAsia="宋体" w:cs="Times New Roman"/>
                <w:color w:val="auto"/>
                <w:sz w:val="24"/>
                <w:szCs w:val="24"/>
                <w:highlight w:val="none"/>
                <w:lang w:val="en-US" w:eastAsia="zh-CN"/>
              </w:rPr>
              <w:t>占地面积134.15</w:t>
            </w:r>
            <w:r>
              <w:rPr>
                <w:rFonts w:hint="default" w:ascii="Times New Roman" w:hAnsi="Times New Roman" w:eastAsia="宋体" w:cs="Times New Roman"/>
                <w:b w:val="0"/>
                <w:bCs/>
                <w:color w:val="auto"/>
                <w:sz w:val="24"/>
                <w:szCs w:val="24"/>
                <w:highlight w:val="none"/>
                <w:lang w:val="en-US" w:eastAsia="zh-CN"/>
              </w:rPr>
              <w:t>m</w:t>
            </w:r>
            <w:r>
              <w:rPr>
                <w:rFonts w:hint="default" w:ascii="Times New Roman" w:hAnsi="Times New Roman" w:eastAsia="宋体" w:cs="Times New Roman"/>
                <w:b w:val="0"/>
                <w:bCs/>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rPr>
              <w:t>，门卫</w:t>
            </w:r>
            <w:r>
              <w:rPr>
                <w:rFonts w:hint="default" w:ascii="Times New Roman" w:hAnsi="Times New Roman" w:eastAsia="宋体" w:cs="Times New Roman"/>
                <w:color w:val="auto"/>
                <w:sz w:val="24"/>
                <w:szCs w:val="24"/>
                <w:highlight w:val="none"/>
                <w:lang w:val="en-US" w:eastAsia="zh-CN"/>
              </w:rPr>
              <w:t>占地面积</w:t>
            </w:r>
            <w:r>
              <w:rPr>
                <w:rFonts w:hint="default" w:ascii="Times New Roman" w:hAnsi="Times New Roman" w:eastAsia="宋体" w:cs="Times New Roman"/>
                <w:color w:val="auto"/>
                <w:sz w:val="24"/>
                <w:szCs w:val="24"/>
                <w:highlight w:val="none"/>
              </w:rPr>
              <w:t>34.90</w:t>
            </w:r>
            <w:r>
              <w:rPr>
                <w:rFonts w:hint="default" w:ascii="Times New Roman" w:hAnsi="Times New Roman" w:eastAsia="宋体" w:cs="Times New Roman"/>
                <w:b w:val="0"/>
                <w:bCs/>
                <w:color w:val="auto"/>
                <w:sz w:val="24"/>
                <w:szCs w:val="24"/>
                <w:highlight w:val="none"/>
                <w:lang w:val="en-US" w:eastAsia="zh-CN"/>
              </w:rPr>
              <w:t>m</w:t>
            </w:r>
            <w:r>
              <w:rPr>
                <w:rFonts w:hint="default" w:ascii="Times New Roman" w:hAnsi="Times New Roman" w:eastAsia="宋体" w:cs="Times New Roman"/>
                <w:b w:val="0"/>
                <w:bCs/>
                <w:color w:val="auto"/>
                <w:sz w:val="24"/>
                <w:szCs w:val="24"/>
                <w:highlight w:val="none"/>
                <w:vertAlign w:val="superscript"/>
                <w:lang w:val="en-US" w:eastAsia="zh-CN"/>
              </w:rPr>
              <w:t>2</w:t>
            </w:r>
            <w:r>
              <w:rPr>
                <w:rFonts w:hint="default" w:ascii="Times New Roman" w:hAnsi="Times New Roman" w:eastAsia="宋体" w:cs="Times New Roman"/>
                <w:b w:val="0"/>
                <w:bCs/>
                <w:color w:val="auto"/>
                <w:sz w:val="24"/>
                <w:szCs w:val="24"/>
                <w:highlight w:val="none"/>
                <w:vertAlign w:val="baseline"/>
                <w:lang w:val="en-US" w:eastAsia="zh-CN"/>
              </w:rPr>
              <w:t>，危险废物贮存间</w:t>
            </w:r>
            <w:r>
              <w:rPr>
                <w:rFonts w:hint="default" w:ascii="Times New Roman" w:hAnsi="Times New Roman" w:eastAsia="宋体" w:cs="Times New Roman"/>
                <w:color w:val="auto"/>
                <w:sz w:val="24"/>
                <w:szCs w:val="24"/>
                <w:highlight w:val="none"/>
                <w:lang w:val="en-US" w:eastAsia="zh-CN"/>
              </w:rPr>
              <w:t>占地面积10</w:t>
            </w:r>
            <w:r>
              <w:rPr>
                <w:rFonts w:hint="default" w:ascii="Times New Roman" w:hAnsi="Times New Roman" w:eastAsia="宋体" w:cs="Times New Roman"/>
                <w:b w:val="0"/>
                <w:bCs/>
                <w:color w:val="auto"/>
                <w:sz w:val="24"/>
                <w:szCs w:val="24"/>
                <w:highlight w:val="none"/>
                <w:lang w:val="en-US" w:eastAsia="zh-CN"/>
              </w:rPr>
              <w:t>m</w:t>
            </w:r>
            <w:r>
              <w:rPr>
                <w:rFonts w:hint="default" w:ascii="Times New Roman" w:hAnsi="Times New Roman" w:eastAsia="宋体" w:cs="Times New Roman"/>
                <w:b w:val="0"/>
                <w:bCs/>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rPr>
              <w:t>主要建设内容详见下表。</w:t>
            </w:r>
          </w:p>
          <w:p>
            <w:pPr>
              <w:pStyle w:val="36"/>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本项目主要建设内容一览表</w:t>
            </w:r>
          </w:p>
          <w:tbl>
            <w:tblPr>
              <w:tblStyle w:val="21"/>
              <w:tblW w:w="4994"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304"/>
              <w:gridCol w:w="1806"/>
              <w:gridCol w:w="529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75" w:type="pct"/>
                  <w:tcBorders>
                    <w:tl2br w:val="nil"/>
                    <w:tr2bl w:val="nil"/>
                  </w:tcBorders>
                  <w:noWrap w:val="0"/>
                  <w:vAlign w:val="center"/>
                </w:tcPr>
                <w:p>
                  <w:pPr>
                    <w:pStyle w:val="44"/>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工程类型</w:t>
                  </w:r>
                </w:p>
              </w:tc>
              <w:tc>
                <w:tcPr>
                  <w:tcW w:w="1074" w:type="pct"/>
                  <w:tcBorders>
                    <w:tl2br w:val="nil"/>
                    <w:tr2bl w:val="nil"/>
                  </w:tcBorders>
                  <w:noWrap w:val="0"/>
                  <w:vAlign w:val="center"/>
                </w:tcPr>
                <w:p>
                  <w:pPr>
                    <w:pStyle w:val="44"/>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名称</w:t>
                  </w:r>
                </w:p>
              </w:tc>
              <w:tc>
                <w:tcPr>
                  <w:tcW w:w="3150" w:type="pct"/>
                  <w:tcBorders>
                    <w:tl2br w:val="nil"/>
                    <w:tr2bl w:val="nil"/>
                  </w:tcBorders>
                  <w:noWrap w:val="0"/>
                  <w:vAlign w:val="center"/>
                </w:tcPr>
                <w:p>
                  <w:pPr>
                    <w:pStyle w:val="44"/>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建设内容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75" w:type="pct"/>
                  <w:tcBorders>
                    <w:tl2br w:val="nil"/>
                    <w:tr2bl w:val="nil"/>
                  </w:tcBorders>
                  <w:noWrap w:val="0"/>
                  <w:vAlign w:val="center"/>
                </w:tcPr>
                <w:p>
                  <w:pPr>
                    <w:pStyle w:val="44"/>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主体工程</w:t>
                  </w:r>
                </w:p>
              </w:tc>
              <w:tc>
                <w:tcPr>
                  <w:tcW w:w="1074" w:type="pct"/>
                  <w:tcBorders>
                    <w:tl2br w:val="nil"/>
                    <w:tr2bl w:val="nil"/>
                  </w:tcBorders>
                  <w:noWrap w:val="0"/>
                  <w:vAlign w:val="center"/>
                </w:tcPr>
                <w:p>
                  <w:pPr>
                    <w:pStyle w:val="44"/>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锅炉房</w:t>
                  </w:r>
                </w:p>
              </w:tc>
              <w:tc>
                <w:tcPr>
                  <w:tcW w:w="3150" w:type="pct"/>
                  <w:tcBorders>
                    <w:tl2br w:val="nil"/>
                    <w:tr2bl w:val="nil"/>
                  </w:tcBorders>
                  <w:noWrap w:val="0"/>
                  <w:vAlign w:val="center"/>
                </w:tcPr>
                <w:p>
                  <w:pPr>
                    <w:pStyle w:val="44"/>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1座，2层，14.3m-16.04m，</w:t>
                  </w:r>
                  <w:r>
                    <w:rPr>
                      <w:rFonts w:hint="default" w:ascii="Times New Roman" w:hAnsi="Times New Roman" w:eastAsia="宋体" w:cs="Times New Roman"/>
                      <w:b w:val="0"/>
                      <w:bCs/>
                      <w:color w:val="auto"/>
                      <w:sz w:val="21"/>
                      <w:szCs w:val="21"/>
                    </w:rPr>
                    <w:t>采用现浇钢筋混凝土框排架结构</w:t>
                  </w:r>
                  <w:r>
                    <w:rPr>
                      <w:rFonts w:hint="default" w:ascii="Times New Roman" w:hAnsi="Times New Roman" w:cs="Times New Roman"/>
                      <w:b w:val="0"/>
                      <w:bCs/>
                      <w:color w:val="auto"/>
                      <w:sz w:val="21"/>
                      <w:szCs w:val="21"/>
                      <w:lang w:eastAsia="zh-CN"/>
                    </w:rPr>
                    <w:t>，</w:t>
                  </w:r>
                  <w:r>
                    <w:rPr>
                      <w:rFonts w:hint="default" w:ascii="Times New Roman" w:hAnsi="Times New Roman" w:cs="Times New Roman"/>
                      <w:color w:val="auto"/>
                      <w:sz w:val="21"/>
                      <w:szCs w:val="21"/>
                      <w:highlight w:val="none"/>
                      <w:lang w:val="en-US" w:eastAsia="zh-CN"/>
                    </w:rPr>
                    <w:t>占地面积为2803.41m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，建筑面积2356.24m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，内安装燃煤热水锅炉1台，40t/h；振动给料机1台，鼓风机2台。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75" w:type="pct"/>
                  <w:vMerge w:val="restart"/>
                  <w:tcBorders>
                    <w:tl2br w:val="nil"/>
                    <w:tr2bl w:val="nil"/>
                  </w:tcBorders>
                  <w:noWrap w:val="0"/>
                  <w:vAlign w:val="center"/>
                </w:tcPr>
                <w:p>
                  <w:pPr>
                    <w:pStyle w:val="44"/>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辅助工程</w:t>
                  </w:r>
                </w:p>
              </w:tc>
              <w:tc>
                <w:tcPr>
                  <w:tcW w:w="1074" w:type="pct"/>
                  <w:tcBorders>
                    <w:tl2br w:val="nil"/>
                    <w:tr2bl w:val="nil"/>
                  </w:tcBorders>
                  <w:noWrap w:val="0"/>
                  <w:vAlign w:val="center"/>
                </w:tcPr>
                <w:p>
                  <w:pPr>
                    <w:pStyle w:val="37"/>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b w:val="0"/>
                      <w:bCs/>
                      <w:color w:val="auto"/>
                      <w:sz w:val="21"/>
                      <w:szCs w:val="21"/>
                      <w:highlight w:val="none"/>
                      <w:lang w:val="en-US" w:eastAsia="zh-CN"/>
                    </w:rPr>
                    <w:t>煤库</w:t>
                  </w:r>
                </w:p>
              </w:tc>
              <w:tc>
                <w:tcPr>
                  <w:tcW w:w="3150" w:type="pct"/>
                  <w:tcBorders>
                    <w:tl2br w:val="nil"/>
                    <w:tr2bl w:val="nil"/>
                  </w:tcBorders>
                  <w:noWrap w:val="0"/>
                  <w:vAlign w:val="center"/>
                </w:tcPr>
                <w:p>
                  <w:pPr>
                    <w:pStyle w:val="37"/>
                    <w:spacing w:line="240" w:lineRule="auto"/>
                    <w:ind w:firstLine="0" w:firstLine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1座，1层，占地面积为2978.46m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，建筑面积2978.46m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，不设破碎筛分系统。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75" w:type="pct"/>
                  <w:vMerge w:val="continue"/>
                  <w:tcBorders>
                    <w:tl2br w:val="nil"/>
                    <w:tr2bl w:val="nil"/>
                  </w:tcBorders>
                  <w:noWrap w:val="0"/>
                  <w:vAlign w:val="center"/>
                </w:tcPr>
                <w:p>
                  <w:pPr>
                    <w:pStyle w:val="44"/>
                    <w:rPr>
                      <w:rFonts w:hint="default" w:ascii="Times New Roman" w:hAnsi="Times New Roman" w:cs="Times New Roman"/>
                      <w:color w:val="auto"/>
                      <w:sz w:val="21"/>
                      <w:szCs w:val="21"/>
                      <w:lang w:val="en-US" w:eastAsia="zh-CN"/>
                    </w:rPr>
                  </w:pPr>
                </w:p>
              </w:tc>
              <w:tc>
                <w:tcPr>
                  <w:tcW w:w="1074" w:type="pct"/>
                  <w:tcBorders>
                    <w:tl2br w:val="nil"/>
                    <w:tr2bl w:val="nil"/>
                  </w:tcBorders>
                  <w:noWrap w:val="0"/>
                  <w:vAlign w:val="center"/>
                </w:tcPr>
                <w:p>
                  <w:pPr>
                    <w:pStyle w:val="37"/>
                    <w:spacing w:line="240" w:lineRule="auto"/>
                    <w:ind w:firstLine="0" w:firstLineChars="0"/>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渣库</w:t>
                  </w:r>
                </w:p>
              </w:tc>
              <w:tc>
                <w:tcPr>
                  <w:tcW w:w="3150" w:type="pct"/>
                  <w:tcBorders>
                    <w:tl2br w:val="nil"/>
                    <w:tr2bl w:val="nil"/>
                  </w:tcBorders>
                  <w:noWrap w:val="0"/>
                  <w:vAlign w:val="center"/>
                </w:tcPr>
                <w:p>
                  <w:pPr>
                    <w:pStyle w:val="37"/>
                    <w:spacing w:line="240"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1座，1层，占地面积为505.44m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，建筑面积505.44m</w:t>
                  </w:r>
                  <w:r>
                    <w:rPr>
                      <w:rFonts w:hint="default" w:ascii="Times New Roman" w:hAnsi="Times New Roman" w:cs="Times New Roman"/>
                      <w:color w:val="auto"/>
                      <w:sz w:val="21"/>
                      <w:szCs w:val="21"/>
                      <w:highlight w:val="none"/>
                      <w:vertAlign w:val="superscript"/>
                      <w:lang w:val="en-US" w:eastAsia="zh-CN"/>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75" w:type="pct"/>
                  <w:vMerge w:val="continue"/>
                  <w:tcBorders>
                    <w:tl2br w:val="nil"/>
                    <w:tr2bl w:val="nil"/>
                  </w:tcBorders>
                  <w:noWrap w:val="0"/>
                  <w:vAlign w:val="center"/>
                </w:tcPr>
                <w:p>
                  <w:pPr>
                    <w:pStyle w:val="44"/>
                    <w:rPr>
                      <w:rFonts w:hint="default" w:ascii="Times New Roman" w:hAnsi="Times New Roman" w:cs="Times New Roman"/>
                      <w:color w:val="auto"/>
                      <w:sz w:val="21"/>
                      <w:szCs w:val="21"/>
                      <w:lang w:val="en-US" w:eastAsia="zh-CN"/>
                    </w:rPr>
                  </w:pPr>
                </w:p>
              </w:tc>
              <w:tc>
                <w:tcPr>
                  <w:tcW w:w="1074" w:type="pct"/>
                  <w:tcBorders>
                    <w:tl2br w:val="nil"/>
                    <w:tr2bl w:val="nil"/>
                  </w:tcBorders>
                  <w:noWrap w:val="0"/>
                  <w:vAlign w:val="center"/>
                </w:tcPr>
                <w:p>
                  <w:pPr>
                    <w:pStyle w:val="37"/>
                    <w:spacing w:line="240" w:lineRule="auto"/>
                    <w:ind w:firstLine="0" w:firstLineChars="0"/>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灰库</w:t>
                  </w:r>
                </w:p>
              </w:tc>
              <w:tc>
                <w:tcPr>
                  <w:tcW w:w="3150" w:type="pct"/>
                  <w:tcBorders>
                    <w:tl2br w:val="nil"/>
                    <w:tr2bl w:val="nil"/>
                  </w:tcBorders>
                  <w:noWrap w:val="0"/>
                  <w:vAlign w:val="center"/>
                </w:tcPr>
                <w:p>
                  <w:pPr>
                    <w:pStyle w:val="37"/>
                    <w:spacing w:line="240"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1座，1层，占地面积为46.24m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，建筑面积46.24m</w:t>
                  </w:r>
                  <w:r>
                    <w:rPr>
                      <w:rFonts w:hint="default" w:ascii="Times New Roman" w:hAnsi="Times New Roman" w:cs="Times New Roman"/>
                      <w:color w:val="auto"/>
                      <w:sz w:val="21"/>
                      <w:szCs w:val="21"/>
                      <w:highlight w:val="none"/>
                      <w:vertAlign w:val="superscript"/>
                      <w:lang w:val="en-US" w:eastAsia="zh-CN"/>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75" w:type="pct"/>
                  <w:vMerge w:val="continue"/>
                  <w:tcBorders>
                    <w:tl2br w:val="nil"/>
                    <w:tr2bl w:val="nil"/>
                  </w:tcBorders>
                  <w:noWrap w:val="0"/>
                  <w:vAlign w:val="center"/>
                </w:tcPr>
                <w:p>
                  <w:pPr>
                    <w:pStyle w:val="44"/>
                    <w:rPr>
                      <w:rFonts w:hint="default" w:ascii="Times New Roman" w:hAnsi="Times New Roman" w:cs="Times New Roman"/>
                      <w:color w:val="auto"/>
                      <w:sz w:val="21"/>
                      <w:szCs w:val="21"/>
                      <w:lang w:val="en-US" w:eastAsia="zh-CN"/>
                    </w:rPr>
                  </w:pPr>
                </w:p>
              </w:tc>
              <w:tc>
                <w:tcPr>
                  <w:tcW w:w="1074" w:type="pct"/>
                  <w:tcBorders>
                    <w:tl2br w:val="nil"/>
                    <w:tr2bl w:val="nil"/>
                  </w:tcBorders>
                  <w:noWrap w:val="0"/>
                  <w:vAlign w:val="center"/>
                </w:tcPr>
                <w:p>
                  <w:pPr>
                    <w:pStyle w:val="37"/>
                    <w:spacing w:line="240" w:lineRule="auto"/>
                    <w:ind w:firstLine="0" w:firstLineChars="0"/>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引风机房</w:t>
                  </w:r>
                </w:p>
              </w:tc>
              <w:tc>
                <w:tcPr>
                  <w:tcW w:w="3150" w:type="pct"/>
                  <w:tcBorders>
                    <w:tl2br w:val="nil"/>
                    <w:tr2bl w:val="nil"/>
                  </w:tcBorders>
                  <w:noWrap w:val="0"/>
                  <w:vAlign w:val="center"/>
                </w:tcPr>
                <w:p>
                  <w:pPr>
                    <w:pStyle w:val="37"/>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1座，1层，占地面积为353.34m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，建筑面积353.34m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，内安装引风机1台。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75" w:type="pct"/>
                  <w:vMerge w:val="continue"/>
                  <w:tcBorders>
                    <w:tl2br w:val="nil"/>
                    <w:tr2bl w:val="nil"/>
                  </w:tcBorders>
                  <w:noWrap w:val="0"/>
                  <w:vAlign w:val="center"/>
                </w:tcPr>
                <w:p>
                  <w:pPr>
                    <w:pStyle w:val="44"/>
                    <w:rPr>
                      <w:rFonts w:hint="default" w:ascii="Times New Roman" w:hAnsi="Times New Roman" w:cs="Times New Roman"/>
                      <w:color w:val="auto"/>
                      <w:sz w:val="21"/>
                      <w:szCs w:val="21"/>
                      <w:lang w:val="en-US" w:eastAsia="zh-CN"/>
                    </w:rPr>
                  </w:pPr>
                </w:p>
              </w:tc>
              <w:tc>
                <w:tcPr>
                  <w:tcW w:w="1074" w:type="pct"/>
                  <w:tcBorders>
                    <w:tl2br w:val="nil"/>
                    <w:tr2bl w:val="nil"/>
                  </w:tcBorders>
                  <w:noWrap w:val="0"/>
                  <w:vAlign w:val="center"/>
                </w:tcPr>
                <w:p>
                  <w:pPr>
                    <w:pStyle w:val="37"/>
                    <w:spacing w:line="240" w:lineRule="auto"/>
                    <w:ind w:firstLine="0" w:firstLineChars="0"/>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脱硫用房</w:t>
                  </w:r>
                </w:p>
              </w:tc>
              <w:tc>
                <w:tcPr>
                  <w:tcW w:w="3150" w:type="pct"/>
                  <w:tcBorders>
                    <w:tl2br w:val="nil"/>
                    <w:tr2bl w:val="nil"/>
                  </w:tcBorders>
                  <w:noWrap w:val="0"/>
                  <w:vAlign w:val="center"/>
                </w:tcPr>
                <w:p>
                  <w:pPr>
                    <w:pStyle w:val="37"/>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1座，2层，占地面积为247.5m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，建筑面积302.12m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，内安装脱硫设置1套，尿素溶解罐1个</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75" w:type="pct"/>
                  <w:vMerge w:val="continue"/>
                  <w:tcBorders>
                    <w:tl2br w:val="nil"/>
                    <w:tr2bl w:val="nil"/>
                  </w:tcBorders>
                  <w:noWrap w:val="0"/>
                  <w:vAlign w:val="center"/>
                </w:tcPr>
                <w:p>
                  <w:pPr>
                    <w:pStyle w:val="44"/>
                    <w:rPr>
                      <w:rFonts w:hint="default" w:ascii="Times New Roman" w:hAnsi="Times New Roman" w:cs="Times New Roman"/>
                      <w:color w:val="auto"/>
                      <w:sz w:val="21"/>
                      <w:szCs w:val="21"/>
                      <w:lang w:val="en-US" w:eastAsia="zh-CN"/>
                    </w:rPr>
                  </w:pPr>
                </w:p>
              </w:tc>
              <w:tc>
                <w:tcPr>
                  <w:tcW w:w="1074" w:type="pct"/>
                  <w:tcBorders>
                    <w:tl2br w:val="nil"/>
                    <w:tr2bl w:val="nil"/>
                  </w:tcBorders>
                  <w:noWrap w:val="0"/>
                  <w:vAlign w:val="center"/>
                </w:tcPr>
                <w:p>
                  <w:pPr>
                    <w:pStyle w:val="37"/>
                    <w:spacing w:line="240" w:lineRule="auto"/>
                    <w:ind w:firstLine="0" w:firstLineChars="0"/>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输煤廊</w:t>
                  </w:r>
                </w:p>
              </w:tc>
              <w:tc>
                <w:tcPr>
                  <w:tcW w:w="3150" w:type="pct"/>
                  <w:tcBorders>
                    <w:tl2br w:val="nil"/>
                    <w:tr2bl w:val="nil"/>
                  </w:tcBorders>
                  <w:noWrap w:val="0"/>
                  <w:vAlign w:val="center"/>
                </w:tcPr>
                <w:p>
                  <w:pPr>
                    <w:pStyle w:val="37"/>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占地面积为134.15m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，建筑面积293.59m</w:t>
                  </w:r>
                  <w:r>
                    <w:rPr>
                      <w:rFonts w:hint="default" w:ascii="Times New Roman" w:hAnsi="Times New Roman" w:cs="Times New Roman"/>
                      <w:color w:val="auto"/>
                      <w:sz w:val="21"/>
                      <w:szCs w:val="21"/>
                      <w:highlight w:val="none"/>
                      <w:vertAlign w:val="superscript"/>
                      <w:lang w:val="en-US" w:eastAsia="zh-CN"/>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75" w:type="pct"/>
                  <w:vMerge w:val="continue"/>
                  <w:tcBorders>
                    <w:tl2br w:val="nil"/>
                    <w:tr2bl w:val="nil"/>
                  </w:tcBorders>
                  <w:noWrap w:val="0"/>
                  <w:vAlign w:val="center"/>
                </w:tcPr>
                <w:p>
                  <w:pPr>
                    <w:pStyle w:val="44"/>
                    <w:rPr>
                      <w:rFonts w:hint="default" w:ascii="Times New Roman" w:hAnsi="Times New Roman" w:cs="Times New Roman"/>
                      <w:color w:val="auto"/>
                      <w:sz w:val="21"/>
                      <w:szCs w:val="21"/>
                      <w:lang w:val="en-US" w:eastAsia="zh-CN"/>
                    </w:rPr>
                  </w:pPr>
                </w:p>
              </w:tc>
              <w:tc>
                <w:tcPr>
                  <w:tcW w:w="1074" w:type="pct"/>
                  <w:tcBorders>
                    <w:tl2br w:val="nil"/>
                    <w:tr2bl w:val="nil"/>
                  </w:tcBorders>
                  <w:noWrap w:val="0"/>
                  <w:vAlign w:val="center"/>
                </w:tcPr>
                <w:p>
                  <w:pPr>
                    <w:pStyle w:val="37"/>
                    <w:spacing w:line="240" w:lineRule="auto"/>
                    <w:ind w:firstLine="0" w:firstLineChars="0"/>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消防水泵房</w:t>
                  </w:r>
                </w:p>
              </w:tc>
              <w:tc>
                <w:tcPr>
                  <w:tcW w:w="3150" w:type="pct"/>
                  <w:tcBorders>
                    <w:tl2br w:val="nil"/>
                    <w:tr2bl w:val="nil"/>
                  </w:tcBorders>
                  <w:noWrap w:val="0"/>
                  <w:vAlign w:val="center"/>
                </w:tcPr>
                <w:p>
                  <w:pPr>
                    <w:pStyle w:val="37"/>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占地面积为476.28m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，建筑面积145.65m</w:t>
                  </w:r>
                  <w:r>
                    <w:rPr>
                      <w:rFonts w:hint="default" w:ascii="Times New Roman" w:hAnsi="Times New Roman" w:cs="Times New Roman"/>
                      <w:color w:val="auto"/>
                      <w:sz w:val="21"/>
                      <w:szCs w:val="21"/>
                      <w:highlight w:val="none"/>
                      <w:vertAlign w:val="superscript"/>
                      <w:lang w:val="en-US" w:eastAsia="zh-CN"/>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75" w:type="pct"/>
                  <w:vMerge w:val="continue"/>
                  <w:tcBorders>
                    <w:tl2br w:val="nil"/>
                    <w:tr2bl w:val="nil"/>
                  </w:tcBorders>
                  <w:noWrap w:val="0"/>
                  <w:vAlign w:val="center"/>
                </w:tcPr>
                <w:p>
                  <w:pPr>
                    <w:pStyle w:val="44"/>
                    <w:rPr>
                      <w:rFonts w:hint="default" w:ascii="Times New Roman" w:hAnsi="Times New Roman" w:cs="Times New Roman"/>
                      <w:color w:val="auto"/>
                      <w:sz w:val="21"/>
                      <w:szCs w:val="21"/>
                      <w:lang w:val="en-US" w:eastAsia="zh-CN"/>
                    </w:rPr>
                  </w:pPr>
                </w:p>
              </w:tc>
              <w:tc>
                <w:tcPr>
                  <w:tcW w:w="1074" w:type="pct"/>
                  <w:tcBorders>
                    <w:tl2br w:val="nil"/>
                    <w:tr2bl w:val="nil"/>
                  </w:tcBorders>
                  <w:noWrap w:val="0"/>
                  <w:vAlign w:val="center"/>
                </w:tcPr>
                <w:p>
                  <w:pPr>
                    <w:pStyle w:val="37"/>
                    <w:spacing w:line="240" w:lineRule="auto"/>
                    <w:ind w:firstLine="0" w:firstLineChars="0"/>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办公用房</w:t>
                  </w:r>
                </w:p>
              </w:tc>
              <w:tc>
                <w:tcPr>
                  <w:tcW w:w="3150" w:type="pct"/>
                  <w:tcBorders>
                    <w:tl2br w:val="nil"/>
                    <w:tr2bl w:val="nil"/>
                  </w:tcBorders>
                  <w:noWrap w:val="0"/>
                  <w:vAlign w:val="center"/>
                </w:tcPr>
                <w:p>
                  <w:pPr>
                    <w:pStyle w:val="37"/>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1座，1层，占地面积为733.39m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，建筑面积733.39m</w:t>
                  </w:r>
                  <w:r>
                    <w:rPr>
                      <w:rFonts w:hint="default" w:ascii="Times New Roman" w:hAnsi="Times New Roman" w:cs="Times New Roman"/>
                      <w:color w:val="auto"/>
                      <w:sz w:val="21"/>
                      <w:szCs w:val="21"/>
                      <w:highlight w:val="none"/>
                      <w:vertAlign w:val="superscript"/>
                      <w:lang w:val="en-US" w:eastAsia="zh-CN"/>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75" w:type="pct"/>
                  <w:vMerge w:val="continue"/>
                  <w:tcBorders>
                    <w:tl2br w:val="nil"/>
                    <w:tr2bl w:val="nil"/>
                  </w:tcBorders>
                  <w:noWrap w:val="0"/>
                  <w:vAlign w:val="center"/>
                </w:tcPr>
                <w:p>
                  <w:pPr>
                    <w:pStyle w:val="44"/>
                    <w:rPr>
                      <w:rFonts w:hint="default" w:ascii="Times New Roman" w:hAnsi="Times New Roman" w:cs="Times New Roman"/>
                      <w:color w:val="auto"/>
                      <w:sz w:val="21"/>
                      <w:szCs w:val="21"/>
                      <w:lang w:val="en-US" w:eastAsia="zh-CN"/>
                    </w:rPr>
                  </w:pPr>
                </w:p>
              </w:tc>
              <w:tc>
                <w:tcPr>
                  <w:tcW w:w="1074" w:type="pct"/>
                  <w:tcBorders>
                    <w:tl2br w:val="nil"/>
                    <w:tr2bl w:val="nil"/>
                  </w:tcBorders>
                  <w:noWrap w:val="0"/>
                  <w:vAlign w:val="center"/>
                </w:tcPr>
                <w:p>
                  <w:pPr>
                    <w:pStyle w:val="37"/>
                    <w:spacing w:line="240" w:lineRule="auto"/>
                    <w:ind w:firstLine="0" w:firstLineChars="0"/>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门卫</w:t>
                  </w:r>
                </w:p>
              </w:tc>
              <w:tc>
                <w:tcPr>
                  <w:tcW w:w="3150" w:type="pct"/>
                  <w:tcBorders>
                    <w:tl2br w:val="nil"/>
                    <w:tr2bl w:val="nil"/>
                  </w:tcBorders>
                  <w:noWrap w:val="0"/>
                  <w:vAlign w:val="center"/>
                </w:tcPr>
                <w:p>
                  <w:pPr>
                    <w:pStyle w:val="37"/>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占地面积为34.9m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，建筑面积34.9m</w:t>
                  </w:r>
                  <w:r>
                    <w:rPr>
                      <w:rFonts w:hint="default" w:ascii="Times New Roman" w:hAnsi="Times New Roman" w:cs="Times New Roman"/>
                      <w:color w:val="auto"/>
                      <w:sz w:val="21"/>
                      <w:szCs w:val="21"/>
                      <w:highlight w:val="none"/>
                      <w:vertAlign w:val="superscript"/>
                      <w:lang w:val="en-US" w:eastAsia="zh-CN"/>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75" w:type="pct"/>
                  <w:vMerge w:val="continue"/>
                  <w:tcBorders>
                    <w:tl2br w:val="nil"/>
                    <w:tr2bl w:val="nil"/>
                  </w:tcBorders>
                  <w:noWrap w:val="0"/>
                  <w:vAlign w:val="center"/>
                </w:tcPr>
                <w:p>
                  <w:pPr>
                    <w:pStyle w:val="44"/>
                    <w:rPr>
                      <w:rFonts w:hint="default" w:ascii="Times New Roman" w:hAnsi="Times New Roman" w:cs="Times New Roman"/>
                      <w:color w:val="auto"/>
                      <w:sz w:val="21"/>
                      <w:szCs w:val="21"/>
                      <w:lang w:val="en-US" w:eastAsia="zh-CN"/>
                    </w:rPr>
                  </w:pPr>
                </w:p>
              </w:tc>
              <w:tc>
                <w:tcPr>
                  <w:tcW w:w="1074" w:type="pct"/>
                  <w:tcBorders>
                    <w:tl2br w:val="nil"/>
                    <w:tr2bl w:val="nil"/>
                  </w:tcBorders>
                  <w:noWrap w:val="0"/>
                  <w:vAlign w:val="center"/>
                </w:tcPr>
                <w:p>
                  <w:pPr>
                    <w:pStyle w:val="37"/>
                    <w:spacing w:line="240" w:lineRule="auto"/>
                    <w:ind w:firstLine="0" w:firstLineChars="0"/>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危险废物贮存间</w:t>
                  </w:r>
                </w:p>
              </w:tc>
              <w:tc>
                <w:tcPr>
                  <w:tcW w:w="3150" w:type="pct"/>
                  <w:tcBorders>
                    <w:tl2br w:val="nil"/>
                    <w:tr2bl w:val="nil"/>
                  </w:tcBorders>
                  <w:noWrap w:val="0"/>
                  <w:vAlign w:val="center"/>
                </w:tcPr>
                <w:p>
                  <w:pPr>
                    <w:pStyle w:val="37"/>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占地面积为10m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，建筑面积10m</w:t>
                  </w:r>
                  <w:r>
                    <w:rPr>
                      <w:rFonts w:hint="default" w:ascii="Times New Roman" w:hAnsi="Times New Roman" w:cs="Times New Roman"/>
                      <w:color w:val="auto"/>
                      <w:sz w:val="21"/>
                      <w:szCs w:val="21"/>
                      <w:highlight w:val="none"/>
                      <w:vertAlign w:val="superscript"/>
                      <w:lang w:val="en-US" w:eastAsia="zh-CN"/>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75" w:type="pct"/>
                  <w:vMerge w:val="restart"/>
                  <w:tcBorders>
                    <w:tl2br w:val="nil"/>
                    <w:tr2bl w:val="nil"/>
                  </w:tcBorders>
                  <w:noWrap w:val="0"/>
                  <w:vAlign w:val="center"/>
                </w:tcPr>
                <w:p>
                  <w:pPr>
                    <w:pStyle w:val="44"/>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公用工程</w:t>
                  </w:r>
                </w:p>
              </w:tc>
              <w:tc>
                <w:tcPr>
                  <w:tcW w:w="1074" w:type="pct"/>
                  <w:tcBorders>
                    <w:tl2br w:val="nil"/>
                    <w:tr2bl w:val="nil"/>
                  </w:tcBorders>
                  <w:noWrap w:val="0"/>
                  <w:vAlign w:val="center"/>
                </w:tcPr>
                <w:p>
                  <w:pPr>
                    <w:pStyle w:val="44"/>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给水</w:t>
                  </w:r>
                  <w:r>
                    <w:rPr>
                      <w:rFonts w:hint="default" w:ascii="Times New Roman" w:hAnsi="Times New Roman" w:cs="Times New Roman"/>
                      <w:color w:val="auto"/>
                      <w:sz w:val="21"/>
                      <w:szCs w:val="21"/>
                      <w:lang w:val="en-US" w:eastAsia="zh-CN"/>
                    </w:rPr>
                    <w:t>工程</w:t>
                  </w:r>
                </w:p>
              </w:tc>
              <w:tc>
                <w:tcPr>
                  <w:tcW w:w="3150" w:type="pct"/>
                  <w:tcBorders>
                    <w:tl2br w:val="nil"/>
                    <w:tr2bl w:val="nil"/>
                  </w:tcBorders>
                  <w:noWrap w:val="0"/>
                  <w:vAlign w:val="center"/>
                </w:tcPr>
                <w:p>
                  <w:pPr>
                    <w:widowControl/>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val="0"/>
                      <w:bCs/>
                      <w:color w:val="auto"/>
                      <w:kern w:val="44"/>
                      <w:sz w:val="21"/>
                      <w:szCs w:val="21"/>
                      <w:highlight w:val="none"/>
                      <w:vertAlign w:val="baseline"/>
                      <w:lang w:val="en-US" w:eastAsia="zh-CN"/>
                    </w:rPr>
                    <w:t>市政供水管网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75" w:type="pct"/>
                  <w:vMerge w:val="continue"/>
                  <w:tcBorders>
                    <w:tl2br w:val="nil"/>
                    <w:tr2bl w:val="nil"/>
                  </w:tcBorders>
                  <w:noWrap w:val="0"/>
                  <w:vAlign w:val="center"/>
                </w:tcPr>
                <w:p>
                  <w:pPr>
                    <w:pStyle w:val="44"/>
                    <w:ind w:firstLine="0" w:firstLineChars="0"/>
                    <w:rPr>
                      <w:rFonts w:hint="default" w:ascii="Times New Roman" w:hAnsi="Times New Roman" w:cs="Times New Roman"/>
                      <w:color w:val="auto"/>
                      <w:sz w:val="21"/>
                      <w:szCs w:val="21"/>
                    </w:rPr>
                  </w:pPr>
                </w:p>
              </w:tc>
              <w:tc>
                <w:tcPr>
                  <w:tcW w:w="1074" w:type="pct"/>
                  <w:tcBorders>
                    <w:tl2br w:val="nil"/>
                    <w:tr2bl w:val="nil"/>
                  </w:tcBorders>
                  <w:noWrap w:val="0"/>
                  <w:vAlign w:val="center"/>
                </w:tcPr>
                <w:p>
                  <w:pPr>
                    <w:pStyle w:val="44"/>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排水工程</w:t>
                  </w:r>
                </w:p>
              </w:tc>
              <w:tc>
                <w:tcPr>
                  <w:tcW w:w="3150" w:type="pct"/>
                  <w:tcBorders>
                    <w:tl2br w:val="nil"/>
                    <w:tr2bl w:val="nil"/>
                  </w:tcBorders>
                  <w:noWrap w:val="0"/>
                  <w:vAlign w:val="center"/>
                </w:tcPr>
                <w:p>
                  <w:pPr>
                    <w:widowControl/>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rPr>
                    <w:t>软水站树脂交换器反冲洗水作为</w:t>
                  </w:r>
                  <w:r>
                    <w:rPr>
                      <w:rFonts w:hint="default" w:ascii="Times New Roman" w:hAnsi="Times New Roman" w:eastAsia="宋体" w:cs="Times New Roman"/>
                      <w:b w:val="0"/>
                      <w:bCs/>
                      <w:color w:val="auto"/>
                      <w:sz w:val="21"/>
                      <w:szCs w:val="21"/>
                      <w:lang w:val="en-US" w:eastAsia="zh-CN"/>
                    </w:rPr>
                    <w:t>脱硫系统用</w:t>
                  </w:r>
                  <w:r>
                    <w:rPr>
                      <w:rFonts w:hint="default" w:ascii="Times New Roman" w:hAnsi="Times New Roman" w:eastAsia="宋体" w:cs="Times New Roman"/>
                      <w:b w:val="0"/>
                      <w:bCs/>
                      <w:color w:val="auto"/>
                      <w:sz w:val="21"/>
                      <w:szCs w:val="21"/>
                    </w:rPr>
                    <w:t>水</w:t>
                  </w:r>
                  <w:r>
                    <w:rPr>
                      <w:rFonts w:hint="default" w:ascii="Times New Roman" w:hAnsi="Times New Roman" w:cs="Times New Roman"/>
                      <w:b w:val="0"/>
                      <w:bCs/>
                      <w:color w:val="auto"/>
                      <w:sz w:val="21"/>
                      <w:szCs w:val="21"/>
                      <w:lang w:eastAsia="zh-CN"/>
                    </w:rPr>
                    <w:t>；锅炉定期排水</w:t>
                  </w:r>
                  <w:r>
                    <w:rPr>
                      <w:rFonts w:hint="default" w:ascii="Times New Roman" w:hAnsi="Times New Roman" w:eastAsia="宋体" w:cs="Times New Roman"/>
                      <w:b w:val="0"/>
                      <w:bCs/>
                      <w:color w:val="auto"/>
                      <w:sz w:val="21"/>
                      <w:szCs w:val="21"/>
                    </w:rPr>
                    <w:t>作为</w:t>
                  </w:r>
                  <w:r>
                    <w:rPr>
                      <w:rFonts w:hint="default" w:ascii="Times New Roman" w:hAnsi="Times New Roman" w:eastAsia="宋体" w:cs="Times New Roman"/>
                      <w:b w:val="0"/>
                      <w:bCs/>
                      <w:color w:val="auto"/>
                      <w:sz w:val="21"/>
                      <w:szCs w:val="21"/>
                      <w:lang w:val="en-US" w:eastAsia="zh-CN"/>
                    </w:rPr>
                    <w:t>脱硫系统用</w:t>
                  </w:r>
                  <w:r>
                    <w:rPr>
                      <w:rFonts w:hint="default" w:ascii="Times New Roman" w:hAnsi="Times New Roman" w:eastAsia="宋体" w:cs="Times New Roman"/>
                      <w:b w:val="0"/>
                      <w:bCs/>
                      <w:color w:val="auto"/>
                      <w:sz w:val="21"/>
                      <w:szCs w:val="21"/>
                    </w:rPr>
                    <w:t>水</w:t>
                  </w:r>
                  <w:r>
                    <w:rPr>
                      <w:rFonts w:hint="default" w:ascii="Times New Roman" w:hAnsi="Times New Roman" w:cs="Times New Roman"/>
                      <w:b w:val="0"/>
                      <w:bCs/>
                      <w:color w:val="auto"/>
                      <w:sz w:val="21"/>
                      <w:szCs w:val="21"/>
                      <w:lang w:eastAsia="zh-CN"/>
                    </w:rPr>
                    <w:t>；</w:t>
                  </w:r>
                  <w:r>
                    <w:rPr>
                      <w:rFonts w:hint="default" w:ascii="Times New Roman" w:hAnsi="Times New Roman" w:eastAsia="宋体" w:cs="Times New Roman"/>
                      <w:b w:val="0"/>
                      <w:bCs/>
                      <w:color w:val="auto"/>
                      <w:sz w:val="21"/>
                      <w:szCs w:val="21"/>
                    </w:rPr>
                    <w:t>供暖期末锅炉停止运行后的间接循环水</w:t>
                  </w:r>
                  <w:r>
                    <w:rPr>
                      <w:rFonts w:hint="default" w:ascii="Times New Roman" w:hAnsi="Times New Roman" w:cs="Times New Roman"/>
                      <w:b w:val="0"/>
                      <w:bCs/>
                      <w:color w:val="auto"/>
                      <w:sz w:val="21"/>
                      <w:szCs w:val="21"/>
                      <w:lang w:eastAsia="zh-CN"/>
                    </w:rPr>
                    <w:t>属清净下水，</w:t>
                  </w:r>
                  <w:r>
                    <w:rPr>
                      <w:rFonts w:hint="default" w:ascii="Times New Roman" w:hAnsi="Times New Roman" w:cs="Times New Roman"/>
                      <w:b w:val="0"/>
                      <w:bCs/>
                      <w:color w:val="auto"/>
                      <w:sz w:val="21"/>
                      <w:szCs w:val="21"/>
                      <w:lang w:val="en-US" w:eastAsia="zh-CN"/>
                    </w:rPr>
                    <w:t>暂存于水池中，用于锅炉清洗水配制和夏季厂区绿化</w:t>
                  </w:r>
                  <w:r>
                    <w:rPr>
                      <w:rFonts w:hint="default" w:ascii="Times New Roman" w:hAnsi="Times New Roman" w:cs="Times New Roman"/>
                      <w:b w:val="0"/>
                      <w:bCs/>
                      <w:color w:val="auto"/>
                      <w:sz w:val="21"/>
                      <w:szCs w:val="21"/>
                      <w:lang w:eastAsia="zh-CN"/>
                    </w:rPr>
                    <w:t>；</w:t>
                  </w:r>
                  <w:r>
                    <w:rPr>
                      <w:rFonts w:hint="default" w:ascii="Times New Roman" w:hAnsi="Times New Roman" w:eastAsia="宋体" w:cs="Times New Roman"/>
                      <w:b w:val="0"/>
                      <w:bCs/>
                      <w:color w:val="auto"/>
                      <w:sz w:val="21"/>
                      <w:szCs w:val="21"/>
                    </w:rPr>
                    <w:t>食堂废水经油水分离器隔油后与其他生活污水</w:t>
                  </w:r>
                  <w:r>
                    <w:rPr>
                      <w:rFonts w:hint="default" w:ascii="Times New Roman" w:hAnsi="Times New Roman" w:eastAsia="宋体" w:cs="Times New Roman"/>
                      <w:b w:val="0"/>
                      <w:bCs/>
                      <w:color w:val="auto"/>
                      <w:sz w:val="21"/>
                      <w:szCs w:val="21"/>
                      <w:lang w:val="en-US" w:eastAsia="zh-CN"/>
                    </w:rPr>
                    <w:t>一同排入化粪池，</w:t>
                  </w:r>
                  <w:r>
                    <w:rPr>
                      <w:rFonts w:hint="default" w:ascii="Times New Roman" w:hAnsi="Times New Roman" w:cs="Times New Roman"/>
                      <w:b w:val="0"/>
                      <w:bCs/>
                      <w:color w:val="auto"/>
                      <w:sz w:val="21"/>
                      <w:szCs w:val="21"/>
                      <w:lang w:val="en-US" w:eastAsia="zh-CN"/>
                    </w:rPr>
                    <w:t>抽排至污水处理厂</w:t>
                  </w:r>
                  <w:r>
                    <w:rPr>
                      <w:rFonts w:hint="default" w:ascii="Times New Roman" w:hAnsi="Times New Roman" w:eastAsia="宋体" w:cs="Times New Roman"/>
                      <w:b w:val="0"/>
                      <w:bCs/>
                      <w:color w:val="auto"/>
                      <w:sz w:val="21"/>
                      <w:szCs w:val="21"/>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75" w:type="pct"/>
                  <w:vMerge w:val="continue"/>
                  <w:tcBorders>
                    <w:tl2br w:val="nil"/>
                    <w:tr2bl w:val="nil"/>
                  </w:tcBorders>
                  <w:noWrap w:val="0"/>
                  <w:vAlign w:val="center"/>
                </w:tcPr>
                <w:p>
                  <w:pPr>
                    <w:pStyle w:val="44"/>
                    <w:ind w:firstLine="0" w:firstLineChars="0"/>
                    <w:rPr>
                      <w:rFonts w:hint="default" w:ascii="Times New Roman" w:hAnsi="Times New Roman" w:cs="Times New Roman"/>
                      <w:color w:val="auto"/>
                      <w:sz w:val="21"/>
                      <w:szCs w:val="21"/>
                    </w:rPr>
                  </w:pPr>
                </w:p>
              </w:tc>
              <w:tc>
                <w:tcPr>
                  <w:tcW w:w="1074" w:type="pct"/>
                  <w:tcBorders>
                    <w:tl2br w:val="nil"/>
                    <w:tr2bl w:val="nil"/>
                  </w:tcBorders>
                  <w:noWrap w:val="0"/>
                  <w:vAlign w:val="center"/>
                </w:tcPr>
                <w:p>
                  <w:pPr>
                    <w:pStyle w:val="44"/>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供电</w:t>
                  </w:r>
                  <w:r>
                    <w:rPr>
                      <w:rFonts w:hint="default" w:ascii="Times New Roman" w:hAnsi="Times New Roman" w:cs="Times New Roman"/>
                      <w:color w:val="auto"/>
                      <w:sz w:val="21"/>
                      <w:szCs w:val="21"/>
                      <w:lang w:val="en-US" w:eastAsia="zh-CN"/>
                    </w:rPr>
                    <w:t>工程</w:t>
                  </w:r>
                </w:p>
              </w:tc>
              <w:tc>
                <w:tcPr>
                  <w:tcW w:w="3150" w:type="pct"/>
                  <w:tcBorders>
                    <w:tl2br w:val="nil"/>
                    <w:tr2bl w:val="nil"/>
                  </w:tcBorders>
                  <w:noWrap w:val="0"/>
                  <w:vAlign w:val="center"/>
                </w:tcPr>
                <w:p>
                  <w:pPr>
                    <w:pStyle w:val="44"/>
                    <w:tabs>
                      <w:tab w:val="left" w:pos="498"/>
                      <w:tab w:val="center" w:pos="3342"/>
                    </w:tabs>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由市政电网供给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75" w:type="pct"/>
                  <w:vMerge w:val="restart"/>
                  <w:tcBorders>
                    <w:tl2br w:val="nil"/>
                    <w:tr2bl w:val="nil"/>
                  </w:tcBorders>
                  <w:noWrap w:val="0"/>
                  <w:vAlign w:val="center"/>
                </w:tcPr>
                <w:p>
                  <w:pPr>
                    <w:pStyle w:val="44"/>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环保工程</w:t>
                  </w:r>
                </w:p>
              </w:tc>
              <w:tc>
                <w:tcPr>
                  <w:tcW w:w="1074" w:type="pct"/>
                  <w:tcBorders>
                    <w:tl2br w:val="nil"/>
                    <w:tr2bl w:val="nil"/>
                  </w:tcBorders>
                  <w:noWrap w:val="0"/>
                  <w:vAlign w:val="center"/>
                </w:tcPr>
                <w:p>
                  <w:pPr>
                    <w:pStyle w:val="44"/>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废气治理</w:t>
                  </w:r>
                </w:p>
              </w:tc>
              <w:tc>
                <w:tcPr>
                  <w:tcW w:w="3150" w:type="pct"/>
                  <w:tcBorders>
                    <w:tl2br w:val="nil"/>
                    <w:tr2bl w:val="nil"/>
                  </w:tcBorders>
                  <w:noWrap w:val="0"/>
                  <w:vAlign w:val="center"/>
                </w:tcPr>
                <w:p>
                  <w:pPr>
                    <w:pStyle w:val="44"/>
                    <w:ind w:firstLine="0" w:firstLineChars="0"/>
                    <w:rPr>
                      <w:rFonts w:hint="default" w:ascii="Times New Roman" w:hAnsi="Times New Roman" w:cs="Times New Roman"/>
                      <w:b w:val="0"/>
                      <w:bCs/>
                      <w:color w:val="auto"/>
                      <w:kern w:val="44"/>
                      <w:sz w:val="21"/>
                      <w:szCs w:val="21"/>
                      <w:highlight w:val="none"/>
                      <w:vertAlign w:val="baseline"/>
                      <w:lang w:val="en-US" w:eastAsia="zh-CN"/>
                    </w:rPr>
                  </w:pPr>
                  <w:r>
                    <w:rPr>
                      <w:rFonts w:hint="default" w:ascii="Times New Roman" w:hAnsi="Times New Roman" w:cs="Times New Roman"/>
                      <w:b w:val="0"/>
                      <w:bCs/>
                      <w:color w:val="auto"/>
                      <w:sz w:val="21"/>
                      <w:szCs w:val="21"/>
                      <w:lang w:val="en-US" w:eastAsia="zh-CN"/>
                    </w:rPr>
                    <w:t>锅炉烟气采用“SNCR炉内脱硝及SCR炉外脱硝+脉冲布袋除尘器＋炉内脱硫及湿法脱硫”法治理后，经80m高排气筒排放；</w:t>
                  </w:r>
                  <w:r>
                    <w:rPr>
                      <w:rFonts w:hint="default" w:ascii="Times New Roman" w:hAnsi="Times New Roman" w:eastAsia="宋体" w:cs="Times New Roman"/>
                      <w:b w:val="0"/>
                      <w:bCs/>
                      <w:color w:val="auto"/>
                      <w:sz w:val="21"/>
                      <w:szCs w:val="21"/>
                    </w:rPr>
                    <w:t>食堂安装</w:t>
                  </w:r>
                  <w:r>
                    <w:rPr>
                      <w:rFonts w:hint="default" w:ascii="Times New Roman" w:hAnsi="Times New Roman" w:cs="Times New Roman"/>
                      <w:b w:val="0"/>
                      <w:bCs/>
                      <w:color w:val="auto"/>
                      <w:sz w:val="21"/>
                      <w:szCs w:val="21"/>
                      <w:lang w:val="en-US" w:eastAsia="zh-CN"/>
                    </w:rPr>
                    <w:t>高效</w:t>
                  </w:r>
                  <w:r>
                    <w:rPr>
                      <w:rFonts w:hint="default" w:ascii="Times New Roman" w:hAnsi="Times New Roman" w:eastAsia="宋体" w:cs="Times New Roman"/>
                      <w:b w:val="0"/>
                      <w:bCs/>
                      <w:color w:val="auto"/>
                      <w:sz w:val="21"/>
                      <w:szCs w:val="21"/>
                    </w:rPr>
                    <w:t>油烟净化器，油烟废气经楼内专用烟道排出</w:t>
                  </w:r>
                  <w:r>
                    <w:rPr>
                      <w:rFonts w:hint="default" w:ascii="Times New Roman" w:hAnsi="Times New Roman" w:cs="Times New Roman"/>
                      <w:b w:val="0"/>
                      <w:bCs/>
                      <w:color w:val="auto"/>
                      <w:sz w:val="21"/>
                      <w:szCs w:val="21"/>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75" w:type="pct"/>
                  <w:vMerge w:val="continue"/>
                  <w:tcBorders>
                    <w:tl2br w:val="nil"/>
                    <w:tr2bl w:val="nil"/>
                  </w:tcBorders>
                  <w:noWrap w:val="0"/>
                  <w:vAlign w:val="center"/>
                </w:tcPr>
                <w:p>
                  <w:pPr>
                    <w:pStyle w:val="44"/>
                    <w:ind w:firstLine="0" w:firstLineChars="0"/>
                    <w:rPr>
                      <w:rFonts w:hint="default" w:ascii="Times New Roman" w:hAnsi="Times New Roman" w:cs="Times New Roman"/>
                      <w:color w:val="auto"/>
                      <w:sz w:val="21"/>
                      <w:szCs w:val="21"/>
                      <w:lang w:val="en-US" w:eastAsia="zh-CN"/>
                    </w:rPr>
                  </w:pPr>
                </w:p>
              </w:tc>
              <w:tc>
                <w:tcPr>
                  <w:tcW w:w="1074" w:type="pct"/>
                  <w:tcBorders>
                    <w:tl2br w:val="nil"/>
                    <w:tr2bl w:val="nil"/>
                  </w:tcBorders>
                  <w:noWrap w:val="0"/>
                  <w:vAlign w:val="center"/>
                </w:tcPr>
                <w:p>
                  <w:pPr>
                    <w:pStyle w:val="44"/>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废水治理</w:t>
                  </w:r>
                </w:p>
              </w:tc>
              <w:tc>
                <w:tcPr>
                  <w:tcW w:w="3150" w:type="pct"/>
                  <w:tcBorders>
                    <w:tl2br w:val="nil"/>
                    <w:tr2bl w:val="nil"/>
                  </w:tcBorders>
                  <w:noWrap w:val="0"/>
                  <w:vAlign w:val="center"/>
                </w:tcPr>
                <w:p>
                  <w:pPr>
                    <w:widowControl/>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rPr>
                    <w:t>软水站树脂交换器反冲洗水作为</w:t>
                  </w:r>
                  <w:r>
                    <w:rPr>
                      <w:rFonts w:hint="default" w:ascii="Times New Roman" w:hAnsi="Times New Roman" w:eastAsia="宋体" w:cs="Times New Roman"/>
                      <w:b w:val="0"/>
                      <w:bCs/>
                      <w:color w:val="auto"/>
                      <w:sz w:val="21"/>
                      <w:szCs w:val="21"/>
                      <w:lang w:val="en-US" w:eastAsia="zh-CN"/>
                    </w:rPr>
                    <w:t>脱硫系统用</w:t>
                  </w:r>
                  <w:r>
                    <w:rPr>
                      <w:rFonts w:hint="default" w:ascii="Times New Roman" w:hAnsi="Times New Roman" w:eastAsia="宋体" w:cs="Times New Roman"/>
                      <w:b w:val="0"/>
                      <w:bCs/>
                      <w:color w:val="auto"/>
                      <w:sz w:val="21"/>
                      <w:szCs w:val="21"/>
                    </w:rPr>
                    <w:t>水</w:t>
                  </w:r>
                  <w:r>
                    <w:rPr>
                      <w:rFonts w:hint="default" w:ascii="Times New Roman" w:hAnsi="Times New Roman" w:cs="Times New Roman"/>
                      <w:b w:val="0"/>
                      <w:bCs/>
                      <w:color w:val="auto"/>
                      <w:sz w:val="21"/>
                      <w:szCs w:val="21"/>
                      <w:lang w:eastAsia="zh-CN"/>
                    </w:rPr>
                    <w:t>；锅炉定期排水</w:t>
                  </w:r>
                  <w:r>
                    <w:rPr>
                      <w:rFonts w:hint="default" w:ascii="Times New Roman" w:hAnsi="Times New Roman" w:eastAsia="宋体" w:cs="Times New Roman"/>
                      <w:b w:val="0"/>
                      <w:bCs/>
                      <w:color w:val="auto"/>
                      <w:sz w:val="21"/>
                      <w:szCs w:val="21"/>
                    </w:rPr>
                    <w:t>作为</w:t>
                  </w:r>
                  <w:r>
                    <w:rPr>
                      <w:rFonts w:hint="default" w:ascii="Times New Roman" w:hAnsi="Times New Roman" w:eastAsia="宋体" w:cs="Times New Roman"/>
                      <w:b w:val="0"/>
                      <w:bCs/>
                      <w:color w:val="auto"/>
                      <w:sz w:val="21"/>
                      <w:szCs w:val="21"/>
                      <w:lang w:val="en-US" w:eastAsia="zh-CN"/>
                    </w:rPr>
                    <w:t>脱硫系统用</w:t>
                  </w:r>
                  <w:r>
                    <w:rPr>
                      <w:rFonts w:hint="default" w:ascii="Times New Roman" w:hAnsi="Times New Roman" w:eastAsia="宋体" w:cs="Times New Roman"/>
                      <w:b w:val="0"/>
                      <w:bCs/>
                      <w:color w:val="auto"/>
                      <w:sz w:val="21"/>
                      <w:szCs w:val="21"/>
                    </w:rPr>
                    <w:t>水</w:t>
                  </w:r>
                  <w:r>
                    <w:rPr>
                      <w:rFonts w:hint="default" w:ascii="Times New Roman" w:hAnsi="Times New Roman" w:cs="Times New Roman"/>
                      <w:b w:val="0"/>
                      <w:bCs/>
                      <w:color w:val="auto"/>
                      <w:sz w:val="21"/>
                      <w:szCs w:val="21"/>
                      <w:lang w:eastAsia="zh-CN"/>
                    </w:rPr>
                    <w:t>；</w:t>
                  </w:r>
                  <w:r>
                    <w:rPr>
                      <w:rFonts w:hint="default" w:ascii="Times New Roman" w:hAnsi="Times New Roman" w:eastAsia="宋体" w:cs="Times New Roman"/>
                      <w:b w:val="0"/>
                      <w:bCs/>
                      <w:color w:val="auto"/>
                      <w:sz w:val="21"/>
                      <w:szCs w:val="21"/>
                    </w:rPr>
                    <w:t>供暖期末锅炉停止运行后的间接循环水</w:t>
                  </w:r>
                  <w:r>
                    <w:rPr>
                      <w:rFonts w:hint="default" w:ascii="Times New Roman" w:hAnsi="Times New Roman" w:cs="Times New Roman"/>
                      <w:b w:val="0"/>
                      <w:bCs/>
                      <w:color w:val="auto"/>
                      <w:sz w:val="21"/>
                      <w:szCs w:val="21"/>
                      <w:lang w:eastAsia="zh-CN"/>
                    </w:rPr>
                    <w:t>属清净下水，</w:t>
                  </w:r>
                  <w:r>
                    <w:rPr>
                      <w:rFonts w:hint="default" w:ascii="Times New Roman" w:hAnsi="Times New Roman" w:cs="Times New Roman"/>
                      <w:b w:val="0"/>
                      <w:bCs/>
                      <w:color w:val="auto"/>
                      <w:sz w:val="21"/>
                      <w:szCs w:val="21"/>
                      <w:lang w:val="en-US" w:eastAsia="zh-CN"/>
                    </w:rPr>
                    <w:t>暂存于水池中，用于锅炉清洗水配制和夏季厂区绿化</w:t>
                  </w:r>
                  <w:r>
                    <w:rPr>
                      <w:rFonts w:hint="default" w:ascii="Times New Roman" w:hAnsi="Times New Roman" w:cs="Times New Roman"/>
                      <w:b w:val="0"/>
                      <w:bCs/>
                      <w:color w:val="auto"/>
                      <w:sz w:val="21"/>
                      <w:szCs w:val="21"/>
                      <w:lang w:eastAsia="zh-CN"/>
                    </w:rPr>
                    <w:t>；</w:t>
                  </w:r>
                  <w:r>
                    <w:rPr>
                      <w:rFonts w:hint="default" w:ascii="Times New Roman" w:hAnsi="Times New Roman" w:eastAsia="宋体" w:cs="Times New Roman"/>
                      <w:b w:val="0"/>
                      <w:bCs/>
                      <w:color w:val="auto"/>
                      <w:sz w:val="21"/>
                      <w:szCs w:val="21"/>
                    </w:rPr>
                    <w:t>食堂废水经油水分离器隔油后与其他生活污水</w:t>
                  </w:r>
                  <w:r>
                    <w:rPr>
                      <w:rFonts w:hint="default" w:ascii="Times New Roman" w:hAnsi="Times New Roman" w:eastAsia="宋体" w:cs="Times New Roman"/>
                      <w:b w:val="0"/>
                      <w:bCs/>
                      <w:color w:val="auto"/>
                      <w:sz w:val="21"/>
                      <w:szCs w:val="21"/>
                      <w:lang w:val="en-US" w:eastAsia="zh-CN"/>
                    </w:rPr>
                    <w:t>一同排入化粪池，</w:t>
                  </w:r>
                  <w:r>
                    <w:rPr>
                      <w:rFonts w:hint="default" w:ascii="Times New Roman" w:hAnsi="Times New Roman" w:cs="Times New Roman"/>
                      <w:b w:val="0"/>
                      <w:bCs/>
                      <w:color w:val="auto"/>
                      <w:sz w:val="21"/>
                      <w:szCs w:val="21"/>
                      <w:lang w:val="en-US" w:eastAsia="zh-CN"/>
                    </w:rPr>
                    <w:t>抽排至污水处理厂</w:t>
                  </w:r>
                  <w:r>
                    <w:rPr>
                      <w:rFonts w:hint="default" w:ascii="Times New Roman" w:hAnsi="Times New Roman" w:eastAsia="宋体" w:cs="Times New Roman"/>
                      <w:b w:val="0"/>
                      <w:bCs/>
                      <w:color w:val="auto"/>
                      <w:sz w:val="21"/>
                      <w:szCs w:val="21"/>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75" w:type="pct"/>
                  <w:vMerge w:val="continue"/>
                  <w:tcBorders>
                    <w:tl2br w:val="nil"/>
                    <w:tr2bl w:val="nil"/>
                  </w:tcBorders>
                  <w:noWrap w:val="0"/>
                  <w:vAlign w:val="center"/>
                </w:tcPr>
                <w:p>
                  <w:pPr>
                    <w:pStyle w:val="44"/>
                    <w:ind w:firstLine="0" w:firstLineChars="0"/>
                    <w:rPr>
                      <w:rFonts w:hint="default" w:ascii="Times New Roman" w:hAnsi="Times New Roman" w:cs="Times New Roman"/>
                      <w:color w:val="auto"/>
                      <w:sz w:val="21"/>
                      <w:szCs w:val="21"/>
                      <w:lang w:val="en-US" w:eastAsia="zh-CN"/>
                    </w:rPr>
                  </w:pPr>
                </w:p>
              </w:tc>
              <w:tc>
                <w:tcPr>
                  <w:tcW w:w="1074" w:type="pct"/>
                  <w:tcBorders>
                    <w:tl2br w:val="nil"/>
                    <w:tr2bl w:val="nil"/>
                  </w:tcBorders>
                  <w:noWrap w:val="0"/>
                  <w:vAlign w:val="center"/>
                </w:tcPr>
                <w:p>
                  <w:pPr>
                    <w:pStyle w:val="44"/>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噪声</w:t>
                  </w:r>
                </w:p>
              </w:tc>
              <w:tc>
                <w:tcPr>
                  <w:tcW w:w="3150" w:type="pct"/>
                  <w:tcBorders>
                    <w:tl2br w:val="nil"/>
                    <w:tr2bl w:val="nil"/>
                  </w:tcBorders>
                  <w:noWrap w:val="0"/>
                  <w:vAlign w:val="center"/>
                </w:tcPr>
                <w:p>
                  <w:pPr>
                    <w:pStyle w:val="44"/>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rPr>
                    <w:t>选用低噪声设备，基础减振，定期维护和保养，厂房隔声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75" w:type="pct"/>
                  <w:vMerge w:val="continue"/>
                  <w:tcBorders>
                    <w:tl2br w:val="nil"/>
                    <w:tr2bl w:val="nil"/>
                  </w:tcBorders>
                  <w:noWrap w:val="0"/>
                  <w:vAlign w:val="center"/>
                </w:tcPr>
                <w:p>
                  <w:pPr>
                    <w:pStyle w:val="44"/>
                    <w:ind w:firstLine="0" w:firstLineChars="0"/>
                    <w:rPr>
                      <w:rFonts w:hint="default" w:ascii="Times New Roman" w:hAnsi="Times New Roman" w:cs="Times New Roman"/>
                      <w:color w:val="auto"/>
                      <w:sz w:val="21"/>
                      <w:szCs w:val="21"/>
                      <w:lang w:val="en-US" w:eastAsia="zh-CN"/>
                    </w:rPr>
                  </w:pPr>
                </w:p>
              </w:tc>
              <w:tc>
                <w:tcPr>
                  <w:tcW w:w="1074" w:type="pct"/>
                  <w:tcBorders>
                    <w:tl2br w:val="nil"/>
                    <w:tr2bl w:val="nil"/>
                  </w:tcBorders>
                  <w:noWrap w:val="0"/>
                  <w:vAlign w:val="center"/>
                </w:tcPr>
                <w:p>
                  <w:pPr>
                    <w:pStyle w:val="44"/>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固体废物</w:t>
                  </w:r>
                </w:p>
              </w:tc>
              <w:tc>
                <w:tcPr>
                  <w:tcW w:w="3150" w:type="pct"/>
                  <w:tcBorders>
                    <w:tl2br w:val="nil"/>
                    <w:tr2bl w:val="nil"/>
                  </w:tcBorders>
                  <w:noWrap w:val="0"/>
                  <w:vAlign w:val="center"/>
                </w:tcPr>
                <w:p>
                  <w:pPr>
                    <w:pStyle w:val="44"/>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废离子交换树脂、废催化剂定期由有资质单位收集处置；</w:t>
                  </w:r>
                  <w:r>
                    <w:rPr>
                      <w:rFonts w:hint="default" w:ascii="Times New Roman" w:hAnsi="Times New Roman" w:cs="Times New Roman"/>
                      <w:b w:val="0"/>
                      <w:bCs/>
                      <w:color w:val="auto"/>
                      <w:sz w:val="21"/>
                      <w:szCs w:val="21"/>
                      <w:lang w:val="en-US" w:eastAsia="zh-CN"/>
                    </w:rPr>
                    <w:t>炉渣、粉煤灰、</w:t>
                  </w:r>
                  <w:r>
                    <w:rPr>
                      <w:rFonts w:hint="default" w:ascii="Times New Roman" w:hAnsi="Times New Roman" w:cs="Times New Roman"/>
                      <w:color w:val="auto"/>
                      <w:sz w:val="21"/>
                      <w:szCs w:val="21"/>
                      <w:lang w:val="en-US" w:eastAsia="zh-CN"/>
                    </w:rPr>
                    <w:t>MgSO</w:t>
                  </w:r>
                  <w:r>
                    <w:rPr>
                      <w:rFonts w:hint="default" w:ascii="Times New Roman" w:hAnsi="Times New Roman" w:cs="Times New Roman"/>
                      <w:color w:val="auto"/>
                      <w:sz w:val="21"/>
                      <w:szCs w:val="21"/>
                      <w:vertAlign w:val="subscript"/>
                      <w:lang w:val="en-US" w:eastAsia="zh-CN"/>
                    </w:rPr>
                    <w:t>4</w:t>
                  </w:r>
                  <w:r>
                    <w:rPr>
                      <w:rFonts w:hint="default" w:ascii="Times New Roman" w:hAnsi="Times New Roman" w:cs="Times New Roman"/>
                      <w:b w:val="0"/>
                      <w:bCs/>
                      <w:color w:val="auto"/>
                      <w:sz w:val="21"/>
                      <w:szCs w:val="21"/>
                      <w:lang w:val="en-US" w:eastAsia="zh-CN"/>
                    </w:rPr>
                    <w:t>集中收集后外售；生活垃圾集中收集后由环卫部门统一收集处置。</w:t>
                  </w:r>
                </w:p>
              </w:tc>
            </w:tr>
          </w:tbl>
          <w:p>
            <w:pPr>
              <w:snapToGrid w:val="0"/>
              <w:spacing w:before="156" w:beforeLines="50" w:line="360" w:lineRule="auto"/>
              <w:ind w:firstLine="482" w:firstLineChars="200"/>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color w:val="auto"/>
                <w:sz w:val="24"/>
                <w:szCs w:val="24"/>
                <w:highlight w:val="none"/>
                <w:lang w:val="en-US" w:eastAsia="zh-CN"/>
              </w:rPr>
              <w:t>管网及换热站建设内容：</w:t>
            </w:r>
            <w:r>
              <w:rPr>
                <w:rFonts w:hint="default" w:ascii="Times New Roman" w:hAnsi="Times New Roman" w:cs="Times New Roman"/>
                <w:b w:val="0"/>
                <w:bCs/>
                <w:color w:val="auto"/>
                <w:sz w:val="24"/>
                <w:szCs w:val="24"/>
                <w:highlight w:val="none"/>
                <w:lang w:val="en-US" w:eastAsia="zh-CN"/>
              </w:rPr>
              <w:t>供热一次管网采用直埋无补偿敷设，新敷设管网全长9.2km；新建5个区域的换热站。</w:t>
            </w:r>
          </w:p>
          <w:p>
            <w:pPr>
              <w:pStyle w:val="36"/>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管网及换热站主要工程量表</w:t>
            </w:r>
          </w:p>
          <w:tbl>
            <w:tblPr>
              <w:tblStyle w:val="2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94"/>
              <w:gridCol w:w="2969"/>
              <w:gridCol w:w="808"/>
              <w:gridCol w:w="1539"/>
              <w:gridCol w:w="2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90" w:type="pct"/>
                  <w:tcBorders>
                    <w:tl2br w:val="nil"/>
                    <w:tr2bl w:val="nil"/>
                  </w:tcBorders>
                  <w:noWrap w:val="0"/>
                  <w:tcMar>
                    <w:top w:w="15" w:type="dxa"/>
                    <w:left w:w="15" w:type="dxa"/>
                    <w:right w:w="15" w:type="dxa"/>
                  </w:tcMar>
                  <w:vAlign w:val="center"/>
                </w:tcPr>
                <w:p>
                  <w:pPr>
                    <w:pStyle w:val="57"/>
                    <w:bidi w:val="0"/>
                    <w:rPr>
                      <w:rFonts w:hint="default" w:ascii="Times New Roman" w:hAnsi="Times New Roman" w:cs="Times New Roman"/>
                      <w:color w:val="auto"/>
                    </w:rPr>
                  </w:pPr>
                  <w:r>
                    <w:rPr>
                      <w:rFonts w:hint="default" w:ascii="Times New Roman" w:hAnsi="Times New Roman" w:cs="Times New Roman"/>
                      <w:color w:val="auto"/>
                      <w:lang w:val="en-US" w:eastAsia="zh-CN"/>
                    </w:rPr>
                    <w:t>序号</w:t>
                  </w:r>
                </w:p>
              </w:tc>
              <w:tc>
                <w:tcPr>
                  <w:tcW w:w="1762" w:type="pct"/>
                  <w:tcBorders>
                    <w:tl2br w:val="nil"/>
                    <w:tr2bl w:val="nil"/>
                  </w:tcBorders>
                  <w:noWrap w:val="0"/>
                  <w:tcMar>
                    <w:top w:w="15" w:type="dxa"/>
                    <w:left w:w="15" w:type="dxa"/>
                    <w:right w:w="15" w:type="dxa"/>
                  </w:tcMar>
                  <w:vAlign w:val="center"/>
                </w:tcPr>
                <w:p>
                  <w:pPr>
                    <w:pStyle w:val="57"/>
                    <w:bidi w:val="0"/>
                    <w:rPr>
                      <w:rFonts w:hint="default" w:ascii="Times New Roman" w:hAnsi="Times New Roman" w:cs="Times New Roman"/>
                      <w:color w:val="auto"/>
                    </w:rPr>
                  </w:pPr>
                  <w:r>
                    <w:rPr>
                      <w:rFonts w:hint="default" w:ascii="Times New Roman" w:hAnsi="Times New Roman" w:cs="Times New Roman"/>
                      <w:color w:val="auto"/>
                      <w:lang w:val="en-US" w:eastAsia="zh-CN"/>
                    </w:rPr>
                    <w:t>工程名称</w:t>
                  </w:r>
                </w:p>
              </w:tc>
              <w:tc>
                <w:tcPr>
                  <w:tcW w:w="480" w:type="pct"/>
                  <w:tcBorders>
                    <w:tl2br w:val="nil"/>
                    <w:tr2bl w:val="nil"/>
                  </w:tcBorders>
                  <w:noWrap w:val="0"/>
                  <w:tcMar>
                    <w:top w:w="15" w:type="dxa"/>
                    <w:left w:w="15" w:type="dxa"/>
                    <w:right w:w="15" w:type="dxa"/>
                  </w:tcMar>
                  <w:vAlign w:val="center"/>
                </w:tcPr>
                <w:p>
                  <w:pPr>
                    <w:pStyle w:val="57"/>
                    <w:bidi w:val="0"/>
                    <w:rPr>
                      <w:rFonts w:hint="default" w:ascii="Times New Roman" w:hAnsi="Times New Roman" w:cs="Times New Roman"/>
                      <w:color w:val="auto"/>
                    </w:rPr>
                  </w:pPr>
                  <w:r>
                    <w:rPr>
                      <w:rFonts w:hint="default" w:ascii="Times New Roman" w:hAnsi="Times New Roman" w:cs="Times New Roman"/>
                      <w:color w:val="auto"/>
                      <w:lang w:val="en-US" w:eastAsia="zh-CN"/>
                    </w:rPr>
                    <w:t>单位</w:t>
                  </w:r>
                </w:p>
              </w:tc>
              <w:tc>
                <w:tcPr>
                  <w:tcW w:w="914" w:type="pct"/>
                  <w:tcBorders>
                    <w:tl2br w:val="nil"/>
                    <w:tr2bl w:val="nil"/>
                  </w:tcBorders>
                  <w:noWrap w:val="0"/>
                  <w:tcMar>
                    <w:top w:w="15" w:type="dxa"/>
                    <w:left w:w="15" w:type="dxa"/>
                    <w:right w:w="15" w:type="dxa"/>
                  </w:tcMar>
                  <w:vAlign w:val="center"/>
                </w:tcPr>
                <w:p>
                  <w:pPr>
                    <w:pStyle w:val="57"/>
                    <w:bidi w:val="0"/>
                    <w:rPr>
                      <w:rFonts w:hint="default" w:ascii="Times New Roman" w:hAnsi="Times New Roman" w:cs="Times New Roman"/>
                      <w:color w:val="auto"/>
                      <w:lang w:val="en-US"/>
                    </w:rPr>
                  </w:pPr>
                  <w:r>
                    <w:rPr>
                      <w:rFonts w:hint="default" w:ascii="Times New Roman" w:hAnsi="Times New Roman" w:cs="Times New Roman"/>
                      <w:color w:val="auto"/>
                      <w:lang w:val="en-US" w:eastAsia="zh-CN"/>
                    </w:rPr>
                    <w:t>长度/面积/供热面积</w:t>
                  </w:r>
                </w:p>
              </w:tc>
              <w:tc>
                <w:tcPr>
                  <w:tcW w:w="1251" w:type="pct"/>
                  <w:tcBorders>
                    <w:tl2br w:val="nil"/>
                    <w:tr2bl w:val="nil"/>
                  </w:tcBorders>
                  <w:noWrap w:val="0"/>
                  <w:tcMar>
                    <w:top w:w="15" w:type="dxa"/>
                    <w:left w:w="15" w:type="dxa"/>
                    <w:right w:w="15" w:type="dxa"/>
                  </w:tcMar>
                  <w:vAlign w:val="center"/>
                </w:tcPr>
                <w:p>
                  <w:pPr>
                    <w:pStyle w:val="57"/>
                    <w:bidi w:val="0"/>
                    <w:rPr>
                      <w:rFonts w:hint="default" w:ascii="Times New Roman" w:hAnsi="Times New Roman" w:cs="Times New Roman"/>
                      <w:color w:val="auto"/>
                    </w:rPr>
                  </w:pPr>
                  <w:r>
                    <w:rPr>
                      <w:rFonts w:hint="default" w:ascii="Times New Roman" w:hAnsi="Times New Roman" w:cs="Times New Roman"/>
                      <w:color w:val="auto"/>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90" w:type="pct"/>
                  <w:tcBorders>
                    <w:tl2br w:val="nil"/>
                    <w:tr2bl w:val="nil"/>
                  </w:tcBorders>
                  <w:noWrap w:val="0"/>
                  <w:tcMar>
                    <w:top w:w="15" w:type="dxa"/>
                    <w:left w:w="15" w:type="dxa"/>
                    <w:right w:w="15" w:type="dxa"/>
                  </w:tcMar>
                  <w:vAlign w:val="center"/>
                </w:tcPr>
                <w:p>
                  <w:pPr>
                    <w:pStyle w:val="57"/>
                    <w:bidi w:val="0"/>
                    <w:rPr>
                      <w:rFonts w:hint="default" w:ascii="Times New Roman" w:hAnsi="Times New Roman" w:cs="Times New Roman"/>
                      <w:color w:val="auto"/>
                    </w:rPr>
                  </w:pPr>
                  <w:r>
                    <w:rPr>
                      <w:rFonts w:hint="default" w:ascii="Times New Roman" w:hAnsi="Times New Roman" w:cs="Times New Roman"/>
                      <w:color w:val="auto"/>
                      <w:lang w:val="en-US" w:eastAsia="zh-CN"/>
                    </w:rPr>
                    <w:t>1</w:t>
                  </w:r>
                </w:p>
              </w:tc>
              <w:tc>
                <w:tcPr>
                  <w:tcW w:w="4409" w:type="pct"/>
                  <w:gridSpan w:val="4"/>
                  <w:tcBorders>
                    <w:tl2br w:val="nil"/>
                    <w:tr2bl w:val="nil"/>
                  </w:tcBorders>
                  <w:noWrap w:val="0"/>
                  <w:tcMar>
                    <w:top w:w="15" w:type="dxa"/>
                    <w:left w:w="15" w:type="dxa"/>
                    <w:right w:w="15" w:type="dxa"/>
                  </w:tcMar>
                  <w:vAlign w:val="center"/>
                </w:tcPr>
                <w:p>
                  <w:pPr>
                    <w:pStyle w:val="57"/>
                    <w:bidi w:val="0"/>
                    <w:rPr>
                      <w:rFonts w:hint="default" w:ascii="Times New Roman" w:hAnsi="Times New Roman" w:cs="Times New Roman"/>
                      <w:color w:val="auto"/>
                    </w:rPr>
                  </w:pPr>
                  <w:r>
                    <w:rPr>
                      <w:rFonts w:hint="default" w:ascii="Times New Roman" w:hAnsi="Times New Roman" w:cs="Times New Roman"/>
                      <w:color w:val="auto"/>
                      <w:lang w:val="en-US" w:eastAsia="zh-CN"/>
                    </w:rPr>
                    <w:t>管网工程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90" w:type="pct"/>
                  <w:tcBorders>
                    <w:tl2br w:val="nil"/>
                    <w:tr2bl w:val="nil"/>
                  </w:tcBorders>
                  <w:noWrap w:val="0"/>
                  <w:tcMar>
                    <w:top w:w="15" w:type="dxa"/>
                    <w:left w:w="15" w:type="dxa"/>
                    <w:right w:w="15" w:type="dxa"/>
                  </w:tcMar>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lang w:val="en-US" w:eastAsia="zh-CN"/>
                    </w:rPr>
                    <w:t>﹙1﹚</w:t>
                  </w:r>
                </w:p>
              </w:tc>
              <w:tc>
                <w:tcPr>
                  <w:tcW w:w="1762" w:type="pct"/>
                  <w:tcBorders>
                    <w:tl2br w:val="nil"/>
                    <w:tr2bl w:val="nil"/>
                  </w:tcBorders>
                  <w:noWrap w:val="0"/>
                  <w:tcMar>
                    <w:top w:w="15" w:type="dxa"/>
                    <w:left w:w="15" w:type="dxa"/>
                    <w:right w:w="15" w:type="dxa"/>
                  </w:tcMar>
                  <w:vAlign w:val="center"/>
                </w:tcPr>
                <w:p>
                  <w:pPr>
                    <w:pStyle w:val="44"/>
                    <w:bidi w:val="0"/>
                    <w:rPr>
                      <w:rFonts w:hint="default" w:ascii="Times New Roman" w:hAnsi="Times New Roman" w:cs="Times New Roman"/>
                      <w:color w:val="auto"/>
                      <w:lang w:val="en-US"/>
                    </w:rPr>
                  </w:pPr>
                  <w:r>
                    <w:rPr>
                      <w:rFonts w:hint="default" w:ascii="Times New Roman" w:hAnsi="Times New Roman" w:cs="Times New Roman"/>
                      <w:color w:val="auto"/>
                      <w:lang w:val="en-US" w:eastAsia="zh-CN"/>
                    </w:rPr>
                    <w:t>直埋热水管网 DN900</w:t>
                  </w:r>
                </w:p>
              </w:tc>
              <w:tc>
                <w:tcPr>
                  <w:tcW w:w="480" w:type="pct"/>
                  <w:tcBorders>
                    <w:tl2br w:val="nil"/>
                    <w:tr2bl w:val="nil"/>
                  </w:tcBorders>
                  <w:noWrap w:val="0"/>
                  <w:tcMar>
                    <w:top w:w="15" w:type="dxa"/>
                    <w:left w:w="15" w:type="dxa"/>
                    <w:right w:w="15" w:type="dxa"/>
                  </w:tcMar>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lang w:val="en-US" w:eastAsia="zh-CN"/>
                    </w:rPr>
                    <w:t>m</w:t>
                  </w:r>
                </w:p>
              </w:tc>
              <w:tc>
                <w:tcPr>
                  <w:tcW w:w="914" w:type="pct"/>
                  <w:tcBorders>
                    <w:tl2br w:val="nil"/>
                    <w:tr2bl w:val="nil"/>
                  </w:tcBorders>
                  <w:noWrap w:val="0"/>
                  <w:tcMar>
                    <w:top w:w="15" w:type="dxa"/>
                    <w:left w:w="15" w:type="dxa"/>
                    <w:right w:w="15" w:type="dxa"/>
                  </w:tcMar>
                  <w:vAlign w:val="center"/>
                </w:tcPr>
                <w:p>
                  <w:pPr>
                    <w:pStyle w:val="44"/>
                    <w:bidi w:val="0"/>
                    <w:rPr>
                      <w:rFonts w:hint="default" w:ascii="Times New Roman" w:hAnsi="Times New Roman" w:cs="Times New Roman"/>
                      <w:color w:val="auto"/>
                      <w:lang w:val="en-US"/>
                    </w:rPr>
                  </w:pPr>
                  <w:r>
                    <w:rPr>
                      <w:rFonts w:hint="default" w:ascii="Times New Roman" w:hAnsi="Times New Roman" w:cs="Times New Roman"/>
                      <w:color w:val="auto"/>
                      <w:lang w:val="en-US" w:eastAsia="zh-CN"/>
                    </w:rPr>
                    <w:t>9200</w:t>
                  </w:r>
                </w:p>
              </w:tc>
              <w:tc>
                <w:tcPr>
                  <w:tcW w:w="1251" w:type="pct"/>
                  <w:tcBorders>
                    <w:tl2br w:val="nil"/>
                    <w:tr2bl w:val="nil"/>
                  </w:tcBorders>
                  <w:noWrap w:val="0"/>
                  <w:tcMar>
                    <w:top w:w="15" w:type="dxa"/>
                    <w:left w:w="15" w:type="dxa"/>
                    <w:right w:w="15" w:type="dxa"/>
                  </w:tcMar>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lang w:val="en-US" w:eastAsia="zh-CN"/>
                    </w:rPr>
                    <w:t>管沟长度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353" w:type="pct"/>
                  <w:gridSpan w:val="2"/>
                  <w:tcBorders>
                    <w:tl2br w:val="nil"/>
                    <w:tr2bl w:val="nil"/>
                  </w:tcBorders>
                  <w:noWrap w:val="0"/>
                  <w:tcMar>
                    <w:top w:w="15" w:type="dxa"/>
                    <w:left w:w="15" w:type="dxa"/>
                    <w:right w:w="15" w:type="dxa"/>
                  </w:tcMar>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lang w:val="en-US" w:eastAsia="zh-CN"/>
                    </w:rPr>
                    <w:t>小计</w:t>
                  </w:r>
                </w:p>
              </w:tc>
              <w:tc>
                <w:tcPr>
                  <w:tcW w:w="480" w:type="pct"/>
                  <w:tcBorders>
                    <w:tl2br w:val="nil"/>
                    <w:tr2bl w:val="nil"/>
                  </w:tcBorders>
                  <w:noWrap w:val="0"/>
                  <w:tcMar>
                    <w:top w:w="15" w:type="dxa"/>
                    <w:left w:w="15" w:type="dxa"/>
                    <w:right w:w="15" w:type="dxa"/>
                  </w:tcMar>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lang w:val="en-US" w:eastAsia="zh-CN"/>
                    </w:rPr>
                    <w:t>m</w:t>
                  </w:r>
                </w:p>
              </w:tc>
              <w:tc>
                <w:tcPr>
                  <w:tcW w:w="914" w:type="pct"/>
                  <w:tcBorders>
                    <w:tl2br w:val="nil"/>
                    <w:tr2bl w:val="nil"/>
                  </w:tcBorders>
                  <w:noWrap w:val="0"/>
                  <w:tcMar>
                    <w:top w:w="15" w:type="dxa"/>
                    <w:left w:w="15" w:type="dxa"/>
                    <w:right w:w="15" w:type="dxa"/>
                  </w:tcMar>
                  <w:vAlign w:val="center"/>
                </w:tcPr>
                <w:p>
                  <w:pPr>
                    <w:pStyle w:val="44"/>
                    <w:bidi w:val="0"/>
                    <w:rPr>
                      <w:rFonts w:hint="default" w:ascii="Times New Roman" w:hAnsi="Times New Roman" w:cs="Times New Roman"/>
                      <w:color w:val="auto"/>
                      <w:lang w:val="en-US"/>
                    </w:rPr>
                  </w:pPr>
                  <w:r>
                    <w:rPr>
                      <w:rFonts w:hint="default" w:ascii="Times New Roman" w:hAnsi="Times New Roman" w:cs="Times New Roman"/>
                      <w:color w:val="auto"/>
                      <w:lang w:val="en-US" w:eastAsia="zh-CN"/>
                    </w:rPr>
                    <w:t>9200</w:t>
                  </w:r>
                </w:p>
              </w:tc>
              <w:tc>
                <w:tcPr>
                  <w:tcW w:w="1251" w:type="pct"/>
                  <w:tcBorders>
                    <w:tl2br w:val="nil"/>
                    <w:tr2bl w:val="nil"/>
                  </w:tcBorders>
                  <w:noWrap w:val="0"/>
                  <w:tcMar>
                    <w:top w:w="15" w:type="dxa"/>
                    <w:left w:w="15" w:type="dxa"/>
                    <w:right w:w="15" w:type="dxa"/>
                  </w:tcMar>
                  <w:vAlign w:val="center"/>
                </w:tcPr>
                <w:p>
                  <w:pPr>
                    <w:pStyle w:val="44"/>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90" w:type="pct"/>
                  <w:tcBorders>
                    <w:tl2br w:val="nil"/>
                    <w:tr2bl w:val="nil"/>
                  </w:tcBorders>
                  <w:noWrap w:val="0"/>
                  <w:tcMar>
                    <w:top w:w="15" w:type="dxa"/>
                    <w:left w:w="15" w:type="dxa"/>
                    <w:right w:w="15" w:type="dxa"/>
                  </w:tcMar>
                  <w:vAlign w:val="center"/>
                </w:tcPr>
                <w:p>
                  <w:pPr>
                    <w:pStyle w:val="57"/>
                    <w:bidi w:val="0"/>
                    <w:rPr>
                      <w:rFonts w:hint="default" w:ascii="Times New Roman" w:hAnsi="Times New Roman" w:cs="Times New Roman"/>
                      <w:color w:val="auto"/>
                    </w:rPr>
                  </w:pPr>
                  <w:r>
                    <w:rPr>
                      <w:rFonts w:hint="default" w:ascii="Times New Roman" w:hAnsi="Times New Roman" w:cs="Times New Roman"/>
                      <w:color w:val="auto"/>
                      <w:lang w:val="en-US" w:eastAsia="zh-CN"/>
                    </w:rPr>
                    <w:t>2</w:t>
                  </w:r>
                </w:p>
              </w:tc>
              <w:tc>
                <w:tcPr>
                  <w:tcW w:w="4409" w:type="pct"/>
                  <w:gridSpan w:val="4"/>
                  <w:tcBorders>
                    <w:tl2br w:val="nil"/>
                    <w:tr2bl w:val="nil"/>
                  </w:tcBorders>
                  <w:noWrap w:val="0"/>
                  <w:tcMar>
                    <w:top w:w="15" w:type="dxa"/>
                    <w:left w:w="15" w:type="dxa"/>
                    <w:right w:w="15" w:type="dxa"/>
                  </w:tcMar>
                  <w:vAlign w:val="center"/>
                </w:tcPr>
                <w:p>
                  <w:pPr>
                    <w:pStyle w:val="57"/>
                    <w:bidi w:val="0"/>
                    <w:rPr>
                      <w:rFonts w:hint="default" w:ascii="Times New Roman" w:hAnsi="Times New Roman" w:cs="Times New Roman"/>
                      <w:color w:val="auto"/>
                    </w:rPr>
                  </w:pPr>
                  <w:r>
                    <w:rPr>
                      <w:rFonts w:hint="default" w:ascii="Times New Roman" w:hAnsi="Times New Roman" w:cs="Times New Roman"/>
                      <w:color w:val="auto"/>
                      <w:lang w:val="en-US" w:eastAsia="zh-CN"/>
                    </w:rPr>
                    <w:t>换热站工程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90" w:type="pct"/>
                  <w:tcBorders>
                    <w:tl2br w:val="nil"/>
                    <w:tr2bl w:val="nil"/>
                  </w:tcBorders>
                  <w:noWrap w:val="0"/>
                  <w:tcMar>
                    <w:top w:w="15" w:type="dxa"/>
                    <w:left w:w="15" w:type="dxa"/>
                    <w:right w:w="15" w:type="dxa"/>
                  </w:tcMar>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lang w:val="en-US" w:eastAsia="zh-CN"/>
                    </w:rPr>
                    <w:t>﹙1﹚</w:t>
                  </w:r>
                </w:p>
              </w:tc>
              <w:tc>
                <w:tcPr>
                  <w:tcW w:w="1762" w:type="pct"/>
                  <w:tcBorders>
                    <w:tl2br w:val="nil"/>
                    <w:tr2bl w:val="nil"/>
                  </w:tcBorders>
                  <w:noWrap w:val="0"/>
                  <w:tcMar>
                    <w:top w:w="15" w:type="dxa"/>
                    <w:left w:w="15" w:type="dxa"/>
                    <w:right w:w="15" w:type="dxa"/>
                  </w:tcMar>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01＃热交换站</w:t>
                  </w:r>
                </w:p>
              </w:tc>
              <w:tc>
                <w:tcPr>
                  <w:tcW w:w="480" w:type="pct"/>
                  <w:tcBorders>
                    <w:tl2br w:val="nil"/>
                    <w:tr2bl w:val="nil"/>
                  </w:tcBorders>
                  <w:noWrap w:val="0"/>
                  <w:tcMar>
                    <w:top w:w="15" w:type="dxa"/>
                    <w:left w:w="15" w:type="dxa"/>
                    <w:right w:w="15" w:type="dxa"/>
                  </w:tcMar>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lang w:val="en-US" w:eastAsia="zh-CN"/>
                    </w:rPr>
                    <w:t>万m</w:t>
                  </w:r>
                  <w:r>
                    <w:rPr>
                      <w:rFonts w:hint="default" w:ascii="Times New Roman" w:hAnsi="Times New Roman" w:cs="Times New Roman"/>
                      <w:color w:val="auto"/>
                      <w:vertAlign w:val="superscript"/>
                      <w:lang w:val="en-US" w:eastAsia="zh-CN"/>
                    </w:rPr>
                    <w:t>2</w:t>
                  </w:r>
                </w:p>
              </w:tc>
              <w:tc>
                <w:tcPr>
                  <w:tcW w:w="914" w:type="pct"/>
                  <w:tcBorders>
                    <w:tl2br w:val="nil"/>
                    <w:tr2bl w:val="nil"/>
                  </w:tcBorders>
                  <w:noWrap w:val="0"/>
                  <w:tcMar>
                    <w:top w:w="15" w:type="dxa"/>
                    <w:left w:w="15" w:type="dxa"/>
                    <w:right w:w="15" w:type="dxa"/>
                  </w:tcMar>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lang w:val="en-US" w:eastAsia="zh-CN"/>
                    </w:rPr>
                    <w:t>1</w:t>
                  </w:r>
                </w:p>
              </w:tc>
              <w:tc>
                <w:tcPr>
                  <w:tcW w:w="1251" w:type="pct"/>
                  <w:tcBorders>
                    <w:tl2br w:val="nil"/>
                    <w:tr2bl w:val="nil"/>
                  </w:tcBorders>
                  <w:noWrap w:val="0"/>
                  <w:tcMar>
                    <w:top w:w="15" w:type="dxa"/>
                    <w:left w:w="15" w:type="dxa"/>
                    <w:right w:w="15" w:type="dxa"/>
                  </w:tcMar>
                  <w:vAlign w:val="center"/>
                </w:tcPr>
                <w:p>
                  <w:pPr>
                    <w:pStyle w:val="44"/>
                    <w:bidi w:val="0"/>
                    <w:rPr>
                      <w:rFonts w:hint="default" w:ascii="Times New Roman" w:hAnsi="Times New Roman" w:cs="Times New Roman"/>
                      <w:color w:val="auto"/>
                      <w:lang w:val="en-US"/>
                    </w:rPr>
                  </w:pPr>
                  <w:r>
                    <w:rPr>
                      <w:rFonts w:hint="default" w:ascii="Times New Roman" w:hAnsi="Times New Roman" w:cs="Times New Roman"/>
                      <w:color w:val="auto"/>
                      <w:lang w:val="en-US" w:eastAsia="zh-CN"/>
                    </w:rPr>
                    <w:t>B型热负荷MW0.496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90" w:type="pct"/>
                  <w:tcBorders>
                    <w:tl2br w:val="nil"/>
                    <w:tr2bl w:val="nil"/>
                  </w:tcBorders>
                  <w:noWrap w:val="0"/>
                  <w:tcMar>
                    <w:top w:w="15" w:type="dxa"/>
                    <w:left w:w="15" w:type="dxa"/>
                    <w:right w:w="15" w:type="dxa"/>
                  </w:tcMar>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lang w:val="en-US" w:eastAsia="zh-CN"/>
                    </w:rPr>
                    <w:t>﹙2﹚</w:t>
                  </w:r>
                </w:p>
              </w:tc>
              <w:tc>
                <w:tcPr>
                  <w:tcW w:w="1762" w:type="pct"/>
                  <w:tcBorders>
                    <w:tl2br w:val="nil"/>
                    <w:tr2bl w:val="nil"/>
                  </w:tcBorders>
                  <w:noWrap w:val="0"/>
                  <w:tcMar>
                    <w:top w:w="15" w:type="dxa"/>
                    <w:left w:w="15" w:type="dxa"/>
                    <w:right w:w="15" w:type="dxa"/>
                  </w:tcMar>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02＃热交换站</w:t>
                  </w:r>
                </w:p>
              </w:tc>
              <w:tc>
                <w:tcPr>
                  <w:tcW w:w="480" w:type="pct"/>
                  <w:tcBorders>
                    <w:tl2br w:val="nil"/>
                    <w:tr2bl w:val="nil"/>
                  </w:tcBorders>
                  <w:noWrap w:val="0"/>
                  <w:tcMar>
                    <w:top w:w="15" w:type="dxa"/>
                    <w:left w:w="15" w:type="dxa"/>
                    <w:right w:w="15" w:type="dxa"/>
                  </w:tcMar>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lang w:val="en-US" w:eastAsia="zh-CN"/>
                    </w:rPr>
                    <w:t>万m</w:t>
                  </w:r>
                  <w:r>
                    <w:rPr>
                      <w:rFonts w:hint="default" w:ascii="Times New Roman" w:hAnsi="Times New Roman" w:cs="Times New Roman"/>
                      <w:color w:val="auto"/>
                      <w:vertAlign w:val="superscript"/>
                      <w:lang w:val="en-US" w:eastAsia="zh-CN"/>
                    </w:rPr>
                    <w:t>2</w:t>
                  </w:r>
                </w:p>
              </w:tc>
              <w:tc>
                <w:tcPr>
                  <w:tcW w:w="914" w:type="pct"/>
                  <w:tcBorders>
                    <w:tl2br w:val="nil"/>
                    <w:tr2bl w:val="nil"/>
                  </w:tcBorders>
                  <w:noWrap w:val="0"/>
                  <w:tcMar>
                    <w:top w:w="15" w:type="dxa"/>
                    <w:left w:w="15" w:type="dxa"/>
                    <w:right w:w="15" w:type="dxa"/>
                  </w:tcMar>
                  <w:vAlign w:val="center"/>
                </w:tcPr>
                <w:p>
                  <w:pPr>
                    <w:pStyle w:val="4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9</w:t>
                  </w:r>
                </w:p>
              </w:tc>
              <w:tc>
                <w:tcPr>
                  <w:tcW w:w="1251" w:type="pct"/>
                  <w:tcBorders>
                    <w:tl2br w:val="nil"/>
                    <w:tr2bl w:val="nil"/>
                  </w:tcBorders>
                  <w:noWrap w:val="0"/>
                  <w:tcMar>
                    <w:top w:w="15" w:type="dxa"/>
                    <w:left w:w="15" w:type="dxa"/>
                    <w:right w:w="15" w:type="dxa"/>
                  </w:tcMar>
                  <w:vAlign w:val="center"/>
                </w:tcPr>
                <w:p>
                  <w:pPr>
                    <w:bidi w:val="0"/>
                    <w:jc w:val="center"/>
                    <w:rPr>
                      <w:rFonts w:hint="default" w:ascii="Times New Roman" w:hAnsi="Times New Roman" w:cs="Times New Roman"/>
                      <w:color w:val="auto"/>
                      <w:lang w:val="en-US"/>
                    </w:rPr>
                  </w:pPr>
                  <w:r>
                    <w:rPr>
                      <w:rFonts w:hint="default" w:ascii="Times New Roman" w:hAnsi="Times New Roman" w:cs="Times New Roman"/>
                      <w:color w:val="auto"/>
                      <w:lang w:val="en-US" w:eastAsia="zh-CN"/>
                    </w:rPr>
                    <w:t>B型热负荷MW4.464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90" w:type="pct"/>
                  <w:tcBorders>
                    <w:tl2br w:val="nil"/>
                    <w:tr2bl w:val="nil"/>
                  </w:tcBorders>
                  <w:noWrap w:val="0"/>
                  <w:tcMar>
                    <w:top w:w="15" w:type="dxa"/>
                    <w:left w:w="15" w:type="dxa"/>
                    <w:right w:w="15" w:type="dxa"/>
                  </w:tcMar>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lang w:val="en-US" w:eastAsia="zh-CN"/>
                    </w:rPr>
                    <w:t>﹙3﹚</w:t>
                  </w:r>
                </w:p>
              </w:tc>
              <w:tc>
                <w:tcPr>
                  <w:tcW w:w="1762" w:type="pct"/>
                  <w:tcBorders>
                    <w:tl2br w:val="nil"/>
                    <w:tr2bl w:val="nil"/>
                  </w:tcBorders>
                  <w:noWrap w:val="0"/>
                  <w:tcMar>
                    <w:top w:w="15" w:type="dxa"/>
                    <w:left w:w="15" w:type="dxa"/>
                    <w:right w:w="15" w:type="dxa"/>
                  </w:tcMar>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03＃热交换站</w:t>
                  </w:r>
                </w:p>
              </w:tc>
              <w:tc>
                <w:tcPr>
                  <w:tcW w:w="480" w:type="pct"/>
                  <w:tcBorders>
                    <w:tl2br w:val="nil"/>
                    <w:tr2bl w:val="nil"/>
                  </w:tcBorders>
                  <w:noWrap w:val="0"/>
                  <w:tcMar>
                    <w:top w:w="15" w:type="dxa"/>
                    <w:left w:w="15" w:type="dxa"/>
                    <w:right w:w="15" w:type="dxa"/>
                  </w:tcMar>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lang w:val="en-US" w:eastAsia="zh-CN"/>
                    </w:rPr>
                    <w:t>万m</w:t>
                  </w:r>
                  <w:r>
                    <w:rPr>
                      <w:rFonts w:hint="default" w:ascii="Times New Roman" w:hAnsi="Times New Roman" w:cs="Times New Roman"/>
                      <w:color w:val="auto"/>
                      <w:vertAlign w:val="superscript"/>
                      <w:lang w:val="en-US" w:eastAsia="zh-CN"/>
                    </w:rPr>
                    <w:t>2</w:t>
                  </w:r>
                </w:p>
              </w:tc>
              <w:tc>
                <w:tcPr>
                  <w:tcW w:w="914" w:type="pct"/>
                  <w:tcBorders>
                    <w:tl2br w:val="nil"/>
                    <w:tr2bl w:val="nil"/>
                  </w:tcBorders>
                  <w:noWrap w:val="0"/>
                  <w:tcMar>
                    <w:top w:w="15" w:type="dxa"/>
                    <w:left w:w="15" w:type="dxa"/>
                    <w:right w:w="15" w:type="dxa"/>
                  </w:tcMar>
                  <w:vAlign w:val="center"/>
                </w:tcPr>
                <w:p>
                  <w:pPr>
                    <w:pStyle w:val="4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9</w:t>
                  </w:r>
                </w:p>
              </w:tc>
              <w:tc>
                <w:tcPr>
                  <w:tcW w:w="1251" w:type="pct"/>
                  <w:tcBorders>
                    <w:tl2br w:val="nil"/>
                    <w:tr2bl w:val="nil"/>
                  </w:tcBorders>
                  <w:noWrap w:val="0"/>
                  <w:tcMar>
                    <w:top w:w="15" w:type="dxa"/>
                    <w:left w:w="15" w:type="dxa"/>
                    <w:right w:w="15" w:type="dxa"/>
                  </w:tcMar>
                  <w:vAlign w:val="center"/>
                </w:tcPr>
                <w:p>
                  <w:pPr>
                    <w:bidi w:val="0"/>
                    <w:jc w:val="center"/>
                    <w:rPr>
                      <w:rFonts w:hint="default" w:ascii="Times New Roman" w:hAnsi="Times New Roman" w:cs="Times New Roman"/>
                      <w:color w:val="auto"/>
                      <w:lang w:val="en-US"/>
                    </w:rPr>
                  </w:pPr>
                  <w:r>
                    <w:rPr>
                      <w:rFonts w:hint="default" w:ascii="Times New Roman" w:hAnsi="Times New Roman" w:cs="Times New Roman"/>
                      <w:color w:val="auto"/>
                      <w:lang w:val="en-US" w:eastAsia="zh-CN"/>
                    </w:rPr>
                    <w:t>B型热负荷MW4.464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90" w:type="pct"/>
                  <w:tcBorders>
                    <w:tl2br w:val="nil"/>
                    <w:tr2bl w:val="nil"/>
                  </w:tcBorders>
                  <w:noWrap w:val="0"/>
                  <w:tcMar>
                    <w:top w:w="15" w:type="dxa"/>
                    <w:left w:w="15" w:type="dxa"/>
                    <w:right w:w="15" w:type="dxa"/>
                  </w:tcMar>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lang w:val="en-US" w:eastAsia="zh-CN"/>
                    </w:rPr>
                    <w:t>﹙4﹚</w:t>
                  </w:r>
                </w:p>
              </w:tc>
              <w:tc>
                <w:tcPr>
                  <w:tcW w:w="1762" w:type="pct"/>
                  <w:tcBorders>
                    <w:tl2br w:val="nil"/>
                    <w:tr2bl w:val="nil"/>
                  </w:tcBorders>
                  <w:noWrap w:val="0"/>
                  <w:tcMar>
                    <w:top w:w="15" w:type="dxa"/>
                    <w:left w:w="15" w:type="dxa"/>
                    <w:right w:w="15" w:type="dxa"/>
                  </w:tcMar>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04＃热交换站</w:t>
                  </w:r>
                </w:p>
              </w:tc>
              <w:tc>
                <w:tcPr>
                  <w:tcW w:w="480" w:type="pct"/>
                  <w:tcBorders>
                    <w:tl2br w:val="nil"/>
                    <w:tr2bl w:val="nil"/>
                  </w:tcBorders>
                  <w:noWrap w:val="0"/>
                  <w:tcMar>
                    <w:top w:w="15" w:type="dxa"/>
                    <w:left w:w="15" w:type="dxa"/>
                    <w:right w:w="15" w:type="dxa"/>
                  </w:tcMar>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lang w:val="en-US" w:eastAsia="zh-CN"/>
                    </w:rPr>
                    <w:t>万m</w:t>
                  </w:r>
                  <w:r>
                    <w:rPr>
                      <w:rFonts w:hint="default" w:ascii="Times New Roman" w:hAnsi="Times New Roman" w:cs="Times New Roman"/>
                      <w:color w:val="auto"/>
                      <w:vertAlign w:val="superscript"/>
                      <w:lang w:val="en-US" w:eastAsia="zh-CN"/>
                    </w:rPr>
                    <w:t>2</w:t>
                  </w:r>
                </w:p>
              </w:tc>
              <w:tc>
                <w:tcPr>
                  <w:tcW w:w="914" w:type="pct"/>
                  <w:tcBorders>
                    <w:tl2br w:val="nil"/>
                    <w:tr2bl w:val="nil"/>
                  </w:tcBorders>
                  <w:noWrap w:val="0"/>
                  <w:tcMar>
                    <w:top w:w="15" w:type="dxa"/>
                    <w:left w:w="15" w:type="dxa"/>
                    <w:right w:w="15" w:type="dxa"/>
                  </w:tcMar>
                  <w:vAlign w:val="center"/>
                </w:tcPr>
                <w:p>
                  <w:pPr>
                    <w:pStyle w:val="4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18</w:t>
                  </w:r>
                </w:p>
              </w:tc>
              <w:tc>
                <w:tcPr>
                  <w:tcW w:w="1251" w:type="pct"/>
                  <w:tcBorders>
                    <w:tl2br w:val="nil"/>
                    <w:tr2bl w:val="nil"/>
                  </w:tcBorders>
                  <w:noWrap w:val="0"/>
                  <w:tcMar>
                    <w:top w:w="15" w:type="dxa"/>
                    <w:left w:w="15" w:type="dxa"/>
                    <w:right w:w="15" w:type="dxa"/>
                  </w:tcMar>
                  <w:vAlign w:val="center"/>
                </w:tcPr>
                <w:p>
                  <w:pPr>
                    <w:bidi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A型热负荷MW8.928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90" w:type="pct"/>
                  <w:tcBorders>
                    <w:tl2br w:val="nil"/>
                    <w:tr2bl w:val="nil"/>
                  </w:tcBorders>
                  <w:noWrap w:val="0"/>
                  <w:tcMar>
                    <w:top w:w="15" w:type="dxa"/>
                    <w:left w:w="15" w:type="dxa"/>
                    <w:right w:w="15" w:type="dxa"/>
                  </w:tcMar>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lang w:val="en-US" w:eastAsia="zh-CN"/>
                    </w:rPr>
                    <w:t>﹙5﹚</w:t>
                  </w:r>
                </w:p>
              </w:tc>
              <w:tc>
                <w:tcPr>
                  <w:tcW w:w="1762" w:type="pct"/>
                  <w:tcBorders>
                    <w:tl2br w:val="nil"/>
                    <w:tr2bl w:val="nil"/>
                  </w:tcBorders>
                  <w:noWrap w:val="0"/>
                  <w:tcMar>
                    <w:top w:w="15" w:type="dxa"/>
                    <w:left w:w="15" w:type="dxa"/>
                    <w:right w:w="15" w:type="dxa"/>
                  </w:tcMar>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05＃热交换站</w:t>
                  </w:r>
                </w:p>
              </w:tc>
              <w:tc>
                <w:tcPr>
                  <w:tcW w:w="480" w:type="pct"/>
                  <w:tcBorders>
                    <w:tl2br w:val="nil"/>
                    <w:tr2bl w:val="nil"/>
                  </w:tcBorders>
                  <w:noWrap w:val="0"/>
                  <w:tcMar>
                    <w:top w:w="15" w:type="dxa"/>
                    <w:left w:w="15" w:type="dxa"/>
                    <w:right w:w="15" w:type="dxa"/>
                  </w:tcMar>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lang w:val="en-US" w:eastAsia="zh-CN"/>
                    </w:rPr>
                    <w:t>万m</w:t>
                  </w:r>
                  <w:r>
                    <w:rPr>
                      <w:rFonts w:hint="default" w:ascii="Times New Roman" w:hAnsi="Times New Roman" w:cs="Times New Roman"/>
                      <w:color w:val="auto"/>
                      <w:vertAlign w:val="superscript"/>
                      <w:lang w:val="en-US" w:eastAsia="zh-CN"/>
                    </w:rPr>
                    <w:t>2</w:t>
                  </w:r>
                </w:p>
              </w:tc>
              <w:tc>
                <w:tcPr>
                  <w:tcW w:w="914" w:type="pct"/>
                  <w:tcBorders>
                    <w:tl2br w:val="nil"/>
                    <w:tr2bl w:val="nil"/>
                  </w:tcBorders>
                  <w:noWrap w:val="0"/>
                  <w:tcMar>
                    <w:top w:w="15" w:type="dxa"/>
                    <w:left w:w="15" w:type="dxa"/>
                    <w:right w:w="15" w:type="dxa"/>
                  </w:tcMar>
                  <w:vAlign w:val="center"/>
                </w:tcPr>
                <w:p>
                  <w:pPr>
                    <w:pStyle w:val="4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18</w:t>
                  </w:r>
                </w:p>
              </w:tc>
              <w:tc>
                <w:tcPr>
                  <w:tcW w:w="1251" w:type="pct"/>
                  <w:tcBorders>
                    <w:tl2br w:val="nil"/>
                    <w:tr2bl w:val="nil"/>
                  </w:tcBorders>
                  <w:noWrap w:val="0"/>
                  <w:tcMar>
                    <w:top w:w="15" w:type="dxa"/>
                    <w:left w:w="15" w:type="dxa"/>
                    <w:right w:w="15" w:type="dxa"/>
                  </w:tcMar>
                  <w:vAlign w:val="center"/>
                </w:tcPr>
                <w:p>
                  <w:pPr>
                    <w:bidi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A型热负荷MW8.928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353" w:type="pct"/>
                  <w:gridSpan w:val="2"/>
                  <w:tcBorders>
                    <w:tl2br w:val="nil"/>
                    <w:tr2bl w:val="nil"/>
                  </w:tcBorders>
                  <w:noWrap w:val="0"/>
                  <w:tcMar>
                    <w:top w:w="15" w:type="dxa"/>
                    <w:left w:w="15" w:type="dxa"/>
                    <w:right w:w="15" w:type="dxa"/>
                  </w:tcMar>
                  <w:vAlign w:val="center"/>
                </w:tcPr>
                <w:p>
                  <w:pPr>
                    <w:pStyle w:val="44"/>
                    <w:bidi w:val="0"/>
                    <w:rPr>
                      <w:rFonts w:hint="default" w:ascii="Times New Roman" w:hAnsi="Times New Roman" w:cs="Times New Roman"/>
                      <w:color w:val="auto"/>
                      <w:lang w:val="en-US"/>
                    </w:rPr>
                  </w:pPr>
                  <w:r>
                    <w:rPr>
                      <w:rFonts w:hint="default" w:ascii="Times New Roman" w:hAnsi="Times New Roman" w:cs="Times New Roman"/>
                      <w:color w:val="auto"/>
                      <w:lang w:val="en-US" w:eastAsia="zh-CN"/>
                    </w:rPr>
                    <w:t>小计</w:t>
                  </w:r>
                </w:p>
              </w:tc>
              <w:tc>
                <w:tcPr>
                  <w:tcW w:w="480" w:type="pct"/>
                  <w:tcBorders>
                    <w:tl2br w:val="nil"/>
                    <w:tr2bl w:val="nil"/>
                  </w:tcBorders>
                  <w:noWrap w:val="0"/>
                  <w:tcMar>
                    <w:top w:w="15" w:type="dxa"/>
                    <w:left w:w="15" w:type="dxa"/>
                    <w:right w:w="15" w:type="dxa"/>
                  </w:tcMar>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lang w:val="en-US" w:eastAsia="zh-CN"/>
                    </w:rPr>
                    <w:t>万m</w:t>
                  </w:r>
                  <w:r>
                    <w:rPr>
                      <w:rFonts w:hint="default" w:ascii="Times New Roman" w:hAnsi="Times New Roman" w:cs="Times New Roman"/>
                      <w:color w:val="auto"/>
                      <w:vertAlign w:val="superscript"/>
                      <w:lang w:val="en-US" w:eastAsia="zh-CN"/>
                    </w:rPr>
                    <w:t>2</w:t>
                  </w:r>
                </w:p>
              </w:tc>
              <w:tc>
                <w:tcPr>
                  <w:tcW w:w="914" w:type="pct"/>
                  <w:tcBorders>
                    <w:tl2br w:val="nil"/>
                    <w:tr2bl w:val="nil"/>
                  </w:tcBorders>
                  <w:noWrap w:val="0"/>
                  <w:tcMar>
                    <w:top w:w="15" w:type="dxa"/>
                    <w:left w:w="15" w:type="dxa"/>
                    <w:right w:w="15" w:type="dxa"/>
                  </w:tcMar>
                  <w:vAlign w:val="center"/>
                </w:tcPr>
                <w:p>
                  <w:pPr>
                    <w:pStyle w:val="44"/>
                    <w:bidi w:val="0"/>
                    <w:rPr>
                      <w:rFonts w:hint="default" w:ascii="Times New Roman" w:hAnsi="Times New Roman" w:cs="Times New Roman"/>
                      <w:color w:val="auto"/>
                      <w:lang w:val="en-US"/>
                    </w:rPr>
                  </w:pPr>
                  <w:r>
                    <w:rPr>
                      <w:rFonts w:hint="default" w:ascii="Times New Roman" w:hAnsi="Times New Roman" w:cs="Times New Roman"/>
                      <w:color w:val="auto"/>
                      <w:lang w:val="en-US" w:eastAsia="zh-CN"/>
                    </w:rPr>
                    <w:t>55</w:t>
                  </w:r>
                </w:p>
              </w:tc>
              <w:tc>
                <w:tcPr>
                  <w:tcW w:w="1251" w:type="pct"/>
                  <w:tcBorders>
                    <w:tl2br w:val="nil"/>
                    <w:tr2bl w:val="nil"/>
                  </w:tcBorders>
                  <w:noWrap w:val="0"/>
                  <w:tcMar>
                    <w:top w:w="15" w:type="dxa"/>
                    <w:left w:w="15" w:type="dxa"/>
                    <w:right w:w="15" w:type="dxa"/>
                  </w:tcMar>
                  <w:vAlign w:val="center"/>
                </w:tcPr>
                <w:p>
                  <w:pPr>
                    <w:pStyle w:val="44"/>
                    <w:bidi w:val="0"/>
                    <w:rPr>
                      <w:rFonts w:hint="default" w:ascii="Times New Roman" w:hAnsi="Times New Roman" w:cs="Times New Roman"/>
                      <w:color w:val="auto"/>
                    </w:rPr>
                  </w:pPr>
                </w:p>
              </w:tc>
            </w:tr>
          </w:tbl>
          <w:p>
            <w:pPr>
              <w:pStyle w:val="36"/>
              <w:snapToGrid w:val="0"/>
              <w:spacing w:before="156" w:beforeLines="50"/>
              <w:ind w:firstLine="482"/>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2、原辅材料及能源消耗</w:t>
            </w:r>
          </w:p>
          <w:p>
            <w:pPr>
              <w:adjustRightInd w:val="0"/>
              <w:snapToGrid w:val="0"/>
              <w:spacing w:line="360" w:lineRule="auto"/>
              <w:ind w:firstLine="480"/>
              <w:rPr>
                <w:rFonts w:hint="default" w:ascii="Times New Roman" w:hAnsi="Times New Roman" w:cs="Times New Roman"/>
                <w:color w:val="auto"/>
                <w:sz w:val="24"/>
                <w:szCs w:val="32"/>
              </w:rPr>
            </w:pPr>
            <w:r>
              <w:rPr>
                <w:rFonts w:hint="default" w:ascii="Times New Roman" w:hAnsi="Times New Roman" w:cs="Times New Roman"/>
                <w:color w:val="auto"/>
                <w:sz w:val="24"/>
              </w:rPr>
              <w:t>本项目</w:t>
            </w:r>
            <w:r>
              <w:rPr>
                <w:rFonts w:hint="default" w:ascii="Times New Roman" w:hAnsi="Times New Roman" w:cs="Times New Roman"/>
                <w:color w:val="auto"/>
                <w:sz w:val="24"/>
                <w:szCs w:val="32"/>
              </w:rPr>
              <w:t>主要原辅材料如下表所示。</w:t>
            </w:r>
          </w:p>
          <w:p>
            <w:pPr>
              <w:pStyle w:val="36"/>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本项目原辅材料及能源消耗表</w:t>
            </w:r>
          </w:p>
          <w:tbl>
            <w:tblPr>
              <w:tblStyle w:val="21"/>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18"/>
              <w:gridCol w:w="1623"/>
              <w:gridCol w:w="1174"/>
              <w:gridCol w:w="1561"/>
              <w:gridCol w:w="323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6" w:type="pct"/>
                  <w:noWrap w:val="0"/>
                  <w:vAlign w:val="center"/>
                </w:tcPr>
                <w:p>
                  <w:pPr>
                    <w:pStyle w:val="17"/>
                    <w:spacing w:line="280" w:lineRule="exac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bidi="ar"/>
                    </w:rPr>
                    <w:t>序号</w:t>
                  </w:r>
                </w:p>
              </w:tc>
              <w:tc>
                <w:tcPr>
                  <w:tcW w:w="964" w:type="pct"/>
                  <w:noWrap w:val="0"/>
                  <w:vAlign w:val="center"/>
                </w:tcPr>
                <w:p>
                  <w:pPr>
                    <w:pStyle w:val="17"/>
                    <w:spacing w:line="280" w:lineRule="exac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bidi="ar"/>
                    </w:rPr>
                    <w:t>名称</w:t>
                  </w:r>
                </w:p>
              </w:tc>
              <w:tc>
                <w:tcPr>
                  <w:tcW w:w="697" w:type="pct"/>
                  <w:noWrap w:val="0"/>
                  <w:vAlign w:val="center"/>
                </w:tcPr>
                <w:p>
                  <w:pPr>
                    <w:pStyle w:val="17"/>
                    <w:spacing w:line="280" w:lineRule="exac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bidi="ar"/>
                    </w:rPr>
                    <w:t>单位</w:t>
                  </w:r>
                </w:p>
              </w:tc>
              <w:tc>
                <w:tcPr>
                  <w:tcW w:w="927" w:type="pct"/>
                  <w:noWrap w:val="0"/>
                  <w:vAlign w:val="center"/>
                </w:tcPr>
                <w:p>
                  <w:pPr>
                    <w:pStyle w:val="17"/>
                    <w:spacing w:line="280" w:lineRule="exac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bidi="ar"/>
                    </w:rPr>
                    <w:t>数量</w:t>
                  </w:r>
                </w:p>
              </w:tc>
              <w:tc>
                <w:tcPr>
                  <w:tcW w:w="1923" w:type="pct"/>
                  <w:noWrap w:val="0"/>
                  <w:vAlign w:val="center"/>
                </w:tcPr>
                <w:p>
                  <w:pPr>
                    <w:pStyle w:val="17"/>
                    <w:spacing w:line="280" w:lineRule="exac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bidi="ar"/>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6" w:type="pct"/>
                  <w:shd w:val="clear" w:color="auto" w:fill="auto"/>
                  <w:noWrap w:val="0"/>
                  <w:vAlign w:val="center"/>
                </w:tcPr>
                <w:p>
                  <w:pPr>
                    <w:pStyle w:val="17"/>
                    <w:spacing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1</w:t>
                  </w:r>
                </w:p>
              </w:tc>
              <w:tc>
                <w:tcPr>
                  <w:tcW w:w="964" w:type="pct"/>
                  <w:shd w:val="clear" w:color="auto" w:fill="auto"/>
                  <w:noWrap w:val="0"/>
                  <w:vAlign w:val="center"/>
                </w:tcPr>
                <w:p>
                  <w:pPr>
                    <w:pStyle w:val="17"/>
                    <w:spacing w:line="28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燃料煤</w:t>
                  </w:r>
                </w:p>
              </w:tc>
              <w:tc>
                <w:tcPr>
                  <w:tcW w:w="697" w:type="pct"/>
                  <w:shd w:val="clear" w:color="auto" w:fill="auto"/>
                  <w:noWrap w:val="0"/>
                  <w:vAlign w:val="center"/>
                </w:tcPr>
                <w:p>
                  <w:pPr>
                    <w:pStyle w:val="17"/>
                    <w:spacing w:line="28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吨</w:t>
                  </w:r>
                </w:p>
              </w:tc>
              <w:tc>
                <w:tcPr>
                  <w:tcW w:w="927" w:type="pct"/>
                  <w:shd w:val="clear" w:color="auto" w:fill="auto"/>
                  <w:noWrap w:val="0"/>
                  <w:vAlign w:val="center"/>
                </w:tcPr>
                <w:p>
                  <w:pPr>
                    <w:pStyle w:val="17"/>
                    <w:spacing w:line="28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10550</w:t>
                  </w:r>
                </w:p>
              </w:tc>
              <w:tc>
                <w:tcPr>
                  <w:tcW w:w="1923" w:type="pct"/>
                  <w:shd w:val="clear" w:color="auto" w:fill="auto"/>
                  <w:noWrap w:val="0"/>
                  <w:vAlign w:val="center"/>
                </w:tcPr>
                <w:p>
                  <w:pPr>
                    <w:pStyle w:val="17"/>
                    <w:spacing w:line="28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汽车运进，煤库存储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6" w:type="pct"/>
                  <w:shd w:val="clear" w:color="auto" w:fill="auto"/>
                  <w:noWrap w:val="0"/>
                  <w:vAlign w:val="center"/>
                </w:tcPr>
                <w:p>
                  <w:pPr>
                    <w:pStyle w:val="17"/>
                    <w:spacing w:line="280" w:lineRule="exact"/>
                    <w:jc w:val="center"/>
                    <w:rPr>
                      <w:rFonts w:hint="default" w:ascii="Times New Roman" w:hAnsi="Times New Roman" w:eastAsia="宋体" w:cs="Times New Roman"/>
                      <w:color w:val="auto"/>
                      <w:sz w:val="21"/>
                      <w:szCs w:val="21"/>
                      <w:lang w:val="en-US" w:eastAsia="zh-CN" w:bidi="ar"/>
                    </w:rPr>
                  </w:pPr>
                  <w:r>
                    <w:rPr>
                      <w:rFonts w:hint="default" w:ascii="Times New Roman" w:hAnsi="Times New Roman" w:cs="Times New Roman"/>
                      <w:color w:val="auto"/>
                      <w:sz w:val="21"/>
                      <w:szCs w:val="21"/>
                      <w:lang w:val="en-US" w:eastAsia="zh-CN" w:bidi="ar"/>
                    </w:rPr>
                    <w:t>2</w:t>
                  </w:r>
                </w:p>
              </w:tc>
              <w:tc>
                <w:tcPr>
                  <w:tcW w:w="964" w:type="pct"/>
                  <w:shd w:val="clear" w:color="auto" w:fill="auto"/>
                  <w:noWrap w:val="0"/>
                  <w:vAlign w:val="center"/>
                </w:tcPr>
                <w:p>
                  <w:pPr>
                    <w:pStyle w:val="17"/>
                    <w:spacing w:line="28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尿素</w:t>
                  </w:r>
                </w:p>
              </w:tc>
              <w:tc>
                <w:tcPr>
                  <w:tcW w:w="697" w:type="pct"/>
                  <w:shd w:val="clear" w:color="auto" w:fill="auto"/>
                  <w:noWrap w:val="0"/>
                  <w:vAlign w:val="center"/>
                </w:tcPr>
                <w:p>
                  <w:pPr>
                    <w:pStyle w:val="17"/>
                    <w:spacing w:line="28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吨</w:t>
                  </w:r>
                </w:p>
              </w:tc>
              <w:tc>
                <w:tcPr>
                  <w:tcW w:w="927" w:type="pct"/>
                  <w:shd w:val="clear" w:color="auto" w:fill="auto"/>
                  <w:noWrap w:val="0"/>
                  <w:vAlign w:val="center"/>
                </w:tcPr>
                <w:p>
                  <w:pPr>
                    <w:pStyle w:val="17"/>
                    <w:spacing w:line="28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145</w:t>
                  </w:r>
                </w:p>
              </w:tc>
              <w:tc>
                <w:tcPr>
                  <w:tcW w:w="1923" w:type="pct"/>
                  <w:shd w:val="clear" w:color="auto" w:fill="auto"/>
                  <w:noWrap w:val="0"/>
                  <w:vAlign w:val="center"/>
                </w:tcPr>
                <w:p>
                  <w:pPr>
                    <w:pStyle w:val="17"/>
                    <w:spacing w:line="280" w:lineRule="exact"/>
                    <w:jc w:val="center"/>
                    <w:rPr>
                      <w:rFonts w:hint="default" w:ascii="Times New Roman" w:hAnsi="Times New Roman" w:cs="Times New Roman"/>
                      <w:b w:val="0"/>
                      <w:bCs/>
                      <w:color w:val="auto"/>
                      <w:kern w:val="44"/>
                      <w:sz w:val="21"/>
                      <w:szCs w:val="21"/>
                      <w:vertAlign w:val="baseline"/>
                      <w:lang w:val="en-US" w:eastAsia="zh-CN"/>
                    </w:rPr>
                  </w:pPr>
                  <w:r>
                    <w:rPr>
                      <w:rFonts w:hint="default" w:ascii="Times New Roman" w:hAnsi="Times New Roman" w:cs="Times New Roman"/>
                      <w:b w:val="0"/>
                      <w:bCs/>
                      <w:color w:val="auto"/>
                      <w:sz w:val="21"/>
                      <w:szCs w:val="21"/>
                      <w:highlight w:val="none"/>
                      <w:lang w:val="en-US" w:eastAsia="zh-CN"/>
                    </w:rPr>
                    <w:t>脱硫脱销用房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6" w:type="pct"/>
                  <w:shd w:val="clear" w:color="auto" w:fill="auto"/>
                  <w:noWrap w:val="0"/>
                  <w:vAlign w:val="center"/>
                </w:tcPr>
                <w:p>
                  <w:pPr>
                    <w:pStyle w:val="17"/>
                    <w:spacing w:line="28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964" w:type="pct"/>
                  <w:shd w:val="clear" w:color="auto" w:fill="auto"/>
                  <w:noWrap w:val="0"/>
                  <w:vAlign w:val="center"/>
                </w:tcPr>
                <w:p>
                  <w:pPr>
                    <w:pStyle w:val="17"/>
                    <w:spacing w:line="28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MgO</w:t>
                  </w:r>
                </w:p>
              </w:tc>
              <w:tc>
                <w:tcPr>
                  <w:tcW w:w="697" w:type="pct"/>
                  <w:shd w:val="clear" w:color="auto" w:fill="auto"/>
                  <w:noWrap w:val="0"/>
                  <w:vAlign w:val="center"/>
                </w:tcPr>
                <w:p>
                  <w:pPr>
                    <w:pStyle w:val="17"/>
                    <w:spacing w:line="28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吨</w:t>
                  </w:r>
                </w:p>
              </w:tc>
              <w:tc>
                <w:tcPr>
                  <w:tcW w:w="927" w:type="pct"/>
                  <w:shd w:val="clear" w:color="auto" w:fill="auto"/>
                  <w:noWrap w:val="0"/>
                  <w:vAlign w:val="center"/>
                </w:tcPr>
                <w:p>
                  <w:pPr>
                    <w:pStyle w:val="17"/>
                    <w:spacing w:line="28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110</w:t>
                  </w:r>
                </w:p>
              </w:tc>
              <w:tc>
                <w:tcPr>
                  <w:tcW w:w="1923" w:type="pct"/>
                  <w:shd w:val="clear" w:color="auto" w:fill="auto"/>
                  <w:noWrap w:val="0"/>
                  <w:vAlign w:val="center"/>
                </w:tcPr>
                <w:p>
                  <w:pPr>
                    <w:pStyle w:val="17"/>
                    <w:spacing w:line="280" w:lineRule="exact"/>
                    <w:jc w:val="center"/>
                    <w:rPr>
                      <w:rFonts w:hint="default" w:ascii="Times New Roman" w:hAnsi="Times New Roman" w:cs="Times New Roman"/>
                      <w:b w:val="0"/>
                      <w:bCs/>
                      <w:color w:val="auto"/>
                      <w:kern w:val="44"/>
                      <w:sz w:val="21"/>
                      <w:szCs w:val="21"/>
                      <w:vertAlign w:val="baseline"/>
                      <w:lang w:val="en-US" w:eastAsia="zh-CN"/>
                    </w:rPr>
                  </w:pPr>
                  <w:r>
                    <w:rPr>
                      <w:rFonts w:hint="default" w:ascii="Times New Roman" w:hAnsi="Times New Roman" w:cs="Times New Roman"/>
                      <w:b w:val="0"/>
                      <w:bCs/>
                      <w:color w:val="auto"/>
                      <w:sz w:val="21"/>
                      <w:szCs w:val="21"/>
                      <w:highlight w:val="none"/>
                      <w:lang w:val="en-US" w:eastAsia="zh-CN"/>
                    </w:rPr>
                    <w:t>脱硫脱销用房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6" w:type="pct"/>
                  <w:shd w:val="clear" w:color="auto" w:fill="auto"/>
                  <w:noWrap w:val="0"/>
                  <w:vAlign w:val="center"/>
                </w:tcPr>
                <w:p>
                  <w:pPr>
                    <w:pStyle w:val="17"/>
                    <w:spacing w:line="280" w:lineRule="exact"/>
                    <w:jc w:val="center"/>
                    <w:rPr>
                      <w:rFonts w:hint="default" w:ascii="Times New Roman" w:hAnsi="Times New Roman" w:cs="Times New Roman"/>
                      <w:color w:val="auto"/>
                      <w:sz w:val="21"/>
                      <w:szCs w:val="21"/>
                      <w:lang w:val="en-US" w:eastAsia="zh-CN" w:bidi="ar"/>
                    </w:rPr>
                  </w:pPr>
                  <w:r>
                    <w:rPr>
                      <w:rFonts w:hint="default" w:ascii="Times New Roman" w:hAnsi="Times New Roman" w:cs="Times New Roman"/>
                      <w:color w:val="auto"/>
                      <w:sz w:val="21"/>
                      <w:szCs w:val="21"/>
                      <w:lang w:val="en-US" w:eastAsia="zh-CN" w:bidi="ar"/>
                    </w:rPr>
                    <w:t>4</w:t>
                  </w:r>
                </w:p>
              </w:tc>
              <w:tc>
                <w:tcPr>
                  <w:tcW w:w="964" w:type="pct"/>
                  <w:shd w:val="clear" w:color="auto" w:fill="auto"/>
                  <w:noWrap w:val="0"/>
                  <w:vAlign w:val="center"/>
                </w:tcPr>
                <w:p>
                  <w:pPr>
                    <w:pStyle w:val="17"/>
                    <w:spacing w:line="28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催化剂</w:t>
                  </w:r>
                </w:p>
              </w:tc>
              <w:tc>
                <w:tcPr>
                  <w:tcW w:w="697" w:type="pct"/>
                  <w:shd w:val="clear" w:color="auto" w:fill="auto"/>
                  <w:noWrap w:val="0"/>
                  <w:vAlign w:val="center"/>
                </w:tcPr>
                <w:p>
                  <w:pPr>
                    <w:pStyle w:val="17"/>
                    <w:spacing w:line="28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吨</w:t>
                  </w:r>
                </w:p>
              </w:tc>
              <w:tc>
                <w:tcPr>
                  <w:tcW w:w="927" w:type="pct"/>
                  <w:shd w:val="clear" w:color="auto" w:fill="auto"/>
                  <w:noWrap w:val="0"/>
                  <w:vAlign w:val="center"/>
                </w:tcPr>
                <w:p>
                  <w:pPr>
                    <w:pStyle w:val="17"/>
                    <w:spacing w:line="28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1923" w:type="pct"/>
                  <w:shd w:val="clear" w:color="auto" w:fill="auto"/>
                  <w:noWrap w:val="0"/>
                  <w:vAlign w:val="center"/>
                </w:tcPr>
                <w:p>
                  <w:pPr>
                    <w:pStyle w:val="17"/>
                    <w:spacing w:line="280" w:lineRule="exact"/>
                    <w:jc w:val="center"/>
                    <w:rPr>
                      <w:rFonts w:hint="default" w:ascii="Times New Roman" w:hAnsi="Times New Roman" w:cs="Times New Roman"/>
                      <w:b w:val="0"/>
                      <w:bCs/>
                      <w:color w:val="auto"/>
                      <w:kern w:val="44"/>
                      <w:sz w:val="21"/>
                      <w:szCs w:val="21"/>
                      <w:vertAlign w:val="baseli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6" w:type="pct"/>
                  <w:shd w:val="clear" w:color="auto" w:fill="auto"/>
                  <w:noWrap w:val="0"/>
                  <w:vAlign w:val="center"/>
                </w:tcPr>
                <w:p>
                  <w:pPr>
                    <w:pStyle w:val="17"/>
                    <w:spacing w:line="280" w:lineRule="exact"/>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bidi="ar"/>
                    </w:rPr>
                    <w:t>5</w:t>
                  </w:r>
                </w:p>
              </w:tc>
              <w:tc>
                <w:tcPr>
                  <w:tcW w:w="964" w:type="pct"/>
                  <w:shd w:val="clear" w:color="auto" w:fill="auto"/>
                  <w:noWrap w:val="0"/>
                  <w:vAlign w:val="center"/>
                </w:tcPr>
                <w:p>
                  <w:pPr>
                    <w:pStyle w:val="17"/>
                    <w:spacing w:line="28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新鲜水</w:t>
                  </w:r>
                </w:p>
              </w:tc>
              <w:tc>
                <w:tcPr>
                  <w:tcW w:w="697" w:type="pct"/>
                  <w:shd w:val="clear" w:color="auto" w:fill="auto"/>
                  <w:noWrap w:val="0"/>
                  <w:vAlign w:val="center"/>
                </w:tcPr>
                <w:p>
                  <w:pPr>
                    <w:pStyle w:val="17"/>
                    <w:spacing w:line="28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t</w:t>
                  </w:r>
                  <w:r>
                    <w:rPr>
                      <w:rFonts w:hint="default" w:ascii="Times New Roman" w:hAnsi="Times New Roman" w:cs="Times New Roman"/>
                      <w:color w:val="auto"/>
                      <w:sz w:val="21"/>
                      <w:szCs w:val="21"/>
                      <w:highlight w:val="none"/>
                    </w:rPr>
                    <w:t>/a</w:t>
                  </w:r>
                </w:p>
              </w:tc>
              <w:tc>
                <w:tcPr>
                  <w:tcW w:w="927" w:type="pct"/>
                  <w:shd w:val="clear" w:color="auto" w:fill="auto"/>
                  <w:noWrap w:val="0"/>
                  <w:vAlign w:val="center"/>
                </w:tcPr>
                <w:p>
                  <w:pPr>
                    <w:pStyle w:val="17"/>
                    <w:spacing w:line="28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29575.65</w:t>
                  </w:r>
                </w:p>
              </w:tc>
              <w:tc>
                <w:tcPr>
                  <w:tcW w:w="1923" w:type="pct"/>
                  <w:noWrap w:val="0"/>
                  <w:vAlign w:val="center"/>
                </w:tcPr>
                <w:p>
                  <w:pPr>
                    <w:pStyle w:val="17"/>
                    <w:spacing w:line="28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 w:val="0"/>
                      <w:bCs/>
                      <w:color w:val="auto"/>
                      <w:kern w:val="44"/>
                      <w:sz w:val="21"/>
                      <w:szCs w:val="21"/>
                      <w:highlight w:val="none"/>
                      <w:vertAlign w:val="baseline"/>
                      <w:lang w:val="en-US" w:eastAsia="zh-CN"/>
                    </w:rPr>
                    <w:t>市政供水管网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6" w:type="pct"/>
                  <w:shd w:val="clear" w:color="auto" w:fill="auto"/>
                  <w:noWrap w:val="0"/>
                  <w:vAlign w:val="center"/>
                </w:tcPr>
                <w:p>
                  <w:pPr>
                    <w:pStyle w:val="17"/>
                    <w:spacing w:line="280" w:lineRule="exact"/>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bidi="ar"/>
                    </w:rPr>
                    <w:t>6</w:t>
                  </w:r>
                </w:p>
              </w:tc>
              <w:tc>
                <w:tcPr>
                  <w:tcW w:w="964" w:type="pct"/>
                  <w:shd w:val="clear" w:color="auto" w:fill="auto"/>
                  <w:noWrap w:val="0"/>
                  <w:vAlign w:val="center"/>
                </w:tcPr>
                <w:p>
                  <w:pPr>
                    <w:pStyle w:val="17"/>
                    <w:spacing w:line="28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bidi="ar"/>
                    </w:rPr>
                    <w:t>电</w:t>
                  </w:r>
                </w:p>
              </w:tc>
              <w:tc>
                <w:tcPr>
                  <w:tcW w:w="697" w:type="pct"/>
                  <w:shd w:val="clear" w:color="auto" w:fill="auto"/>
                  <w:noWrap w:val="0"/>
                  <w:vAlign w:val="center"/>
                </w:tcPr>
                <w:p>
                  <w:pPr>
                    <w:pStyle w:val="17"/>
                    <w:spacing w:line="28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bidi="ar"/>
                    </w:rPr>
                    <w:t>kW·h/a</w:t>
                  </w:r>
                </w:p>
              </w:tc>
              <w:tc>
                <w:tcPr>
                  <w:tcW w:w="927" w:type="pct"/>
                  <w:shd w:val="clear" w:color="auto" w:fill="auto"/>
                  <w:noWrap w:val="0"/>
                  <w:vAlign w:val="center"/>
                </w:tcPr>
                <w:p>
                  <w:pPr>
                    <w:pStyle w:val="17"/>
                    <w:spacing w:line="28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103.45万</w:t>
                  </w:r>
                </w:p>
              </w:tc>
              <w:tc>
                <w:tcPr>
                  <w:tcW w:w="1923" w:type="pct"/>
                  <w:noWrap w:val="0"/>
                  <w:vAlign w:val="center"/>
                </w:tcPr>
                <w:p>
                  <w:pPr>
                    <w:pStyle w:val="17"/>
                    <w:spacing w:line="28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 w:val="0"/>
                      <w:bCs/>
                      <w:color w:val="auto"/>
                      <w:kern w:val="44"/>
                      <w:sz w:val="21"/>
                      <w:szCs w:val="21"/>
                      <w:highlight w:val="none"/>
                      <w:vertAlign w:val="baseline"/>
                      <w:lang w:val="en-US" w:eastAsia="zh-CN"/>
                    </w:rPr>
                    <w:t>/</w:t>
                  </w:r>
                </w:p>
              </w:tc>
            </w:tr>
          </w:tbl>
          <w:p>
            <w:pPr>
              <w:adjustRightInd w:val="0"/>
              <w:snapToGrid w:val="0"/>
              <w:spacing w:line="360" w:lineRule="auto"/>
              <w:ind w:firstLine="480"/>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val="en-US" w:eastAsia="zh-CN"/>
              </w:rPr>
              <w:t>项目燃料选用煤种为Ⅱ类烟煤。用汽车运送至热源厂。煤质成分见表2-4。</w:t>
            </w:r>
          </w:p>
          <w:p>
            <w:pPr>
              <w:pStyle w:val="36"/>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煤质成分表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5"/>
              <w:gridCol w:w="2206"/>
              <w:gridCol w:w="1698"/>
              <w:gridCol w:w="1356"/>
              <w:gridCol w:w="1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7" w:hRule="atLeast"/>
                <w:jc w:val="center"/>
              </w:trPr>
              <w:tc>
                <w:tcPr>
                  <w:tcW w:w="810" w:type="pct"/>
                  <w:tcBorders>
                    <w:tl2br w:val="single" w:color="auto" w:sz="6" w:space="0"/>
                  </w:tcBorders>
                  <w:vAlign w:val="center"/>
                </w:tcPr>
                <w:p>
                  <w:pPr>
                    <w:pStyle w:val="57"/>
                    <w:bidi w:val="0"/>
                    <w:rPr>
                      <w:rFonts w:hint="default" w:ascii="Times New Roman" w:hAnsi="Times New Roman" w:cs="Times New Roman"/>
                      <w:color w:val="auto"/>
                    </w:rPr>
                  </w:pPr>
                  <w:r>
                    <w:rPr>
                      <w:rFonts w:hint="default" w:ascii="Times New Roman" w:hAnsi="Times New Roman" w:cs="Times New Roman"/>
                      <w:color w:val="auto"/>
                    </w:rPr>
                    <w:t xml:space="preserve">    </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指标</w:t>
                  </w:r>
                </w:p>
                <w:p>
                  <w:pPr>
                    <w:pStyle w:val="57"/>
                    <w:bidi w:val="0"/>
                    <w:jc w:val="both"/>
                    <w:rPr>
                      <w:rFonts w:hint="default" w:ascii="Times New Roman" w:hAnsi="Times New Roman" w:cs="Times New Roman"/>
                      <w:color w:val="auto"/>
                    </w:rPr>
                  </w:pPr>
                  <w:r>
                    <w:rPr>
                      <w:rFonts w:hint="default" w:ascii="Times New Roman" w:hAnsi="Times New Roman" w:cs="Times New Roman"/>
                      <w:color w:val="auto"/>
                    </w:rPr>
                    <w:t>序号</w:t>
                  </w:r>
                </w:p>
              </w:tc>
              <w:tc>
                <w:tcPr>
                  <w:tcW w:w="1309" w:type="pct"/>
                  <w:vAlign w:val="center"/>
                </w:tcPr>
                <w:p>
                  <w:pPr>
                    <w:pStyle w:val="57"/>
                    <w:bidi w:val="0"/>
                    <w:rPr>
                      <w:rFonts w:hint="default" w:ascii="Times New Roman" w:hAnsi="Times New Roman" w:cs="Times New Roman"/>
                      <w:color w:val="auto"/>
                    </w:rPr>
                  </w:pPr>
                  <w:r>
                    <w:rPr>
                      <w:rFonts w:hint="default" w:ascii="Times New Roman" w:hAnsi="Times New Roman" w:cs="Times New Roman"/>
                      <w:color w:val="auto"/>
                    </w:rPr>
                    <w:t>名  称</w:t>
                  </w:r>
                </w:p>
              </w:tc>
              <w:tc>
                <w:tcPr>
                  <w:tcW w:w="1008" w:type="pct"/>
                  <w:vAlign w:val="center"/>
                </w:tcPr>
                <w:p>
                  <w:pPr>
                    <w:pStyle w:val="57"/>
                    <w:bidi w:val="0"/>
                    <w:rPr>
                      <w:rFonts w:hint="default" w:ascii="Times New Roman" w:hAnsi="Times New Roman" w:cs="Times New Roman"/>
                      <w:color w:val="auto"/>
                    </w:rPr>
                  </w:pPr>
                  <w:r>
                    <w:rPr>
                      <w:rFonts w:hint="default" w:ascii="Times New Roman" w:hAnsi="Times New Roman" w:cs="Times New Roman"/>
                      <w:color w:val="auto"/>
                    </w:rPr>
                    <w:t>符  号</w:t>
                  </w:r>
                </w:p>
              </w:tc>
              <w:tc>
                <w:tcPr>
                  <w:tcW w:w="805" w:type="pct"/>
                  <w:vAlign w:val="center"/>
                </w:tcPr>
                <w:p>
                  <w:pPr>
                    <w:pStyle w:val="57"/>
                    <w:bidi w:val="0"/>
                    <w:rPr>
                      <w:rFonts w:hint="default" w:ascii="Times New Roman" w:hAnsi="Times New Roman" w:cs="Times New Roman"/>
                      <w:color w:val="auto"/>
                    </w:rPr>
                  </w:pPr>
                  <w:r>
                    <w:rPr>
                      <w:rFonts w:hint="default" w:ascii="Times New Roman" w:hAnsi="Times New Roman" w:cs="Times New Roman"/>
                      <w:color w:val="auto"/>
                    </w:rPr>
                    <w:t>单 位</w:t>
                  </w:r>
                </w:p>
              </w:tc>
              <w:tc>
                <w:tcPr>
                  <w:tcW w:w="1065" w:type="pct"/>
                  <w:vAlign w:val="center"/>
                </w:tcPr>
                <w:p>
                  <w:pPr>
                    <w:pStyle w:val="57"/>
                    <w:bidi w:val="0"/>
                    <w:rPr>
                      <w:rFonts w:hint="default" w:ascii="Times New Roman" w:hAnsi="Times New Roman" w:cs="Times New Roman"/>
                      <w:color w:val="auto"/>
                    </w:rPr>
                  </w:pPr>
                  <w:r>
                    <w:rPr>
                      <w:rFonts w:hint="default" w:ascii="Times New Roman" w:hAnsi="Times New Roman" w:cs="Times New Roman"/>
                      <w:color w:val="auto"/>
                    </w:rPr>
                    <w:t>含量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10"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1</w:t>
                  </w:r>
                </w:p>
              </w:tc>
              <w:tc>
                <w:tcPr>
                  <w:tcW w:w="1309"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收到基低位发热量</w:t>
                  </w:r>
                </w:p>
              </w:tc>
              <w:tc>
                <w:tcPr>
                  <w:tcW w:w="1008"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Qnet.v.ar</w:t>
                  </w:r>
                </w:p>
              </w:tc>
              <w:tc>
                <w:tcPr>
                  <w:tcW w:w="805"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lang w:val="en-US" w:eastAsia="zh-CN"/>
                    </w:rPr>
                    <w:t>kcal/kg</w:t>
                  </w:r>
                </w:p>
              </w:tc>
              <w:tc>
                <w:tcPr>
                  <w:tcW w:w="1065" w:type="pct"/>
                  <w:vAlign w:val="center"/>
                </w:tcPr>
                <w:p>
                  <w:pPr>
                    <w:pStyle w:val="4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10"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2</w:t>
                  </w:r>
                </w:p>
              </w:tc>
              <w:tc>
                <w:tcPr>
                  <w:tcW w:w="1309"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收到基</w:t>
                  </w:r>
                  <w:r>
                    <w:rPr>
                      <w:rFonts w:hint="default" w:ascii="Times New Roman" w:hAnsi="Times New Roman" w:cs="Times New Roman"/>
                      <w:color w:val="auto"/>
                      <w:lang w:val="en-US" w:eastAsia="zh-CN"/>
                    </w:rPr>
                    <w:t>全</w:t>
                  </w:r>
                  <w:r>
                    <w:rPr>
                      <w:rFonts w:hint="default" w:ascii="Times New Roman" w:hAnsi="Times New Roman" w:cs="Times New Roman"/>
                      <w:color w:val="auto"/>
                    </w:rPr>
                    <w:t>水分</w:t>
                  </w:r>
                </w:p>
              </w:tc>
              <w:tc>
                <w:tcPr>
                  <w:tcW w:w="1008" w:type="pct"/>
                  <w:vAlign w:val="center"/>
                </w:tcPr>
                <w:p>
                  <w:pPr>
                    <w:pStyle w:val="4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rPr>
                    <w:t>M</w:t>
                  </w:r>
                  <w:r>
                    <w:rPr>
                      <w:rFonts w:hint="default" w:ascii="Times New Roman" w:hAnsi="Times New Roman" w:cs="Times New Roman"/>
                      <w:color w:val="auto"/>
                      <w:lang w:val="en-US" w:eastAsia="zh-CN"/>
                    </w:rPr>
                    <w:t>t</w:t>
                  </w:r>
                </w:p>
              </w:tc>
              <w:tc>
                <w:tcPr>
                  <w:tcW w:w="805"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w:t>
                  </w:r>
                </w:p>
              </w:tc>
              <w:tc>
                <w:tcPr>
                  <w:tcW w:w="1065" w:type="pct"/>
                  <w:vAlign w:val="center"/>
                </w:tcPr>
                <w:p>
                  <w:pPr>
                    <w:pStyle w:val="4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10"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3</w:t>
                  </w:r>
                </w:p>
              </w:tc>
              <w:tc>
                <w:tcPr>
                  <w:tcW w:w="1309"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收到基灰份</w:t>
                  </w:r>
                </w:p>
              </w:tc>
              <w:tc>
                <w:tcPr>
                  <w:tcW w:w="1008"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Aar</w:t>
                  </w:r>
                </w:p>
              </w:tc>
              <w:tc>
                <w:tcPr>
                  <w:tcW w:w="805"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w:t>
                  </w:r>
                </w:p>
              </w:tc>
              <w:tc>
                <w:tcPr>
                  <w:tcW w:w="1065" w:type="pct"/>
                  <w:vAlign w:val="center"/>
                </w:tcPr>
                <w:p>
                  <w:pPr>
                    <w:pStyle w:val="4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10"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4</w:t>
                  </w:r>
                </w:p>
              </w:tc>
              <w:tc>
                <w:tcPr>
                  <w:tcW w:w="1309"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收到基挥发份</w:t>
                  </w:r>
                </w:p>
              </w:tc>
              <w:tc>
                <w:tcPr>
                  <w:tcW w:w="1008" w:type="pct"/>
                  <w:vAlign w:val="center"/>
                </w:tcPr>
                <w:p>
                  <w:pPr>
                    <w:pStyle w:val="4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rPr>
                    <w:t>V</w:t>
                  </w:r>
                  <w:r>
                    <w:rPr>
                      <w:rFonts w:hint="default" w:ascii="Times New Roman" w:hAnsi="Times New Roman" w:cs="Times New Roman"/>
                      <w:color w:val="auto"/>
                      <w:lang w:val="en-US" w:eastAsia="zh-CN"/>
                    </w:rPr>
                    <w:t>ar</w:t>
                  </w:r>
                </w:p>
              </w:tc>
              <w:tc>
                <w:tcPr>
                  <w:tcW w:w="805"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w:t>
                  </w:r>
                </w:p>
              </w:tc>
              <w:tc>
                <w:tcPr>
                  <w:tcW w:w="1065" w:type="pct"/>
                  <w:vAlign w:val="center"/>
                </w:tcPr>
                <w:p>
                  <w:pPr>
                    <w:pStyle w:val="4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10"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5</w:t>
                  </w:r>
                </w:p>
              </w:tc>
              <w:tc>
                <w:tcPr>
                  <w:tcW w:w="1309"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收到基碳</w:t>
                  </w:r>
                </w:p>
              </w:tc>
              <w:tc>
                <w:tcPr>
                  <w:tcW w:w="1008" w:type="pct"/>
                  <w:vAlign w:val="center"/>
                </w:tcPr>
                <w:p>
                  <w:pPr>
                    <w:pStyle w:val="4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F</w:t>
                  </w:r>
                  <w:r>
                    <w:rPr>
                      <w:rFonts w:hint="default" w:ascii="Times New Roman" w:hAnsi="Times New Roman" w:cs="Times New Roman"/>
                      <w:color w:val="auto"/>
                    </w:rPr>
                    <w:t>C</w:t>
                  </w:r>
                  <w:r>
                    <w:rPr>
                      <w:rFonts w:hint="default" w:ascii="Times New Roman" w:hAnsi="Times New Roman" w:cs="Times New Roman"/>
                      <w:color w:val="auto"/>
                      <w:lang w:val="en-US" w:eastAsia="zh-CN"/>
                    </w:rPr>
                    <w:t>ar</w:t>
                  </w:r>
                </w:p>
              </w:tc>
              <w:tc>
                <w:tcPr>
                  <w:tcW w:w="805"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w:t>
                  </w:r>
                </w:p>
              </w:tc>
              <w:tc>
                <w:tcPr>
                  <w:tcW w:w="1065" w:type="pct"/>
                  <w:vAlign w:val="center"/>
                </w:tcPr>
                <w:p>
                  <w:pPr>
                    <w:pStyle w:val="4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10"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6</w:t>
                  </w:r>
                </w:p>
              </w:tc>
              <w:tc>
                <w:tcPr>
                  <w:tcW w:w="1309"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收到基硫</w:t>
                  </w:r>
                </w:p>
              </w:tc>
              <w:tc>
                <w:tcPr>
                  <w:tcW w:w="1008" w:type="pct"/>
                  <w:vAlign w:val="center"/>
                </w:tcPr>
                <w:p>
                  <w:pPr>
                    <w:pStyle w:val="44"/>
                    <w:bidi w:val="0"/>
                    <w:rPr>
                      <w:rFonts w:hint="default" w:ascii="Times New Roman" w:hAnsi="Times New Roman" w:eastAsia="宋体" w:cs="Times New Roman"/>
                      <w:color w:val="auto"/>
                      <w:lang w:eastAsia="zh-CN"/>
                    </w:rPr>
                  </w:pPr>
                  <w:r>
                    <w:rPr>
                      <w:rFonts w:hint="default" w:ascii="Times New Roman" w:hAnsi="Times New Roman" w:cs="Times New Roman"/>
                      <w:color w:val="auto"/>
                    </w:rPr>
                    <w:t>S</w:t>
                  </w:r>
                  <w:r>
                    <w:rPr>
                      <w:rFonts w:hint="default" w:ascii="Times New Roman" w:hAnsi="Times New Roman" w:cs="Times New Roman"/>
                      <w:color w:val="auto"/>
                      <w:lang w:val="en-US" w:eastAsia="zh-CN"/>
                    </w:rPr>
                    <w:t>t</w:t>
                  </w:r>
                </w:p>
              </w:tc>
              <w:tc>
                <w:tcPr>
                  <w:tcW w:w="805"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w:t>
                  </w:r>
                </w:p>
              </w:tc>
              <w:tc>
                <w:tcPr>
                  <w:tcW w:w="1065" w:type="pct"/>
                  <w:vAlign w:val="center"/>
                </w:tcPr>
                <w:p>
                  <w:pPr>
                    <w:pStyle w:val="4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10"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7</w:t>
                  </w:r>
                </w:p>
              </w:tc>
              <w:tc>
                <w:tcPr>
                  <w:tcW w:w="1309"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收到基氢</w:t>
                  </w:r>
                </w:p>
              </w:tc>
              <w:tc>
                <w:tcPr>
                  <w:tcW w:w="1008"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lang w:val="en-US" w:eastAsia="zh-CN"/>
                    </w:rPr>
                    <w:t>H</w:t>
                  </w:r>
                  <w:r>
                    <w:rPr>
                      <w:rFonts w:hint="default" w:ascii="Times New Roman" w:hAnsi="Times New Roman" w:cs="Times New Roman"/>
                      <w:color w:val="auto"/>
                    </w:rPr>
                    <w:t>ar</w:t>
                  </w:r>
                </w:p>
              </w:tc>
              <w:tc>
                <w:tcPr>
                  <w:tcW w:w="805"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w:t>
                  </w:r>
                </w:p>
              </w:tc>
              <w:tc>
                <w:tcPr>
                  <w:tcW w:w="1065" w:type="pct"/>
                  <w:vAlign w:val="center"/>
                </w:tcPr>
                <w:p>
                  <w:pPr>
                    <w:pStyle w:val="4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rPr>
                    <w:t>3.</w:t>
                  </w:r>
                  <w:r>
                    <w:rPr>
                      <w:rFonts w:hint="default" w:ascii="Times New Roman" w:hAnsi="Times New Roman" w:cs="Times New Roman"/>
                      <w:color w:val="auto"/>
                      <w:lang w:val="en-US" w:eastAsia="zh-CN"/>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10"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8</w:t>
                  </w:r>
                </w:p>
              </w:tc>
              <w:tc>
                <w:tcPr>
                  <w:tcW w:w="1309"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煤中汞</w:t>
                  </w:r>
                </w:p>
              </w:tc>
              <w:tc>
                <w:tcPr>
                  <w:tcW w:w="1008"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Hg</w:t>
                  </w:r>
                </w:p>
              </w:tc>
              <w:tc>
                <w:tcPr>
                  <w:tcW w:w="805"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µg/g</w:t>
                  </w:r>
                </w:p>
              </w:tc>
              <w:tc>
                <w:tcPr>
                  <w:tcW w:w="1065"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0.02</w:t>
                  </w:r>
                </w:p>
              </w:tc>
            </w:tr>
          </w:tbl>
          <w:p>
            <w:pPr>
              <w:adjustRightInd w:val="0"/>
              <w:snapToGrid w:val="0"/>
              <w:spacing w:before="156" w:beforeLines="50"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3、生产设备</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本项目主要设备见下表。</w:t>
            </w:r>
          </w:p>
          <w:p>
            <w:pPr>
              <w:pStyle w:val="36"/>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主要设备一览表</w:t>
            </w:r>
          </w:p>
          <w:tbl>
            <w:tblPr>
              <w:tblStyle w:val="21"/>
              <w:tblW w:w="9066" w:type="dxa"/>
              <w:jc w:val="center"/>
              <w:tblLayout w:type="autofit"/>
              <w:tblCellMar>
                <w:top w:w="0" w:type="dxa"/>
                <w:left w:w="0" w:type="dxa"/>
                <w:bottom w:w="0" w:type="dxa"/>
                <w:right w:w="0" w:type="dxa"/>
              </w:tblCellMar>
            </w:tblPr>
            <w:tblGrid>
              <w:gridCol w:w="2294"/>
              <w:gridCol w:w="4531"/>
              <w:gridCol w:w="422"/>
              <w:gridCol w:w="1186"/>
            </w:tblGrid>
            <w:tr>
              <w:tblPrEx>
                <w:tblCellMar>
                  <w:top w:w="0" w:type="dxa"/>
                  <w:left w:w="0" w:type="dxa"/>
                  <w:bottom w:w="0" w:type="dxa"/>
                  <w:right w:w="0" w:type="dxa"/>
                </w:tblCellMar>
              </w:tblPrEx>
              <w:trPr>
                <w:trHeight w:val="270" w:hRule="atLeast"/>
                <w:jc w:val="center"/>
              </w:trPr>
              <w:tc>
                <w:tcPr>
                  <w:tcW w:w="152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00" w:lineRule="exact"/>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设备名称</w:t>
                  </w:r>
                </w:p>
              </w:tc>
              <w:tc>
                <w:tcPr>
                  <w:tcW w:w="22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00" w:lineRule="exact"/>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型号及规格</w:t>
                  </w:r>
                </w:p>
              </w:tc>
              <w:tc>
                <w:tcPr>
                  <w:tcW w:w="33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00" w:lineRule="exact"/>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个数</w:t>
                  </w:r>
                </w:p>
              </w:tc>
              <w:tc>
                <w:tcPr>
                  <w:tcW w:w="9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00" w:lineRule="exact"/>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备注</w:t>
                  </w:r>
                </w:p>
              </w:tc>
            </w:tr>
            <w:tr>
              <w:tblPrEx>
                <w:tblCellMar>
                  <w:top w:w="0" w:type="dxa"/>
                  <w:left w:w="0" w:type="dxa"/>
                  <w:bottom w:w="0" w:type="dxa"/>
                  <w:right w:w="0" w:type="dxa"/>
                </w:tblCellMar>
              </w:tblPrEx>
              <w:trPr>
                <w:trHeight w:val="270" w:hRule="atLeast"/>
                <w:jc w:val="center"/>
              </w:trPr>
              <w:tc>
                <w:tcPr>
                  <w:tcW w:w="152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热水锅炉</w:t>
                  </w:r>
                </w:p>
              </w:tc>
              <w:tc>
                <w:tcPr>
                  <w:tcW w:w="22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29WM链条炉</w:t>
                  </w:r>
                </w:p>
              </w:tc>
              <w:tc>
                <w:tcPr>
                  <w:tcW w:w="33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0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9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40t/h</w:t>
                  </w:r>
                </w:p>
              </w:tc>
            </w:tr>
            <w:tr>
              <w:tblPrEx>
                <w:tblCellMar>
                  <w:top w:w="0" w:type="dxa"/>
                  <w:left w:w="0" w:type="dxa"/>
                  <w:bottom w:w="0" w:type="dxa"/>
                  <w:right w:w="0" w:type="dxa"/>
                </w:tblCellMar>
              </w:tblPrEx>
              <w:trPr>
                <w:trHeight w:val="270" w:hRule="atLeast"/>
                <w:jc w:val="center"/>
              </w:trPr>
              <w:tc>
                <w:tcPr>
                  <w:tcW w:w="5000" w:type="pct"/>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bCs/>
                      <w:color w:val="auto"/>
                      <w:sz w:val="21"/>
                      <w:szCs w:val="21"/>
                      <w:lang w:val="en-US" w:eastAsia="zh-CN"/>
                    </w:rPr>
                    <w:t>A型交换站</w:t>
                  </w:r>
                </w:p>
              </w:tc>
            </w:tr>
            <w:tr>
              <w:tblPrEx>
                <w:tblCellMar>
                  <w:top w:w="0" w:type="dxa"/>
                  <w:left w:w="0" w:type="dxa"/>
                  <w:bottom w:w="0" w:type="dxa"/>
                  <w:right w:w="0" w:type="dxa"/>
                </w:tblCellMar>
              </w:tblPrEx>
              <w:trPr>
                <w:trHeight w:val="270" w:hRule="atLeast"/>
                <w:jc w:val="center"/>
              </w:trPr>
              <w:tc>
                <w:tcPr>
                  <w:tcW w:w="152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00" w:lineRule="exact"/>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设备名称</w:t>
                  </w:r>
                </w:p>
              </w:tc>
              <w:tc>
                <w:tcPr>
                  <w:tcW w:w="22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00" w:lineRule="exact"/>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型号及规格</w:t>
                  </w:r>
                </w:p>
              </w:tc>
              <w:tc>
                <w:tcPr>
                  <w:tcW w:w="33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00" w:lineRule="exact"/>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个数</w:t>
                  </w:r>
                </w:p>
              </w:tc>
              <w:tc>
                <w:tcPr>
                  <w:tcW w:w="9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00" w:lineRule="exact"/>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备注</w:t>
                  </w:r>
                </w:p>
              </w:tc>
            </w:tr>
            <w:tr>
              <w:tblPrEx>
                <w:tblCellMar>
                  <w:top w:w="0" w:type="dxa"/>
                  <w:left w:w="0" w:type="dxa"/>
                  <w:bottom w:w="0" w:type="dxa"/>
                  <w:right w:w="0" w:type="dxa"/>
                </w:tblCellMar>
              </w:tblPrEx>
              <w:trPr>
                <w:trHeight w:val="270" w:hRule="atLeast"/>
                <w:jc w:val="center"/>
              </w:trPr>
              <w:tc>
                <w:tcPr>
                  <w:tcW w:w="152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板式换热器</w:t>
                  </w:r>
                </w:p>
              </w:tc>
              <w:tc>
                <w:tcPr>
                  <w:tcW w:w="22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FBR05-50型 F=50m</w:t>
                  </w:r>
                  <w:r>
                    <w:rPr>
                      <w:rFonts w:hint="default" w:ascii="Times New Roman" w:hAnsi="Times New Roman" w:cs="Times New Roman"/>
                      <w:color w:val="auto"/>
                      <w:sz w:val="21"/>
                      <w:szCs w:val="21"/>
                      <w:vertAlign w:val="superscript"/>
                    </w:rPr>
                    <w:t>2</w:t>
                  </w:r>
                </w:p>
              </w:tc>
              <w:tc>
                <w:tcPr>
                  <w:tcW w:w="33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rPr>
                    <w:t>4</w:t>
                  </w:r>
                </w:p>
              </w:tc>
              <w:tc>
                <w:tcPr>
                  <w:tcW w:w="9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00" w:lineRule="exact"/>
                    <w:jc w:val="center"/>
                    <w:rPr>
                      <w:rFonts w:hint="default" w:ascii="Times New Roman" w:hAnsi="Times New Roman" w:cs="Times New Roman"/>
                      <w:color w:val="auto"/>
                      <w:sz w:val="21"/>
                      <w:szCs w:val="21"/>
                      <w:lang w:val="en-US" w:eastAsia="zh-CN"/>
                    </w:rPr>
                  </w:pPr>
                </w:p>
              </w:tc>
            </w:tr>
            <w:tr>
              <w:tblPrEx>
                <w:tblCellMar>
                  <w:top w:w="0" w:type="dxa"/>
                  <w:left w:w="0" w:type="dxa"/>
                  <w:bottom w:w="0" w:type="dxa"/>
                  <w:right w:w="0" w:type="dxa"/>
                </w:tblCellMar>
              </w:tblPrEx>
              <w:trPr>
                <w:trHeight w:val="270" w:hRule="atLeast"/>
                <w:jc w:val="center"/>
              </w:trPr>
              <w:tc>
                <w:tcPr>
                  <w:tcW w:w="152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一次水二级泵</w:t>
                  </w:r>
                </w:p>
              </w:tc>
              <w:tc>
                <w:tcPr>
                  <w:tcW w:w="22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Q=200~300m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/h，H=30-70 mH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O，N=30-90kW</w:t>
                  </w:r>
                </w:p>
              </w:tc>
              <w:tc>
                <w:tcPr>
                  <w:tcW w:w="33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2</w:t>
                  </w:r>
                </w:p>
              </w:tc>
              <w:tc>
                <w:tcPr>
                  <w:tcW w:w="9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配变频装置</w:t>
                  </w:r>
                </w:p>
              </w:tc>
            </w:tr>
            <w:tr>
              <w:tblPrEx>
                <w:tblCellMar>
                  <w:top w:w="0" w:type="dxa"/>
                  <w:left w:w="0" w:type="dxa"/>
                  <w:bottom w:w="0" w:type="dxa"/>
                  <w:right w:w="0" w:type="dxa"/>
                </w:tblCellMar>
              </w:tblPrEx>
              <w:trPr>
                <w:trHeight w:val="270" w:hRule="atLeast"/>
                <w:jc w:val="center"/>
              </w:trPr>
              <w:tc>
                <w:tcPr>
                  <w:tcW w:w="152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循环水泵</w:t>
                  </w:r>
                </w:p>
              </w:tc>
              <w:tc>
                <w:tcPr>
                  <w:tcW w:w="22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Q=200～300m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/h，H=32～28 mH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O，N=37kW</w:t>
                  </w:r>
                </w:p>
              </w:tc>
              <w:tc>
                <w:tcPr>
                  <w:tcW w:w="33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4</w:t>
                  </w:r>
                </w:p>
              </w:tc>
              <w:tc>
                <w:tcPr>
                  <w:tcW w:w="9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配变频装置</w:t>
                  </w:r>
                </w:p>
              </w:tc>
            </w:tr>
            <w:tr>
              <w:tblPrEx>
                <w:tblCellMar>
                  <w:top w:w="0" w:type="dxa"/>
                  <w:left w:w="0" w:type="dxa"/>
                  <w:bottom w:w="0" w:type="dxa"/>
                  <w:right w:w="0" w:type="dxa"/>
                </w:tblCellMar>
              </w:tblPrEx>
              <w:trPr>
                <w:trHeight w:val="270" w:hRule="atLeast"/>
                <w:jc w:val="center"/>
              </w:trPr>
              <w:tc>
                <w:tcPr>
                  <w:tcW w:w="152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补水泵</w:t>
                  </w:r>
                </w:p>
              </w:tc>
              <w:tc>
                <w:tcPr>
                  <w:tcW w:w="22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Q=6.2m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/h，H=69m，N=4kW</w:t>
                  </w:r>
                </w:p>
              </w:tc>
              <w:tc>
                <w:tcPr>
                  <w:tcW w:w="33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4</w:t>
                  </w:r>
                </w:p>
              </w:tc>
              <w:tc>
                <w:tcPr>
                  <w:tcW w:w="9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00" w:lineRule="exact"/>
                    <w:jc w:val="center"/>
                    <w:rPr>
                      <w:rFonts w:hint="default" w:ascii="Times New Roman" w:hAnsi="Times New Roman" w:cs="Times New Roman"/>
                      <w:color w:val="auto"/>
                      <w:sz w:val="21"/>
                      <w:szCs w:val="21"/>
                      <w:lang w:val="en-US" w:eastAsia="zh-CN"/>
                    </w:rPr>
                  </w:pPr>
                </w:p>
              </w:tc>
            </w:tr>
            <w:tr>
              <w:tblPrEx>
                <w:tblCellMar>
                  <w:top w:w="0" w:type="dxa"/>
                  <w:left w:w="0" w:type="dxa"/>
                  <w:bottom w:w="0" w:type="dxa"/>
                  <w:right w:w="0" w:type="dxa"/>
                </w:tblCellMar>
              </w:tblPrEx>
              <w:trPr>
                <w:trHeight w:val="270" w:hRule="atLeast"/>
                <w:jc w:val="center"/>
              </w:trPr>
              <w:tc>
                <w:tcPr>
                  <w:tcW w:w="152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软化水箱</w:t>
                  </w:r>
                </w:p>
              </w:tc>
              <w:tc>
                <w:tcPr>
                  <w:tcW w:w="22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10m</w:t>
                  </w:r>
                  <w:r>
                    <w:rPr>
                      <w:rFonts w:hint="default" w:ascii="Times New Roman" w:hAnsi="Times New Roman" w:cs="Times New Roman"/>
                      <w:color w:val="auto"/>
                      <w:sz w:val="21"/>
                      <w:szCs w:val="21"/>
                      <w:vertAlign w:val="superscript"/>
                    </w:rPr>
                    <w:t>3</w:t>
                  </w:r>
                </w:p>
              </w:tc>
              <w:tc>
                <w:tcPr>
                  <w:tcW w:w="33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1</w:t>
                  </w:r>
                </w:p>
              </w:tc>
              <w:tc>
                <w:tcPr>
                  <w:tcW w:w="9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00" w:lineRule="exact"/>
                    <w:jc w:val="center"/>
                    <w:rPr>
                      <w:rFonts w:hint="default" w:ascii="Times New Roman" w:hAnsi="Times New Roman" w:cs="Times New Roman"/>
                      <w:color w:val="auto"/>
                      <w:sz w:val="21"/>
                      <w:szCs w:val="21"/>
                      <w:lang w:val="en-US" w:eastAsia="zh-CN"/>
                    </w:rPr>
                  </w:pPr>
                </w:p>
              </w:tc>
            </w:tr>
            <w:tr>
              <w:tblPrEx>
                <w:tblCellMar>
                  <w:top w:w="0" w:type="dxa"/>
                  <w:left w:w="0" w:type="dxa"/>
                  <w:bottom w:w="0" w:type="dxa"/>
                  <w:right w:w="0" w:type="dxa"/>
                </w:tblCellMar>
              </w:tblPrEx>
              <w:trPr>
                <w:trHeight w:val="270" w:hRule="atLeast"/>
                <w:jc w:val="center"/>
              </w:trPr>
              <w:tc>
                <w:tcPr>
                  <w:tcW w:w="152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软化水装置</w:t>
                  </w:r>
                </w:p>
              </w:tc>
              <w:tc>
                <w:tcPr>
                  <w:tcW w:w="22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产水量：10m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/h</w:t>
                  </w:r>
                </w:p>
              </w:tc>
              <w:tc>
                <w:tcPr>
                  <w:tcW w:w="33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1</w:t>
                  </w:r>
                </w:p>
              </w:tc>
              <w:tc>
                <w:tcPr>
                  <w:tcW w:w="9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00" w:lineRule="exact"/>
                    <w:jc w:val="center"/>
                    <w:rPr>
                      <w:rFonts w:hint="default" w:ascii="Times New Roman" w:hAnsi="Times New Roman" w:cs="Times New Roman"/>
                      <w:color w:val="auto"/>
                      <w:sz w:val="21"/>
                      <w:szCs w:val="21"/>
                      <w:lang w:val="en-US" w:eastAsia="zh-CN"/>
                    </w:rPr>
                  </w:pPr>
                </w:p>
              </w:tc>
            </w:tr>
            <w:tr>
              <w:tblPrEx>
                <w:tblCellMar>
                  <w:top w:w="0" w:type="dxa"/>
                  <w:left w:w="0" w:type="dxa"/>
                  <w:bottom w:w="0" w:type="dxa"/>
                  <w:right w:w="0" w:type="dxa"/>
                </w:tblCellMar>
              </w:tblPrEx>
              <w:trPr>
                <w:trHeight w:val="270" w:hRule="atLeast"/>
                <w:jc w:val="center"/>
              </w:trPr>
              <w:tc>
                <w:tcPr>
                  <w:tcW w:w="5000" w:type="pct"/>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bCs/>
                      <w:color w:val="auto"/>
                      <w:sz w:val="21"/>
                      <w:szCs w:val="21"/>
                      <w:lang w:val="en-US" w:eastAsia="zh-CN"/>
                    </w:rPr>
                    <w:t>B型交换站</w:t>
                  </w:r>
                </w:p>
              </w:tc>
            </w:tr>
            <w:tr>
              <w:tblPrEx>
                <w:tblCellMar>
                  <w:top w:w="0" w:type="dxa"/>
                  <w:left w:w="0" w:type="dxa"/>
                  <w:bottom w:w="0" w:type="dxa"/>
                  <w:right w:w="0" w:type="dxa"/>
                </w:tblCellMar>
              </w:tblPrEx>
              <w:trPr>
                <w:trHeight w:val="270" w:hRule="atLeast"/>
                <w:jc w:val="center"/>
              </w:trPr>
              <w:tc>
                <w:tcPr>
                  <w:tcW w:w="24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板式换热器</w:t>
                  </w:r>
                </w:p>
              </w:tc>
              <w:tc>
                <w:tcPr>
                  <w:tcW w:w="4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FBR05-50型 F=50m</w:t>
                  </w:r>
                  <w:r>
                    <w:rPr>
                      <w:rFonts w:hint="default" w:ascii="Times New Roman" w:hAnsi="Times New Roman" w:cs="Times New Roman"/>
                      <w:color w:val="auto"/>
                      <w:sz w:val="21"/>
                      <w:szCs w:val="21"/>
                      <w:vertAlign w:val="superscript"/>
                    </w:rPr>
                    <w:t>2</w:t>
                  </w:r>
                </w:p>
              </w:tc>
              <w:tc>
                <w:tcPr>
                  <w:tcW w:w="4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9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00" w:lineRule="exact"/>
                    <w:jc w:val="center"/>
                    <w:rPr>
                      <w:rFonts w:hint="default" w:ascii="Times New Roman" w:hAnsi="Times New Roman" w:cs="Times New Roman"/>
                      <w:color w:val="auto"/>
                      <w:sz w:val="21"/>
                      <w:szCs w:val="21"/>
                      <w:lang w:val="en-US" w:eastAsia="zh-CN"/>
                    </w:rPr>
                  </w:pPr>
                </w:p>
              </w:tc>
            </w:tr>
            <w:tr>
              <w:tblPrEx>
                <w:tblCellMar>
                  <w:top w:w="0" w:type="dxa"/>
                  <w:left w:w="0" w:type="dxa"/>
                  <w:bottom w:w="0" w:type="dxa"/>
                  <w:right w:w="0" w:type="dxa"/>
                </w:tblCellMar>
              </w:tblPrEx>
              <w:trPr>
                <w:trHeight w:val="270" w:hRule="atLeast"/>
                <w:jc w:val="center"/>
              </w:trPr>
              <w:tc>
                <w:tcPr>
                  <w:tcW w:w="24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一次水二级泵</w:t>
                  </w:r>
                </w:p>
              </w:tc>
              <w:tc>
                <w:tcPr>
                  <w:tcW w:w="4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Q=100-150m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/h，H=30-70 mH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O，N=30-45kW</w:t>
                  </w:r>
                </w:p>
              </w:tc>
              <w:tc>
                <w:tcPr>
                  <w:tcW w:w="4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2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配变频装置</w:t>
                  </w:r>
                </w:p>
              </w:tc>
            </w:tr>
            <w:tr>
              <w:tblPrEx>
                <w:tblCellMar>
                  <w:top w:w="0" w:type="dxa"/>
                  <w:left w:w="0" w:type="dxa"/>
                  <w:bottom w:w="0" w:type="dxa"/>
                  <w:right w:w="0" w:type="dxa"/>
                </w:tblCellMar>
              </w:tblPrEx>
              <w:trPr>
                <w:trHeight w:val="270" w:hRule="atLeast"/>
                <w:jc w:val="center"/>
              </w:trPr>
              <w:tc>
                <w:tcPr>
                  <w:tcW w:w="24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循环水泵</w:t>
                  </w:r>
                </w:p>
              </w:tc>
              <w:tc>
                <w:tcPr>
                  <w:tcW w:w="4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Q=160～200m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/h，H=32～28.5mH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O，N=22kW</w:t>
                  </w:r>
                </w:p>
              </w:tc>
              <w:tc>
                <w:tcPr>
                  <w:tcW w:w="4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2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配变频装置</w:t>
                  </w:r>
                </w:p>
              </w:tc>
            </w:tr>
            <w:tr>
              <w:tblPrEx>
                <w:tblCellMar>
                  <w:top w:w="0" w:type="dxa"/>
                  <w:left w:w="0" w:type="dxa"/>
                  <w:bottom w:w="0" w:type="dxa"/>
                  <w:right w:w="0" w:type="dxa"/>
                </w:tblCellMar>
              </w:tblPrEx>
              <w:trPr>
                <w:trHeight w:val="270" w:hRule="atLeast"/>
                <w:jc w:val="center"/>
              </w:trPr>
              <w:tc>
                <w:tcPr>
                  <w:tcW w:w="24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补水泵</w:t>
                  </w:r>
                </w:p>
              </w:tc>
              <w:tc>
                <w:tcPr>
                  <w:tcW w:w="4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Q=6.2m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/h，H=69m，N=4kW</w:t>
                  </w:r>
                </w:p>
              </w:tc>
              <w:tc>
                <w:tcPr>
                  <w:tcW w:w="4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9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00" w:lineRule="exact"/>
                    <w:jc w:val="center"/>
                    <w:rPr>
                      <w:rFonts w:hint="default" w:ascii="Times New Roman" w:hAnsi="Times New Roman" w:cs="Times New Roman"/>
                      <w:color w:val="auto"/>
                      <w:sz w:val="21"/>
                      <w:szCs w:val="21"/>
                      <w:lang w:val="en-US" w:eastAsia="zh-CN"/>
                    </w:rPr>
                  </w:pPr>
                </w:p>
              </w:tc>
            </w:tr>
            <w:tr>
              <w:tblPrEx>
                <w:tblCellMar>
                  <w:top w:w="0" w:type="dxa"/>
                  <w:left w:w="0" w:type="dxa"/>
                  <w:bottom w:w="0" w:type="dxa"/>
                  <w:right w:w="0" w:type="dxa"/>
                </w:tblCellMar>
              </w:tblPrEx>
              <w:trPr>
                <w:trHeight w:val="270" w:hRule="atLeast"/>
                <w:jc w:val="center"/>
              </w:trPr>
              <w:tc>
                <w:tcPr>
                  <w:tcW w:w="24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软化水箱</w:t>
                  </w:r>
                </w:p>
              </w:tc>
              <w:tc>
                <w:tcPr>
                  <w:tcW w:w="4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6m</w:t>
                  </w:r>
                  <w:r>
                    <w:rPr>
                      <w:rFonts w:hint="default" w:ascii="Times New Roman" w:hAnsi="Times New Roman" w:cs="Times New Roman"/>
                      <w:color w:val="auto"/>
                      <w:sz w:val="21"/>
                      <w:szCs w:val="21"/>
                      <w:vertAlign w:val="superscript"/>
                    </w:rPr>
                    <w:t>3</w:t>
                  </w:r>
                </w:p>
              </w:tc>
              <w:tc>
                <w:tcPr>
                  <w:tcW w:w="4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00" w:lineRule="exact"/>
                    <w:jc w:val="center"/>
                    <w:rPr>
                      <w:rFonts w:hint="default" w:ascii="Times New Roman" w:hAnsi="Times New Roman" w:cs="Times New Roman"/>
                      <w:color w:val="auto"/>
                      <w:sz w:val="21"/>
                      <w:szCs w:val="21"/>
                      <w:lang w:val="en-US" w:eastAsia="zh-CN"/>
                    </w:rPr>
                  </w:pPr>
                </w:p>
              </w:tc>
            </w:tr>
            <w:tr>
              <w:tblPrEx>
                <w:tblCellMar>
                  <w:top w:w="0" w:type="dxa"/>
                  <w:left w:w="0" w:type="dxa"/>
                  <w:bottom w:w="0" w:type="dxa"/>
                  <w:right w:w="0" w:type="dxa"/>
                </w:tblCellMar>
              </w:tblPrEx>
              <w:trPr>
                <w:trHeight w:val="270" w:hRule="atLeast"/>
                <w:jc w:val="center"/>
              </w:trPr>
              <w:tc>
                <w:tcPr>
                  <w:tcW w:w="24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软化水装置</w:t>
                  </w:r>
                </w:p>
              </w:tc>
              <w:tc>
                <w:tcPr>
                  <w:tcW w:w="4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产水量：6m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/h</w:t>
                  </w:r>
                </w:p>
              </w:tc>
              <w:tc>
                <w:tcPr>
                  <w:tcW w:w="4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9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00" w:lineRule="exact"/>
                    <w:jc w:val="center"/>
                    <w:rPr>
                      <w:rFonts w:hint="default" w:ascii="Times New Roman" w:hAnsi="Times New Roman" w:cs="Times New Roman"/>
                      <w:color w:val="auto"/>
                      <w:sz w:val="21"/>
                      <w:szCs w:val="21"/>
                      <w:lang w:val="en-US" w:eastAsia="zh-CN"/>
                    </w:rPr>
                  </w:pPr>
                </w:p>
              </w:tc>
            </w:tr>
          </w:tbl>
          <w:p>
            <w:pPr>
              <w:pStyle w:val="36"/>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锅炉参数一览表</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6"/>
              <w:gridCol w:w="2806"/>
              <w:gridCol w:w="2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序号</w:t>
                  </w:r>
                </w:p>
              </w:tc>
              <w:tc>
                <w:tcPr>
                  <w:tcW w:w="1666" w:type="pct"/>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项目</w:t>
                  </w:r>
                </w:p>
              </w:tc>
              <w:tc>
                <w:tcPr>
                  <w:tcW w:w="1666" w:type="pct"/>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3019"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额定供热量</w:t>
                  </w:r>
                </w:p>
              </w:tc>
              <w:tc>
                <w:tcPr>
                  <w:tcW w:w="3019"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29MW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3019"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额定供水压力</w:t>
                  </w:r>
                </w:p>
              </w:tc>
              <w:tc>
                <w:tcPr>
                  <w:tcW w:w="3019"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1.25MPa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3019"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额定供水温度</w:t>
                  </w:r>
                </w:p>
              </w:tc>
              <w:tc>
                <w:tcPr>
                  <w:tcW w:w="3019"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3019"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额定回水温度</w:t>
                  </w:r>
                </w:p>
              </w:tc>
              <w:tc>
                <w:tcPr>
                  <w:tcW w:w="3019"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6" w:type="pct"/>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3019"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锅炉设计效率</w:t>
                  </w:r>
                </w:p>
              </w:tc>
              <w:tc>
                <w:tcPr>
                  <w:tcW w:w="3019"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83.7％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6" w:type="pct"/>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3019"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排烟温度</w:t>
                  </w:r>
                </w:p>
              </w:tc>
              <w:tc>
                <w:tcPr>
                  <w:tcW w:w="3019"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6" w:type="pct"/>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w:t>
                  </w:r>
                </w:p>
              </w:tc>
              <w:tc>
                <w:tcPr>
                  <w:tcW w:w="3019"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燃烧方式</w:t>
                  </w:r>
                </w:p>
              </w:tc>
              <w:tc>
                <w:tcPr>
                  <w:tcW w:w="3019"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链条炉排</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4、劳动定员及工作制度</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本项目劳动定员56人。运行制度：年运行145天，</w:t>
            </w:r>
            <w:r>
              <w:rPr>
                <w:rFonts w:hint="default" w:ascii="Times New Roman" w:hAnsi="Times New Roman" w:cs="Times New Roman"/>
                <w:color w:val="auto"/>
                <w:sz w:val="24"/>
              </w:rPr>
              <w:t>工作班制为</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班，每天运行</w:t>
            </w:r>
            <w:r>
              <w:rPr>
                <w:rFonts w:hint="default" w:ascii="Times New Roman" w:hAnsi="Times New Roman" w:cs="Times New Roman"/>
                <w:color w:val="auto"/>
                <w:sz w:val="24"/>
                <w:lang w:val="en-US" w:eastAsia="zh-CN"/>
              </w:rPr>
              <w:t>20h。</w:t>
            </w:r>
          </w:p>
          <w:p>
            <w:pPr>
              <w:adjustRightInd w:val="0"/>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5、平面布置</w:t>
            </w:r>
          </w:p>
          <w:p>
            <w:pPr>
              <w:adjustRightInd w:val="0"/>
              <w:snapToGrid w:val="0"/>
              <w:spacing w:line="360" w:lineRule="auto"/>
              <w:ind w:firstLine="480" w:firstLineChars="200"/>
              <w:rPr>
                <w:rFonts w:hint="default" w:ascii="Times New Roman" w:hAnsi="Times New Roman" w:cs="Times New Roman"/>
                <w:bCs/>
                <w:color w:val="auto"/>
                <w:sz w:val="24"/>
                <w:highlight w:val="none"/>
              </w:rPr>
            </w:pPr>
            <w:bookmarkStart w:id="3" w:name="_Hlk93325409"/>
            <w:r>
              <w:rPr>
                <w:rFonts w:hint="default" w:ascii="Times New Roman" w:hAnsi="Times New Roman" w:cs="Times New Roman"/>
                <w:color w:val="auto"/>
                <w:sz w:val="24"/>
                <w:highlight w:val="none"/>
              </w:rPr>
              <w:t>本项目</w:t>
            </w:r>
            <w:bookmarkEnd w:id="3"/>
            <w:r>
              <w:rPr>
                <w:rFonts w:hint="default" w:ascii="Times New Roman" w:hAnsi="Times New Roman" w:cs="Times New Roman"/>
                <w:color w:val="auto"/>
                <w:sz w:val="24"/>
                <w:highlight w:val="none"/>
                <w:lang w:val="en-US" w:eastAsia="zh-CN"/>
              </w:rPr>
              <w:t>锅炉房位于厂区中心，北侧为煤库、渣库、办公用房；西侧为脱硫用房、灰库、引风机房；南侧为消防水泵房。</w:t>
            </w:r>
            <w:r>
              <w:rPr>
                <w:rFonts w:hint="default" w:ascii="Times New Roman" w:hAnsi="Times New Roman" w:cs="Times New Roman"/>
                <w:color w:val="auto"/>
                <w:sz w:val="24"/>
                <w:highlight w:val="none"/>
              </w:rPr>
              <w:t>项目整体平面布置图详见附图</w:t>
            </w:r>
            <w:r>
              <w:rPr>
                <w:rFonts w:hint="default" w:ascii="Times New Roman" w:hAnsi="Times New Roman" w:cs="Times New Roman"/>
                <w:bCs/>
                <w:color w:val="auto"/>
                <w:sz w:val="24"/>
                <w:highlight w:val="none"/>
              </w:rPr>
              <w:t>。</w:t>
            </w:r>
          </w:p>
          <w:p>
            <w:pPr>
              <w:numPr>
                <w:ilvl w:val="0"/>
                <w:numId w:val="5"/>
              </w:numPr>
              <w:spacing w:line="360" w:lineRule="auto"/>
              <w:ind w:firstLine="482" w:firstLineChars="200"/>
              <w:rPr>
                <w:rFonts w:hint="default" w:ascii="Times New Roman" w:hAnsi="Times New Roman" w:cs="Times New Roman"/>
                <w:b/>
                <w:color w:val="auto"/>
                <w:sz w:val="24"/>
                <w:lang w:val="en-US" w:eastAsia="zh-CN"/>
              </w:rPr>
            </w:pPr>
            <w:r>
              <w:rPr>
                <w:rFonts w:hint="default" w:ascii="Times New Roman" w:hAnsi="Times New Roman" w:cs="Times New Roman"/>
                <w:b/>
                <w:color w:val="auto"/>
                <w:sz w:val="24"/>
                <w:lang w:val="en-US" w:eastAsia="zh-CN"/>
              </w:rPr>
              <w:t>工程技术方案</w:t>
            </w:r>
          </w:p>
          <w:p>
            <w:pPr>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（1）热负荷计算</w:t>
            </w:r>
          </w:p>
          <w:p>
            <w:pPr>
              <w:keepNext w:val="0"/>
              <w:keepLines w:val="0"/>
              <w:pageBreakBefore w:val="0"/>
              <w:widowControl w:val="0"/>
              <w:kinsoku/>
              <w:wordWrap/>
              <w:overflowPunct/>
              <w:autoSpaceDE/>
              <w:autoSpaceDN/>
              <w:bidi w:val="0"/>
              <w:adjustRightInd/>
              <w:snapToGri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供热厂负责对围场镇及周边北区小区冬季采暖供热，供热面积55万平方米。</w:t>
            </w:r>
          </w:p>
          <w:p>
            <w:pPr>
              <w:keepNext w:val="0"/>
              <w:keepLines w:val="0"/>
              <w:pageBreakBefore w:val="0"/>
              <w:widowControl w:val="0"/>
              <w:kinsoku/>
              <w:wordWrap/>
              <w:overflowPunct/>
              <w:autoSpaceDE/>
              <w:autoSpaceDN/>
              <w:bidi w:val="0"/>
              <w:adjustRightInd/>
              <w:snapToGri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设计热负荷=55×104×49.6W/m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lang w:val="en-US" w:eastAsia="zh-CN"/>
              </w:rPr>
              <w:t>=27.28MW</w:t>
            </w:r>
          </w:p>
          <w:p>
            <w:pPr>
              <w:keepNext w:val="0"/>
              <w:keepLines w:val="0"/>
              <w:pageBreakBefore w:val="0"/>
              <w:widowControl w:val="0"/>
              <w:kinsoku/>
              <w:wordWrap/>
              <w:overflowPunct/>
              <w:autoSpaceDE/>
              <w:autoSpaceDN/>
              <w:bidi w:val="0"/>
              <w:adjustRightInd/>
              <w:snapToGri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年采暖耗热量=0.0864×27.28×10</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×145×（18-（-4.1））/（18-（-13.3））=24.131×10</w:t>
            </w:r>
            <w:r>
              <w:rPr>
                <w:rFonts w:hint="default" w:ascii="Times New Roman" w:hAnsi="Times New Roman" w:cs="Times New Roman"/>
                <w:color w:val="auto"/>
                <w:sz w:val="24"/>
                <w:szCs w:val="24"/>
                <w:vertAlign w:val="superscript"/>
                <w:lang w:val="en-US" w:eastAsia="zh-CN"/>
              </w:rPr>
              <w:t>4</w:t>
            </w:r>
            <w:r>
              <w:rPr>
                <w:rFonts w:hint="default" w:ascii="Times New Roman" w:hAnsi="Times New Roman" w:cs="Times New Roman"/>
                <w:color w:val="auto"/>
                <w:sz w:val="24"/>
                <w:szCs w:val="24"/>
                <w:lang w:val="en-US" w:eastAsia="zh-CN"/>
              </w:rPr>
              <w:t>GJ</w:t>
            </w:r>
          </w:p>
          <w:p>
            <w:pPr>
              <w:keepNext w:val="0"/>
              <w:keepLines w:val="0"/>
              <w:pageBreakBefore w:val="0"/>
              <w:widowControl w:val="0"/>
              <w:kinsoku/>
              <w:wordWrap/>
              <w:overflowPunct/>
              <w:autoSpaceDE/>
              <w:autoSpaceDN/>
              <w:bidi w:val="0"/>
              <w:adjustRightInd/>
              <w:snapToGri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根据热负荷计算，本次设置一台29MW燃煤热水锅炉。满足近期周边建筑物热辐射需求。</w:t>
            </w:r>
          </w:p>
          <w:p>
            <w:pPr>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（2）采暖年供热量</w:t>
            </w:r>
          </w:p>
          <w:p>
            <w:pPr>
              <w:keepNext w:val="0"/>
              <w:keepLines w:val="0"/>
              <w:pageBreakBefore w:val="0"/>
              <w:widowControl w:val="0"/>
              <w:kinsoku/>
              <w:wordWrap/>
              <w:overflowPunct/>
              <w:autoSpaceDE/>
              <w:autoSpaceDN/>
              <w:bidi w:val="0"/>
              <w:adjustRightInd/>
              <w:snapToGri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供热系统的热负荷为采暖热负荷，采暖期为145天，采暖平均室外温度为-4.1℃，采暖室外计算温度为-13.3℃，采暖室内计算温度为18℃。同时根据围场县气象资料，供热负荷对应采暖期各室外温度的连续小时数所计算的年供热量见下表。</w:t>
            </w:r>
          </w:p>
          <w:p>
            <w:pPr>
              <w:pStyle w:val="2"/>
              <w:rPr>
                <w:rFonts w:hint="default"/>
                <w:lang w:val="en-US" w:eastAsia="zh-CN"/>
              </w:rPr>
            </w:pPr>
          </w:p>
          <w:p>
            <w:pPr>
              <w:bidi w:val="0"/>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pStyle w:val="36"/>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供热负荷全年采暖持续负荷表</w:t>
            </w:r>
          </w:p>
          <w:tbl>
            <w:tblPr>
              <w:tblStyle w:val="21"/>
              <w:tblW w:w="4998" w:type="pct"/>
              <w:tblInd w:w="0" w:type="dxa"/>
              <w:tblLayout w:type="autofit"/>
              <w:tblCellMar>
                <w:top w:w="0" w:type="dxa"/>
                <w:left w:w="108" w:type="dxa"/>
                <w:bottom w:w="0" w:type="dxa"/>
                <w:right w:w="108" w:type="dxa"/>
              </w:tblCellMar>
            </w:tblPr>
            <w:tblGrid>
              <w:gridCol w:w="1140"/>
              <w:gridCol w:w="1563"/>
              <w:gridCol w:w="2262"/>
              <w:gridCol w:w="1521"/>
              <w:gridCol w:w="1944"/>
            </w:tblGrid>
            <w:tr>
              <w:tblPrEx>
                <w:tblCellMar>
                  <w:top w:w="0" w:type="dxa"/>
                  <w:left w:w="108" w:type="dxa"/>
                  <w:bottom w:w="0" w:type="dxa"/>
                  <w:right w:w="108" w:type="dxa"/>
                </w:tblCellMar>
              </w:tblPrEx>
              <w:trPr>
                <w:trHeight w:val="570" w:hRule="atLeast"/>
              </w:trPr>
              <w:tc>
                <w:tcPr>
                  <w:tcW w:w="676" w:type="pct"/>
                  <w:vMerge w:val="restart"/>
                  <w:tcBorders>
                    <w:top w:val="single" w:color="auto" w:sz="8" w:space="0"/>
                    <w:left w:val="single" w:color="auto" w:sz="8"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bCs/>
                      <w:snapToGrid w:val="0"/>
                      <w:color w:val="auto"/>
                      <w:kern w:val="0"/>
                      <w:sz w:val="21"/>
                      <w:szCs w:val="21"/>
                      <w:lang w:val="en-US" w:eastAsia="zh-CN"/>
                    </w:rPr>
                  </w:pPr>
                  <w:r>
                    <w:rPr>
                      <w:rFonts w:hint="default" w:ascii="Times New Roman" w:hAnsi="Times New Roman" w:cs="Times New Roman"/>
                      <w:b/>
                      <w:bCs/>
                      <w:snapToGrid w:val="0"/>
                      <w:color w:val="auto"/>
                      <w:kern w:val="0"/>
                      <w:sz w:val="21"/>
                      <w:szCs w:val="21"/>
                      <w:lang w:val="en-US" w:eastAsia="zh-CN"/>
                    </w:rPr>
                    <w:t>序号</w:t>
                  </w:r>
                </w:p>
              </w:tc>
              <w:tc>
                <w:tcPr>
                  <w:tcW w:w="927" w:type="pct"/>
                  <w:vMerge w:val="restart"/>
                  <w:tcBorders>
                    <w:top w:val="single" w:color="auto" w:sz="8"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bCs/>
                      <w:snapToGrid w:val="0"/>
                      <w:color w:val="auto"/>
                      <w:kern w:val="0"/>
                      <w:sz w:val="21"/>
                      <w:szCs w:val="21"/>
                      <w:lang w:val="en-US" w:eastAsia="zh-CN"/>
                    </w:rPr>
                  </w:pPr>
                  <w:r>
                    <w:rPr>
                      <w:rFonts w:hint="default" w:ascii="Times New Roman" w:hAnsi="Times New Roman" w:cs="Times New Roman"/>
                      <w:b/>
                      <w:bCs/>
                      <w:snapToGrid w:val="0"/>
                      <w:color w:val="auto"/>
                      <w:kern w:val="0"/>
                      <w:sz w:val="21"/>
                      <w:szCs w:val="21"/>
                      <w:lang w:val="en-US" w:eastAsia="zh-CN"/>
                    </w:rPr>
                    <w:t>室外温度Tw（℃）</w:t>
                  </w:r>
                </w:p>
              </w:tc>
              <w:tc>
                <w:tcPr>
                  <w:tcW w:w="1341" w:type="pct"/>
                  <w:vMerge w:val="restart"/>
                  <w:tcBorders>
                    <w:top w:val="single" w:color="auto" w:sz="8"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bCs/>
                      <w:snapToGrid w:val="0"/>
                      <w:color w:val="auto"/>
                      <w:kern w:val="0"/>
                      <w:sz w:val="21"/>
                      <w:szCs w:val="21"/>
                      <w:lang w:val="en-US" w:eastAsia="zh-CN"/>
                    </w:rPr>
                  </w:pPr>
                  <w:r>
                    <w:rPr>
                      <w:rFonts w:hint="default" w:ascii="Times New Roman" w:hAnsi="Times New Roman" w:cs="Times New Roman"/>
                      <w:b/>
                      <w:bCs/>
                      <w:snapToGrid w:val="0"/>
                      <w:color w:val="auto"/>
                      <w:kern w:val="0"/>
                      <w:sz w:val="21"/>
                      <w:szCs w:val="21"/>
                      <w:lang w:val="en-US" w:eastAsia="zh-CN"/>
                    </w:rPr>
                    <w:t>温度在Tw时段的实际时间（小时）</w:t>
                  </w:r>
                </w:p>
              </w:tc>
              <w:tc>
                <w:tcPr>
                  <w:tcW w:w="902" w:type="pct"/>
                  <w:vMerge w:val="restart"/>
                  <w:tcBorders>
                    <w:top w:val="single" w:color="auto" w:sz="8"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bCs/>
                      <w:snapToGrid w:val="0"/>
                      <w:color w:val="auto"/>
                      <w:kern w:val="0"/>
                      <w:sz w:val="21"/>
                      <w:szCs w:val="21"/>
                      <w:lang w:val="en-US" w:eastAsia="zh-CN"/>
                    </w:rPr>
                  </w:pPr>
                  <w:r>
                    <w:rPr>
                      <w:rFonts w:hint="default" w:ascii="Times New Roman" w:hAnsi="Times New Roman" w:cs="Times New Roman"/>
                      <w:b/>
                      <w:bCs/>
                      <w:snapToGrid w:val="0"/>
                      <w:color w:val="auto"/>
                      <w:kern w:val="0"/>
                      <w:sz w:val="21"/>
                      <w:szCs w:val="21"/>
                      <w:lang w:val="en-US" w:eastAsia="zh-CN"/>
                    </w:rPr>
                    <w:t>热负荷</w:t>
                  </w:r>
                  <w:r>
                    <w:rPr>
                      <w:rFonts w:hint="default" w:ascii="Times New Roman" w:hAnsi="Times New Roman" w:cs="Times New Roman"/>
                      <w:b/>
                      <w:bCs/>
                      <w:snapToGrid w:val="0"/>
                      <w:color w:val="auto"/>
                      <w:kern w:val="0"/>
                      <w:sz w:val="21"/>
                      <w:szCs w:val="21"/>
                      <w:lang w:val="en-US" w:eastAsia="zh-CN"/>
                    </w:rPr>
                    <w:br w:type="textWrapping"/>
                  </w:r>
                  <w:r>
                    <w:rPr>
                      <w:rFonts w:hint="default" w:ascii="Times New Roman" w:hAnsi="Times New Roman" w:cs="Times New Roman"/>
                      <w:b/>
                      <w:bCs/>
                      <w:snapToGrid w:val="0"/>
                      <w:color w:val="auto"/>
                      <w:kern w:val="0"/>
                      <w:sz w:val="21"/>
                      <w:szCs w:val="21"/>
                      <w:lang w:val="en-US" w:eastAsia="zh-CN"/>
                    </w:rPr>
                    <w:t>（MW）</w:t>
                  </w:r>
                </w:p>
              </w:tc>
              <w:tc>
                <w:tcPr>
                  <w:tcW w:w="1152" w:type="pct"/>
                  <w:vMerge w:val="restart"/>
                  <w:tcBorders>
                    <w:top w:val="single" w:color="auto" w:sz="8" w:space="0"/>
                    <w:left w:val="single" w:color="auto" w:sz="4" w:space="0"/>
                    <w:bottom w:val="single" w:color="auto" w:sz="4" w:space="0"/>
                    <w:right w:val="single" w:color="auto" w:sz="8" w:space="0"/>
                  </w:tcBorders>
                  <w:noWrap w:val="0"/>
                  <w:vAlign w:val="center"/>
                </w:tcPr>
                <w:p>
                  <w:pPr>
                    <w:spacing w:line="300" w:lineRule="exact"/>
                    <w:ind w:firstLine="0" w:firstLineChars="0"/>
                    <w:jc w:val="center"/>
                    <w:rPr>
                      <w:rFonts w:hint="default" w:ascii="Times New Roman" w:hAnsi="Times New Roman" w:cs="Times New Roman"/>
                      <w:b/>
                      <w:bCs/>
                      <w:snapToGrid w:val="0"/>
                      <w:color w:val="auto"/>
                      <w:kern w:val="0"/>
                      <w:sz w:val="21"/>
                      <w:szCs w:val="21"/>
                      <w:lang w:val="en-US" w:eastAsia="zh-CN"/>
                    </w:rPr>
                  </w:pPr>
                  <w:r>
                    <w:rPr>
                      <w:rFonts w:hint="default" w:ascii="Times New Roman" w:hAnsi="Times New Roman" w:cs="Times New Roman"/>
                      <w:b/>
                      <w:bCs/>
                      <w:snapToGrid w:val="0"/>
                      <w:color w:val="auto"/>
                      <w:kern w:val="0"/>
                      <w:sz w:val="21"/>
                      <w:szCs w:val="21"/>
                      <w:lang w:val="en-US" w:eastAsia="zh-CN"/>
                    </w:rPr>
                    <w:t>在Tw时段的供热量（GJ）</w:t>
                  </w:r>
                </w:p>
              </w:tc>
            </w:tr>
            <w:tr>
              <w:tblPrEx>
                <w:tblCellMar>
                  <w:top w:w="0" w:type="dxa"/>
                  <w:left w:w="108" w:type="dxa"/>
                  <w:bottom w:w="0" w:type="dxa"/>
                  <w:right w:w="108" w:type="dxa"/>
                </w:tblCellMar>
              </w:tblPrEx>
              <w:trPr>
                <w:trHeight w:val="315" w:hRule="atLeast"/>
              </w:trPr>
              <w:tc>
                <w:tcPr>
                  <w:tcW w:w="676" w:type="pct"/>
                  <w:vMerge w:val="continue"/>
                  <w:tcBorders>
                    <w:top w:val="single" w:color="auto" w:sz="8" w:space="0"/>
                    <w:left w:val="single" w:color="auto" w:sz="8"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p>
              </w:tc>
              <w:tc>
                <w:tcPr>
                  <w:tcW w:w="927" w:type="pct"/>
                  <w:vMerge w:val="continue"/>
                  <w:tcBorders>
                    <w:top w:val="single" w:color="auto" w:sz="8"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p>
              </w:tc>
              <w:tc>
                <w:tcPr>
                  <w:tcW w:w="1341" w:type="pct"/>
                  <w:vMerge w:val="continue"/>
                  <w:tcBorders>
                    <w:top w:val="single" w:color="auto" w:sz="8"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p>
              </w:tc>
              <w:tc>
                <w:tcPr>
                  <w:tcW w:w="902" w:type="pct"/>
                  <w:vMerge w:val="continue"/>
                  <w:tcBorders>
                    <w:top w:val="single" w:color="auto" w:sz="8"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p>
              </w:tc>
              <w:tc>
                <w:tcPr>
                  <w:tcW w:w="1152" w:type="pct"/>
                  <w:vMerge w:val="continue"/>
                  <w:tcBorders>
                    <w:top w:val="single" w:color="auto" w:sz="8" w:space="0"/>
                    <w:left w:val="single" w:color="auto" w:sz="4" w:space="0"/>
                    <w:bottom w:val="single" w:color="auto" w:sz="4" w:space="0"/>
                    <w:right w:val="single" w:color="auto" w:sz="8"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p>
              </w:tc>
            </w:tr>
            <w:tr>
              <w:tblPrEx>
                <w:tblCellMar>
                  <w:top w:w="0" w:type="dxa"/>
                  <w:left w:w="108" w:type="dxa"/>
                  <w:bottom w:w="0" w:type="dxa"/>
                  <w:right w:w="108" w:type="dxa"/>
                </w:tblCellMar>
              </w:tblPrEx>
              <w:trPr>
                <w:trHeight w:val="315" w:hRule="atLeast"/>
              </w:trPr>
              <w:tc>
                <w:tcPr>
                  <w:tcW w:w="676" w:type="pct"/>
                  <w:tcBorders>
                    <w:top w:val="nil"/>
                    <w:left w:val="single" w:color="auto" w:sz="8"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1</w:t>
                  </w:r>
                </w:p>
              </w:tc>
              <w:tc>
                <w:tcPr>
                  <w:tcW w:w="927" w:type="pct"/>
                  <w:tcBorders>
                    <w:top w:val="nil"/>
                    <w:left w:val="nil"/>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&gt;5</w:t>
                  </w:r>
                </w:p>
              </w:tc>
              <w:tc>
                <w:tcPr>
                  <w:tcW w:w="1341" w:type="pct"/>
                  <w:tcBorders>
                    <w:top w:val="nil"/>
                    <w:left w:val="nil"/>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p>
              </w:tc>
              <w:tc>
                <w:tcPr>
                  <w:tcW w:w="902" w:type="pct"/>
                  <w:tcBorders>
                    <w:top w:val="nil"/>
                    <w:left w:val="nil"/>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p>
              </w:tc>
              <w:tc>
                <w:tcPr>
                  <w:tcW w:w="1152" w:type="pct"/>
                  <w:tcBorders>
                    <w:top w:val="nil"/>
                    <w:left w:val="nil"/>
                    <w:bottom w:val="single" w:color="auto" w:sz="4" w:space="0"/>
                    <w:right w:val="single" w:color="auto" w:sz="8"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p>
              </w:tc>
            </w:tr>
            <w:tr>
              <w:tblPrEx>
                <w:tblCellMar>
                  <w:top w:w="0" w:type="dxa"/>
                  <w:left w:w="108" w:type="dxa"/>
                  <w:bottom w:w="0" w:type="dxa"/>
                  <w:right w:w="108" w:type="dxa"/>
                </w:tblCellMar>
              </w:tblPrEx>
              <w:trPr>
                <w:trHeight w:val="315" w:hRule="atLeast"/>
              </w:trPr>
              <w:tc>
                <w:tcPr>
                  <w:tcW w:w="676" w:type="pct"/>
                  <w:tcBorders>
                    <w:top w:val="nil"/>
                    <w:left w:val="single" w:color="auto" w:sz="8"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2</w:t>
                  </w:r>
                </w:p>
              </w:tc>
              <w:tc>
                <w:tcPr>
                  <w:tcW w:w="927" w:type="pct"/>
                  <w:tcBorders>
                    <w:top w:val="nil"/>
                    <w:left w:val="nil"/>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5</w:t>
                  </w:r>
                </w:p>
              </w:tc>
              <w:tc>
                <w:tcPr>
                  <w:tcW w:w="1341" w:type="pct"/>
                  <w:tcBorders>
                    <w:top w:val="nil"/>
                    <w:left w:val="nil"/>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172</w:t>
                  </w:r>
                </w:p>
              </w:tc>
              <w:tc>
                <w:tcPr>
                  <w:tcW w:w="902" w:type="pct"/>
                  <w:tcBorders>
                    <w:top w:val="nil"/>
                    <w:left w:val="nil"/>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 xml:space="preserve">22.66 </w:t>
                  </w:r>
                </w:p>
              </w:tc>
              <w:tc>
                <w:tcPr>
                  <w:tcW w:w="1152" w:type="pct"/>
                  <w:tcBorders>
                    <w:top w:val="nil"/>
                    <w:left w:val="nil"/>
                    <w:bottom w:val="single" w:color="auto" w:sz="4" w:space="0"/>
                    <w:right w:val="single" w:color="auto" w:sz="8"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 xml:space="preserve">14031.51 </w:t>
                  </w:r>
                </w:p>
              </w:tc>
            </w:tr>
            <w:tr>
              <w:tblPrEx>
                <w:tblCellMar>
                  <w:top w:w="0" w:type="dxa"/>
                  <w:left w:w="108" w:type="dxa"/>
                  <w:bottom w:w="0" w:type="dxa"/>
                  <w:right w:w="108" w:type="dxa"/>
                </w:tblCellMar>
              </w:tblPrEx>
              <w:trPr>
                <w:trHeight w:val="315" w:hRule="atLeast"/>
              </w:trPr>
              <w:tc>
                <w:tcPr>
                  <w:tcW w:w="676" w:type="pct"/>
                  <w:tcBorders>
                    <w:top w:val="nil"/>
                    <w:left w:val="single" w:color="auto" w:sz="8"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3</w:t>
                  </w:r>
                </w:p>
              </w:tc>
              <w:tc>
                <w:tcPr>
                  <w:tcW w:w="927" w:type="pct"/>
                  <w:tcBorders>
                    <w:top w:val="nil"/>
                    <w:left w:val="nil"/>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4</w:t>
                  </w:r>
                </w:p>
              </w:tc>
              <w:tc>
                <w:tcPr>
                  <w:tcW w:w="1341" w:type="pct"/>
                  <w:tcBorders>
                    <w:top w:val="nil"/>
                    <w:left w:val="nil"/>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176</w:t>
                  </w:r>
                </w:p>
              </w:tc>
              <w:tc>
                <w:tcPr>
                  <w:tcW w:w="902" w:type="pct"/>
                  <w:tcBorders>
                    <w:top w:val="nil"/>
                    <w:left w:val="nil"/>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 xml:space="preserve">24.40 </w:t>
                  </w:r>
                </w:p>
              </w:tc>
              <w:tc>
                <w:tcPr>
                  <w:tcW w:w="1152" w:type="pct"/>
                  <w:tcBorders>
                    <w:top w:val="nil"/>
                    <w:left w:val="nil"/>
                    <w:bottom w:val="single" w:color="auto" w:sz="4" w:space="0"/>
                    <w:right w:val="single" w:color="auto" w:sz="8"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 xml:space="preserve">15462.27 </w:t>
                  </w:r>
                </w:p>
              </w:tc>
            </w:tr>
            <w:tr>
              <w:tblPrEx>
                <w:tblCellMar>
                  <w:top w:w="0" w:type="dxa"/>
                  <w:left w:w="108" w:type="dxa"/>
                  <w:bottom w:w="0" w:type="dxa"/>
                  <w:right w:w="108" w:type="dxa"/>
                </w:tblCellMar>
              </w:tblPrEx>
              <w:trPr>
                <w:trHeight w:val="315" w:hRule="atLeast"/>
              </w:trPr>
              <w:tc>
                <w:tcPr>
                  <w:tcW w:w="676" w:type="pct"/>
                  <w:tcBorders>
                    <w:top w:val="nil"/>
                    <w:left w:val="single" w:color="auto" w:sz="8"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4</w:t>
                  </w:r>
                </w:p>
              </w:tc>
              <w:tc>
                <w:tcPr>
                  <w:tcW w:w="927" w:type="pct"/>
                  <w:tcBorders>
                    <w:top w:val="nil"/>
                    <w:left w:val="nil"/>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3</w:t>
                  </w:r>
                </w:p>
              </w:tc>
              <w:tc>
                <w:tcPr>
                  <w:tcW w:w="1341" w:type="pct"/>
                  <w:tcBorders>
                    <w:top w:val="nil"/>
                    <w:left w:val="nil"/>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178</w:t>
                  </w:r>
                </w:p>
              </w:tc>
              <w:tc>
                <w:tcPr>
                  <w:tcW w:w="902" w:type="pct"/>
                  <w:tcBorders>
                    <w:top w:val="nil"/>
                    <w:left w:val="nil"/>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 xml:space="preserve">26.15 </w:t>
                  </w:r>
                </w:p>
              </w:tc>
              <w:tc>
                <w:tcPr>
                  <w:tcW w:w="1152" w:type="pct"/>
                  <w:tcBorders>
                    <w:top w:val="nil"/>
                    <w:left w:val="nil"/>
                    <w:bottom w:val="single" w:color="auto" w:sz="4" w:space="0"/>
                    <w:right w:val="single" w:color="auto" w:sz="8"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 xml:space="preserve">16754.98 </w:t>
                  </w:r>
                </w:p>
              </w:tc>
            </w:tr>
            <w:tr>
              <w:tblPrEx>
                <w:tblCellMar>
                  <w:top w:w="0" w:type="dxa"/>
                  <w:left w:w="108" w:type="dxa"/>
                  <w:bottom w:w="0" w:type="dxa"/>
                  <w:right w:w="108" w:type="dxa"/>
                </w:tblCellMar>
              </w:tblPrEx>
              <w:trPr>
                <w:trHeight w:val="315" w:hRule="atLeast"/>
              </w:trPr>
              <w:tc>
                <w:tcPr>
                  <w:tcW w:w="676" w:type="pct"/>
                  <w:tcBorders>
                    <w:top w:val="nil"/>
                    <w:left w:val="single" w:color="auto" w:sz="8"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5</w:t>
                  </w:r>
                </w:p>
              </w:tc>
              <w:tc>
                <w:tcPr>
                  <w:tcW w:w="927" w:type="pct"/>
                  <w:tcBorders>
                    <w:top w:val="nil"/>
                    <w:left w:val="nil"/>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2</w:t>
                  </w:r>
                </w:p>
              </w:tc>
              <w:tc>
                <w:tcPr>
                  <w:tcW w:w="1341" w:type="pct"/>
                  <w:tcBorders>
                    <w:top w:val="nil"/>
                    <w:left w:val="nil"/>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180</w:t>
                  </w:r>
                </w:p>
              </w:tc>
              <w:tc>
                <w:tcPr>
                  <w:tcW w:w="902" w:type="pct"/>
                  <w:tcBorders>
                    <w:top w:val="nil"/>
                    <w:left w:val="nil"/>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 xml:space="preserve">27.89 </w:t>
                  </w:r>
                </w:p>
              </w:tc>
              <w:tc>
                <w:tcPr>
                  <w:tcW w:w="1152" w:type="pct"/>
                  <w:tcBorders>
                    <w:top w:val="nil"/>
                    <w:left w:val="nil"/>
                    <w:bottom w:val="single" w:color="auto" w:sz="4" w:space="0"/>
                    <w:right w:val="single" w:color="auto" w:sz="8"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 xml:space="preserve">18072.78 </w:t>
                  </w:r>
                </w:p>
              </w:tc>
            </w:tr>
            <w:tr>
              <w:tblPrEx>
                <w:tblCellMar>
                  <w:top w:w="0" w:type="dxa"/>
                  <w:left w:w="108" w:type="dxa"/>
                  <w:bottom w:w="0" w:type="dxa"/>
                  <w:right w:w="108" w:type="dxa"/>
                </w:tblCellMar>
              </w:tblPrEx>
              <w:trPr>
                <w:trHeight w:val="315" w:hRule="atLeast"/>
              </w:trPr>
              <w:tc>
                <w:tcPr>
                  <w:tcW w:w="676" w:type="pct"/>
                  <w:tcBorders>
                    <w:top w:val="nil"/>
                    <w:left w:val="single" w:color="auto" w:sz="8"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6</w:t>
                  </w:r>
                </w:p>
              </w:tc>
              <w:tc>
                <w:tcPr>
                  <w:tcW w:w="927" w:type="pct"/>
                  <w:tcBorders>
                    <w:top w:val="nil"/>
                    <w:left w:val="nil"/>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1</w:t>
                  </w:r>
                </w:p>
              </w:tc>
              <w:tc>
                <w:tcPr>
                  <w:tcW w:w="1341" w:type="pct"/>
                  <w:tcBorders>
                    <w:top w:val="nil"/>
                    <w:left w:val="nil"/>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181</w:t>
                  </w:r>
                </w:p>
              </w:tc>
              <w:tc>
                <w:tcPr>
                  <w:tcW w:w="902" w:type="pct"/>
                  <w:tcBorders>
                    <w:top w:val="nil"/>
                    <w:left w:val="nil"/>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 xml:space="preserve">29.63 </w:t>
                  </w:r>
                </w:p>
              </w:tc>
              <w:tc>
                <w:tcPr>
                  <w:tcW w:w="1152" w:type="pct"/>
                  <w:tcBorders>
                    <w:top w:val="nil"/>
                    <w:left w:val="nil"/>
                    <w:bottom w:val="single" w:color="auto" w:sz="4" w:space="0"/>
                    <w:right w:val="single" w:color="auto" w:sz="8"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 xml:space="preserve">19309.01 </w:t>
                  </w:r>
                </w:p>
              </w:tc>
            </w:tr>
            <w:tr>
              <w:tblPrEx>
                <w:tblCellMar>
                  <w:top w:w="0" w:type="dxa"/>
                  <w:left w:w="108" w:type="dxa"/>
                  <w:bottom w:w="0" w:type="dxa"/>
                  <w:right w:w="108" w:type="dxa"/>
                </w:tblCellMar>
              </w:tblPrEx>
              <w:trPr>
                <w:trHeight w:val="315" w:hRule="atLeast"/>
              </w:trPr>
              <w:tc>
                <w:tcPr>
                  <w:tcW w:w="676" w:type="pct"/>
                  <w:tcBorders>
                    <w:top w:val="nil"/>
                    <w:left w:val="single" w:color="auto" w:sz="8" w:space="0"/>
                    <w:bottom w:val="single" w:color="auto" w:sz="4" w:space="0"/>
                    <w:right w:val="single" w:color="auto" w:sz="4" w:space="0"/>
                  </w:tcBorders>
                  <w:shd w:val="clear" w:color="auto" w:fill="auto"/>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7</w:t>
                  </w:r>
                </w:p>
              </w:tc>
              <w:tc>
                <w:tcPr>
                  <w:tcW w:w="927" w:type="pct"/>
                  <w:tcBorders>
                    <w:top w:val="nil"/>
                    <w:left w:val="nil"/>
                    <w:bottom w:val="single" w:color="auto" w:sz="4" w:space="0"/>
                    <w:right w:val="single" w:color="auto" w:sz="4" w:space="0"/>
                  </w:tcBorders>
                  <w:shd w:val="clear" w:color="auto" w:fill="auto"/>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0</w:t>
                  </w:r>
                </w:p>
              </w:tc>
              <w:tc>
                <w:tcPr>
                  <w:tcW w:w="1341" w:type="pct"/>
                  <w:tcBorders>
                    <w:top w:val="nil"/>
                    <w:left w:val="nil"/>
                    <w:bottom w:val="single" w:color="auto" w:sz="4" w:space="0"/>
                    <w:right w:val="single" w:color="auto" w:sz="4" w:space="0"/>
                  </w:tcBorders>
                  <w:shd w:val="clear" w:color="000000" w:fill="FFFFFF"/>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182</w:t>
                  </w:r>
                </w:p>
              </w:tc>
              <w:tc>
                <w:tcPr>
                  <w:tcW w:w="902" w:type="pct"/>
                  <w:tcBorders>
                    <w:top w:val="nil"/>
                    <w:left w:val="nil"/>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 xml:space="preserve">31.38 </w:t>
                  </w:r>
                </w:p>
              </w:tc>
              <w:tc>
                <w:tcPr>
                  <w:tcW w:w="1152" w:type="pct"/>
                  <w:tcBorders>
                    <w:top w:val="nil"/>
                    <w:left w:val="nil"/>
                    <w:bottom w:val="single" w:color="auto" w:sz="4" w:space="0"/>
                    <w:right w:val="single" w:color="auto" w:sz="8"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 xml:space="preserve">20557.79 </w:t>
                  </w:r>
                </w:p>
              </w:tc>
            </w:tr>
            <w:tr>
              <w:tblPrEx>
                <w:tblCellMar>
                  <w:top w:w="0" w:type="dxa"/>
                  <w:left w:w="108" w:type="dxa"/>
                  <w:bottom w:w="0" w:type="dxa"/>
                  <w:right w:w="108" w:type="dxa"/>
                </w:tblCellMar>
              </w:tblPrEx>
              <w:trPr>
                <w:trHeight w:val="315" w:hRule="atLeast"/>
              </w:trPr>
              <w:tc>
                <w:tcPr>
                  <w:tcW w:w="676" w:type="pct"/>
                  <w:tcBorders>
                    <w:top w:val="nil"/>
                    <w:left w:val="single" w:color="auto" w:sz="8" w:space="0"/>
                    <w:bottom w:val="single" w:color="auto" w:sz="4" w:space="0"/>
                    <w:right w:val="single" w:color="auto" w:sz="4" w:space="0"/>
                  </w:tcBorders>
                  <w:shd w:val="clear" w:color="auto" w:fill="auto"/>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8</w:t>
                  </w:r>
                </w:p>
              </w:tc>
              <w:tc>
                <w:tcPr>
                  <w:tcW w:w="927" w:type="pct"/>
                  <w:tcBorders>
                    <w:top w:val="nil"/>
                    <w:left w:val="nil"/>
                    <w:bottom w:val="single" w:color="auto" w:sz="4" w:space="0"/>
                    <w:right w:val="single" w:color="auto" w:sz="4" w:space="0"/>
                  </w:tcBorders>
                  <w:shd w:val="clear" w:color="auto" w:fill="auto"/>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-1</w:t>
                  </w:r>
                </w:p>
              </w:tc>
              <w:tc>
                <w:tcPr>
                  <w:tcW w:w="1341" w:type="pct"/>
                  <w:tcBorders>
                    <w:top w:val="nil"/>
                    <w:left w:val="nil"/>
                    <w:bottom w:val="single" w:color="auto" w:sz="4" w:space="0"/>
                    <w:right w:val="single" w:color="auto" w:sz="4" w:space="0"/>
                  </w:tcBorders>
                  <w:shd w:val="clear" w:color="000000" w:fill="FFFFFF"/>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185</w:t>
                  </w:r>
                </w:p>
              </w:tc>
              <w:tc>
                <w:tcPr>
                  <w:tcW w:w="902" w:type="pct"/>
                  <w:tcBorders>
                    <w:top w:val="nil"/>
                    <w:left w:val="nil"/>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 xml:space="preserve">33.12 </w:t>
                  </w:r>
                </w:p>
              </w:tc>
              <w:tc>
                <w:tcPr>
                  <w:tcW w:w="1152" w:type="pct"/>
                  <w:tcBorders>
                    <w:top w:val="nil"/>
                    <w:left w:val="nil"/>
                    <w:bottom w:val="single" w:color="auto" w:sz="4" w:space="0"/>
                    <w:right w:val="single" w:color="auto" w:sz="8"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 xml:space="preserve">22057.58 </w:t>
                  </w:r>
                </w:p>
              </w:tc>
            </w:tr>
            <w:tr>
              <w:tblPrEx>
                <w:tblCellMar>
                  <w:top w:w="0" w:type="dxa"/>
                  <w:left w:w="108" w:type="dxa"/>
                  <w:bottom w:w="0" w:type="dxa"/>
                  <w:right w:w="108" w:type="dxa"/>
                </w:tblCellMar>
              </w:tblPrEx>
              <w:trPr>
                <w:trHeight w:val="315" w:hRule="atLeast"/>
              </w:trPr>
              <w:tc>
                <w:tcPr>
                  <w:tcW w:w="676" w:type="pct"/>
                  <w:tcBorders>
                    <w:top w:val="nil"/>
                    <w:left w:val="single" w:color="auto" w:sz="8" w:space="0"/>
                    <w:bottom w:val="single" w:color="auto" w:sz="4" w:space="0"/>
                    <w:right w:val="single" w:color="auto" w:sz="4" w:space="0"/>
                  </w:tcBorders>
                  <w:shd w:val="clear" w:color="auto" w:fill="auto"/>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9</w:t>
                  </w:r>
                </w:p>
              </w:tc>
              <w:tc>
                <w:tcPr>
                  <w:tcW w:w="927" w:type="pct"/>
                  <w:tcBorders>
                    <w:top w:val="nil"/>
                    <w:left w:val="nil"/>
                    <w:bottom w:val="single" w:color="auto" w:sz="4" w:space="0"/>
                    <w:right w:val="single" w:color="auto" w:sz="4" w:space="0"/>
                  </w:tcBorders>
                  <w:shd w:val="clear" w:color="auto" w:fill="auto"/>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-2</w:t>
                  </w:r>
                </w:p>
              </w:tc>
              <w:tc>
                <w:tcPr>
                  <w:tcW w:w="1341" w:type="pct"/>
                  <w:tcBorders>
                    <w:top w:val="nil"/>
                    <w:left w:val="nil"/>
                    <w:bottom w:val="single" w:color="auto" w:sz="4" w:space="0"/>
                    <w:right w:val="single" w:color="auto" w:sz="4" w:space="0"/>
                  </w:tcBorders>
                  <w:shd w:val="clear" w:color="000000" w:fill="FFFFFF"/>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187</w:t>
                  </w:r>
                </w:p>
              </w:tc>
              <w:tc>
                <w:tcPr>
                  <w:tcW w:w="902" w:type="pct"/>
                  <w:tcBorders>
                    <w:top w:val="nil"/>
                    <w:left w:val="nil"/>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 xml:space="preserve">34.86 </w:t>
                  </w:r>
                </w:p>
              </w:tc>
              <w:tc>
                <w:tcPr>
                  <w:tcW w:w="1152" w:type="pct"/>
                  <w:tcBorders>
                    <w:top w:val="nil"/>
                    <w:left w:val="nil"/>
                    <w:bottom w:val="single" w:color="auto" w:sz="4" w:space="0"/>
                    <w:right w:val="single" w:color="auto" w:sz="8"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 xml:space="preserve">23469.52 </w:t>
                  </w:r>
                </w:p>
              </w:tc>
            </w:tr>
            <w:tr>
              <w:tblPrEx>
                <w:tblCellMar>
                  <w:top w:w="0" w:type="dxa"/>
                  <w:left w:w="108" w:type="dxa"/>
                  <w:bottom w:w="0" w:type="dxa"/>
                  <w:right w:w="108" w:type="dxa"/>
                </w:tblCellMar>
              </w:tblPrEx>
              <w:trPr>
                <w:trHeight w:val="315" w:hRule="atLeast"/>
              </w:trPr>
              <w:tc>
                <w:tcPr>
                  <w:tcW w:w="676" w:type="pct"/>
                  <w:tcBorders>
                    <w:top w:val="nil"/>
                    <w:left w:val="single" w:color="auto" w:sz="8" w:space="0"/>
                    <w:bottom w:val="single" w:color="auto" w:sz="4" w:space="0"/>
                    <w:right w:val="single" w:color="auto" w:sz="4" w:space="0"/>
                  </w:tcBorders>
                  <w:shd w:val="clear" w:color="auto" w:fill="auto"/>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10</w:t>
                  </w:r>
                </w:p>
              </w:tc>
              <w:tc>
                <w:tcPr>
                  <w:tcW w:w="927" w:type="pct"/>
                  <w:tcBorders>
                    <w:top w:val="nil"/>
                    <w:left w:val="nil"/>
                    <w:bottom w:val="single" w:color="auto" w:sz="4" w:space="0"/>
                    <w:right w:val="single" w:color="auto" w:sz="4" w:space="0"/>
                  </w:tcBorders>
                  <w:shd w:val="clear" w:color="auto" w:fill="auto"/>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-3</w:t>
                  </w:r>
                </w:p>
              </w:tc>
              <w:tc>
                <w:tcPr>
                  <w:tcW w:w="1341" w:type="pct"/>
                  <w:tcBorders>
                    <w:top w:val="nil"/>
                    <w:left w:val="nil"/>
                    <w:bottom w:val="single" w:color="auto" w:sz="4" w:space="0"/>
                    <w:right w:val="single" w:color="auto" w:sz="4" w:space="0"/>
                  </w:tcBorders>
                  <w:shd w:val="clear" w:color="000000" w:fill="FFFFFF"/>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187</w:t>
                  </w:r>
                </w:p>
              </w:tc>
              <w:tc>
                <w:tcPr>
                  <w:tcW w:w="902" w:type="pct"/>
                  <w:tcBorders>
                    <w:top w:val="nil"/>
                    <w:left w:val="nil"/>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 xml:space="preserve">36.61 </w:t>
                  </w:r>
                </w:p>
              </w:tc>
              <w:tc>
                <w:tcPr>
                  <w:tcW w:w="1152" w:type="pct"/>
                  <w:tcBorders>
                    <w:top w:val="nil"/>
                    <w:left w:val="nil"/>
                    <w:bottom w:val="single" w:color="auto" w:sz="4" w:space="0"/>
                    <w:right w:val="single" w:color="auto" w:sz="8"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 xml:space="preserve">24642.99 </w:t>
                  </w:r>
                </w:p>
              </w:tc>
            </w:tr>
            <w:tr>
              <w:tblPrEx>
                <w:tblCellMar>
                  <w:top w:w="0" w:type="dxa"/>
                  <w:left w:w="108" w:type="dxa"/>
                  <w:bottom w:w="0" w:type="dxa"/>
                  <w:right w:w="108" w:type="dxa"/>
                </w:tblCellMar>
              </w:tblPrEx>
              <w:trPr>
                <w:trHeight w:val="315" w:hRule="atLeast"/>
              </w:trPr>
              <w:tc>
                <w:tcPr>
                  <w:tcW w:w="676" w:type="pct"/>
                  <w:tcBorders>
                    <w:top w:val="nil"/>
                    <w:left w:val="single" w:color="auto" w:sz="8" w:space="0"/>
                    <w:bottom w:val="single" w:color="auto" w:sz="4" w:space="0"/>
                    <w:right w:val="single" w:color="auto" w:sz="4" w:space="0"/>
                  </w:tcBorders>
                  <w:shd w:val="clear" w:color="auto" w:fill="auto"/>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11</w:t>
                  </w:r>
                </w:p>
              </w:tc>
              <w:tc>
                <w:tcPr>
                  <w:tcW w:w="927" w:type="pct"/>
                  <w:tcBorders>
                    <w:top w:val="nil"/>
                    <w:left w:val="nil"/>
                    <w:bottom w:val="single" w:color="auto" w:sz="4" w:space="0"/>
                    <w:right w:val="single" w:color="auto" w:sz="4" w:space="0"/>
                  </w:tcBorders>
                  <w:shd w:val="clear" w:color="auto" w:fill="auto"/>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-4</w:t>
                  </w:r>
                </w:p>
              </w:tc>
              <w:tc>
                <w:tcPr>
                  <w:tcW w:w="1341" w:type="pct"/>
                  <w:tcBorders>
                    <w:top w:val="nil"/>
                    <w:left w:val="nil"/>
                    <w:bottom w:val="single" w:color="auto" w:sz="4" w:space="0"/>
                    <w:right w:val="single" w:color="auto" w:sz="4" w:space="0"/>
                  </w:tcBorders>
                  <w:shd w:val="clear" w:color="000000" w:fill="FFFFFF"/>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186</w:t>
                  </w:r>
                </w:p>
              </w:tc>
              <w:tc>
                <w:tcPr>
                  <w:tcW w:w="902" w:type="pct"/>
                  <w:tcBorders>
                    <w:top w:val="nil"/>
                    <w:left w:val="nil"/>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 xml:space="preserve">38.35 </w:t>
                  </w:r>
                </w:p>
              </w:tc>
              <w:tc>
                <w:tcPr>
                  <w:tcW w:w="1152" w:type="pct"/>
                  <w:tcBorders>
                    <w:top w:val="nil"/>
                    <w:left w:val="nil"/>
                    <w:bottom w:val="single" w:color="auto" w:sz="4" w:space="0"/>
                    <w:right w:val="single" w:color="auto" w:sz="8"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 xml:space="preserve">25678.41 </w:t>
                  </w:r>
                </w:p>
              </w:tc>
            </w:tr>
            <w:tr>
              <w:tblPrEx>
                <w:tblCellMar>
                  <w:top w:w="0" w:type="dxa"/>
                  <w:left w:w="108" w:type="dxa"/>
                  <w:bottom w:w="0" w:type="dxa"/>
                  <w:right w:w="108" w:type="dxa"/>
                </w:tblCellMar>
              </w:tblPrEx>
              <w:trPr>
                <w:trHeight w:val="315" w:hRule="atLeast"/>
              </w:trPr>
              <w:tc>
                <w:tcPr>
                  <w:tcW w:w="676" w:type="pct"/>
                  <w:tcBorders>
                    <w:top w:val="nil"/>
                    <w:left w:val="single" w:color="auto" w:sz="8" w:space="0"/>
                    <w:bottom w:val="single" w:color="auto" w:sz="4" w:space="0"/>
                    <w:right w:val="single" w:color="auto" w:sz="4" w:space="0"/>
                  </w:tcBorders>
                  <w:shd w:val="clear" w:color="auto" w:fill="auto"/>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12</w:t>
                  </w:r>
                </w:p>
              </w:tc>
              <w:tc>
                <w:tcPr>
                  <w:tcW w:w="927" w:type="pct"/>
                  <w:tcBorders>
                    <w:top w:val="nil"/>
                    <w:left w:val="nil"/>
                    <w:bottom w:val="single" w:color="auto" w:sz="4" w:space="0"/>
                    <w:right w:val="single" w:color="auto" w:sz="4" w:space="0"/>
                  </w:tcBorders>
                  <w:shd w:val="clear" w:color="auto" w:fill="auto"/>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-5</w:t>
                  </w:r>
                </w:p>
              </w:tc>
              <w:tc>
                <w:tcPr>
                  <w:tcW w:w="1341" w:type="pct"/>
                  <w:tcBorders>
                    <w:top w:val="nil"/>
                    <w:left w:val="nil"/>
                    <w:bottom w:val="single" w:color="auto" w:sz="4" w:space="0"/>
                    <w:right w:val="single" w:color="auto" w:sz="4" w:space="0"/>
                  </w:tcBorders>
                  <w:shd w:val="clear" w:color="000000" w:fill="FFFFFF"/>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185</w:t>
                  </w:r>
                </w:p>
              </w:tc>
              <w:tc>
                <w:tcPr>
                  <w:tcW w:w="902" w:type="pct"/>
                  <w:tcBorders>
                    <w:top w:val="nil"/>
                    <w:left w:val="nil"/>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 xml:space="preserve">40.09 </w:t>
                  </w:r>
                </w:p>
              </w:tc>
              <w:tc>
                <w:tcPr>
                  <w:tcW w:w="1152" w:type="pct"/>
                  <w:tcBorders>
                    <w:top w:val="nil"/>
                    <w:left w:val="nil"/>
                    <w:bottom w:val="single" w:color="auto" w:sz="4" w:space="0"/>
                    <w:right w:val="single" w:color="auto" w:sz="8"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 xml:space="preserve">26701.28 </w:t>
                  </w:r>
                </w:p>
              </w:tc>
            </w:tr>
            <w:tr>
              <w:tblPrEx>
                <w:tblCellMar>
                  <w:top w:w="0" w:type="dxa"/>
                  <w:left w:w="108" w:type="dxa"/>
                  <w:bottom w:w="0" w:type="dxa"/>
                  <w:right w:w="108" w:type="dxa"/>
                </w:tblCellMar>
              </w:tblPrEx>
              <w:trPr>
                <w:trHeight w:val="315" w:hRule="atLeast"/>
              </w:trPr>
              <w:tc>
                <w:tcPr>
                  <w:tcW w:w="676" w:type="pct"/>
                  <w:tcBorders>
                    <w:top w:val="nil"/>
                    <w:left w:val="single" w:color="auto" w:sz="8"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13</w:t>
                  </w:r>
                </w:p>
              </w:tc>
              <w:tc>
                <w:tcPr>
                  <w:tcW w:w="927" w:type="pct"/>
                  <w:tcBorders>
                    <w:top w:val="nil"/>
                    <w:left w:val="nil"/>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-6</w:t>
                  </w:r>
                </w:p>
              </w:tc>
              <w:tc>
                <w:tcPr>
                  <w:tcW w:w="1341" w:type="pct"/>
                  <w:tcBorders>
                    <w:top w:val="nil"/>
                    <w:left w:val="nil"/>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184</w:t>
                  </w:r>
                </w:p>
              </w:tc>
              <w:tc>
                <w:tcPr>
                  <w:tcW w:w="902" w:type="pct"/>
                  <w:tcBorders>
                    <w:top w:val="nil"/>
                    <w:left w:val="nil"/>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 xml:space="preserve">41.84 </w:t>
                  </w:r>
                </w:p>
              </w:tc>
              <w:tc>
                <w:tcPr>
                  <w:tcW w:w="1152" w:type="pct"/>
                  <w:tcBorders>
                    <w:top w:val="nil"/>
                    <w:left w:val="nil"/>
                    <w:bottom w:val="single" w:color="auto" w:sz="4" w:space="0"/>
                    <w:right w:val="single" w:color="auto" w:sz="8"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 xml:space="preserve">27711.60 </w:t>
                  </w:r>
                </w:p>
              </w:tc>
            </w:tr>
            <w:tr>
              <w:tblPrEx>
                <w:tblCellMar>
                  <w:top w:w="0" w:type="dxa"/>
                  <w:left w:w="108" w:type="dxa"/>
                  <w:bottom w:w="0" w:type="dxa"/>
                  <w:right w:w="108" w:type="dxa"/>
                </w:tblCellMar>
              </w:tblPrEx>
              <w:trPr>
                <w:trHeight w:val="315" w:hRule="atLeast"/>
              </w:trPr>
              <w:tc>
                <w:tcPr>
                  <w:tcW w:w="676" w:type="pct"/>
                  <w:tcBorders>
                    <w:top w:val="nil"/>
                    <w:left w:val="single" w:color="auto" w:sz="8"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14</w:t>
                  </w:r>
                </w:p>
              </w:tc>
              <w:tc>
                <w:tcPr>
                  <w:tcW w:w="927" w:type="pct"/>
                  <w:tcBorders>
                    <w:top w:val="nil"/>
                    <w:left w:val="nil"/>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-7</w:t>
                  </w:r>
                </w:p>
              </w:tc>
              <w:tc>
                <w:tcPr>
                  <w:tcW w:w="1341" w:type="pct"/>
                  <w:tcBorders>
                    <w:top w:val="nil"/>
                    <w:left w:val="nil"/>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183</w:t>
                  </w:r>
                </w:p>
              </w:tc>
              <w:tc>
                <w:tcPr>
                  <w:tcW w:w="902" w:type="pct"/>
                  <w:tcBorders>
                    <w:top w:val="nil"/>
                    <w:left w:val="nil"/>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 xml:space="preserve">43.58 </w:t>
                  </w:r>
                </w:p>
              </w:tc>
              <w:tc>
                <w:tcPr>
                  <w:tcW w:w="1152" w:type="pct"/>
                  <w:tcBorders>
                    <w:top w:val="nil"/>
                    <w:left w:val="nil"/>
                    <w:bottom w:val="single" w:color="auto" w:sz="4" w:space="0"/>
                    <w:right w:val="single" w:color="auto" w:sz="8"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 xml:space="preserve">28709.37 </w:t>
                  </w:r>
                </w:p>
              </w:tc>
            </w:tr>
            <w:tr>
              <w:tblPrEx>
                <w:tblCellMar>
                  <w:top w:w="0" w:type="dxa"/>
                  <w:left w:w="108" w:type="dxa"/>
                  <w:bottom w:w="0" w:type="dxa"/>
                  <w:right w:w="108" w:type="dxa"/>
                </w:tblCellMar>
              </w:tblPrEx>
              <w:trPr>
                <w:trHeight w:val="315" w:hRule="atLeast"/>
              </w:trPr>
              <w:tc>
                <w:tcPr>
                  <w:tcW w:w="676" w:type="pct"/>
                  <w:tcBorders>
                    <w:top w:val="nil"/>
                    <w:left w:val="single" w:color="auto" w:sz="8"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15</w:t>
                  </w:r>
                </w:p>
              </w:tc>
              <w:tc>
                <w:tcPr>
                  <w:tcW w:w="927" w:type="pct"/>
                  <w:tcBorders>
                    <w:top w:val="nil"/>
                    <w:left w:val="nil"/>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-8</w:t>
                  </w:r>
                </w:p>
              </w:tc>
              <w:tc>
                <w:tcPr>
                  <w:tcW w:w="1341" w:type="pct"/>
                  <w:tcBorders>
                    <w:top w:val="nil"/>
                    <w:left w:val="nil"/>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183</w:t>
                  </w:r>
                </w:p>
              </w:tc>
              <w:tc>
                <w:tcPr>
                  <w:tcW w:w="902" w:type="pct"/>
                  <w:tcBorders>
                    <w:top w:val="nil"/>
                    <w:left w:val="nil"/>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 xml:space="preserve">45.32 </w:t>
                  </w:r>
                </w:p>
              </w:tc>
              <w:tc>
                <w:tcPr>
                  <w:tcW w:w="1152" w:type="pct"/>
                  <w:tcBorders>
                    <w:top w:val="nil"/>
                    <w:left w:val="nil"/>
                    <w:bottom w:val="single" w:color="auto" w:sz="4" w:space="0"/>
                    <w:right w:val="single" w:color="auto" w:sz="8"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 xml:space="preserve">29857.74 </w:t>
                  </w:r>
                </w:p>
              </w:tc>
            </w:tr>
            <w:tr>
              <w:tblPrEx>
                <w:tblCellMar>
                  <w:top w:w="0" w:type="dxa"/>
                  <w:left w:w="108" w:type="dxa"/>
                  <w:bottom w:w="0" w:type="dxa"/>
                  <w:right w:w="108" w:type="dxa"/>
                </w:tblCellMar>
              </w:tblPrEx>
              <w:trPr>
                <w:trHeight w:val="315" w:hRule="atLeast"/>
              </w:trPr>
              <w:tc>
                <w:tcPr>
                  <w:tcW w:w="676" w:type="pct"/>
                  <w:tcBorders>
                    <w:top w:val="nil"/>
                    <w:left w:val="single" w:color="auto" w:sz="8"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16</w:t>
                  </w:r>
                </w:p>
              </w:tc>
              <w:tc>
                <w:tcPr>
                  <w:tcW w:w="927" w:type="pct"/>
                  <w:tcBorders>
                    <w:top w:val="nil"/>
                    <w:left w:val="nil"/>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-9</w:t>
                  </w:r>
                </w:p>
              </w:tc>
              <w:tc>
                <w:tcPr>
                  <w:tcW w:w="1341" w:type="pct"/>
                  <w:tcBorders>
                    <w:top w:val="nil"/>
                    <w:left w:val="nil"/>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181</w:t>
                  </w:r>
                </w:p>
              </w:tc>
              <w:tc>
                <w:tcPr>
                  <w:tcW w:w="902" w:type="pct"/>
                  <w:tcBorders>
                    <w:top w:val="nil"/>
                    <w:left w:val="nil"/>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 xml:space="preserve">47.06 </w:t>
                  </w:r>
                </w:p>
              </w:tc>
              <w:tc>
                <w:tcPr>
                  <w:tcW w:w="1152" w:type="pct"/>
                  <w:tcBorders>
                    <w:top w:val="nil"/>
                    <w:left w:val="nil"/>
                    <w:bottom w:val="single" w:color="auto" w:sz="4" w:space="0"/>
                    <w:right w:val="single" w:color="auto" w:sz="8"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 xml:space="preserve">30667.25 </w:t>
                  </w:r>
                </w:p>
              </w:tc>
            </w:tr>
            <w:tr>
              <w:tblPrEx>
                <w:tblCellMar>
                  <w:top w:w="0" w:type="dxa"/>
                  <w:left w:w="108" w:type="dxa"/>
                  <w:bottom w:w="0" w:type="dxa"/>
                  <w:right w:w="108" w:type="dxa"/>
                </w:tblCellMar>
              </w:tblPrEx>
              <w:trPr>
                <w:trHeight w:val="315" w:hRule="atLeast"/>
              </w:trPr>
              <w:tc>
                <w:tcPr>
                  <w:tcW w:w="676" w:type="pct"/>
                  <w:tcBorders>
                    <w:top w:val="nil"/>
                    <w:left w:val="single" w:color="auto" w:sz="8"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17</w:t>
                  </w:r>
                </w:p>
              </w:tc>
              <w:tc>
                <w:tcPr>
                  <w:tcW w:w="927" w:type="pct"/>
                  <w:tcBorders>
                    <w:top w:val="nil"/>
                    <w:left w:val="nil"/>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-10</w:t>
                  </w:r>
                </w:p>
              </w:tc>
              <w:tc>
                <w:tcPr>
                  <w:tcW w:w="1341" w:type="pct"/>
                  <w:tcBorders>
                    <w:top w:val="nil"/>
                    <w:left w:val="nil"/>
                    <w:bottom w:val="single" w:color="auto" w:sz="4" w:space="0"/>
                    <w:right w:val="single" w:color="auto" w:sz="4" w:space="0"/>
                  </w:tcBorders>
                  <w:noWrap w:val="0"/>
                  <w:vAlign w:val="top"/>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179</w:t>
                  </w:r>
                </w:p>
              </w:tc>
              <w:tc>
                <w:tcPr>
                  <w:tcW w:w="902" w:type="pct"/>
                  <w:tcBorders>
                    <w:top w:val="nil"/>
                    <w:left w:val="nil"/>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 xml:space="preserve">48.81 </w:t>
                  </w:r>
                </w:p>
              </w:tc>
              <w:tc>
                <w:tcPr>
                  <w:tcW w:w="1152" w:type="pct"/>
                  <w:tcBorders>
                    <w:top w:val="nil"/>
                    <w:left w:val="nil"/>
                    <w:bottom w:val="single" w:color="auto" w:sz="4" w:space="0"/>
                    <w:right w:val="single" w:color="auto" w:sz="8"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 xml:space="preserve">31451.66 </w:t>
                  </w:r>
                </w:p>
              </w:tc>
            </w:tr>
            <w:tr>
              <w:tblPrEx>
                <w:tblCellMar>
                  <w:top w:w="0" w:type="dxa"/>
                  <w:left w:w="108" w:type="dxa"/>
                  <w:bottom w:w="0" w:type="dxa"/>
                  <w:right w:w="108" w:type="dxa"/>
                </w:tblCellMar>
              </w:tblPrEx>
              <w:trPr>
                <w:trHeight w:val="315" w:hRule="atLeast"/>
              </w:trPr>
              <w:tc>
                <w:tcPr>
                  <w:tcW w:w="676" w:type="pct"/>
                  <w:tcBorders>
                    <w:top w:val="nil"/>
                    <w:left w:val="single" w:color="auto" w:sz="8"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18</w:t>
                  </w:r>
                </w:p>
              </w:tc>
              <w:tc>
                <w:tcPr>
                  <w:tcW w:w="927" w:type="pct"/>
                  <w:tcBorders>
                    <w:top w:val="nil"/>
                    <w:left w:val="nil"/>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-11</w:t>
                  </w:r>
                </w:p>
              </w:tc>
              <w:tc>
                <w:tcPr>
                  <w:tcW w:w="1341" w:type="pct"/>
                  <w:tcBorders>
                    <w:top w:val="nil"/>
                    <w:left w:val="nil"/>
                    <w:bottom w:val="single" w:color="auto" w:sz="4" w:space="0"/>
                    <w:right w:val="single" w:color="auto" w:sz="4" w:space="0"/>
                  </w:tcBorders>
                  <w:noWrap w:val="0"/>
                  <w:vAlign w:val="top"/>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176</w:t>
                  </w:r>
                </w:p>
              </w:tc>
              <w:tc>
                <w:tcPr>
                  <w:tcW w:w="902" w:type="pct"/>
                  <w:tcBorders>
                    <w:top w:val="nil"/>
                    <w:left w:val="nil"/>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 xml:space="preserve">50.55 </w:t>
                  </w:r>
                </w:p>
              </w:tc>
              <w:tc>
                <w:tcPr>
                  <w:tcW w:w="1152" w:type="pct"/>
                  <w:tcBorders>
                    <w:top w:val="nil"/>
                    <w:left w:val="nil"/>
                    <w:bottom w:val="single" w:color="auto" w:sz="4" w:space="0"/>
                    <w:right w:val="single" w:color="auto" w:sz="8"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 xml:space="preserve">32028.99 </w:t>
                  </w:r>
                </w:p>
              </w:tc>
            </w:tr>
            <w:tr>
              <w:tblPrEx>
                <w:tblCellMar>
                  <w:top w:w="0" w:type="dxa"/>
                  <w:left w:w="108" w:type="dxa"/>
                  <w:bottom w:w="0" w:type="dxa"/>
                  <w:right w:w="108" w:type="dxa"/>
                </w:tblCellMar>
              </w:tblPrEx>
              <w:trPr>
                <w:trHeight w:val="315" w:hRule="atLeast"/>
              </w:trPr>
              <w:tc>
                <w:tcPr>
                  <w:tcW w:w="676" w:type="pct"/>
                  <w:tcBorders>
                    <w:top w:val="nil"/>
                    <w:left w:val="single" w:color="auto" w:sz="8"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19</w:t>
                  </w:r>
                </w:p>
              </w:tc>
              <w:tc>
                <w:tcPr>
                  <w:tcW w:w="927" w:type="pct"/>
                  <w:tcBorders>
                    <w:top w:val="nil"/>
                    <w:left w:val="nil"/>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-12</w:t>
                  </w:r>
                </w:p>
              </w:tc>
              <w:tc>
                <w:tcPr>
                  <w:tcW w:w="1341" w:type="pct"/>
                  <w:tcBorders>
                    <w:top w:val="nil"/>
                    <w:left w:val="nil"/>
                    <w:bottom w:val="single" w:color="auto" w:sz="4" w:space="0"/>
                    <w:right w:val="single" w:color="auto" w:sz="4" w:space="0"/>
                  </w:tcBorders>
                  <w:noWrap w:val="0"/>
                  <w:vAlign w:val="top"/>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175</w:t>
                  </w:r>
                </w:p>
              </w:tc>
              <w:tc>
                <w:tcPr>
                  <w:tcW w:w="902" w:type="pct"/>
                  <w:tcBorders>
                    <w:top w:val="nil"/>
                    <w:left w:val="nil"/>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 xml:space="preserve">52.29 </w:t>
                  </w:r>
                </w:p>
              </w:tc>
              <w:tc>
                <w:tcPr>
                  <w:tcW w:w="1152" w:type="pct"/>
                  <w:tcBorders>
                    <w:top w:val="nil"/>
                    <w:left w:val="nil"/>
                    <w:bottom w:val="single" w:color="auto" w:sz="4" w:space="0"/>
                    <w:right w:val="single" w:color="auto" w:sz="8"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 xml:space="preserve">32945.18 </w:t>
                  </w:r>
                </w:p>
              </w:tc>
            </w:tr>
            <w:tr>
              <w:tblPrEx>
                <w:tblCellMar>
                  <w:top w:w="0" w:type="dxa"/>
                  <w:left w:w="108" w:type="dxa"/>
                  <w:bottom w:w="0" w:type="dxa"/>
                  <w:right w:w="108" w:type="dxa"/>
                </w:tblCellMar>
              </w:tblPrEx>
              <w:trPr>
                <w:trHeight w:val="315" w:hRule="atLeast"/>
              </w:trPr>
              <w:tc>
                <w:tcPr>
                  <w:tcW w:w="676" w:type="pct"/>
                  <w:tcBorders>
                    <w:top w:val="nil"/>
                    <w:left w:val="single" w:color="auto" w:sz="8"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20</w:t>
                  </w:r>
                </w:p>
              </w:tc>
              <w:tc>
                <w:tcPr>
                  <w:tcW w:w="927" w:type="pct"/>
                  <w:tcBorders>
                    <w:top w:val="nil"/>
                    <w:left w:val="nil"/>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-13</w:t>
                  </w:r>
                </w:p>
              </w:tc>
              <w:tc>
                <w:tcPr>
                  <w:tcW w:w="1341" w:type="pct"/>
                  <w:tcBorders>
                    <w:top w:val="nil"/>
                    <w:left w:val="nil"/>
                    <w:bottom w:val="single" w:color="auto" w:sz="4" w:space="0"/>
                    <w:right w:val="single" w:color="auto" w:sz="4" w:space="0"/>
                  </w:tcBorders>
                  <w:noWrap w:val="0"/>
                  <w:vAlign w:val="top"/>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140</w:t>
                  </w:r>
                </w:p>
              </w:tc>
              <w:tc>
                <w:tcPr>
                  <w:tcW w:w="902" w:type="pct"/>
                  <w:tcBorders>
                    <w:top w:val="nil"/>
                    <w:left w:val="nil"/>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 xml:space="preserve">54.04 </w:t>
                  </w:r>
                </w:p>
              </w:tc>
              <w:tc>
                <w:tcPr>
                  <w:tcW w:w="1152" w:type="pct"/>
                  <w:tcBorders>
                    <w:top w:val="nil"/>
                    <w:left w:val="nil"/>
                    <w:bottom w:val="single" w:color="auto" w:sz="4" w:space="0"/>
                    <w:right w:val="single" w:color="auto" w:sz="8"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 xml:space="preserve">27234.68 </w:t>
                  </w:r>
                </w:p>
              </w:tc>
            </w:tr>
            <w:tr>
              <w:tblPrEx>
                <w:tblCellMar>
                  <w:top w:w="0" w:type="dxa"/>
                  <w:left w:w="108" w:type="dxa"/>
                  <w:bottom w:w="0" w:type="dxa"/>
                  <w:right w:w="108" w:type="dxa"/>
                </w:tblCellMar>
              </w:tblPrEx>
              <w:trPr>
                <w:trHeight w:val="315" w:hRule="atLeast"/>
              </w:trPr>
              <w:tc>
                <w:tcPr>
                  <w:tcW w:w="676" w:type="pct"/>
                  <w:tcBorders>
                    <w:top w:val="nil"/>
                    <w:left w:val="single" w:color="auto" w:sz="8"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21</w:t>
                  </w:r>
                </w:p>
              </w:tc>
              <w:tc>
                <w:tcPr>
                  <w:tcW w:w="927" w:type="pct"/>
                  <w:tcBorders>
                    <w:top w:val="nil"/>
                    <w:left w:val="nil"/>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-13.3</w:t>
                  </w:r>
                </w:p>
              </w:tc>
              <w:tc>
                <w:tcPr>
                  <w:tcW w:w="1341" w:type="pct"/>
                  <w:tcBorders>
                    <w:top w:val="nil"/>
                    <w:left w:val="nil"/>
                    <w:bottom w:val="single" w:color="auto" w:sz="4" w:space="0"/>
                    <w:right w:val="single" w:color="auto" w:sz="4" w:space="0"/>
                  </w:tcBorders>
                  <w:noWrap w:val="0"/>
                  <w:vAlign w:val="top"/>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80</w:t>
                  </w:r>
                </w:p>
              </w:tc>
              <w:tc>
                <w:tcPr>
                  <w:tcW w:w="902" w:type="pct"/>
                  <w:tcBorders>
                    <w:top w:val="nil"/>
                    <w:left w:val="nil"/>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 xml:space="preserve">54.56 </w:t>
                  </w:r>
                </w:p>
              </w:tc>
              <w:tc>
                <w:tcPr>
                  <w:tcW w:w="1152" w:type="pct"/>
                  <w:tcBorders>
                    <w:top w:val="nil"/>
                    <w:left w:val="nil"/>
                    <w:bottom w:val="single" w:color="auto" w:sz="4" w:space="0"/>
                    <w:right w:val="single" w:color="auto" w:sz="8"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 xml:space="preserve">15713.28 </w:t>
                  </w:r>
                </w:p>
              </w:tc>
            </w:tr>
            <w:tr>
              <w:tblPrEx>
                <w:tblCellMar>
                  <w:top w:w="0" w:type="dxa"/>
                  <w:left w:w="108" w:type="dxa"/>
                  <w:bottom w:w="0" w:type="dxa"/>
                  <w:right w:w="108" w:type="dxa"/>
                </w:tblCellMar>
              </w:tblPrEx>
              <w:trPr>
                <w:trHeight w:val="330" w:hRule="atLeast"/>
              </w:trPr>
              <w:tc>
                <w:tcPr>
                  <w:tcW w:w="676" w:type="pct"/>
                  <w:tcBorders>
                    <w:top w:val="nil"/>
                    <w:left w:val="single" w:color="auto" w:sz="8" w:space="0"/>
                    <w:bottom w:val="single" w:color="auto" w:sz="8"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合计</w:t>
                  </w:r>
                </w:p>
              </w:tc>
              <w:tc>
                <w:tcPr>
                  <w:tcW w:w="927" w:type="pct"/>
                  <w:tcBorders>
                    <w:top w:val="nil"/>
                    <w:left w:val="nil"/>
                    <w:bottom w:val="single" w:color="auto" w:sz="8"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p>
              </w:tc>
              <w:tc>
                <w:tcPr>
                  <w:tcW w:w="1341" w:type="pct"/>
                  <w:tcBorders>
                    <w:top w:val="nil"/>
                    <w:left w:val="nil"/>
                    <w:bottom w:val="single" w:color="auto" w:sz="8"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3480</w:t>
                  </w:r>
                </w:p>
              </w:tc>
              <w:tc>
                <w:tcPr>
                  <w:tcW w:w="902" w:type="pct"/>
                  <w:tcBorders>
                    <w:top w:val="nil"/>
                    <w:left w:val="nil"/>
                    <w:bottom w:val="single" w:color="auto" w:sz="8"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p>
              </w:tc>
              <w:tc>
                <w:tcPr>
                  <w:tcW w:w="1152" w:type="pct"/>
                  <w:tcBorders>
                    <w:top w:val="nil"/>
                    <w:left w:val="nil"/>
                    <w:bottom w:val="single" w:color="auto" w:sz="8" w:space="0"/>
                    <w:right w:val="single" w:color="auto" w:sz="8" w:space="0"/>
                  </w:tcBorders>
                  <w:noWrap w:val="0"/>
                  <w:vAlign w:val="center"/>
                </w:tcPr>
                <w:p>
                  <w:pPr>
                    <w:spacing w:line="300" w:lineRule="exact"/>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 xml:space="preserve">483057.85 </w:t>
                  </w:r>
                </w:p>
              </w:tc>
            </w:tr>
          </w:tbl>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lang w:val="en-US" w:eastAsia="zh-CN"/>
              </w:rPr>
              <w:t>7</w:t>
            </w:r>
            <w:r>
              <w:rPr>
                <w:rFonts w:hint="default" w:ascii="Times New Roman" w:hAnsi="Times New Roman" w:cs="Times New Roman"/>
                <w:b/>
                <w:color w:val="auto"/>
                <w:sz w:val="24"/>
              </w:rPr>
              <w:t>、公用工程</w:t>
            </w:r>
          </w:p>
          <w:p>
            <w:pPr>
              <w:keepNext w:val="0"/>
              <w:keepLines w:val="0"/>
              <w:pageBreakBefore w:val="0"/>
              <w:widowControl w:val="0"/>
              <w:kinsoku/>
              <w:wordWrap/>
              <w:overflowPunct/>
              <w:topLinePunct/>
              <w:autoSpaceDE/>
              <w:autoSpaceDN/>
              <w:bidi w:val="0"/>
              <w:adjustRightInd/>
              <w:spacing w:line="360" w:lineRule="auto"/>
              <w:ind w:left="0" w:leftChars="0" w:right="0" w:rightChars="0" w:firstLine="480" w:firstLineChars="200"/>
              <w:jc w:val="left"/>
              <w:textAlignment w:val="center"/>
              <w:outlineLvl w:val="9"/>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给水工程</w:t>
            </w:r>
          </w:p>
          <w:p>
            <w:pPr>
              <w:keepNext w:val="0"/>
              <w:keepLines w:val="0"/>
              <w:pageBreakBefore w:val="0"/>
              <w:widowControl w:val="0"/>
              <w:kinsoku/>
              <w:wordWrap/>
              <w:overflowPunct/>
              <w:autoSpaceDE/>
              <w:autoSpaceDN/>
              <w:bidi w:val="0"/>
              <w:adjustRightInd/>
              <w:snapToGrid w:val="0"/>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项目用水</w:t>
            </w:r>
            <w:r>
              <w:rPr>
                <w:rFonts w:hint="default" w:ascii="Times New Roman" w:hAnsi="Times New Roman" w:cs="Times New Roman"/>
                <w:color w:val="auto"/>
                <w:sz w:val="24"/>
                <w:szCs w:val="24"/>
                <w:highlight w:val="none"/>
                <w:lang w:val="en-US" w:eastAsia="zh-CN"/>
              </w:rPr>
              <w:t>由市政供水管网供给，项目用水包括生产用水和生活用水，新水用量为203.97m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/d(29575.65m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/a)。</w:t>
            </w:r>
          </w:p>
          <w:p>
            <w:pPr>
              <w:pStyle w:val="65"/>
              <w:numPr>
                <w:ilvl w:val="4"/>
                <w:numId w:val="0"/>
              </w:numPr>
              <w:bidi w:val="0"/>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（1）</w:t>
            </w:r>
            <w:r>
              <w:rPr>
                <w:rFonts w:hint="default" w:ascii="Times New Roman" w:hAnsi="Times New Roman" w:eastAsia="宋体" w:cs="Times New Roman"/>
                <w:color w:val="auto"/>
                <w:kern w:val="2"/>
                <w:sz w:val="24"/>
                <w:szCs w:val="24"/>
                <w:highlight w:val="none"/>
                <w:lang w:val="en-US" w:eastAsia="zh-CN" w:bidi="ar-SA"/>
              </w:rPr>
              <w:t>生产用水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生产用水包括锅炉运行用水、树脂交换器反冲洗水、脱硫系统用水、脱硝还原剂溶解用水、设备冷却水、炉渣间接冷却用水和煤、炉渣加湿用水，具体如下：</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①锅炉运行用水主要为热网循环用水，水循环为</w:t>
            </w:r>
            <w:r>
              <w:rPr>
                <w:rFonts w:hint="default" w:ascii="Times New Roman" w:hAnsi="Times New Roman" w:cs="Times New Roman"/>
                <w:color w:val="auto"/>
                <w:kern w:val="2"/>
                <w:sz w:val="24"/>
                <w:szCs w:val="24"/>
                <w:highlight w:val="none"/>
                <w:lang w:val="en-US" w:eastAsia="zh-CN" w:bidi="ar-SA"/>
              </w:rPr>
              <w:t>16626</w:t>
            </w:r>
            <w:r>
              <w:rPr>
                <w:rFonts w:hint="default" w:ascii="Times New Roman" w:hAnsi="Times New Roman" w:eastAsia="宋体" w:cs="Times New Roman"/>
                <w:color w:val="auto"/>
                <w:kern w:val="2"/>
                <w:sz w:val="24"/>
                <w:szCs w:val="24"/>
                <w:highlight w:val="none"/>
                <w:lang w:val="zh-CN" w:eastAsia="zh-CN" w:bidi="ar-SA"/>
              </w:rPr>
              <w:t>m</w:t>
            </w:r>
            <w:r>
              <w:rPr>
                <w:rFonts w:hint="default" w:ascii="Times New Roman" w:hAnsi="Times New Roman" w:eastAsia="宋体" w:cs="Times New Roman"/>
                <w:color w:val="auto"/>
                <w:kern w:val="2"/>
                <w:sz w:val="24"/>
                <w:szCs w:val="24"/>
                <w:highlight w:val="none"/>
                <w:vertAlign w:val="superscript"/>
                <w:lang w:val="zh-CN" w:eastAsia="zh-CN" w:bidi="ar-SA"/>
              </w:rPr>
              <w:t>3</w:t>
            </w:r>
            <w:r>
              <w:rPr>
                <w:rFonts w:hint="default" w:ascii="Times New Roman" w:hAnsi="Times New Roman" w:eastAsia="宋体" w:cs="Times New Roman"/>
                <w:color w:val="auto"/>
                <w:kern w:val="2"/>
                <w:sz w:val="24"/>
                <w:szCs w:val="24"/>
                <w:highlight w:val="none"/>
                <w:lang w:val="en-US" w:eastAsia="zh-CN" w:bidi="ar-SA"/>
              </w:rPr>
              <w:t>/d（</w:t>
            </w:r>
            <w:r>
              <w:rPr>
                <w:rFonts w:hint="default" w:ascii="Times New Roman" w:hAnsi="Times New Roman" w:cs="Times New Roman"/>
                <w:color w:val="auto"/>
                <w:kern w:val="2"/>
                <w:sz w:val="24"/>
                <w:szCs w:val="24"/>
                <w:highlight w:val="none"/>
                <w:lang w:val="en-US" w:eastAsia="zh-CN" w:bidi="ar-SA"/>
              </w:rPr>
              <w:t>831.3</w:t>
            </w:r>
            <w:r>
              <w:rPr>
                <w:rFonts w:hint="default" w:ascii="Times New Roman" w:hAnsi="Times New Roman" w:eastAsia="宋体" w:cs="Times New Roman"/>
                <w:color w:val="auto"/>
                <w:kern w:val="2"/>
                <w:sz w:val="24"/>
                <w:szCs w:val="24"/>
                <w:highlight w:val="none"/>
                <w:lang w:val="zh-CN" w:eastAsia="zh-CN" w:bidi="ar-SA"/>
              </w:rPr>
              <w:t>m</w:t>
            </w:r>
            <w:r>
              <w:rPr>
                <w:rFonts w:hint="default" w:ascii="Times New Roman" w:hAnsi="Times New Roman" w:eastAsia="宋体" w:cs="Times New Roman"/>
                <w:color w:val="auto"/>
                <w:kern w:val="2"/>
                <w:sz w:val="24"/>
                <w:szCs w:val="24"/>
                <w:highlight w:val="none"/>
                <w:vertAlign w:val="superscript"/>
                <w:lang w:val="zh-CN" w:eastAsia="zh-CN" w:bidi="ar-SA"/>
              </w:rPr>
              <w:t>3</w:t>
            </w:r>
            <w:r>
              <w:rPr>
                <w:rFonts w:hint="default" w:ascii="Times New Roman" w:hAnsi="Times New Roman" w:eastAsia="宋体" w:cs="Times New Roman"/>
                <w:color w:val="auto"/>
                <w:kern w:val="2"/>
                <w:sz w:val="24"/>
                <w:szCs w:val="24"/>
                <w:highlight w:val="none"/>
                <w:lang w:val="en-US" w:eastAsia="zh-CN" w:bidi="ar-SA"/>
              </w:rPr>
              <w:t>/h），由于锅炉排污、汽水损失和热网损失，需定期补充新水，补水量(取循环水量的1%)为</w:t>
            </w:r>
            <w:r>
              <w:rPr>
                <w:rFonts w:hint="default" w:ascii="Times New Roman" w:hAnsi="Times New Roman" w:cs="Times New Roman"/>
                <w:color w:val="auto"/>
                <w:kern w:val="2"/>
                <w:sz w:val="24"/>
                <w:szCs w:val="24"/>
                <w:highlight w:val="none"/>
                <w:lang w:val="en-US" w:eastAsia="zh-CN" w:bidi="ar-SA"/>
              </w:rPr>
              <w:t>166.26</w:t>
            </w:r>
            <w:r>
              <w:rPr>
                <w:rFonts w:hint="default" w:ascii="Times New Roman" w:hAnsi="Times New Roman" w:eastAsia="宋体" w:cs="Times New Roman"/>
                <w:color w:val="auto"/>
                <w:kern w:val="2"/>
                <w:sz w:val="24"/>
                <w:szCs w:val="24"/>
                <w:highlight w:val="none"/>
                <w:lang w:val="zh-CN" w:eastAsia="zh-CN" w:bidi="ar-SA"/>
              </w:rPr>
              <w:t>m</w:t>
            </w:r>
            <w:r>
              <w:rPr>
                <w:rFonts w:hint="default" w:ascii="Times New Roman" w:hAnsi="Times New Roman" w:eastAsia="宋体" w:cs="Times New Roman"/>
                <w:color w:val="auto"/>
                <w:kern w:val="2"/>
                <w:sz w:val="24"/>
                <w:szCs w:val="24"/>
                <w:highlight w:val="none"/>
                <w:vertAlign w:val="superscript"/>
                <w:lang w:val="zh-CN" w:eastAsia="zh-CN" w:bidi="ar-SA"/>
              </w:rPr>
              <w:t>3</w:t>
            </w:r>
            <w:r>
              <w:rPr>
                <w:rFonts w:hint="default" w:ascii="Times New Roman" w:hAnsi="Times New Roman" w:eastAsia="宋体" w:cs="Times New Roman"/>
                <w:color w:val="auto"/>
                <w:kern w:val="2"/>
                <w:sz w:val="24"/>
                <w:szCs w:val="24"/>
                <w:highlight w:val="none"/>
                <w:lang w:val="en-US" w:eastAsia="zh-CN" w:bidi="ar-SA"/>
              </w:rPr>
              <w:t>/d(</w:t>
            </w:r>
            <w:r>
              <w:rPr>
                <w:rFonts w:hint="default" w:ascii="Times New Roman" w:hAnsi="Times New Roman" w:cs="Times New Roman"/>
                <w:color w:val="auto"/>
                <w:kern w:val="2"/>
                <w:sz w:val="24"/>
                <w:szCs w:val="24"/>
                <w:highlight w:val="none"/>
                <w:lang w:val="en-US" w:eastAsia="zh-CN" w:bidi="ar-SA"/>
              </w:rPr>
              <w:t>8.31</w:t>
            </w:r>
            <w:r>
              <w:rPr>
                <w:rFonts w:hint="default" w:ascii="Times New Roman" w:hAnsi="Times New Roman" w:eastAsia="宋体" w:cs="Times New Roman"/>
                <w:color w:val="auto"/>
                <w:kern w:val="2"/>
                <w:sz w:val="24"/>
                <w:szCs w:val="24"/>
                <w:highlight w:val="none"/>
                <w:lang w:val="zh-CN" w:eastAsia="zh-CN" w:bidi="ar-SA"/>
              </w:rPr>
              <w:t>m</w:t>
            </w:r>
            <w:r>
              <w:rPr>
                <w:rFonts w:hint="default" w:ascii="Times New Roman" w:hAnsi="Times New Roman" w:eastAsia="宋体" w:cs="Times New Roman"/>
                <w:color w:val="auto"/>
                <w:kern w:val="2"/>
                <w:sz w:val="24"/>
                <w:szCs w:val="24"/>
                <w:highlight w:val="none"/>
                <w:vertAlign w:val="superscript"/>
                <w:lang w:val="zh-CN" w:eastAsia="zh-CN" w:bidi="ar-SA"/>
              </w:rPr>
              <w:t>3</w:t>
            </w:r>
            <w:r>
              <w:rPr>
                <w:rFonts w:hint="default" w:ascii="Times New Roman" w:hAnsi="Times New Roman" w:eastAsia="宋体" w:cs="Times New Roman"/>
                <w:color w:val="auto"/>
                <w:kern w:val="2"/>
                <w:sz w:val="24"/>
                <w:szCs w:val="24"/>
                <w:highlight w:val="none"/>
                <w:lang w:val="en-US" w:eastAsia="zh-CN" w:bidi="ar-SA"/>
              </w:rPr>
              <w:t>/h)。</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②软水站树脂交换器再生反冲洗水量约</w:t>
            </w:r>
            <w:r>
              <w:rPr>
                <w:rFonts w:hint="default" w:ascii="Times New Roman" w:hAnsi="Times New Roman" w:cs="Times New Roman"/>
                <w:color w:val="auto"/>
                <w:kern w:val="2"/>
                <w:sz w:val="24"/>
                <w:szCs w:val="24"/>
                <w:highlight w:val="none"/>
                <w:lang w:val="en-US" w:eastAsia="zh-CN" w:bidi="ar-SA"/>
              </w:rPr>
              <w:t>18</w:t>
            </w:r>
            <w:r>
              <w:rPr>
                <w:rFonts w:hint="default" w:ascii="Times New Roman" w:hAnsi="Times New Roman" w:eastAsia="宋体" w:cs="Times New Roman"/>
                <w:color w:val="auto"/>
                <w:kern w:val="2"/>
                <w:sz w:val="24"/>
                <w:szCs w:val="24"/>
                <w:highlight w:val="none"/>
                <w:lang w:val="zh-CN" w:eastAsia="zh-CN" w:bidi="ar-SA"/>
              </w:rPr>
              <w:t>m</w:t>
            </w:r>
            <w:r>
              <w:rPr>
                <w:rFonts w:hint="default" w:ascii="Times New Roman" w:hAnsi="Times New Roman" w:eastAsia="宋体" w:cs="Times New Roman"/>
                <w:color w:val="auto"/>
                <w:kern w:val="2"/>
                <w:sz w:val="24"/>
                <w:szCs w:val="24"/>
                <w:highlight w:val="none"/>
                <w:vertAlign w:val="superscript"/>
                <w:lang w:val="zh-CN" w:eastAsia="zh-CN" w:bidi="ar-SA"/>
              </w:rPr>
              <w:t>3</w:t>
            </w:r>
            <w:r>
              <w:rPr>
                <w:rFonts w:hint="default" w:ascii="Times New Roman" w:hAnsi="Times New Roman" w:eastAsia="宋体" w:cs="Times New Roman"/>
                <w:color w:val="auto"/>
                <w:kern w:val="2"/>
                <w:sz w:val="24"/>
                <w:szCs w:val="24"/>
                <w:highlight w:val="none"/>
                <w:lang w:val="en-US" w:eastAsia="zh-CN" w:bidi="ar-SA"/>
              </w:rPr>
              <w:t>/d(</w:t>
            </w:r>
            <w:r>
              <w:rPr>
                <w:rFonts w:hint="default" w:ascii="Times New Roman" w:hAnsi="Times New Roman" w:cs="Times New Roman"/>
                <w:color w:val="auto"/>
                <w:kern w:val="2"/>
                <w:sz w:val="24"/>
                <w:szCs w:val="24"/>
                <w:highlight w:val="none"/>
                <w:lang w:val="en-US" w:eastAsia="zh-CN" w:bidi="ar-SA"/>
              </w:rPr>
              <w:t>2160</w:t>
            </w:r>
            <w:r>
              <w:rPr>
                <w:rFonts w:hint="default" w:ascii="Times New Roman" w:hAnsi="Times New Roman" w:eastAsia="宋体" w:cs="Times New Roman"/>
                <w:color w:val="auto"/>
                <w:kern w:val="2"/>
                <w:sz w:val="24"/>
                <w:szCs w:val="24"/>
                <w:highlight w:val="none"/>
                <w:lang w:val="zh-CN" w:eastAsia="zh-CN" w:bidi="ar-SA"/>
              </w:rPr>
              <w:t>m</w:t>
            </w:r>
            <w:r>
              <w:rPr>
                <w:rFonts w:hint="default" w:ascii="Times New Roman" w:hAnsi="Times New Roman" w:eastAsia="宋体" w:cs="Times New Roman"/>
                <w:color w:val="auto"/>
                <w:kern w:val="2"/>
                <w:sz w:val="24"/>
                <w:szCs w:val="24"/>
                <w:highlight w:val="none"/>
                <w:vertAlign w:val="superscript"/>
                <w:lang w:val="zh-CN" w:eastAsia="zh-CN" w:bidi="ar-SA"/>
              </w:rPr>
              <w:t>3</w:t>
            </w:r>
            <w:r>
              <w:rPr>
                <w:rFonts w:hint="default" w:ascii="Times New Roman" w:hAnsi="Times New Roman" w:eastAsia="宋体" w:cs="Times New Roman"/>
                <w:color w:val="auto"/>
                <w:kern w:val="2"/>
                <w:sz w:val="24"/>
                <w:szCs w:val="24"/>
                <w:highlight w:val="none"/>
                <w:lang w:val="en-US" w:eastAsia="zh-CN" w:bidi="ar-SA"/>
              </w:rPr>
              <w:t>/a)。</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③脱硫系统用水是在脱硫塔内喷水降温，用水量为</w:t>
            </w:r>
            <w:r>
              <w:rPr>
                <w:rFonts w:hint="default" w:ascii="Times New Roman" w:hAnsi="Times New Roman" w:cs="Times New Roman"/>
                <w:color w:val="auto"/>
                <w:kern w:val="2"/>
                <w:sz w:val="24"/>
                <w:szCs w:val="24"/>
                <w:highlight w:val="none"/>
                <w:lang w:val="en-US" w:eastAsia="zh-CN" w:bidi="ar-SA"/>
              </w:rPr>
              <w:t>36</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/d，水源为软化废水、锅炉排污水和新鲜水。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④脱硝剂采用尿素，需加水配制，水量约为</w:t>
            </w:r>
            <w:r>
              <w:rPr>
                <w:rFonts w:hint="default" w:ascii="Times New Roman" w:hAnsi="Times New Roman" w:cs="Times New Roman"/>
                <w:color w:val="auto"/>
                <w:kern w:val="2"/>
                <w:sz w:val="24"/>
                <w:szCs w:val="24"/>
                <w:highlight w:val="none"/>
                <w:lang w:val="en-US" w:eastAsia="zh-CN" w:bidi="ar-SA"/>
              </w:rPr>
              <w:t>0.1</w:t>
            </w:r>
            <w:r>
              <w:rPr>
                <w:rFonts w:hint="default" w:ascii="Times New Roman" w:hAnsi="Times New Roman" w:eastAsia="宋体" w:cs="Times New Roman"/>
                <w:color w:val="auto"/>
                <w:kern w:val="2"/>
                <w:sz w:val="24"/>
                <w:szCs w:val="24"/>
                <w:highlight w:val="none"/>
                <w:lang w:val="zh-CN" w:eastAsia="zh-CN" w:bidi="ar-SA"/>
              </w:rPr>
              <w:t>m</w:t>
            </w:r>
            <w:r>
              <w:rPr>
                <w:rFonts w:hint="default" w:ascii="Times New Roman" w:hAnsi="Times New Roman" w:eastAsia="宋体" w:cs="Times New Roman"/>
                <w:color w:val="auto"/>
                <w:kern w:val="2"/>
                <w:sz w:val="24"/>
                <w:szCs w:val="24"/>
                <w:highlight w:val="none"/>
                <w:vertAlign w:val="superscript"/>
                <w:lang w:val="zh-CN" w:eastAsia="zh-CN" w:bidi="ar-SA"/>
              </w:rPr>
              <w:t>3</w:t>
            </w:r>
            <w:r>
              <w:rPr>
                <w:rFonts w:hint="default" w:ascii="Times New Roman" w:hAnsi="Times New Roman" w:eastAsia="宋体" w:cs="Times New Roman"/>
                <w:color w:val="auto"/>
                <w:kern w:val="2"/>
                <w:sz w:val="24"/>
                <w:szCs w:val="24"/>
                <w:highlight w:val="none"/>
                <w:lang w:val="en-US" w:eastAsia="zh-CN" w:bidi="ar-SA"/>
              </w:rPr>
              <w:t>/d。</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⑤锅炉运行过程中，设备间接冷却水循环量</w:t>
            </w:r>
            <w:r>
              <w:rPr>
                <w:rFonts w:hint="default" w:ascii="Times New Roman" w:hAnsi="Times New Roman" w:cs="Times New Roman"/>
                <w:color w:val="auto"/>
                <w:kern w:val="2"/>
                <w:sz w:val="24"/>
                <w:szCs w:val="24"/>
                <w:highlight w:val="none"/>
                <w:lang w:val="en-US" w:eastAsia="zh-CN" w:bidi="ar-SA"/>
              </w:rPr>
              <w:t>40</w:t>
            </w:r>
            <w:r>
              <w:rPr>
                <w:rFonts w:hint="default" w:ascii="Times New Roman" w:hAnsi="Times New Roman" w:eastAsia="宋体" w:cs="Times New Roman"/>
                <w:color w:val="auto"/>
                <w:kern w:val="2"/>
                <w:sz w:val="24"/>
                <w:szCs w:val="24"/>
                <w:highlight w:val="none"/>
                <w:lang w:val="zh-CN" w:eastAsia="zh-CN" w:bidi="ar-SA"/>
              </w:rPr>
              <w:t>m</w:t>
            </w:r>
            <w:r>
              <w:rPr>
                <w:rFonts w:hint="default" w:ascii="Times New Roman" w:hAnsi="Times New Roman" w:eastAsia="宋体" w:cs="Times New Roman"/>
                <w:color w:val="auto"/>
                <w:kern w:val="2"/>
                <w:sz w:val="24"/>
                <w:szCs w:val="24"/>
                <w:highlight w:val="none"/>
                <w:vertAlign w:val="superscript"/>
                <w:lang w:val="zh-CN" w:eastAsia="zh-CN" w:bidi="ar-SA"/>
              </w:rPr>
              <w:t>3</w:t>
            </w:r>
            <w:r>
              <w:rPr>
                <w:rFonts w:hint="default" w:ascii="Times New Roman" w:hAnsi="Times New Roman" w:eastAsia="宋体" w:cs="Times New Roman"/>
                <w:color w:val="auto"/>
                <w:kern w:val="2"/>
                <w:sz w:val="24"/>
                <w:szCs w:val="24"/>
                <w:highlight w:val="none"/>
                <w:lang w:val="en-US" w:eastAsia="zh-CN" w:bidi="ar-SA"/>
              </w:rPr>
              <w:t>/d(</w:t>
            </w:r>
            <w:r>
              <w:rPr>
                <w:rFonts w:hint="default" w:ascii="Times New Roman" w:hAnsi="Times New Roman" w:cs="Times New Roman"/>
                <w:color w:val="auto"/>
                <w:kern w:val="2"/>
                <w:sz w:val="24"/>
                <w:szCs w:val="24"/>
                <w:highlight w:val="none"/>
                <w:lang w:val="en-US" w:eastAsia="zh-CN" w:bidi="ar-SA"/>
              </w:rPr>
              <w:t>2</w:t>
            </w:r>
            <w:r>
              <w:rPr>
                <w:rFonts w:hint="default" w:ascii="Times New Roman" w:hAnsi="Times New Roman" w:eastAsia="宋体" w:cs="Times New Roman"/>
                <w:color w:val="auto"/>
                <w:kern w:val="2"/>
                <w:sz w:val="24"/>
                <w:szCs w:val="24"/>
                <w:highlight w:val="none"/>
                <w:lang w:val="zh-CN" w:eastAsia="zh-CN" w:bidi="ar-SA"/>
              </w:rPr>
              <w:t>m</w:t>
            </w:r>
            <w:r>
              <w:rPr>
                <w:rFonts w:hint="default" w:ascii="Times New Roman" w:hAnsi="Times New Roman" w:eastAsia="宋体" w:cs="Times New Roman"/>
                <w:color w:val="auto"/>
                <w:kern w:val="2"/>
                <w:sz w:val="24"/>
                <w:szCs w:val="24"/>
                <w:highlight w:val="none"/>
                <w:vertAlign w:val="superscript"/>
                <w:lang w:val="zh-CN" w:eastAsia="zh-CN" w:bidi="ar-SA"/>
              </w:rPr>
              <w:t>3</w:t>
            </w:r>
            <w:r>
              <w:rPr>
                <w:rFonts w:hint="default" w:ascii="Times New Roman" w:hAnsi="Times New Roman" w:eastAsia="宋体" w:cs="Times New Roman"/>
                <w:color w:val="auto"/>
                <w:kern w:val="2"/>
                <w:sz w:val="24"/>
                <w:szCs w:val="24"/>
                <w:highlight w:val="none"/>
                <w:lang w:val="en-US" w:eastAsia="zh-CN" w:bidi="ar-SA"/>
              </w:rPr>
              <w:t>/h)，由于湿度升高会蒸发损失部分水，需定期补充新水，补水量</w:t>
            </w:r>
            <w:r>
              <w:rPr>
                <w:rFonts w:hint="default" w:ascii="Times New Roman" w:hAnsi="Times New Roman" w:cs="Times New Roman"/>
                <w:color w:val="auto"/>
                <w:kern w:val="2"/>
                <w:sz w:val="24"/>
                <w:szCs w:val="24"/>
                <w:highlight w:val="none"/>
                <w:lang w:val="en-US" w:eastAsia="zh-CN" w:bidi="ar-SA"/>
              </w:rPr>
              <w:t>2</w:t>
            </w:r>
            <w:r>
              <w:rPr>
                <w:rFonts w:hint="default" w:ascii="Times New Roman" w:hAnsi="Times New Roman" w:eastAsia="宋体" w:cs="Times New Roman"/>
                <w:color w:val="auto"/>
                <w:kern w:val="2"/>
                <w:sz w:val="24"/>
                <w:szCs w:val="24"/>
                <w:highlight w:val="none"/>
                <w:lang w:val="zh-CN" w:eastAsia="zh-CN" w:bidi="ar-SA"/>
              </w:rPr>
              <w:t>m</w:t>
            </w:r>
            <w:r>
              <w:rPr>
                <w:rFonts w:hint="default" w:ascii="Times New Roman" w:hAnsi="Times New Roman" w:eastAsia="宋体" w:cs="Times New Roman"/>
                <w:color w:val="auto"/>
                <w:kern w:val="2"/>
                <w:sz w:val="24"/>
                <w:szCs w:val="24"/>
                <w:highlight w:val="none"/>
                <w:vertAlign w:val="superscript"/>
                <w:lang w:val="zh-CN" w:eastAsia="zh-CN" w:bidi="ar-SA"/>
              </w:rPr>
              <w:t>3</w:t>
            </w:r>
            <w:r>
              <w:rPr>
                <w:rFonts w:hint="default" w:ascii="Times New Roman" w:hAnsi="Times New Roman" w:eastAsia="宋体" w:cs="Times New Roman"/>
                <w:color w:val="auto"/>
                <w:kern w:val="2"/>
                <w:sz w:val="24"/>
                <w:szCs w:val="24"/>
                <w:highlight w:val="none"/>
                <w:lang w:val="en-US" w:eastAsia="zh-CN" w:bidi="ar-SA"/>
              </w:rPr>
              <w:t>/d。</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⑥锅炉除渣机采用间接冷却方式将炉渣冷却至50℃，间接冷却水循环量</w:t>
            </w:r>
            <w:r>
              <w:rPr>
                <w:rFonts w:hint="default" w:ascii="Times New Roman" w:hAnsi="Times New Roman" w:cs="Times New Roman"/>
                <w:color w:val="auto"/>
                <w:kern w:val="2"/>
                <w:sz w:val="24"/>
                <w:szCs w:val="24"/>
                <w:highlight w:val="none"/>
                <w:lang w:val="en-US" w:eastAsia="zh-CN" w:bidi="ar-SA"/>
              </w:rPr>
              <w:t>40</w:t>
            </w:r>
            <w:r>
              <w:rPr>
                <w:rFonts w:hint="default" w:ascii="Times New Roman" w:hAnsi="Times New Roman" w:eastAsia="宋体" w:cs="Times New Roman"/>
                <w:color w:val="auto"/>
                <w:kern w:val="2"/>
                <w:sz w:val="24"/>
                <w:szCs w:val="24"/>
                <w:highlight w:val="none"/>
                <w:lang w:val="zh-CN" w:eastAsia="zh-CN" w:bidi="ar-SA"/>
              </w:rPr>
              <w:t>m</w:t>
            </w:r>
            <w:r>
              <w:rPr>
                <w:rFonts w:hint="default" w:ascii="Times New Roman" w:hAnsi="Times New Roman" w:eastAsia="宋体" w:cs="Times New Roman"/>
                <w:color w:val="auto"/>
                <w:kern w:val="2"/>
                <w:sz w:val="24"/>
                <w:szCs w:val="24"/>
                <w:highlight w:val="none"/>
                <w:vertAlign w:val="superscript"/>
                <w:lang w:val="zh-CN" w:eastAsia="zh-CN" w:bidi="ar-SA"/>
              </w:rPr>
              <w:t>3</w:t>
            </w:r>
            <w:r>
              <w:rPr>
                <w:rFonts w:hint="default" w:ascii="Times New Roman" w:hAnsi="Times New Roman" w:eastAsia="宋体" w:cs="Times New Roman"/>
                <w:color w:val="auto"/>
                <w:kern w:val="2"/>
                <w:sz w:val="24"/>
                <w:szCs w:val="24"/>
                <w:highlight w:val="none"/>
                <w:lang w:val="en-US" w:eastAsia="zh-CN" w:bidi="ar-SA"/>
              </w:rPr>
              <w:t>/d (</w:t>
            </w:r>
            <w:r>
              <w:rPr>
                <w:rFonts w:hint="default" w:ascii="Times New Roman" w:hAnsi="Times New Roman" w:cs="Times New Roman"/>
                <w:color w:val="auto"/>
                <w:kern w:val="2"/>
                <w:sz w:val="24"/>
                <w:szCs w:val="24"/>
                <w:highlight w:val="none"/>
                <w:lang w:val="en-US" w:eastAsia="zh-CN" w:bidi="ar-SA"/>
              </w:rPr>
              <w:t>2</w:t>
            </w:r>
            <w:r>
              <w:rPr>
                <w:rFonts w:hint="default" w:ascii="Times New Roman" w:hAnsi="Times New Roman" w:eastAsia="宋体" w:cs="Times New Roman"/>
                <w:color w:val="auto"/>
                <w:kern w:val="2"/>
                <w:sz w:val="24"/>
                <w:szCs w:val="24"/>
                <w:highlight w:val="none"/>
                <w:lang w:val="zh-CN" w:eastAsia="zh-CN" w:bidi="ar-SA"/>
              </w:rPr>
              <w:t>m</w:t>
            </w:r>
            <w:r>
              <w:rPr>
                <w:rFonts w:hint="default" w:ascii="Times New Roman" w:hAnsi="Times New Roman" w:eastAsia="宋体" w:cs="Times New Roman"/>
                <w:color w:val="auto"/>
                <w:kern w:val="2"/>
                <w:sz w:val="24"/>
                <w:szCs w:val="24"/>
                <w:highlight w:val="none"/>
                <w:vertAlign w:val="superscript"/>
                <w:lang w:val="zh-CN" w:eastAsia="zh-CN" w:bidi="ar-SA"/>
              </w:rPr>
              <w:t>3</w:t>
            </w:r>
            <w:r>
              <w:rPr>
                <w:rFonts w:hint="default" w:ascii="Times New Roman" w:hAnsi="Times New Roman" w:eastAsia="宋体" w:cs="Times New Roman"/>
                <w:color w:val="auto"/>
                <w:kern w:val="2"/>
                <w:sz w:val="24"/>
                <w:szCs w:val="24"/>
                <w:highlight w:val="none"/>
                <w:lang w:val="en-US" w:eastAsia="zh-CN" w:bidi="ar-SA"/>
              </w:rPr>
              <w:t>/h)，由于湿度升高会蒸发损失部分水，需定期补充新水，补水量</w:t>
            </w:r>
            <w:r>
              <w:rPr>
                <w:rFonts w:hint="default" w:ascii="Times New Roman" w:hAnsi="Times New Roman" w:cs="Times New Roman"/>
                <w:color w:val="auto"/>
                <w:kern w:val="2"/>
                <w:sz w:val="24"/>
                <w:szCs w:val="24"/>
                <w:highlight w:val="none"/>
                <w:lang w:val="en-US" w:eastAsia="zh-CN" w:bidi="ar-SA"/>
              </w:rPr>
              <w:t>2</w:t>
            </w:r>
            <w:r>
              <w:rPr>
                <w:rFonts w:hint="default" w:ascii="Times New Roman" w:hAnsi="Times New Roman" w:eastAsia="宋体" w:cs="Times New Roman"/>
                <w:color w:val="auto"/>
                <w:kern w:val="2"/>
                <w:sz w:val="24"/>
                <w:szCs w:val="24"/>
                <w:highlight w:val="none"/>
                <w:lang w:val="zh-CN" w:eastAsia="zh-CN" w:bidi="ar-SA"/>
              </w:rPr>
              <w:t>m</w:t>
            </w:r>
            <w:r>
              <w:rPr>
                <w:rFonts w:hint="default" w:ascii="Times New Roman" w:hAnsi="Times New Roman" w:eastAsia="宋体" w:cs="Times New Roman"/>
                <w:color w:val="auto"/>
                <w:kern w:val="2"/>
                <w:sz w:val="24"/>
                <w:szCs w:val="24"/>
                <w:highlight w:val="none"/>
                <w:vertAlign w:val="superscript"/>
                <w:lang w:val="zh-CN" w:eastAsia="zh-CN" w:bidi="ar-SA"/>
              </w:rPr>
              <w:t>3</w:t>
            </w:r>
            <w:r>
              <w:rPr>
                <w:rFonts w:hint="default" w:ascii="Times New Roman" w:hAnsi="Times New Roman" w:eastAsia="宋体" w:cs="Times New Roman"/>
                <w:color w:val="auto"/>
                <w:kern w:val="2"/>
                <w:sz w:val="24"/>
                <w:szCs w:val="24"/>
                <w:highlight w:val="none"/>
                <w:lang w:val="en-US" w:eastAsia="zh-CN" w:bidi="ar-SA"/>
              </w:rPr>
              <w:t>/d。</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⑦为防止煤库中堆存的煤自燃，抑制煤和炉渣转运过程中起尘量，需定期向煤和炉渣喷水，用水量为</w:t>
            </w:r>
            <w:r>
              <w:rPr>
                <w:rFonts w:hint="default" w:ascii="Times New Roman" w:hAnsi="Times New Roman" w:cs="Times New Roman"/>
                <w:color w:val="auto"/>
                <w:kern w:val="2"/>
                <w:sz w:val="24"/>
                <w:szCs w:val="24"/>
                <w:highlight w:val="none"/>
                <w:lang w:val="en-US" w:eastAsia="zh-CN" w:bidi="ar-SA"/>
              </w:rPr>
              <w:t>2</w:t>
            </w:r>
            <w:r>
              <w:rPr>
                <w:rFonts w:hint="default" w:ascii="Times New Roman" w:hAnsi="Times New Roman" w:eastAsia="宋体" w:cs="Times New Roman"/>
                <w:color w:val="auto"/>
                <w:kern w:val="2"/>
                <w:sz w:val="24"/>
                <w:szCs w:val="24"/>
                <w:highlight w:val="none"/>
                <w:lang w:val="zh-CN" w:eastAsia="zh-CN" w:bidi="ar-SA"/>
              </w:rPr>
              <w:t>m</w:t>
            </w:r>
            <w:r>
              <w:rPr>
                <w:rFonts w:hint="default" w:ascii="Times New Roman" w:hAnsi="Times New Roman" w:eastAsia="宋体" w:cs="Times New Roman"/>
                <w:color w:val="auto"/>
                <w:kern w:val="2"/>
                <w:sz w:val="24"/>
                <w:szCs w:val="24"/>
                <w:highlight w:val="none"/>
                <w:vertAlign w:val="superscript"/>
                <w:lang w:val="zh-CN" w:eastAsia="zh-CN" w:bidi="ar-SA"/>
              </w:rPr>
              <w:t>3</w:t>
            </w:r>
            <w:r>
              <w:rPr>
                <w:rFonts w:hint="default" w:ascii="Times New Roman" w:hAnsi="Times New Roman" w:eastAsia="宋体" w:cs="Times New Roman"/>
                <w:color w:val="auto"/>
                <w:kern w:val="2"/>
                <w:sz w:val="24"/>
                <w:szCs w:val="24"/>
                <w:highlight w:val="none"/>
                <w:lang w:val="en-US" w:eastAsia="zh-CN" w:bidi="ar-SA"/>
              </w:rPr>
              <w:t>/d。</w:t>
            </w:r>
          </w:p>
          <w:p>
            <w:pPr>
              <w:pStyle w:val="65"/>
              <w:numPr>
                <w:ilvl w:val="4"/>
                <w:numId w:val="0"/>
              </w:numPr>
              <w:bidi w:val="0"/>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生活用水</w:t>
            </w:r>
          </w:p>
          <w:p>
            <w:pPr>
              <w:keepNext w:val="0"/>
              <w:keepLines w:val="0"/>
              <w:pageBreakBefore w:val="0"/>
              <w:widowControl w:val="0"/>
              <w:kinsoku/>
              <w:wordWrap/>
              <w:overflowPunct/>
              <w:autoSpaceDE/>
              <w:autoSpaceDN/>
              <w:bidi w:val="0"/>
              <w:adjustRightInd/>
              <w:snapToGrid w:val="0"/>
              <w:spacing w:line="360" w:lineRule="auto"/>
              <w:ind w:left="0" w:leftChars="0" w:right="0" w:rightChars="0" w:firstLine="480" w:firstLineChars="200"/>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项目</w:t>
            </w:r>
            <w:r>
              <w:rPr>
                <w:rFonts w:hint="default" w:ascii="Times New Roman" w:hAnsi="Times New Roman" w:cs="Times New Roman"/>
                <w:color w:val="auto"/>
                <w:kern w:val="2"/>
                <w:sz w:val="24"/>
                <w:szCs w:val="24"/>
                <w:highlight w:val="none"/>
                <w:lang w:val="en-US" w:eastAsia="zh-CN" w:bidi="ar-SA"/>
              </w:rPr>
              <w:t>劳动</w:t>
            </w:r>
            <w:r>
              <w:rPr>
                <w:rFonts w:hint="default" w:ascii="Times New Roman" w:hAnsi="Times New Roman" w:eastAsia="宋体" w:cs="Times New Roman"/>
                <w:color w:val="auto"/>
                <w:kern w:val="2"/>
                <w:sz w:val="24"/>
                <w:szCs w:val="24"/>
                <w:highlight w:val="none"/>
                <w:lang w:val="en-US" w:eastAsia="zh-CN" w:bidi="ar-SA"/>
              </w:rPr>
              <w:t>人员</w:t>
            </w:r>
            <w:r>
              <w:rPr>
                <w:rFonts w:hint="default" w:ascii="Times New Roman" w:hAnsi="Times New Roman" w:cs="Times New Roman"/>
                <w:color w:val="auto"/>
                <w:kern w:val="2"/>
                <w:sz w:val="24"/>
                <w:szCs w:val="24"/>
                <w:highlight w:val="none"/>
                <w:lang w:val="en-US" w:eastAsia="zh-CN" w:bidi="ar-SA"/>
              </w:rPr>
              <w:t>56</w:t>
            </w:r>
            <w:r>
              <w:rPr>
                <w:rFonts w:hint="default" w:ascii="Times New Roman" w:hAnsi="Times New Roman" w:eastAsia="宋体" w:cs="Times New Roman"/>
                <w:color w:val="auto"/>
                <w:kern w:val="2"/>
                <w:sz w:val="24"/>
                <w:szCs w:val="24"/>
                <w:highlight w:val="none"/>
                <w:lang w:val="en-US" w:eastAsia="zh-CN" w:bidi="ar-SA"/>
              </w:rPr>
              <w:t>人，用水量按每人每天</w:t>
            </w:r>
            <w:r>
              <w:rPr>
                <w:rFonts w:hint="default" w:ascii="Times New Roman" w:hAnsi="Times New Roman" w:cs="Times New Roman"/>
                <w:color w:val="auto"/>
                <w:kern w:val="2"/>
                <w:sz w:val="24"/>
                <w:szCs w:val="24"/>
                <w:highlight w:val="none"/>
                <w:lang w:val="en-US" w:eastAsia="zh-CN" w:bidi="ar-SA"/>
              </w:rPr>
              <w:t>50</w:t>
            </w:r>
            <w:r>
              <w:rPr>
                <w:rFonts w:hint="default" w:ascii="Times New Roman" w:hAnsi="Times New Roman" w:eastAsia="宋体" w:cs="Times New Roman"/>
                <w:color w:val="auto"/>
                <w:kern w:val="2"/>
                <w:sz w:val="24"/>
                <w:szCs w:val="24"/>
                <w:highlight w:val="none"/>
                <w:lang w:val="en-US" w:eastAsia="zh-CN" w:bidi="ar-SA"/>
              </w:rPr>
              <w:t>L计，用水量为</w:t>
            </w:r>
            <w:r>
              <w:rPr>
                <w:rFonts w:hint="default" w:ascii="Times New Roman" w:hAnsi="Times New Roman" w:cs="Times New Roman"/>
                <w:color w:val="auto"/>
                <w:kern w:val="2"/>
                <w:sz w:val="24"/>
                <w:szCs w:val="24"/>
                <w:highlight w:val="none"/>
                <w:lang w:val="en-US" w:eastAsia="zh-CN" w:bidi="ar-SA"/>
              </w:rPr>
              <w:t>2.8</w:t>
            </w:r>
            <w:r>
              <w:rPr>
                <w:rFonts w:hint="default" w:ascii="Times New Roman" w:hAnsi="Times New Roman" w:eastAsia="宋体" w:cs="Times New Roman"/>
                <w:color w:val="auto"/>
                <w:kern w:val="2"/>
                <w:sz w:val="24"/>
                <w:szCs w:val="24"/>
                <w:highlight w:val="none"/>
                <w:lang w:val="zh-CN" w:eastAsia="zh-CN" w:bidi="ar-SA"/>
              </w:rPr>
              <w:t>m</w:t>
            </w:r>
            <w:r>
              <w:rPr>
                <w:rFonts w:hint="default" w:ascii="Times New Roman" w:hAnsi="Times New Roman" w:eastAsia="宋体" w:cs="Times New Roman"/>
                <w:color w:val="auto"/>
                <w:kern w:val="2"/>
                <w:sz w:val="24"/>
                <w:szCs w:val="24"/>
                <w:highlight w:val="none"/>
                <w:vertAlign w:val="superscript"/>
                <w:lang w:val="zh-CN" w:eastAsia="zh-CN" w:bidi="ar-SA"/>
              </w:rPr>
              <w:t>3</w:t>
            </w:r>
            <w:r>
              <w:rPr>
                <w:rFonts w:hint="default" w:ascii="Times New Roman" w:hAnsi="Times New Roman" w:eastAsia="宋体" w:cs="Times New Roman"/>
                <w:color w:val="auto"/>
                <w:kern w:val="2"/>
                <w:sz w:val="24"/>
                <w:szCs w:val="24"/>
                <w:highlight w:val="none"/>
                <w:lang w:val="en-US" w:eastAsia="zh-CN" w:bidi="ar-SA"/>
              </w:rPr>
              <w:t>/d</w:t>
            </w:r>
            <w:r>
              <w:rPr>
                <w:rFonts w:hint="default" w:ascii="Times New Roman" w:hAnsi="Times New Roman" w:cs="Times New Roman"/>
                <w:color w:val="auto"/>
                <w:kern w:val="2"/>
                <w:sz w:val="24"/>
                <w:szCs w:val="24"/>
                <w:highlight w:val="none"/>
                <w:lang w:val="en-US" w:eastAsia="zh-CN" w:bidi="ar-SA"/>
              </w:rPr>
              <w:t>（406m</w:t>
            </w:r>
            <w:r>
              <w:rPr>
                <w:rFonts w:hint="default" w:ascii="Times New Roman" w:hAnsi="Times New Roman" w:cs="Times New Roman"/>
                <w:color w:val="auto"/>
                <w:kern w:val="2"/>
                <w:sz w:val="24"/>
                <w:szCs w:val="24"/>
                <w:highlight w:val="none"/>
                <w:vertAlign w:val="superscript"/>
                <w:lang w:val="en-US" w:eastAsia="zh-CN" w:bidi="ar-SA"/>
              </w:rPr>
              <w:t>3</w:t>
            </w:r>
            <w:r>
              <w:rPr>
                <w:rFonts w:hint="default" w:ascii="Times New Roman" w:hAnsi="Times New Roman" w:cs="Times New Roman"/>
                <w:color w:val="auto"/>
                <w:kern w:val="2"/>
                <w:sz w:val="24"/>
                <w:szCs w:val="24"/>
                <w:highlight w:val="none"/>
                <w:lang w:val="en-US" w:eastAsia="zh-CN" w:bidi="ar-SA"/>
              </w:rPr>
              <w:t>/a）；食堂用水量按每人每餐10L计，每日两餐，用水量为1.12</w:t>
            </w:r>
            <w:r>
              <w:rPr>
                <w:rFonts w:hint="default" w:ascii="Times New Roman" w:hAnsi="Times New Roman" w:eastAsia="宋体" w:cs="Times New Roman"/>
                <w:color w:val="auto"/>
                <w:kern w:val="2"/>
                <w:sz w:val="24"/>
                <w:szCs w:val="24"/>
                <w:highlight w:val="none"/>
                <w:lang w:val="zh-CN" w:eastAsia="zh-CN" w:bidi="ar-SA"/>
              </w:rPr>
              <w:t>m</w:t>
            </w:r>
            <w:r>
              <w:rPr>
                <w:rFonts w:hint="default" w:ascii="Times New Roman" w:hAnsi="Times New Roman" w:eastAsia="宋体" w:cs="Times New Roman"/>
                <w:color w:val="auto"/>
                <w:kern w:val="2"/>
                <w:sz w:val="24"/>
                <w:szCs w:val="24"/>
                <w:highlight w:val="none"/>
                <w:vertAlign w:val="superscript"/>
                <w:lang w:val="zh-CN" w:eastAsia="zh-CN" w:bidi="ar-SA"/>
              </w:rPr>
              <w:t>3</w:t>
            </w:r>
            <w:r>
              <w:rPr>
                <w:rFonts w:hint="default" w:ascii="Times New Roman" w:hAnsi="Times New Roman" w:eastAsia="宋体" w:cs="Times New Roman"/>
                <w:color w:val="auto"/>
                <w:kern w:val="2"/>
                <w:sz w:val="24"/>
                <w:szCs w:val="24"/>
                <w:highlight w:val="none"/>
                <w:lang w:val="en-US" w:eastAsia="zh-CN" w:bidi="ar-SA"/>
              </w:rPr>
              <w:t>/d</w:t>
            </w:r>
            <w:r>
              <w:rPr>
                <w:rFonts w:hint="default" w:ascii="Times New Roman" w:hAnsi="Times New Roman" w:cs="Times New Roman"/>
                <w:color w:val="auto"/>
                <w:kern w:val="2"/>
                <w:sz w:val="24"/>
                <w:szCs w:val="24"/>
                <w:highlight w:val="none"/>
                <w:lang w:val="en-US" w:eastAsia="zh-CN" w:bidi="ar-SA"/>
              </w:rPr>
              <w:t>（162.4m</w:t>
            </w:r>
            <w:r>
              <w:rPr>
                <w:rFonts w:hint="default" w:ascii="Times New Roman" w:hAnsi="Times New Roman" w:cs="Times New Roman"/>
                <w:color w:val="auto"/>
                <w:kern w:val="2"/>
                <w:sz w:val="24"/>
                <w:szCs w:val="24"/>
                <w:highlight w:val="none"/>
                <w:vertAlign w:val="superscript"/>
                <w:lang w:val="en-US" w:eastAsia="zh-CN" w:bidi="ar-SA"/>
              </w:rPr>
              <w:t>3</w:t>
            </w:r>
            <w:r>
              <w:rPr>
                <w:rFonts w:hint="default" w:ascii="Times New Roman" w:hAnsi="Times New Roman" w:cs="Times New Roman"/>
                <w:color w:val="auto"/>
                <w:kern w:val="2"/>
                <w:sz w:val="24"/>
                <w:szCs w:val="24"/>
                <w:highlight w:val="none"/>
                <w:lang w:val="en-US" w:eastAsia="zh-CN" w:bidi="ar-SA"/>
              </w:rPr>
              <w:t>/a）</w:t>
            </w:r>
            <w:r>
              <w:rPr>
                <w:rFonts w:hint="default" w:ascii="Times New Roman" w:hAnsi="Times New Roman" w:eastAsia="宋体" w:cs="Times New Roman"/>
                <w:color w:val="auto"/>
                <w:kern w:val="2"/>
                <w:sz w:val="24"/>
                <w:szCs w:val="24"/>
                <w:highlight w:val="none"/>
                <w:lang w:val="en-US" w:eastAsia="zh-CN" w:bidi="ar-SA"/>
              </w:rPr>
              <w:t>。</w:t>
            </w:r>
          </w:p>
          <w:p>
            <w:pPr>
              <w:topLinePunct/>
              <w:snapToGrid w:val="0"/>
              <w:spacing w:line="360" w:lineRule="auto"/>
              <w:ind w:firstLine="480" w:firstLineChars="200"/>
              <w:jc w:val="left"/>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2、排水工程：</w:t>
            </w:r>
          </w:p>
          <w:p>
            <w:pPr>
              <w:topLinePunct/>
              <w:snapToGrid w:val="0"/>
              <w:spacing w:line="360" w:lineRule="auto"/>
              <w:ind w:firstLine="480" w:firstLineChars="200"/>
              <w:jc w:val="left"/>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（1）生产废水</w:t>
            </w:r>
          </w:p>
          <w:p>
            <w:pPr>
              <w:topLinePunct/>
              <w:snapToGrid w:val="0"/>
              <w:spacing w:line="360" w:lineRule="auto"/>
              <w:ind w:firstLine="480" w:firstLineChars="200"/>
              <w:jc w:val="left"/>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锅炉用水和设备、炉渣间接冷却水循环使用，生产废水主要为锅炉排污水和树脂交换器冲洗废水。</w:t>
            </w:r>
          </w:p>
          <w:p>
            <w:pPr>
              <w:topLinePunct/>
              <w:snapToGrid w:val="0"/>
              <w:spacing w:line="360" w:lineRule="auto"/>
              <w:ind w:firstLine="480" w:firstLineChars="200"/>
              <w:jc w:val="left"/>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①锅炉排污水占补水量的5%左右，产生量为8.31</w:t>
            </w:r>
            <w:r>
              <w:rPr>
                <w:rFonts w:hint="default" w:ascii="Times New Roman" w:hAnsi="Times New Roman" w:eastAsia="宋体" w:cs="Times New Roman"/>
                <w:color w:val="auto"/>
                <w:sz w:val="24"/>
                <w:szCs w:val="24"/>
                <w:lang w:val="zh-CN" w:eastAsia="zh-CN"/>
              </w:rPr>
              <w:t>m</w:t>
            </w:r>
            <w:r>
              <w:rPr>
                <w:rFonts w:hint="default" w:ascii="Times New Roman" w:hAnsi="Times New Roman" w:eastAsia="宋体" w:cs="Times New Roman"/>
                <w:color w:val="auto"/>
                <w:sz w:val="24"/>
                <w:szCs w:val="24"/>
                <w:vertAlign w:val="superscript"/>
                <w:lang w:val="zh-CN" w:eastAsia="zh-CN"/>
              </w:rPr>
              <w:t>3</w:t>
            </w:r>
            <w:r>
              <w:rPr>
                <w:rFonts w:hint="default" w:ascii="Times New Roman" w:hAnsi="Times New Roman" w:eastAsia="宋体" w:cs="Times New Roman"/>
                <w:color w:val="auto"/>
                <w:sz w:val="24"/>
                <w:szCs w:val="24"/>
                <w:lang w:val="en-US" w:eastAsia="zh-CN"/>
              </w:rPr>
              <w:t>/d，用于脱硫系统补充水。</w:t>
            </w:r>
          </w:p>
          <w:p>
            <w:pPr>
              <w:topLinePunct/>
              <w:snapToGrid w:val="0"/>
              <w:spacing w:line="360" w:lineRule="auto"/>
              <w:ind w:firstLine="480" w:firstLineChars="200"/>
              <w:jc w:val="left"/>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②树脂交换器冲洗废水产生量18</w:t>
            </w:r>
            <w:r>
              <w:rPr>
                <w:rFonts w:hint="default" w:ascii="Times New Roman" w:hAnsi="Times New Roman" w:eastAsia="宋体" w:cs="Times New Roman"/>
                <w:color w:val="auto"/>
                <w:sz w:val="24"/>
                <w:szCs w:val="24"/>
                <w:lang w:val="zh-CN" w:eastAsia="zh-CN"/>
              </w:rPr>
              <w:t>m</w:t>
            </w:r>
            <w:r>
              <w:rPr>
                <w:rFonts w:hint="default" w:ascii="Times New Roman" w:hAnsi="Times New Roman" w:eastAsia="宋体" w:cs="Times New Roman"/>
                <w:color w:val="auto"/>
                <w:sz w:val="24"/>
                <w:szCs w:val="24"/>
                <w:vertAlign w:val="superscript"/>
                <w:lang w:val="zh-CN" w:eastAsia="zh-CN"/>
              </w:rPr>
              <w:t>3</w:t>
            </w:r>
            <w:r>
              <w:rPr>
                <w:rFonts w:hint="default" w:ascii="Times New Roman" w:hAnsi="Times New Roman" w:eastAsia="宋体" w:cs="Times New Roman"/>
                <w:color w:val="auto"/>
                <w:sz w:val="24"/>
                <w:szCs w:val="24"/>
                <w:lang w:val="en-US" w:eastAsia="zh-CN"/>
              </w:rPr>
              <w:t>/d，用于脱硫系统补充水。</w:t>
            </w:r>
          </w:p>
          <w:p>
            <w:pPr>
              <w:topLinePunct/>
              <w:snapToGrid w:val="0"/>
              <w:spacing w:line="360" w:lineRule="auto"/>
              <w:ind w:firstLine="480" w:firstLineChars="200"/>
              <w:jc w:val="left"/>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（2）生活污水</w:t>
            </w:r>
          </w:p>
          <w:p>
            <w:pPr>
              <w:topLinePunct/>
              <w:snapToGrid w:val="0"/>
              <w:spacing w:line="360" w:lineRule="auto"/>
              <w:ind w:firstLine="480" w:firstLineChars="200"/>
              <w:jc w:val="left"/>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生活污水按用水量的80%计算，产生量为2.24m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/d，食堂废水按用水量的80%计算，产生量为2.24m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/d，经化粪池处理后，抽排至污水处理厂统一处理。</w:t>
            </w:r>
          </w:p>
          <w:p>
            <w:pPr>
              <w:keepNext w:val="0"/>
              <w:keepLines w:val="0"/>
              <w:pageBreakBefore w:val="0"/>
              <w:widowControl w:val="0"/>
              <w:kinsoku/>
              <w:wordWrap/>
              <w:overflowPunct/>
              <w:autoSpaceDE/>
              <w:autoSpaceDN/>
              <w:bidi w:val="0"/>
              <w:adjustRightInd/>
              <w:snapToGrid w:val="0"/>
              <w:spacing w:line="360" w:lineRule="auto"/>
              <w:ind w:left="0" w:leftChars="0" w:right="0" w:rightChars="0" w:firstLine="480" w:firstLineChars="200"/>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综上：本项目总废水排放量为</w:t>
            </w:r>
            <w:r>
              <w:rPr>
                <w:rFonts w:hint="default" w:ascii="Times New Roman" w:hAnsi="Times New Roman" w:cs="Times New Roman"/>
                <w:color w:val="auto"/>
                <w:sz w:val="24"/>
                <w:szCs w:val="24"/>
                <w:highlight w:val="none"/>
                <w:lang w:val="en-US" w:eastAsia="zh-CN"/>
              </w:rPr>
              <w:t>3.13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lang w:val="en-US" w:eastAsia="zh-CN"/>
              </w:rPr>
              <w:t>/d（</w:t>
            </w:r>
            <w:r>
              <w:rPr>
                <w:rFonts w:hint="default" w:ascii="Times New Roman" w:hAnsi="Times New Roman" w:cs="Times New Roman"/>
                <w:color w:val="auto"/>
                <w:sz w:val="24"/>
                <w:szCs w:val="24"/>
                <w:highlight w:val="none"/>
                <w:lang w:val="en-US" w:eastAsia="zh-CN"/>
              </w:rPr>
              <w:t>453.85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lang w:val="en-US" w:eastAsia="zh-CN"/>
              </w:rPr>
              <w:t>/a）</w:t>
            </w:r>
          </w:p>
          <w:p>
            <w:pPr>
              <w:pStyle w:val="36"/>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项目运行期间水量平衡表  单位：m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lang w:val="en-US" w:eastAsia="zh-CN"/>
              </w:rPr>
              <w:t>/d</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89"/>
              <w:gridCol w:w="767"/>
              <w:gridCol w:w="599"/>
              <w:gridCol w:w="679"/>
              <w:gridCol w:w="757"/>
              <w:gridCol w:w="798"/>
              <w:gridCol w:w="708"/>
              <w:gridCol w:w="588"/>
              <w:gridCol w:w="654"/>
              <w:gridCol w:w="1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29"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用水项目</w:t>
                  </w:r>
                </w:p>
              </w:tc>
              <w:tc>
                <w:tcPr>
                  <w:tcW w:w="460"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总用水量</w:t>
                  </w:r>
                </w:p>
              </w:tc>
              <w:tc>
                <w:tcPr>
                  <w:tcW w:w="360"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新鲜水量</w:t>
                  </w:r>
                </w:p>
              </w:tc>
              <w:tc>
                <w:tcPr>
                  <w:tcW w:w="407" w:type="pct"/>
                  <w:vAlign w:val="center"/>
                </w:tcPr>
                <w:p>
                  <w:pPr>
                    <w:pStyle w:val="4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软化水</w:t>
                  </w:r>
                </w:p>
              </w:tc>
              <w:tc>
                <w:tcPr>
                  <w:tcW w:w="454"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二次水</w:t>
                  </w:r>
                </w:p>
              </w:tc>
              <w:tc>
                <w:tcPr>
                  <w:tcW w:w="467"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循环</w:t>
                  </w:r>
                </w:p>
                <w:p>
                  <w:pPr>
                    <w:pStyle w:val="44"/>
                    <w:bidi w:val="0"/>
                    <w:rPr>
                      <w:rFonts w:hint="default" w:ascii="Times New Roman" w:hAnsi="Times New Roman" w:cs="Times New Roman"/>
                      <w:color w:val="auto"/>
                    </w:rPr>
                  </w:pPr>
                  <w:r>
                    <w:rPr>
                      <w:rFonts w:hint="default" w:ascii="Times New Roman" w:hAnsi="Times New Roman" w:cs="Times New Roman"/>
                      <w:color w:val="auto"/>
                    </w:rPr>
                    <w:t>水量</w:t>
                  </w:r>
                </w:p>
              </w:tc>
              <w:tc>
                <w:tcPr>
                  <w:tcW w:w="425" w:type="pct"/>
                  <w:vAlign w:val="center"/>
                </w:tcPr>
                <w:p>
                  <w:pPr>
                    <w:pStyle w:val="44"/>
                    <w:bidi w:val="0"/>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废水产生量</w:t>
                  </w:r>
                </w:p>
              </w:tc>
              <w:tc>
                <w:tcPr>
                  <w:tcW w:w="318"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损耗量</w:t>
                  </w:r>
                </w:p>
              </w:tc>
              <w:tc>
                <w:tcPr>
                  <w:tcW w:w="393"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排水量</w:t>
                  </w:r>
                </w:p>
              </w:tc>
              <w:tc>
                <w:tcPr>
                  <w:tcW w:w="881"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29"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锅炉运行用水</w:t>
                  </w:r>
                </w:p>
              </w:tc>
              <w:tc>
                <w:tcPr>
                  <w:tcW w:w="460" w:type="pct"/>
                  <w:vAlign w:val="center"/>
                </w:tcPr>
                <w:p>
                  <w:pPr>
                    <w:pStyle w:val="44"/>
                    <w:bidi w:val="0"/>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16626</w:t>
                  </w:r>
                </w:p>
              </w:tc>
              <w:tc>
                <w:tcPr>
                  <w:tcW w:w="360" w:type="pct"/>
                  <w:vAlign w:val="center"/>
                </w:tcPr>
                <w:p>
                  <w:pPr>
                    <w:pStyle w:val="4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w:t>
                  </w:r>
                </w:p>
              </w:tc>
              <w:tc>
                <w:tcPr>
                  <w:tcW w:w="407" w:type="pct"/>
                  <w:vAlign w:val="center"/>
                </w:tcPr>
                <w:p>
                  <w:pPr>
                    <w:pStyle w:val="4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166.26</w:t>
                  </w:r>
                </w:p>
              </w:tc>
              <w:tc>
                <w:tcPr>
                  <w:tcW w:w="454"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0</w:t>
                  </w:r>
                </w:p>
              </w:tc>
              <w:tc>
                <w:tcPr>
                  <w:tcW w:w="467" w:type="pct"/>
                  <w:vAlign w:val="center"/>
                </w:tcPr>
                <w:p>
                  <w:pPr>
                    <w:pStyle w:val="4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16459.74</w:t>
                  </w:r>
                </w:p>
              </w:tc>
              <w:tc>
                <w:tcPr>
                  <w:tcW w:w="425" w:type="pct"/>
                  <w:vAlign w:val="center"/>
                </w:tcPr>
                <w:p>
                  <w:pPr>
                    <w:pStyle w:val="44"/>
                    <w:bidi w:val="0"/>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lang w:val="en-US" w:eastAsia="zh-CN"/>
                    </w:rPr>
                    <w:t>8.31</w:t>
                  </w:r>
                </w:p>
              </w:tc>
              <w:tc>
                <w:tcPr>
                  <w:tcW w:w="318" w:type="pct"/>
                  <w:vAlign w:val="center"/>
                </w:tcPr>
                <w:p>
                  <w:pPr>
                    <w:pStyle w:val="4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157.95</w:t>
                  </w:r>
                </w:p>
              </w:tc>
              <w:tc>
                <w:tcPr>
                  <w:tcW w:w="393"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0</w:t>
                  </w:r>
                </w:p>
              </w:tc>
              <w:tc>
                <w:tcPr>
                  <w:tcW w:w="881" w:type="pct"/>
                  <w:vMerge w:val="restar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排水用于</w:t>
                  </w:r>
                  <w:r>
                    <w:rPr>
                      <w:rFonts w:hint="default" w:ascii="Times New Roman" w:hAnsi="Times New Roman" w:cs="Times New Roman"/>
                      <w:color w:val="auto"/>
                      <w:lang w:val="en-US" w:eastAsia="zh-CN"/>
                    </w:rPr>
                    <w:t>脱硫系统</w:t>
                  </w:r>
                  <w:r>
                    <w:rPr>
                      <w:rFonts w:hint="default" w:ascii="Times New Roman" w:hAnsi="Times New Roman" w:cs="Times New Roman"/>
                      <w:color w:val="auto"/>
                    </w:rPr>
                    <w:t>补水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29"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树脂交换器</w:t>
                  </w:r>
                </w:p>
                <w:p>
                  <w:pPr>
                    <w:pStyle w:val="44"/>
                    <w:bidi w:val="0"/>
                    <w:rPr>
                      <w:rFonts w:hint="default" w:ascii="Times New Roman" w:hAnsi="Times New Roman" w:cs="Times New Roman"/>
                      <w:color w:val="auto"/>
                    </w:rPr>
                  </w:pPr>
                  <w:r>
                    <w:rPr>
                      <w:rFonts w:hint="default" w:ascii="Times New Roman" w:hAnsi="Times New Roman" w:cs="Times New Roman"/>
                      <w:color w:val="auto"/>
                    </w:rPr>
                    <w:t>反冲洗水</w:t>
                  </w:r>
                </w:p>
              </w:tc>
              <w:tc>
                <w:tcPr>
                  <w:tcW w:w="460" w:type="pct"/>
                  <w:vAlign w:val="center"/>
                </w:tcPr>
                <w:p>
                  <w:pPr>
                    <w:pStyle w:val="4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18</w:t>
                  </w:r>
                </w:p>
              </w:tc>
              <w:tc>
                <w:tcPr>
                  <w:tcW w:w="360" w:type="pct"/>
                  <w:vAlign w:val="center"/>
                </w:tcPr>
                <w:p>
                  <w:pPr>
                    <w:pStyle w:val="4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18</w:t>
                  </w:r>
                </w:p>
              </w:tc>
              <w:tc>
                <w:tcPr>
                  <w:tcW w:w="407" w:type="pct"/>
                  <w:vAlign w:val="center"/>
                </w:tcPr>
                <w:p>
                  <w:pPr>
                    <w:pStyle w:val="4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w:t>
                  </w:r>
                </w:p>
              </w:tc>
              <w:tc>
                <w:tcPr>
                  <w:tcW w:w="454"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0</w:t>
                  </w:r>
                </w:p>
              </w:tc>
              <w:tc>
                <w:tcPr>
                  <w:tcW w:w="467"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0</w:t>
                  </w:r>
                </w:p>
              </w:tc>
              <w:tc>
                <w:tcPr>
                  <w:tcW w:w="425" w:type="pct"/>
                  <w:vAlign w:val="center"/>
                </w:tcPr>
                <w:p>
                  <w:pPr>
                    <w:pStyle w:val="44"/>
                    <w:bidi w:val="0"/>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lang w:val="en-US" w:eastAsia="zh-CN"/>
                    </w:rPr>
                    <w:t>18</w:t>
                  </w:r>
                </w:p>
              </w:tc>
              <w:tc>
                <w:tcPr>
                  <w:tcW w:w="318"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0</w:t>
                  </w:r>
                </w:p>
              </w:tc>
              <w:tc>
                <w:tcPr>
                  <w:tcW w:w="393"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0</w:t>
                  </w:r>
                </w:p>
              </w:tc>
              <w:tc>
                <w:tcPr>
                  <w:tcW w:w="881" w:type="pct"/>
                  <w:vMerge w:val="continue"/>
                  <w:vAlign w:val="center"/>
                </w:tcPr>
                <w:p>
                  <w:pPr>
                    <w:pStyle w:val="44"/>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29"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脱硫系统用水</w:t>
                  </w:r>
                </w:p>
              </w:tc>
              <w:tc>
                <w:tcPr>
                  <w:tcW w:w="460" w:type="pct"/>
                  <w:vAlign w:val="center"/>
                </w:tcPr>
                <w:p>
                  <w:pPr>
                    <w:pStyle w:val="4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36</w:t>
                  </w:r>
                </w:p>
              </w:tc>
              <w:tc>
                <w:tcPr>
                  <w:tcW w:w="360" w:type="pct"/>
                  <w:vAlign w:val="center"/>
                </w:tcPr>
                <w:p>
                  <w:pPr>
                    <w:pStyle w:val="44"/>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9.69</w:t>
                  </w:r>
                </w:p>
              </w:tc>
              <w:tc>
                <w:tcPr>
                  <w:tcW w:w="407" w:type="pct"/>
                  <w:vAlign w:val="center"/>
                </w:tcPr>
                <w:p>
                  <w:pPr>
                    <w:pStyle w:val="44"/>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w:t>
                  </w:r>
                </w:p>
              </w:tc>
              <w:tc>
                <w:tcPr>
                  <w:tcW w:w="454" w:type="pct"/>
                  <w:vAlign w:val="center"/>
                </w:tcPr>
                <w:p>
                  <w:pPr>
                    <w:pStyle w:val="44"/>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26.31</w:t>
                  </w:r>
                </w:p>
              </w:tc>
              <w:tc>
                <w:tcPr>
                  <w:tcW w:w="467" w:type="pct"/>
                  <w:vAlign w:val="center"/>
                </w:tcPr>
                <w:p>
                  <w:pPr>
                    <w:pStyle w:val="44"/>
                    <w:bidi w:val="0"/>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0</w:t>
                  </w:r>
                </w:p>
              </w:tc>
              <w:tc>
                <w:tcPr>
                  <w:tcW w:w="425" w:type="pct"/>
                  <w:vAlign w:val="center"/>
                </w:tcPr>
                <w:p>
                  <w:pPr>
                    <w:pStyle w:val="44"/>
                    <w:bidi w:val="0"/>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0</w:t>
                  </w:r>
                </w:p>
              </w:tc>
              <w:tc>
                <w:tcPr>
                  <w:tcW w:w="318" w:type="pct"/>
                  <w:vAlign w:val="center"/>
                </w:tcPr>
                <w:p>
                  <w:pPr>
                    <w:pStyle w:val="4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36</w:t>
                  </w:r>
                </w:p>
              </w:tc>
              <w:tc>
                <w:tcPr>
                  <w:tcW w:w="393"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0</w:t>
                  </w:r>
                </w:p>
              </w:tc>
              <w:tc>
                <w:tcPr>
                  <w:tcW w:w="881" w:type="pct"/>
                  <w:vAlign w:val="center"/>
                </w:tcPr>
                <w:p>
                  <w:pPr>
                    <w:pStyle w:val="4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蒸发于脱硫塔内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29"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脱硝剂溶解水</w:t>
                  </w:r>
                </w:p>
              </w:tc>
              <w:tc>
                <w:tcPr>
                  <w:tcW w:w="460" w:type="pct"/>
                  <w:vAlign w:val="center"/>
                </w:tcPr>
                <w:p>
                  <w:pPr>
                    <w:pStyle w:val="4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0.1</w:t>
                  </w:r>
                </w:p>
              </w:tc>
              <w:tc>
                <w:tcPr>
                  <w:tcW w:w="360" w:type="pct"/>
                  <w:vAlign w:val="center"/>
                </w:tcPr>
                <w:p>
                  <w:pPr>
                    <w:pStyle w:val="4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0.1</w:t>
                  </w:r>
                </w:p>
              </w:tc>
              <w:tc>
                <w:tcPr>
                  <w:tcW w:w="407" w:type="pct"/>
                  <w:vAlign w:val="center"/>
                </w:tcPr>
                <w:p>
                  <w:pPr>
                    <w:pStyle w:val="4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w:t>
                  </w:r>
                </w:p>
              </w:tc>
              <w:tc>
                <w:tcPr>
                  <w:tcW w:w="454"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0</w:t>
                  </w:r>
                </w:p>
              </w:tc>
              <w:tc>
                <w:tcPr>
                  <w:tcW w:w="467"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0</w:t>
                  </w:r>
                </w:p>
              </w:tc>
              <w:tc>
                <w:tcPr>
                  <w:tcW w:w="425" w:type="pct"/>
                  <w:vAlign w:val="center"/>
                </w:tcPr>
                <w:p>
                  <w:pPr>
                    <w:pStyle w:val="44"/>
                    <w:bidi w:val="0"/>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0</w:t>
                  </w:r>
                </w:p>
              </w:tc>
              <w:tc>
                <w:tcPr>
                  <w:tcW w:w="318" w:type="pct"/>
                  <w:vAlign w:val="center"/>
                </w:tcPr>
                <w:p>
                  <w:pPr>
                    <w:pStyle w:val="4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0.1</w:t>
                  </w:r>
                </w:p>
              </w:tc>
              <w:tc>
                <w:tcPr>
                  <w:tcW w:w="393"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0</w:t>
                  </w:r>
                </w:p>
              </w:tc>
              <w:tc>
                <w:tcPr>
                  <w:tcW w:w="881"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最终随烟气排出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29"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设备冷却水</w:t>
                  </w:r>
                </w:p>
              </w:tc>
              <w:tc>
                <w:tcPr>
                  <w:tcW w:w="460" w:type="pct"/>
                  <w:vAlign w:val="center"/>
                </w:tcPr>
                <w:p>
                  <w:pPr>
                    <w:pStyle w:val="4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40</w:t>
                  </w:r>
                </w:p>
              </w:tc>
              <w:tc>
                <w:tcPr>
                  <w:tcW w:w="360" w:type="pct"/>
                  <w:vAlign w:val="center"/>
                </w:tcPr>
                <w:p>
                  <w:pPr>
                    <w:pStyle w:val="44"/>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w:t>
                  </w:r>
                </w:p>
              </w:tc>
              <w:tc>
                <w:tcPr>
                  <w:tcW w:w="407" w:type="pct"/>
                  <w:vAlign w:val="center"/>
                </w:tcPr>
                <w:p>
                  <w:pPr>
                    <w:pStyle w:val="44"/>
                    <w:bidi w:val="0"/>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w:t>
                  </w:r>
                </w:p>
              </w:tc>
              <w:tc>
                <w:tcPr>
                  <w:tcW w:w="454"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0</w:t>
                  </w:r>
                </w:p>
              </w:tc>
              <w:tc>
                <w:tcPr>
                  <w:tcW w:w="467" w:type="pct"/>
                  <w:vAlign w:val="center"/>
                </w:tcPr>
                <w:p>
                  <w:pPr>
                    <w:pStyle w:val="4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38</w:t>
                  </w:r>
                </w:p>
              </w:tc>
              <w:tc>
                <w:tcPr>
                  <w:tcW w:w="425" w:type="pct"/>
                  <w:vAlign w:val="center"/>
                </w:tcPr>
                <w:p>
                  <w:pPr>
                    <w:pStyle w:val="44"/>
                    <w:bidi w:val="0"/>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0</w:t>
                  </w:r>
                </w:p>
              </w:tc>
              <w:tc>
                <w:tcPr>
                  <w:tcW w:w="318" w:type="pct"/>
                  <w:vAlign w:val="center"/>
                </w:tcPr>
                <w:p>
                  <w:pPr>
                    <w:pStyle w:val="44"/>
                    <w:bidi w:val="0"/>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2</w:t>
                  </w:r>
                </w:p>
              </w:tc>
              <w:tc>
                <w:tcPr>
                  <w:tcW w:w="393"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0</w:t>
                  </w:r>
                </w:p>
              </w:tc>
              <w:tc>
                <w:tcPr>
                  <w:tcW w:w="881"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循环使用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29"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lang w:val="en-US" w:eastAsia="zh-CN"/>
                    </w:rPr>
                    <w:t>炉渣间接冷却</w:t>
                  </w:r>
                  <w:r>
                    <w:rPr>
                      <w:rFonts w:hint="default" w:ascii="Times New Roman" w:hAnsi="Times New Roman" w:cs="Times New Roman"/>
                      <w:color w:val="auto"/>
                    </w:rPr>
                    <w:t>用水</w:t>
                  </w:r>
                </w:p>
              </w:tc>
              <w:tc>
                <w:tcPr>
                  <w:tcW w:w="460" w:type="pct"/>
                  <w:vAlign w:val="center"/>
                </w:tcPr>
                <w:p>
                  <w:pPr>
                    <w:pStyle w:val="4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40</w:t>
                  </w:r>
                </w:p>
              </w:tc>
              <w:tc>
                <w:tcPr>
                  <w:tcW w:w="360" w:type="pct"/>
                  <w:vAlign w:val="center"/>
                </w:tcPr>
                <w:p>
                  <w:pPr>
                    <w:pStyle w:val="44"/>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w:t>
                  </w:r>
                </w:p>
              </w:tc>
              <w:tc>
                <w:tcPr>
                  <w:tcW w:w="407" w:type="pct"/>
                  <w:vAlign w:val="center"/>
                </w:tcPr>
                <w:p>
                  <w:pPr>
                    <w:pStyle w:val="44"/>
                    <w:bidi w:val="0"/>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w:t>
                  </w:r>
                </w:p>
              </w:tc>
              <w:tc>
                <w:tcPr>
                  <w:tcW w:w="454" w:type="pct"/>
                  <w:vAlign w:val="center"/>
                </w:tcPr>
                <w:p>
                  <w:pPr>
                    <w:pStyle w:val="4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w:t>
                  </w:r>
                </w:p>
              </w:tc>
              <w:tc>
                <w:tcPr>
                  <w:tcW w:w="467" w:type="pct"/>
                  <w:vAlign w:val="center"/>
                </w:tcPr>
                <w:p>
                  <w:pPr>
                    <w:pStyle w:val="4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38</w:t>
                  </w:r>
                </w:p>
              </w:tc>
              <w:tc>
                <w:tcPr>
                  <w:tcW w:w="425" w:type="pct"/>
                  <w:vAlign w:val="center"/>
                </w:tcPr>
                <w:p>
                  <w:pPr>
                    <w:pStyle w:val="44"/>
                    <w:bidi w:val="0"/>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0</w:t>
                  </w:r>
                </w:p>
              </w:tc>
              <w:tc>
                <w:tcPr>
                  <w:tcW w:w="318" w:type="pct"/>
                  <w:vAlign w:val="center"/>
                </w:tcPr>
                <w:p>
                  <w:pPr>
                    <w:pStyle w:val="4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w:t>
                  </w:r>
                </w:p>
              </w:tc>
              <w:tc>
                <w:tcPr>
                  <w:tcW w:w="393"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0</w:t>
                  </w:r>
                </w:p>
              </w:tc>
              <w:tc>
                <w:tcPr>
                  <w:tcW w:w="881"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循环使用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29"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煤加湿用水</w:t>
                  </w:r>
                </w:p>
              </w:tc>
              <w:tc>
                <w:tcPr>
                  <w:tcW w:w="460" w:type="pct"/>
                  <w:vAlign w:val="center"/>
                </w:tcPr>
                <w:p>
                  <w:pPr>
                    <w:pStyle w:val="44"/>
                    <w:bidi w:val="0"/>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2</w:t>
                  </w:r>
                </w:p>
              </w:tc>
              <w:tc>
                <w:tcPr>
                  <w:tcW w:w="360" w:type="pct"/>
                  <w:vAlign w:val="center"/>
                </w:tcPr>
                <w:p>
                  <w:pPr>
                    <w:pStyle w:val="44"/>
                    <w:bidi w:val="0"/>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2</w:t>
                  </w:r>
                </w:p>
              </w:tc>
              <w:tc>
                <w:tcPr>
                  <w:tcW w:w="407" w:type="pct"/>
                  <w:vAlign w:val="center"/>
                </w:tcPr>
                <w:p>
                  <w:pPr>
                    <w:pStyle w:val="4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w:t>
                  </w:r>
                </w:p>
              </w:tc>
              <w:tc>
                <w:tcPr>
                  <w:tcW w:w="454"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0</w:t>
                  </w:r>
                </w:p>
              </w:tc>
              <w:tc>
                <w:tcPr>
                  <w:tcW w:w="467"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0</w:t>
                  </w:r>
                </w:p>
              </w:tc>
              <w:tc>
                <w:tcPr>
                  <w:tcW w:w="425" w:type="pct"/>
                  <w:vAlign w:val="center"/>
                </w:tcPr>
                <w:p>
                  <w:pPr>
                    <w:pStyle w:val="44"/>
                    <w:bidi w:val="0"/>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0</w:t>
                  </w:r>
                </w:p>
              </w:tc>
              <w:tc>
                <w:tcPr>
                  <w:tcW w:w="318" w:type="pct"/>
                  <w:vAlign w:val="center"/>
                </w:tcPr>
                <w:p>
                  <w:pPr>
                    <w:pStyle w:val="44"/>
                    <w:bidi w:val="0"/>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2</w:t>
                  </w:r>
                </w:p>
              </w:tc>
              <w:tc>
                <w:tcPr>
                  <w:tcW w:w="393"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0</w:t>
                  </w:r>
                </w:p>
              </w:tc>
              <w:tc>
                <w:tcPr>
                  <w:tcW w:w="881"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最终蒸发损失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29"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生活用水</w:t>
                  </w:r>
                </w:p>
              </w:tc>
              <w:tc>
                <w:tcPr>
                  <w:tcW w:w="460" w:type="pct"/>
                  <w:vAlign w:val="center"/>
                </w:tcPr>
                <w:p>
                  <w:pPr>
                    <w:pStyle w:val="4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2.8</w:t>
                  </w:r>
                </w:p>
              </w:tc>
              <w:tc>
                <w:tcPr>
                  <w:tcW w:w="360" w:type="pct"/>
                  <w:vAlign w:val="center"/>
                </w:tcPr>
                <w:p>
                  <w:pPr>
                    <w:pStyle w:val="4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2.8</w:t>
                  </w:r>
                </w:p>
              </w:tc>
              <w:tc>
                <w:tcPr>
                  <w:tcW w:w="407" w:type="pct"/>
                  <w:vAlign w:val="center"/>
                </w:tcPr>
                <w:p>
                  <w:pPr>
                    <w:pStyle w:val="4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w:t>
                  </w:r>
                </w:p>
              </w:tc>
              <w:tc>
                <w:tcPr>
                  <w:tcW w:w="454"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0</w:t>
                  </w:r>
                </w:p>
              </w:tc>
              <w:tc>
                <w:tcPr>
                  <w:tcW w:w="467"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0</w:t>
                  </w:r>
                </w:p>
              </w:tc>
              <w:tc>
                <w:tcPr>
                  <w:tcW w:w="425" w:type="pct"/>
                  <w:vAlign w:val="center"/>
                </w:tcPr>
                <w:p>
                  <w:pPr>
                    <w:pStyle w:val="44"/>
                    <w:bidi w:val="0"/>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lang w:val="en-US" w:eastAsia="zh-CN"/>
                    </w:rPr>
                    <w:t>2.24</w:t>
                  </w:r>
                </w:p>
              </w:tc>
              <w:tc>
                <w:tcPr>
                  <w:tcW w:w="318" w:type="pct"/>
                  <w:vAlign w:val="center"/>
                </w:tcPr>
                <w:p>
                  <w:pPr>
                    <w:pStyle w:val="4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0.56</w:t>
                  </w:r>
                </w:p>
              </w:tc>
              <w:tc>
                <w:tcPr>
                  <w:tcW w:w="393" w:type="pct"/>
                  <w:vAlign w:val="center"/>
                </w:tcPr>
                <w:p>
                  <w:pPr>
                    <w:pStyle w:val="4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2.24</w:t>
                  </w:r>
                </w:p>
              </w:tc>
              <w:tc>
                <w:tcPr>
                  <w:tcW w:w="881" w:type="pct"/>
                  <w:vMerge w:val="restar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围场县污水处理厂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29" w:type="pct"/>
                  <w:vAlign w:val="center"/>
                </w:tcPr>
                <w:p>
                  <w:pPr>
                    <w:pStyle w:val="4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食堂废水</w:t>
                  </w:r>
                </w:p>
              </w:tc>
              <w:tc>
                <w:tcPr>
                  <w:tcW w:w="460" w:type="pct"/>
                  <w:vAlign w:val="center"/>
                </w:tcPr>
                <w:p>
                  <w:pPr>
                    <w:pStyle w:val="4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1.12</w:t>
                  </w:r>
                </w:p>
              </w:tc>
              <w:tc>
                <w:tcPr>
                  <w:tcW w:w="360" w:type="pct"/>
                  <w:vAlign w:val="center"/>
                </w:tcPr>
                <w:p>
                  <w:pPr>
                    <w:pStyle w:val="4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1.12</w:t>
                  </w:r>
                </w:p>
              </w:tc>
              <w:tc>
                <w:tcPr>
                  <w:tcW w:w="407" w:type="pct"/>
                  <w:vAlign w:val="center"/>
                </w:tcPr>
                <w:p>
                  <w:pPr>
                    <w:pStyle w:val="4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w:t>
                  </w:r>
                </w:p>
              </w:tc>
              <w:tc>
                <w:tcPr>
                  <w:tcW w:w="454" w:type="pct"/>
                  <w:vAlign w:val="center"/>
                </w:tcPr>
                <w:p>
                  <w:pPr>
                    <w:pStyle w:val="4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w:t>
                  </w:r>
                </w:p>
              </w:tc>
              <w:tc>
                <w:tcPr>
                  <w:tcW w:w="467" w:type="pct"/>
                  <w:vAlign w:val="center"/>
                </w:tcPr>
                <w:p>
                  <w:pPr>
                    <w:pStyle w:val="4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w:t>
                  </w:r>
                </w:p>
              </w:tc>
              <w:tc>
                <w:tcPr>
                  <w:tcW w:w="425" w:type="pct"/>
                  <w:vAlign w:val="center"/>
                </w:tcPr>
                <w:p>
                  <w:pPr>
                    <w:pStyle w:val="44"/>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0.89</w:t>
                  </w:r>
                </w:p>
              </w:tc>
              <w:tc>
                <w:tcPr>
                  <w:tcW w:w="318" w:type="pct"/>
                  <w:vAlign w:val="center"/>
                </w:tcPr>
                <w:p>
                  <w:pPr>
                    <w:pStyle w:val="4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0.23</w:t>
                  </w:r>
                </w:p>
              </w:tc>
              <w:tc>
                <w:tcPr>
                  <w:tcW w:w="393" w:type="pct"/>
                  <w:vAlign w:val="center"/>
                </w:tcPr>
                <w:p>
                  <w:pPr>
                    <w:pStyle w:val="4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0.89</w:t>
                  </w:r>
                </w:p>
              </w:tc>
              <w:tc>
                <w:tcPr>
                  <w:tcW w:w="881" w:type="pct"/>
                  <w:vMerge w:val="continue"/>
                  <w:vAlign w:val="center"/>
                </w:tcPr>
                <w:p>
                  <w:pPr>
                    <w:pStyle w:val="44"/>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29" w:type="pct"/>
                  <w:vAlign w:val="center"/>
                </w:tcPr>
                <w:p>
                  <w:pPr>
                    <w:pStyle w:val="44"/>
                    <w:bidi w:val="0"/>
                    <w:rPr>
                      <w:rFonts w:hint="default" w:ascii="Times New Roman" w:hAnsi="Times New Roman" w:cs="Times New Roman"/>
                      <w:color w:val="auto"/>
                    </w:rPr>
                  </w:pPr>
                  <w:r>
                    <w:rPr>
                      <w:rFonts w:hint="default" w:ascii="Times New Roman" w:hAnsi="Times New Roman" w:cs="Times New Roman"/>
                      <w:color w:val="auto"/>
                    </w:rPr>
                    <w:t>合计</w:t>
                  </w:r>
                </w:p>
              </w:tc>
              <w:tc>
                <w:tcPr>
                  <w:tcW w:w="460" w:type="pct"/>
                  <w:vAlign w:val="center"/>
                </w:tcPr>
                <w:p>
                  <w:pPr>
                    <w:pStyle w:val="44"/>
                    <w:bidi w:val="0"/>
                    <w:rPr>
                      <w:rFonts w:hint="default" w:ascii="Times New Roman" w:hAnsi="Times New Roman" w:cs="Times New Roman"/>
                      <w:color w:val="auto"/>
                    </w:rPr>
                  </w:pPr>
                </w:p>
              </w:tc>
              <w:tc>
                <w:tcPr>
                  <w:tcW w:w="768" w:type="pct"/>
                  <w:gridSpan w:val="2"/>
                  <w:vAlign w:val="center"/>
                </w:tcPr>
                <w:p>
                  <w:pPr>
                    <w:pStyle w:val="4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203.97</w:t>
                  </w:r>
                </w:p>
              </w:tc>
              <w:tc>
                <w:tcPr>
                  <w:tcW w:w="454" w:type="pct"/>
                  <w:vAlign w:val="center"/>
                </w:tcPr>
                <w:p>
                  <w:pPr>
                    <w:pStyle w:val="44"/>
                    <w:bidi w:val="0"/>
                    <w:rPr>
                      <w:rFonts w:hint="default" w:ascii="Times New Roman" w:hAnsi="Times New Roman" w:cs="Times New Roman"/>
                      <w:color w:val="auto"/>
                    </w:rPr>
                  </w:pPr>
                </w:p>
              </w:tc>
              <w:tc>
                <w:tcPr>
                  <w:tcW w:w="467" w:type="pct"/>
                  <w:vAlign w:val="center"/>
                </w:tcPr>
                <w:p>
                  <w:pPr>
                    <w:pStyle w:val="44"/>
                    <w:bidi w:val="0"/>
                    <w:rPr>
                      <w:rFonts w:hint="default" w:ascii="Times New Roman" w:hAnsi="Times New Roman" w:cs="Times New Roman"/>
                      <w:color w:val="auto"/>
                    </w:rPr>
                  </w:pPr>
                </w:p>
              </w:tc>
              <w:tc>
                <w:tcPr>
                  <w:tcW w:w="425" w:type="pct"/>
                  <w:vAlign w:val="center"/>
                </w:tcPr>
                <w:p>
                  <w:pPr>
                    <w:pStyle w:val="44"/>
                    <w:bidi w:val="0"/>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sum(G2:G9)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fldChar w:fldCharType="end"/>
                  </w:r>
                </w:p>
              </w:tc>
              <w:tc>
                <w:tcPr>
                  <w:tcW w:w="711" w:type="pct"/>
                  <w:gridSpan w:val="2"/>
                  <w:vAlign w:val="center"/>
                </w:tcPr>
                <w:p>
                  <w:pPr>
                    <w:pStyle w:val="44"/>
                    <w:bidi w:val="0"/>
                    <w:rPr>
                      <w:rFonts w:hint="default" w:ascii="Times New Roman" w:hAnsi="Times New Roman" w:cs="Times New Roman"/>
                      <w:color w:val="auto"/>
                      <w:lang w:val="en-US"/>
                    </w:rPr>
                  </w:pPr>
                  <w:r>
                    <w:rPr>
                      <w:rFonts w:hint="default" w:ascii="Times New Roman" w:hAnsi="Times New Roman" w:cs="Times New Roman"/>
                      <w:color w:val="auto"/>
                      <w:lang w:val="en-US" w:eastAsia="zh-CN"/>
                    </w:rPr>
                    <w:t>203.97</w:t>
                  </w:r>
                </w:p>
              </w:tc>
              <w:tc>
                <w:tcPr>
                  <w:tcW w:w="881" w:type="pct"/>
                  <w:vAlign w:val="center"/>
                </w:tcPr>
                <w:p>
                  <w:pPr>
                    <w:pStyle w:val="44"/>
                    <w:bidi w:val="0"/>
                    <w:rPr>
                      <w:rFonts w:hint="default" w:ascii="Times New Roman" w:hAnsi="Times New Roman" w:cs="Times New Roman"/>
                      <w:color w:val="auto"/>
                    </w:rPr>
                  </w:pPr>
                </w:p>
              </w:tc>
            </w:tr>
          </w:tbl>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eastAsia="宋体" w:cs="Times New Roman"/>
                <w:color w:val="auto"/>
                <w:sz w:val="24"/>
                <w:szCs w:val="24"/>
                <w:highlight w:val="none"/>
                <w:lang w:val="en-US" w:eastAsia="zh-CN"/>
              </w:rPr>
              <w:t>3、供电：</w:t>
            </w:r>
            <w:r>
              <w:rPr>
                <w:rFonts w:hint="default" w:ascii="Times New Roman" w:hAnsi="Times New Roman" w:cs="Times New Roman"/>
                <w:color w:val="auto"/>
                <w:sz w:val="24"/>
                <w:szCs w:val="24"/>
                <w:highlight w:val="none"/>
                <w:lang w:val="en-US" w:eastAsia="zh-CN"/>
              </w:rPr>
              <w:t>由</w:t>
            </w:r>
            <w:r>
              <w:rPr>
                <w:rFonts w:hint="default" w:ascii="Times New Roman" w:hAnsi="Times New Roman" w:eastAsia="宋体" w:cs="Times New Roman"/>
                <w:color w:val="auto"/>
                <w:sz w:val="24"/>
                <w:szCs w:val="24"/>
                <w:highlight w:val="none"/>
                <w:lang w:val="en-US" w:eastAsia="zh-CN"/>
              </w:rPr>
              <w:t>市政供电电网，用电量</w:t>
            </w:r>
            <w:r>
              <w:rPr>
                <w:rFonts w:hint="default" w:ascii="Times New Roman" w:hAnsi="Times New Roman" w:cs="Times New Roman"/>
                <w:color w:val="auto"/>
                <w:sz w:val="24"/>
                <w:szCs w:val="24"/>
                <w:highlight w:val="none"/>
                <w:lang w:val="en-US" w:eastAsia="zh-CN"/>
              </w:rPr>
              <w:t>103.45</w:t>
            </w:r>
            <w:r>
              <w:rPr>
                <w:rFonts w:hint="default" w:ascii="Times New Roman" w:hAnsi="Times New Roman" w:eastAsia="宋体" w:cs="Times New Roman"/>
                <w:color w:val="auto"/>
                <w:sz w:val="24"/>
                <w:szCs w:val="24"/>
                <w:highlight w:val="none"/>
                <w:lang w:val="en-US" w:eastAsia="zh-CN"/>
              </w:rPr>
              <w:t>万kW·h/a。</w:t>
            </w:r>
          </w:p>
          <w:p>
            <w:pPr>
              <w:adjustRightInd w:val="0"/>
              <w:snapToGrid w:val="0"/>
              <w:spacing w:line="360" w:lineRule="auto"/>
              <w:ind w:firstLine="480" w:firstLineChars="200"/>
              <w:rPr>
                <w:rFonts w:hint="default" w:ascii="Times New Roman" w:hAnsi="Times New Roman" w:cs="Times New Roman"/>
                <w:color w:val="auto"/>
                <w:sz w:val="24"/>
              </w:rPr>
            </w:pPr>
          </w:p>
          <w:p>
            <w:pPr>
              <w:adjustRightInd w:val="0"/>
              <w:snapToGrid w:val="0"/>
              <w:spacing w:line="360" w:lineRule="auto"/>
              <w:ind w:firstLine="480" w:firstLineChars="200"/>
              <w:rPr>
                <w:rFonts w:hint="default" w:ascii="Times New Roman" w:hAnsi="Times New Roman" w:cs="Times New Roman"/>
                <w:color w:val="auto"/>
                <w:sz w:val="24"/>
              </w:rPr>
            </w:pPr>
          </w:p>
          <w:p>
            <w:pPr>
              <w:adjustRightInd w:val="0"/>
              <w:snapToGrid w:val="0"/>
              <w:spacing w:line="360" w:lineRule="auto"/>
              <w:ind w:firstLine="480" w:firstLineChars="200"/>
              <w:rPr>
                <w:rFonts w:hint="default" w:ascii="Times New Roman" w:hAnsi="Times New Roman" w:cs="Times New Roman"/>
                <w:color w:val="auto"/>
                <w:sz w:val="24"/>
              </w:rPr>
            </w:pPr>
          </w:p>
          <w:p>
            <w:pPr>
              <w:adjustRightInd w:val="0"/>
              <w:snapToGrid w:val="0"/>
              <w:spacing w:line="360" w:lineRule="auto"/>
              <w:ind w:firstLine="480" w:firstLineChars="200"/>
              <w:rPr>
                <w:rFonts w:hint="default" w:ascii="Times New Roman" w:hAnsi="Times New Roman" w:cs="Times New Roman"/>
                <w:color w:val="auto"/>
                <w:sz w:val="24"/>
              </w:rPr>
            </w:pPr>
          </w:p>
          <w:p>
            <w:pPr>
              <w:adjustRightInd w:val="0"/>
              <w:snapToGrid w:val="0"/>
              <w:spacing w:line="360" w:lineRule="auto"/>
              <w:ind w:firstLine="480" w:firstLineChars="200"/>
              <w:rPr>
                <w:rFonts w:hint="default" w:ascii="Times New Roman" w:hAnsi="Times New Roman" w:cs="Times New Roman"/>
                <w:color w:val="auto"/>
                <w:sz w:val="24"/>
              </w:rPr>
            </w:pPr>
          </w:p>
          <w:p>
            <w:pPr>
              <w:adjustRightInd w:val="0"/>
              <w:snapToGrid w:val="0"/>
              <w:spacing w:line="360" w:lineRule="auto"/>
              <w:ind w:firstLine="480" w:firstLineChars="200"/>
              <w:rPr>
                <w:rFonts w:hint="default" w:ascii="Times New Roman" w:hAnsi="Times New Roman" w:cs="Times New Roman"/>
                <w:color w:val="auto"/>
                <w:sz w:val="24"/>
              </w:rPr>
            </w:pPr>
          </w:p>
          <w:p>
            <w:pPr>
              <w:adjustRightInd w:val="0"/>
              <w:snapToGrid w:val="0"/>
              <w:spacing w:line="360" w:lineRule="auto"/>
              <w:ind w:firstLine="480" w:firstLineChars="200"/>
              <w:rPr>
                <w:rFonts w:hint="default" w:ascii="Times New Roman" w:hAnsi="Times New Roman" w:cs="Times New Roman"/>
                <w:color w:val="auto"/>
                <w:sz w:val="24"/>
              </w:rPr>
            </w:pPr>
          </w:p>
          <w:p>
            <w:pPr>
              <w:adjustRightInd w:val="0"/>
              <w:snapToGrid w:val="0"/>
              <w:spacing w:line="360" w:lineRule="auto"/>
              <w:ind w:firstLine="480" w:firstLineChars="200"/>
              <w:rPr>
                <w:rFonts w:hint="default" w:ascii="Times New Roman" w:hAnsi="Times New Roman" w:cs="Times New Roman"/>
                <w:color w:val="auto"/>
                <w:sz w:val="24"/>
              </w:rPr>
            </w:pPr>
          </w:p>
          <w:p>
            <w:pPr>
              <w:adjustRightInd w:val="0"/>
              <w:snapToGrid w:val="0"/>
              <w:spacing w:line="360" w:lineRule="auto"/>
              <w:ind w:firstLine="480" w:firstLineChars="200"/>
              <w:rPr>
                <w:rFonts w:hint="default" w:ascii="Times New Roman" w:hAnsi="Times New Roman" w:cs="Times New Roman"/>
                <w:color w:val="auto"/>
                <w:sz w:val="24"/>
              </w:rPr>
            </w:pPr>
          </w:p>
          <w:p>
            <w:pPr>
              <w:adjustRightInd w:val="0"/>
              <w:snapToGrid w:val="0"/>
              <w:spacing w:line="360" w:lineRule="auto"/>
              <w:ind w:firstLine="480" w:firstLineChars="200"/>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adjustRightInd w:val="0"/>
              <w:snapToGrid w:val="0"/>
              <w:spacing w:line="360" w:lineRule="auto"/>
              <w:ind w:firstLine="480" w:firstLineChars="200"/>
              <w:rPr>
                <w:rFonts w:hint="default" w:ascii="Times New Roman" w:hAnsi="Times New Roman" w:cs="Times New Roman"/>
                <w:color w:val="auto"/>
                <w:sz w:val="24"/>
              </w:rPr>
            </w:pPr>
          </w:p>
          <w:p>
            <w:pPr>
              <w:adjustRightInd w:val="0"/>
              <w:snapToGrid w:val="0"/>
              <w:spacing w:line="360" w:lineRule="auto"/>
              <w:ind w:firstLine="480" w:firstLineChars="200"/>
              <w:rPr>
                <w:rFonts w:hint="default" w:ascii="Times New Roman" w:hAnsi="Times New Roman" w:cs="Times New Roman"/>
                <w:color w:val="auto"/>
                <w:sz w:val="24"/>
              </w:rPr>
            </w:pPr>
          </w:p>
          <w:p>
            <w:pPr>
              <w:adjustRightInd w:val="0"/>
              <w:snapToGrid w:val="0"/>
              <w:spacing w:line="360" w:lineRule="auto"/>
              <w:ind w:firstLine="480" w:firstLineChars="200"/>
              <w:rPr>
                <w:rFonts w:hint="default" w:ascii="Times New Roman" w:hAnsi="Times New Roman" w:cs="Times New Roman"/>
                <w:color w:val="auto"/>
                <w:sz w:val="24"/>
              </w:rPr>
            </w:pPr>
          </w:p>
          <w:p>
            <w:pPr>
              <w:adjustRightInd w:val="0"/>
              <w:snapToGrid w:val="0"/>
              <w:spacing w:line="360" w:lineRule="auto"/>
              <w:ind w:firstLine="480" w:firstLineChars="200"/>
              <w:rPr>
                <w:rFonts w:hint="default" w:ascii="Times New Roman" w:hAnsi="Times New Roman" w:cs="Times New Roman"/>
                <w:color w:val="auto"/>
                <w:sz w:val="24"/>
              </w:rPr>
            </w:pPr>
          </w:p>
          <w:p>
            <w:pPr>
              <w:adjustRightInd w:val="0"/>
              <w:snapToGrid w:val="0"/>
              <w:spacing w:line="360" w:lineRule="auto"/>
              <w:ind w:firstLine="480" w:firstLineChars="200"/>
              <w:rPr>
                <w:rFonts w:hint="default" w:ascii="Times New Roman" w:hAnsi="Times New Roman" w:cs="Times New Roman"/>
                <w:color w:val="auto"/>
                <w:sz w:val="24"/>
              </w:rPr>
            </w:pPr>
          </w:p>
          <w:p>
            <w:pPr>
              <w:adjustRightInd w:val="0"/>
              <w:snapToGrid w:val="0"/>
              <w:spacing w:line="360" w:lineRule="auto"/>
              <w:ind w:firstLine="480" w:firstLineChars="200"/>
              <w:rPr>
                <w:rFonts w:hint="default" w:ascii="Times New Roman" w:hAnsi="Times New Roman" w:cs="Times New Roman"/>
                <w:color w:val="auto"/>
                <w:sz w:val="24"/>
              </w:rPr>
            </w:pPr>
          </w:p>
          <w:p>
            <w:pPr>
              <w:adjustRightInd w:val="0"/>
              <w:snapToGrid w:val="0"/>
              <w:spacing w:line="360" w:lineRule="auto"/>
              <w:rPr>
                <w:rFonts w:hint="default" w:ascii="Times New Roman" w:hAnsi="Times New Roman" w:eastAsia="宋体" w:cs="Times New Roman"/>
                <w:bCs/>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05" w:hRule="atLeast"/>
          <w:jc w:val="center"/>
        </w:trPr>
        <w:tc>
          <w:tcPr>
            <w:tcW w:w="203" w:type="pct"/>
            <w:tcBorders>
              <w:top w:val="single" w:color="auto" w:sz="4" w:space="0"/>
              <w:left w:val="single" w:color="auto" w:sz="8" w:space="0"/>
              <w:bottom w:val="single" w:color="auto" w:sz="4" w:space="0"/>
              <w:right w:val="single" w:color="auto" w:sz="4" w:space="0"/>
            </w:tcBorders>
            <w:shd w:val="clear" w:color="auto" w:fill="auto"/>
            <w:vAlign w:val="center"/>
          </w:tcPr>
          <w:p>
            <w:pPr>
              <w:pStyle w:val="17"/>
              <w:adjustRightInd w:val="0"/>
              <w:snapToGrid w:val="0"/>
              <w:spacing w:beforeAutospacing="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工艺流程和产排污环节</w:t>
            </w:r>
          </w:p>
        </w:tc>
        <w:tc>
          <w:tcPr>
            <w:tcW w:w="4796" w:type="pct"/>
            <w:tcBorders>
              <w:top w:val="single" w:color="auto" w:sz="4" w:space="0"/>
              <w:left w:val="single" w:color="auto" w:sz="4" w:space="0"/>
              <w:bottom w:val="single" w:color="auto" w:sz="4" w:space="0"/>
              <w:right w:val="single" w:color="auto" w:sz="8" w:space="0"/>
            </w:tcBorders>
            <w:shd w:val="clear" w:color="auto" w:fill="auto"/>
          </w:tcPr>
          <w:p>
            <w:pPr>
              <w:pStyle w:val="3"/>
              <w:rPr>
                <w:rFonts w:hint="default" w:ascii="Times New Roman" w:hAnsi="Times New Roman" w:cs="Times New Roman"/>
                <w:color w:val="auto"/>
                <w:sz w:val="24"/>
              </w:rPr>
            </w:pPr>
            <w:r>
              <w:rPr>
                <w:rFonts w:hint="default" w:ascii="Times New Roman" w:hAnsi="Times New Roman" w:cs="Times New Roman"/>
                <w:color w:val="auto"/>
                <w:szCs w:val="28"/>
              </w:rPr>
              <w:t>工艺流程简述</w:t>
            </w:r>
            <w:r>
              <w:rPr>
                <w:rFonts w:hint="default" w:ascii="Times New Roman" w:hAnsi="Times New Roman" w:cs="Times New Roman"/>
                <w:color w:val="auto"/>
                <w:sz w:val="24"/>
              </w:rPr>
              <w:t>：</w:t>
            </w:r>
          </w:p>
          <w:p>
            <w:pPr>
              <w:pStyle w:val="8"/>
              <w:spacing w:after="0"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1、施工期</w:t>
            </w:r>
          </w:p>
          <w:p>
            <w:pPr>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本项目虽已</w:t>
            </w:r>
            <w:r>
              <w:rPr>
                <w:rFonts w:hint="default" w:ascii="Times New Roman" w:hAnsi="Times New Roman" w:cs="Times New Roman"/>
                <w:bCs/>
                <w:color w:val="auto"/>
                <w:sz w:val="24"/>
                <w:highlight w:val="none"/>
                <w:lang w:val="en-US" w:eastAsia="zh-CN"/>
              </w:rPr>
              <w:t>大体</w:t>
            </w:r>
            <w:r>
              <w:rPr>
                <w:rFonts w:hint="default" w:ascii="Times New Roman" w:hAnsi="Times New Roman" w:cs="Times New Roman"/>
                <w:bCs/>
                <w:color w:val="auto"/>
                <w:sz w:val="24"/>
                <w:highlight w:val="none"/>
              </w:rPr>
              <w:t>建成，但企业</w:t>
            </w:r>
            <w:r>
              <w:rPr>
                <w:rFonts w:hint="default" w:ascii="Times New Roman" w:hAnsi="Times New Roman" w:cs="Times New Roman"/>
                <w:bCs/>
                <w:color w:val="auto"/>
                <w:sz w:val="24"/>
                <w:highlight w:val="none"/>
                <w:lang w:val="en-US" w:eastAsia="zh-CN"/>
              </w:rPr>
              <w:t>煤库、灰库、消防水泵房未建设完成</w:t>
            </w:r>
            <w:r>
              <w:rPr>
                <w:rFonts w:hint="default" w:ascii="Times New Roman" w:hAnsi="Times New Roman" w:cs="Times New Roman"/>
                <w:bCs/>
                <w:color w:val="auto"/>
                <w:sz w:val="24"/>
                <w:highlight w:val="none"/>
              </w:rPr>
              <w:t>，因此建设阶段主要工程内容及施工工艺流程为：</w:t>
            </w:r>
          </w:p>
          <w:p>
            <w:pPr>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1、场地清理：包括清理地表、平整土地等；</w:t>
            </w:r>
          </w:p>
          <w:p>
            <w:pPr>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2、基础施工：包括挖掘、砌筑基础等；</w:t>
            </w:r>
          </w:p>
          <w:p>
            <w:pPr>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3、主体结构施工：包括混凝土、砌体等工程；</w:t>
            </w:r>
          </w:p>
          <w:p>
            <w:pPr>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4、配套设施施工：包括铺设上下水管等；</w:t>
            </w:r>
          </w:p>
          <w:p>
            <w:pPr>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5、设备购置及安装：包括各种机械设备的拆卸、安装等过程；</w:t>
            </w:r>
          </w:p>
          <w:p>
            <w:pPr>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6、主体装修施工：包括主体建筑物简单装修、回填土方和清理现场等。</w:t>
            </w:r>
          </w:p>
          <w:p>
            <w:pPr>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建设阶段工艺流程及产排污节点示意图如下图所示：</w:t>
            </w:r>
          </w:p>
          <w:p>
            <w:pPr>
              <w:spacing w:line="360" w:lineRule="auto"/>
              <w:jc w:val="center"/>
              <w:rPr>
                <w:rFonts w:hint="default" w:ascii="Times New Roman" w:hAnsi="Times New Roman" w:cs="Times New Roman"/>
                <w:b/>
                <w:color w:val="auto"/>
                <w:sz w:val="24"/>
              </w:rPr>
            </w:pPr>
            <w:r>
              <w:rPr>
                <w:rFonts w:hint="default" w:ascii="Times New Roman" w:hAnsi="Times New Roman" w:cs="Times New Roman"/>
                <w:b/>
                <w:color w:val="auto"/>
                <w:sz w:val="24"/>
              </w:rPr>
              <mc:AlternateContent>
                <mc:Choice Requires="wpg">
                  <w:drawing>
                    <wp:inline distT="0" distB="0" distL="114300" distR="114300">
                      <wp:extent cx="5102860" cy="1563370"/>
                      <wp:effectExtent l="7620" t="6350" r="13970" b="11430"/>
                      <wp:docPr id="3" name="组合 11"/>
                      <wp:cNvGraphicFramePr/>
                      <a:graphic xmlns:a="http://schemas.openxmlformats.org/drawingml/2006/main">
                        <a:graphicData uri="http://schemas.microsoft.com/office/word/2010/wordprocessingGroup">
                          <wpg:wgp>
                            <wpg:cNvGrpSpPr/>
                            <wpg:grpSpPr>
                              <a:xfrm>
                                <a:off x="0" y="0"/>
                                <a:ext cx="5102860" cy="1563370"/>
                                <a:chOff x="7207" y="17728"/>
                                <a:chExt cx="79453" cy="23762"/>
                              </a:xfrm>
                              <a:effectLst/>
                            </wpg:grpSpPr>
                            <wps:wsp>
                              <wps:cNvPr id="71" name="矩形 71"/>
                              <wps:cNvSpPr/>
                              <wps:spPr>
                                <a:xfrm>
                                  <a:off x="24114" y="27568"/>
                                  <a:ext cx="12997" cy="4318"/>
                                </a:xfrm>
                                <a:prstGeom prst="rect">
                                  <a:avLst/>
                                </a:prstGeom>
                                <a:noFill/>
                                <a:ln w="15875" cap="flat" cmpd="sng">
                                  <a:solidFill>
                                    <a:srgbClr val="000000"/>
                                  </a:solidFill>
                                  <a:prstDash val="solid"/>
                                  <a:miter/>
                                  <a:headEnd type="none" w="med" len="med"/>
                                  <a:tailEnd type="none" w="med" len="med"/>
                                </a:ln>
                                <a:effectLst/>
                              </wps:spPr>
                              <wps:txbx>
                                <w:txbxContent>
                                  <w:p>
                                    <w:pPr>
                                      <w:pStyle w:val="17"/>
                                      <w:jc w:val="center"/>
                                      <w:textAlignment w:val="baseline"/>
                                      <w:rPr>
                                        <w:rFonts w:hint="default"/>
                                        <w:sz w:val="18"/>
                                        <w:szCs w:val="18"/>
                                      </w:rPr>
                                    </w:pPr>
                                    <w:r>
                                      <w:rPr>
                                        <w:rFonts w:asciiTheme="minorHAnsi" w:eastAsiaTheme="minorEastAsia" w:cstheme="minorBidi"/>
                                        <w:color w:val="000000" w:themeColor="text1"/>
                                        <w:kern w:val="24"/>
                                        <w:sz w:val="18"/>
                                        <w:szCs w:val="18"/>
                                      </w:rPr>
                                      <w:t>主体工程施工</w:t>
                                    </w:r>
                                  </w:p>
                                  <w:p/>
                                </w:txbxContent>
                              </wps:txbx>
                              <wps:bodyPr anchor="ctr" anchorCtr="0" upright="1"/>
                            </wps:wsp>
                            <wps:wsp>
                              <wps:cNvPr id="72" name="直接箭头连接符 72"/>
                              <wps:cNvCnPr>
                                <a:stCxn id="71" idx="3"/>
                              </wps:cNvCnPr>
                              <wps:spPr>
                                <a:xfrm flipV="1">
                                  <a:off x="37111" y="29723"/>
                                  <a:ext cx="3210" cy="9"/>
                                </a:xfrm>
                                <a:prstGeom prst="straightConnector1">
                                  <a:avLst/>
                                </a:prstGeom>
                                <a:ln w="15875" cap="flat" cmpd="sng">
                                  <a:solidFill>
                                    <a:srgbClr val="000000"/>
                                  </a:solidFill>
                                  <a:prstDash val="solid"/>
                                  <a:headEnd type="none" w="med" len="med"/>
                                  <a:tailEnd type="triangle" w="lg" len="lg"/>
                                </a:ln>
                                <a:effectLst/>
                              </wps:spPr>
                              <wps:bodyPr/>
                            </wps:wsp>
                            <wps:wsp>
                              <wps:cNvPr id="73" name="矩形 73"/>
                              <wps:cNvSpPr/>
                              <wps:spPr>
                                <a:xfrm>
                                  <a:off x="75249" y="27573"/>
                                  <a:ext cx="11411" cy="4314"/>
                                </a:xfrm>
                                <a:prstGeom prst="rect">
                                  <a:avLst/>
                                </a:prstGeom>
                                <a:noFill/>
                                <a:ln w="15875" cap="flat" cmpd="sng">
                                  <a:solidFill>
                                    <a:srgbClr val="000000"/>
                                  </a:solidFill>
                                  <a:prstDash val="solid"/>
                                  <a:miter/>
                                  <a:headEnd type="none" w="med" len="med"/>
                                  <a:tailEnd type="none" w="med" len="med"/>
                                </a:ln>
                                <a:effectLst/>
                              </wps:spPr>
                              <wps:txbx>
                                <w:txbxContent>
                                  <w:p>
                                    <w:pPr>
                                      <w:pStyle w:val="17"/>
                                      <w:jc w:val="center"/>
                                      <w:textAlignment w:val="baseline"/>
                                      <w:rPr>
                                        <w:rFonts w:hint="default"/>
                                        <w:sz w:val="18"/>
                                        <w:szCs w:val="18"/>
                                      </w:rPr>
                                    </w:pPr>
                                    <w:r>
                                      <w:rPr>
                                        <w:rFonts w:asciiTheme="minorHAnsi" w:eastAsiaTheme="minorEastAsia" w:cstheme="minorBidi"/>
                                        <w:color w:val="000000" w:themeColor="text1"/>
                                        <w:kern w:val="24"/>
                                        <w:sz w:val="18"/>
                                        <w:szCs w:val="18"/>
                                      </w:rPr>
                                      <w:t>现场清理</w:t>
                                    </w:r>
                                  </w:p>
                                </w:txbxContent>
                              </wps:txbx>
                              <wps:bodyPr anchor="ctr" anchorCtr="0" upright="1"/>
                            </wps:wsp>
                            <wps:wsp>
                              <wps:cNvPr id="74" name="直接箭头连接符 74"/>
                              <wps:cNvCnPr/>
                              <wps:spPr>
                                <a:xfrm>
                                  <a:off x="18351" y="29727"/>
                                  <a:ext cx="5199" cy="0"/>
                                </a:xfrm>
                                <a:prstGeom prst="straightConnector1">
                                  <a:avLst/>
                                </a:prstGeom>
                                <a:ln w="15875" cap="flat" cmpd="sng">
                                  <a:solidFill>
                                    <a:srgbClr val="000000"/>
                                  </a:solidFill>
                                  <a:prstDash val="solid"/>
                                  <a:headEnd type="none" w="med" len="med"/>
                                  <a:tailEnd type="triangle" w="lg" len="lg"/>
                                </a:ln>
                                <a:effectLst/>
                              </wps:spPr>
                              <wps:bodyPr/>
                            </wps:wsp>
                            <wps:wsp>
                              <wps:cNvPr id="75" name="矩形 75"/>
                              <wps:cNvSpPr/>
                              <wps:spPr>
                                <a:xfrm>
                                  <a:off x="59408" y="27573"/>
                                  <a:ext cx="11263" cy="4314"/>
                                </a:xfrm>
                                <a:prstGeom prst="rect">
                                  <a:avLst/>
                                </a:prstGeom>
                                <a:noFill/>
                                <a:ln w="15875" cap="flat" cmpd="sng">
                                  <a:solidFill>
                                    <a:srgbClr val="000000"/>
                                  </a:solidFill>
                                  <a:prstDash val="solid"/>
                                  <a:miter/>
                                  <a:headEnd type="none" w="med" len="med"/>
                                  <a:tailEnd type="none" w="med" len="med"/>
                                </a:ln>
                                <a:effectLst/>
                              </wps:spPr>
                              <wps:txbx>
                                <w:txbxContent>
                                  <w:p>
                                    <w:pPr>
                                      <w:pStyle w:val="17"/>
                                      <w:jc w:val="center"/>
                                      <w:textAlignment w:val="baseline"/>
                                      <w:rPr>
                                        <w:rFonts w:hint="default"/>
                                        <w:sz w:val="18"/>
                                        <w:szCs w:val="18"/>
                                      </w:rPr>
                                    </w:pPr>
                                    <w:r>
                                      <w:rPr>
                                        <w:rFonts w:asciiTheme="minorHAnsi" w:eastAsiaTheme="minorEastAsia" w:cstheme="minorBidi"/>
                                        <w:color w:val="000000" w:themeColor="text1"/>
                                        <w:kern w:val="24"/>
                                        <w:sz w:val="18"/>
                                        <w:szCs w:val="18"/>
                                      </w:rPr>
                                      <w:t>表面修整</w:t>
                                    </w:r>
                                  </w:p>
                                </w:txbxContent>
                              </wps:txbx>
                              <wps:bodyPr anchor="ctr" anchorCtr="0" upright="1"/>
                            </wps:wsp>
                            <wps:wsp>
                              <wps:cNvPr id="76" name="矩形 76"/>
                              <wps:cNvSpPr/>
                              <wps:spPr>
                                <a:xfrm>
                                  <a:off x="40322" y="27568"/>
                                  <a:ext cx="11438" cy="4318"/>
                                </a:xfrm>
                                <a:prstGeom prst="rect">
                                  <a:avLst/>
                                </a:prstGeom>
                                <a:noFill/>
                                <a:ln w="15875" cap="flat" cmpd="sng">
                                  <a:solidFill>
                                    <a:srgbClr val="000000"/>
                                  </a:solidFill>
                                  <a:prstDash val="solid"/>
                                  <a:miter/>
                                  <a:headEnd type="none" w="med" len="med"/>
                                  <a:tailEnd type="none" w="med" len="med"/>
                                </a:ln>
                                <a:effectLst/>
                              </wps:spPr>
                              <wps:txbx>
                                <w:txbxContent>
                                  <w:p>
                                    <w:pPr>
                                      <w:pStyle w:val="17"/>
                                      <w:jc w:val="center"/>
                                      <w:textAlignment w:val="baseline"/>
                                      <w:rPr>
                                        <w:rFonts w:hint="default"/>
                                        <w:sz w:val="18"/>
                                        <w:szCs w:val="18"/>
                                      </w:rPr>
                                    </w:pPr>
                                    <w:r>
                                      <w:rPr>
                                        <w:rFonts w:asciiTheme="minorHAnsi" w:eastAsiaTheme="minorEastAsia" w:cstheme="minorBidi"/>
                                        <w:color w:val="000000" w:themeColor="text1"/>
                                        <w:kern w:val="24"/>
                                        <w:sz w:val="18"/>
                                        <w:szCs w:val="18"/>
                                      </w:rPr>
                                      <w:t>设备安装</w:t>
                                    </w:r>
                                  </w:p>
                                  <w:p/>
                                </w:txbxContent>
                              </wps:txbx>
                              <wps:bodyPr anchor="ctr" anchorCtr="0" upright="1"/>
                            </wps:wsp>
                            <wps:wsp>
                              <wps:cNvPr id="77" name="直接箭头连接符 77"/>
                              <wps:cNvCnPr>
                                <a:stCxn id="76" idx="3"/>
                              </wps:cNvCnPr>
                              <wps:spPr>
                                <a:xfrm flipV="1">
                                  <a:off x="51756" y="29723"/>
                                  <a:ext cx="7648" cy="9"/>
                                </a:xfrm>
                                <a:prstGeom prst="straightConnector1">
                                  <a:avLst/>
                                </a:prstGeom>
                                <a:ln w="15875" cap="flat" cmpd="sng">
                                  <a:solidFill>
                                    <a:srgbClr val="000000"/>
                                  </a:solidFill>
                                  <a:prstDash val="solid"/>
                                  <a:headEnd type="none" w="med" len="med"/>
                                  <a:tailEnd type="triangle" w="lg" len="lg"/>
                                </a:ln>
                                <a:effectLst/>
                              </wps:spPr>
                              <wps:bodyPr/>
                            </wps:wsp>
                            <wps:wsp>
                              <wps:cNvPr id="78" name="矩形 78"/>
                              <wps:cNvSpPr/>
                              <wps:spPr>
                                <a:xfrm>
                                  <a:off x="7207" y="27568"/>
                                  <a:ext cx="11144" cy="4318"/>
                                </a:xfrm>
                                <a:prstGeom prst="rect">
                                  <a:avLst/>
                                </a:prstGeom>
                                <a:noFill/>
                                <a:ln w="15875" cap="flat" cmpd="sng">
                                  <a:solidFill>
                                    <a:srgbClr val="000000"/>
                                  </a:solidFill>
                                  <a:prstDash val="solid"/>
                                  <a:miter/>
                                  <a:headEnd type="none" w="med" len="med"/>
                                  <a:tailEnd type="none" w="med" len="med"/>
                                </a:ln>
                                <a:effectLst/>
                              </wps:spPr>
                              <wps:txbx>
                                <w:txbxContent>
                                  <w:p>
                                    <w:pPr>
                                      <w:pStyle w:val="17"/>
                                      <w:jc w:val="center"/>
                                      <w:textAlignment w:val="baseline"/>
                                      <w:rPr>
                                        <w:rFonts w:hint="default"/>
                                        <w:sz w:val="18"/>
                                        <w:szCs w:val="18"/>
                                      </w:rPr>
                                    </w:pPr>
                                    <w:r>
                                      <w:rPr>
                                        <w:rFonts w:asciiTheme="minorHAnsi" w:eastAsiaTheme="minorEastAsia" w:cstheme="minorBidi"/>
                                        <w:color w:val="000000" w:themeColor="text1"/>
                                        <w:kern w:val="24"/>
                                        <w:sz w:val="18"/>
                                        <w:szCs w:val="18"/>
                                      </w:rPr>
                                      <w:t>场地平整</w:t>
                                    </w:r>
                                  </w:p>
                                </w:txbxContent>
                              </wps:txbx>
                              <wps:bodyPr anchor="ctr" anchorCtr="0" upright="1"/>
                            </wps:wsp>
                            <wps:wsp>
                              <wps:cNvPr id="79" name="直接箭头连接符 79"/>
                              <wps:cNvCnPr/>
                              <wps:spPr>
                                <a:xfrm rot="5400000">
                                  <a:off x="10072" y="34402"/>
                                  <a:ext cx="5032" cy="0"/>
                                </a:xfrm>
                                <a:prstGeom prst="straightConnector1">
                                  <a:avLst/>
                                </a:prstGeom>
                                <a:ln w="9525" cap="flat" cmpd="sng">
                                  <a:solidFill>
                                    <a:srgbClr val="000000"/>
                                  </a:solidFill>
                                  <a:prstDash val="dash"/>
                                  <a:headEnd type="none" w="med" len="med"/>
                                  <a:tailEnd type="triangle" w="lg" len="med"/>
                                </a:ln>
                                <a:effectLst/>
                              </wps:spPr>
                              <wps:bodyPr/>
                            </wps:wsp>
                            <wps:wsp>
                              <wps:cNvPr id="80" name="直接箭头连接符 80"/>
                              <wps:cNvCnPr/>
                              <wps:spPr>
                                <a:xfrm flipV="1">
                                  <a:off x="71215" y="29725"/>
                                  <a:ext cx="4034" cy="106"/>
                                </a:xfrm>
                                <a:prstGeom prst="straightConnector1">
                                  <a:avLst/>
                                </a:prstGeom>
                                <a:ln w="15875" cap="flat" cmpd="sng">
                                  <a:solidFill>
                                    <a:srgbClr val="000000"/>
                                  </a:solidFill>
                                  <a:prstDash val="solid"/>
                                  <a:headEnd type="none" w="med" len="med"/>
                                  <a:tailEnd type="triangle" w="lg" len="lg"/>
                                </a:ln>
                                <a:effectLst/>
                              </wps:spPr>
                              <wps:bodyPr/>
                            </wps:wsp>
                            <wps:wsp>
                              <wps:cNvPr id="81" name="直接箭头连接符 81"/>
                              <wps:cNvCnPr/>
                              <wps:spPr>
                                <a:xfrm rot="5400000">
                                  <a:off x="44521" y="34529"/>
                                  <a:ext cx="5032" cy="0"/>
                                </a:xfrm>
                                <a:prstGeom prst="straightConnector1">
                                  <a:avLst/>
                                </a:prstGeom>
                                <a:ln w="12700" cap="flat" cmpd="sng">
                                  <a:solidFill>
                                    <a:srgbClr val="000000"/>
                                  </a:solidFill>
                                  <a:prstDash val="dash"/>
                                  <a:headEnd type="none" w="med" len="med"/>
                                  <a:tailEnd type="triangle" w="lg" len="lg"/>
                                </a:ln>
                                <a:effectLst/>
                              </wps:spPr>
                              <wps:bodyPr/>
                            </wps:wsp>
                            <wps:wsp>
                              <wps:cNvPr id="82" name="直接箭头连接符 82"/>
                              <wps:cNvCnPr/>
                              <wps:spPr>
                                <a:xfrm rot="5400000">
                                  <a:off x="77970" y="34529"/>
                                  <a:ext cx="5032" cy="0"/>
                                </a:xfrm>
                                <a:prstGeom prst="straightConnector1">
                                  <a:avLst/>
                                </a:prstGeom>
                                <a:ln w="12700" cap="flat" cmpd="sng">
                                  <a:solidFill>
                                    <a:srgbClr val="000000"/>
                                  </a:solidFill>
                                  <a:prstDash val="dash"/>
                                  <a:headEnd type="none" w="med" len="med"/>
                                  <a:tailEnd type="triangle" w="lg" len="lg"/>
                                </a:ln>
                                <a:effectLst/>
                              </wps:spPr>
                              <wps:bodyPr/>
                            </wps:wsp>
                            <wps:wsp>
                              <wps:cNvPr id="83" name="矩形 83"/>
                              <wps:cNvSpPr/>
                              <wps:spPr>
                                <a:xfrm>
                                  <a:off x="7207" y="36918"/>
                                  <a:ext cx="11144" cy="4318"/>
                                </a:xfrm>
                                <a:prstGeom prst="rect">
                                  <a:avLst/>
                                </a:prstGeom>
                                <a:noFill/>
                                <a:ln w="12700" cap="flat" cmpd="sng">
                                  <a:solidFill>
                                    <a:srgbClr val="000000"/>
                                  </a:solidFill>
                                  <a:prstDash val="dash"/>
                                  <a:miter/>
                                  <a:headEnd type="none" w="med" len="med"/>
                                  <a:tailEnd type="none" w="med" len="med"/>
                                </a:ln>
                                <a:effectLst/>
                              </wps:spPr>
                              <wps:txbx>
                                <w:txbxContent>
                                  <w:p>
                                    <w:pPr>
                                      <w:pStyle w:val="17"/>
                                      <w:jc w:val="center"/>
                                      <w:textAlignment w:val="baseline"/>
                                      <w:rPr>
                                        <w:rFonts w:hint="default"/>
                                        <w:sz w:val="18"/>
                                        <w:szCs w:val="18"/>
                                      </w:rPr>
                                    </w:pPr>
                                    <w:r>
                                      <w:rPr>
                                        <w:rFonts w:ascii="Times New Roman" w:eastAsiaTheme="minorEastAsia"/>
                                        <w:color w:val="000000" w:themeColor="text1"/>
                                        <w:kern w:val="24"/>
                                        <w:sz w:val="18"/>
                                        <w:szCs w:val="18"/>
                                      </w:rPr>
                                      <w:t>固体废物</w:t>
                                    </w:r>
                                  </w:p>
                                </w:txbxContent>
                              </wps:txbx>
                              <wps:bodyPr anchor="ctr" anchorCtr="0" upright="1"/>
                            </wps:wsp>
                            <wps:wsp>
                              <wps:cNvPr id="84" name="矩形 84"/>
                              <wps:cNvSpPr/>
                              <wps:spPr>
                                <a:xfrm>
                                  <a:off x="40719" y="37172"/>
                                  <a:ext cx="13113" cy="4318"/>
                                </a:xfrm>
                                <a:prstGeom prst="rect">
                                  <a:avLst/>
                                </a:prstGeom>
                                <a:noFill/>
                                <a:ln w="12700" cap="flat" cmpd="sng">
                                  <a:solidFill>
                                    <a:srgbClr val="000000"/>
                                  </a:solidFill>
                                  <a:prstDash val="dash"/>
                                  <a:miter/>
                                  <a:headEnd type="none" w="med" len="med"/>
                                  <a:tailEnd type="none" w="med" len="med"/>
                                </a:ln>
                                <a:effectLst/>
                              </wps:spPr>
                              <wps:txbx>
                                <w:txbxContent>
                                  <w:p>
                                    <w:pPr>
                                      <w:pStyle w:val="17"/>
                                      <w:jc w:val="center"/>
                                      <w:textAlignment w:val="baseline"/>
                                      <w:rPr>
                                        <w:rFonts w:hint="default"/>
                                        <w:sz w:val="18"/>
                                        <w:szCs w:val="18"/>
                                      </w:rPr>
                                    </w:pPr>
                                    <w:r>
                                      <w:rPr>
                                        <w:rFonts w:ascii="Times New Roman" w:eastAsiaTheme="minorEastAsia"/>
                                        <w:color w:val="000000" w:themeColor="text1"/>
                                        <w:kern w:val="24"/>
                                        <w:sz w:val="18"/>
                                        <w:szCs w:val="18"/>
                                      </w:rPr>
                                      <w:t>噪声</w:t>
                                    </w:r>
                                  </w:p>
                                </w:txbxContent>
                              </wps:txbx>
                              <wps:bodyPr anchor="ctr" anchorCtr="0" upright="1"/>
                            </wps:wsp>
                            <wps:wsp>
                              <wps:cNvPr id="85" name="矩形 85"/>
                              <wps:cNvSpPr/>
                              <wps:spPr>
                                <a:xfrm>
                                  <a:off x="41399" y="17728"/>
                                  <a:ext cx="11160" cy="4318"/>
                                </a:xfrm>
                                <a:prstGeom prst="rect">
                                  <a:avLst/>
                                </a:prstGeom>
                                <a:noFill/>
                                <a:ln w="12700" cap="flat" cmpd="sng">
                                  <a:solidFill>
                                    <a:srgbClr val="000000"/>
                                  </a:solidFill>
                                  <a:prstDash val="dash"/>
                                  <a:miter/>
                                  <a:headEnd type="none" w="med" len="med"/>
                                  <a:tailEnd type="none" w="med" len="med"/>
                                </a:ln>
                                <a:effectLst/>
                              </wps:spPr>
                              <wps:txbx>
                                <w:txbxContent>
                                  <w:p>
                                    <w:pPr>
                                      <w:pStyle w:val="17"/>
                                      <w:jc w:val="center"/>
                                      <w:textAlignment w:val="baseline"/>
                                      <w:rPr>
                                        <w:rFonts w:hint="default"/>
                                        <w:sz w:val="18"/>
                                        <w:szCs w:val="18"/>
                                      </w:rPr>
                                    </w:pPr>
                                    <w:r>
                                      <w:rPr>
                                        <w:rFonts w:ascii="Times New Roman" w:eastAsiaTheme="minorEastAsia"/>
                                        <w:color w:val="000000" w:themeColor="text1"/>
                                        <w:kern w:val="24"/>
                                        <w:sz w:val="18"/>
                                        <w:szCs w:val="18"/>
                                      </w:rPr>
                                      <w:t>扬尘、废水</w:t>
                                    </w:r>
                                  </w:p>
                                </w:txbxContent>
                              </wps:txbx>
                              <wps:bodyPr anchor="ctr" anchorCtr="0" upright="1"/>
                            </wps:wsp>
                            <wps:wsp>
                              <wps:cNvPr id="9" name="矩形 86"/>
                              <wps:cNvSpPr/>
                              <wps:spPr>
                                <a:xfrm>
                                  <a:off x="75342" y="37172"/>
                                  <a:ext cx="11160" cy="4318"/>
                                </a:xfrm>
                                <a:prstGeom prst="rect">
                                  <a:avLst/>
                                </a:prstGeom>
                                <a:noFill/>
                                <a:ln w="12700" cap="flat" cmpd="sng">
                                  <a:solidFill>
                                    <a:srgbClr val="000000"/>
                                  </a:solidFill>
                                  <a:prstDash val="dash"/>
                                  <a:miter/>
                                  <a:headEnd type="none" w="med" len="med"/>
                                  <a:tailEnd type="none" w="med" len="med"/>
                                </a:ln>
                                <a:effectLst/>
                              </wps:spPr>
                              <wps:txbx>
                                <w:txbxContent>
                                  <w:p>
                                    <w:pPr>
                                      <w:pStyle w:val="17"/>
                                      <w:jc w:val="center"/>
                                      <w:textAlignment w:val="baseline"/>
                                      <w:rPr>
                                        <w:rFonts w:hint="default"/>
                                        <w:sz w:val="18"/>
                                        <w:szCs w:val="18"/>
                                      </w:rPr>
                                    </w:pPr>
                                    <w:r>
                                      <w:rPr>
                                        <w:rFonts w:ascii="Times New Roman" w:eastAsiaTheme="minorEastAsia"/>
                                        <w:color w:val="000000" w:themeColor="text1"/>
                                        <w:kern w:val="24"/>
                                        <w:sz w:val="18"/>
                                        <w:szCs w:val="18"/>
                                      </w:rPr>
                                      <w:t>固体废物</w:t>
                                    </w:r>
                                  </w:p>
                                </w:txbxContent>
                              </wps:txbx>
                              <wps:bodyPr anchor="ctr" anchorCtr="0" upright="1"/>
                            </wps:wsp>
                            <wps:wsp>
                              <wps:cNvPr id="87" name="直接箭头连接符 87"/>
                              <wps:cNvCnPr/>
                              <wps:spPr>
                                <a:xfrm rot="-5400000" flipV="1">
                                  <a:off x="44643" y="24565"/>
                                  <a:ext cx="5033" cy="0"/>
                                </a:xfrm>
                                <a:prstGeom prst="straightConnector1">
                                  <a:avLst/>
                                </a:prstGeom>
                                <a:ln w="12700" cap="flat" cmpd="sng">
                                  <a:solidFill>
                                    <a:srgbClr val="000000"/>
                                  </a:solidFill>
                                  <a:prstDash val="dash"/>
                                  <a:headEnd type="none" w="med" len="med"/>
                                  <a:tailEnd type="triangle" w="lg" len="lg"/>
                                </a:ln>
                                <a:effectLst/>
                              </wps:spPr>
                              <wps:bodyPr/>
                            </wps:wsp>
                            <wps:wsp>
                              <wps:cNvPr id="88" name="直接箭头连接符 88"/>
                              <wps:cNvCnPr/>
                              <wps:spPr>
                                <a:xfrm>
                                  <a:off x="17636" y="32129"/>
                                  <a:ext cx="20883" cy="5761"/>
                                </a:xfrm>
                                <a:prstGeom prst="straightConnector1">
                                  <a:avLst/>
                                </a:prstGeom>
                                <a:ln w="12700" cap="flat" cmpd="sng">
                                  <a:solidFill>
                                    <a:srgbClr val="000000"/>
                                  </a:solidFill>
                                  <a:prstDash val="dash"/>
                                  <a:headEnd type="none" w="med" len="med"/>
                                  <a:tailEnd type="triangle" w="lg" len="lg"/>
                                </a:ln>
                                <a:effectLst/>
                              </wps:spPr>
                              <wps:bodyPr/>
                            </wps:wsp>
                            <wps:wsp>
                              <wps:cNvPr id="89" name="直接箭头连接符 89"/>
                              <wps:cNvCnPr/>
                              <wps:spPr>
                                <a:xfrm>
                                  <a:off x="34198" y="32129"/>
                                  <a:ext cx="5761" cy="5041"/>
                                </a:xfrm>
                                <a:prstGeom prst="straightConnector1">
                                  <a:avLst/>
                                </a:prstGeom>
                                <a:ln w="12700" cap="flat" cmpd="sng">
                                  <a:solidFill>
                                    <a:srgbClr val="000000"/>
                                  </a:solidFill>
                                  <a:prstDash val="dash"/>
                                  <a:headEnd type="none" w="med" len="med"/>
                                  <a:tailEnd type="triangle" w="lg" len="lg"/>
                                </a:ln>
                                <a:effectLst/>
                              </wps:spPr>
                              <wps:bodyPr/>
                            </wps:wsp>
                            <wps:wsp>
                              <wps:cNvPr id="90" name="直接箭头连接符 90"/>
                              <wps:cNvCnPr/>
                              <wps:spPr>
                                <a:xfrm flipV="1">
                                  <a:off x="34198" y="22048"/>
                                  <a:ext cx="7201" cy="5041"/>
                                </a:xfrm>
                                <a:prstGeom prst="straightConnector1">
                                  <a:avLst/>
                                </a:prstGeom>
                                <a:ln w="12700" cap="flat" cmpd="sng">
                                  <a:solidFill>
                                    <a:srgbClr val="000000"/>
                                  </a:solidFill>
                                  <a:prstDash val="dash"/>
                                  <a:headEnd type="none" w="med" len="med"/>
                                  <a:tailEnd type="triangle" w="lg" len="lg"/>
                                </a:ln>
                                <a:effectLst/>
                              </wps:spPr>
                              <wps:bodyPr/>
                            </wps:wsp>
                            <wps:wsp>
                              <wps:cNvPr id="91" name="直接箭头连接符 91"/>
                              <wps:cNvCnPr/>
                              <wps:spPr>
                                <a:xfrm flipH="1">
                                  <a:off x="54360" y="32129"/>
                                  <a:ext cx="5041" cy="5041"/>
                                </a:xfrm>
                                <a:prstGeom prst="straightConnector1">
                                  <a:avLst/>
                                </a:prstGeom>
                                <a:ln w="12700" cap="flat" cmpd="sng">
                                  <a:solidFill>
                                    <a:srgbClr val="000000"/>
                                  </a:solidFill>
                                  <a:prstDash val="dash"/>
                                  <a:headEnd type="none" w="med" len="med"/>
                                  <a:tailEnd type="triangle" w="lg" len="lg"/>
                                </a:ln>
                                <a:effectLst/>
                              </wps:spPr>
                              <wps:bodyPr/>
                            </wps:wsp>
                            <wps:wsp>
                              <wps:cNvPr id="92" name="直接箭头连接符 92"/>
                              <wps:cNvCnPr/>
                              <wps:spPr>
                                <a:xfrm flipH="1" flipV="1">
                                  <a:off x="53640" y="22048"/>
                                  <a:ext cx="5761" cy="5041"/>
                                </a:xfrm>
                                <a:prstGeom prst="straightConnector1">
                                  <a:avLst/>
                                </a:prstGeom>
                                <a:ln w="12700" cap="flat" cmpd="sng">
                                  <a:solidFill>
                                    <a:srgbClr val="000000"/>
                                  </a:solidFill>
                                  <a:prstDash val="dash"/>
                                  <a:headEnd type="none" w="med" len="med"/>
                                  <a:tailEnd type="triangle" w="lg" len="lg"/>
                                </a:ln>
                                <a:effectLst/>
                              </wps:spPr>
                              <wps:bodyPr/>
                            </wps:wsp>
                            <wps:wsp>
                              <wps:cNvPr id="93" name="直接箭头连接符 93"/>
                              <wps:cNvCnPr/>
                              <wps:spPr>
                                <a:xfrm flipV="1">
                                  <a:off x="18356" y="19888"/>
                                  <a:ext cx="22323" cy="7201"/>
                                </a:xfrm>
                                <a:prstGeom prst="straightConnector1">
                                  <a:avLst/>
                                </a:prstGeom>
                                <a:ln w="12700" cap="flat" cmpd="sng">
                                  <a:solidFill>
                                    <a:srgbClr val="000000"/>
                                  </a:solidFill>
                                  <a:prstDash val="dash"/>
                                  <a:headEnd type="none" w="med" len="med"/>
                                  <a:tailEnd type="triangle" w="lg" len="lg"/>
                                </a:ln>
                                <a:effectLst/>
                              </wps:spPr>
                              <wps:bodyPr/>
                            </wps:wsp>
                            <wps:wsp>
                              <wps:cNvPr id="94" name="直接箭头连接符 94"/>
                              <wps:cNvCnPr/>
                              <wps:spPr>
                                <a:xfrm flipH="1" flipV="1">
                                  <a:off x="53069" y="19745"/>
                                  <a:ext cx="22318" cy="7200"/>
                                </a:xfrm>
                                <a:prstGeom prst="straightConnector1">
                                  <a:avLst/>
                                </a:prstGeom>
                                <a:ln w="12700" cap="flat" cmpd="sng">
                                  <a:solidFill>
                                    <a:srgbClr val="000000"/>
                                  </a:solidFill>
                                  <a:prstDash val="dash"/>
                                  <a:headEnd type="none" w="med" len="med"/>
                                  <a:tailEnd type="triangle" w="lg" len="lg"/>
                                </a:ln>
                                <a:effectLst/>
                              </wps:spPr>
                              <wps:bodyPr/>
                            </wps:wsp>
                            <wps:wsp>
                              <wps:cNvPr id="95" name="直接箭头连接符 95"/>
                              <wps:cNvCnPr/>
                              <wps:spPr>
                                <a:xfrm flipH="1">
                                  <a:off x="54360" y="32129"/>
                                  <a:ext cx="21603" cy="7921"/>
                                </a:xfrm>
                                <a:prstGeom prst="straightConnector1">
                                  <a:avLst/>
                                </a:prstGeom>
                                <a:ln w="12700" cap="flat" cmpd="sng">
                                  <a:solidFill>
                                    <a:srgbClr val="000000"/>
                                  </a:solidFill>
                                  <a:prstDash val="dash"/>
                                  <a:headEnd type="none" w="med" len="med"/>
                                  <a:tailEnd type="triangle" w="lg" len="lg"/>
                                </a:ln>
                                <a:effectLst/>
                              </wps:spPr>
                              <wps:bodyPr/>
                            </wps:wsp>
                          </wpg:wgp>
                        </a:graphicData>
                      </a:graphic>
                    </wp:inline>
                  </w:drawing>
                </mc:Choice>
                <mc:Fallback>
                  <w:pict>
                    <v:group id="组合 11" o:spid="_x0000_s1026" o:spt="203" style="height:123.1pt;width:401.8pt;" coordorigin="7207,17728" coordsize="79453,23762" o:gfxdata="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">
                      <o:lock v:ext="edit" aspectratio="f"/>
                      <v:rect id="_x0000_s1026" o:spid="_x0000_s1026" o:spt="1" style="position:absolute;left:24114;top:27568;height:4318;width:12997;v-text-anchor:middle;" filled="f" stroked="t" coordsize="21600,21600" o:gfxdata="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YyqVvQAA&#10;ANsAAAAPAAAAAAAAAAEAIAAAACIAAABkcnMvZG93bnJldi54bWxQSwECFAAUAAAACACHTuJAMy8F&#10;njsAAAA5AAAAEAAAAAAAAAABACAAAAAMAQAAZHJzL3NoYXBleG1sLnhtbFBLBQYAAAAABgAGAFsB&#10;AAC2AwAAAAA=&#10;">
                        <v:fill on="f" focussize="0,0"/>
                        <v:stroke weight="1.25pt" color="#000000" joinstyle="miter"/>
                        <v:imagedata o:title=""/>
                        <o:lock v:ext="edit" aspectratio="f"/>
                        <v:textbox>
                          <w:txbxContent>
                            <w:p>
                              <w:pPr>
                                <w:pStyle w:val="17"/>
                                <w:jc w:val="center"/>
                                <w:textAlignment w:val="baseline"/>
                                <w:rPr>
                                  <w:rFonts w:hint="default"/>
                                  <w:sz w:val="18"/>
                                  <w:szCs w:val="18"/>
                                </w:rPr>
                              </w:pPr>
                              <w:r>
                                <w:rPr>
                                  <w:rFonts w:asciiTheme="minorHAnsi" w:eastAsiaTheme="minorEastAsia" w:cstheme="minorBidi"/>
                                  <w:color w:val="000000" w:themeColor="text1"/>
                                  <w:kern w:val="24"/>
                                  <w:sz w:val="18"/>
                                  <w:szCs w:val="18"/>
                                </w:rPr>
                                <w:t>主体工程施工</w:t>
                              </w:r>
                            </w:p>
                            <w:p/>
                          </w:txbxContent>
                        </v:textbox>
                      </v:rect>
                      <v:shape id="_x0000_s1026" o:spid="_x0000_s1026" o:spt="32" type="#_x0000_t32" style="position:absolute;left:37111;top:29723;flip:y;height:9;width:3210;" filled="f" stroked="t" coordsize="21600,21600" o:gfxdata="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RTWxvQAA&#10;ANsAAAAPAAAAAAAAAAEAIAAAACIAAABkcnMvZG93bnJldi54bWxQSwECFAAUAAAACACHTuJAMy8F&#10;njsAAAA5AAAAEAAAAAAAAAABACAAAAAMAQAAZHJzL3NoYXBleG1sLnhtbFBLBQYAAAAABgAGAFsB&#10;AAC2AwAAAAA=&#10;">
                        <v:fill on="f" focussize="0,0"/>
                        <v:stroke weight="1.25pt" color="#000000" joinstyle="round" endarrow="block" endarrowwidth="wide" endarrowlength="long"/>
                        <v:imagedata o:title=""/>
                        <o:lock v:ext="edit" aspectratio="f"/>
                      </v:shape>
                      <v:rect id="_x0000_s1026" o:spid="_x0000_s1026" o:spt="1" style="position:absolute;left:75249;top:27573;height:4314;width:11411;v-text-anchor:middle;" filled="f" stroked="t" coordsize="21600,21600" o:gfxdata="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RF5vQAA&#10;ANsAAAAPAAAAAAAAAAEAIAAAACIAAABkcnMvZG93bnJldi54bWxQSwECFAAUAAAACACHTuJAMy8F&#10;njsAAAA5AAAAEAAAAAAAAAABACAAAAAMAQAAZHJzL3NoYXBleG1sLnhtbFBLBQYAAAAABgAGAFsB&#10;AAC2AwAAAAA=&#10;">
                        <v:fill on="f" focussize="0,0"/>
                        <v:stroke weight="1.25pt" color="#000000" joinstyle="miter"/>
                        <v:imagedata o:title=""/>
                        <o:lock v:ext="edit" aspectratio="f"/>
                        <v:textbox>
                          <w:txbxContent>
                            <w:p>
                              <w:pPr>
                                <w:pStyle w:val="17"/>
                                <w:jc w:val="center"/>
                                <w:textAlignment w:val="baseline"/>
                                <w:rPr>
                                  <w:rFonts w:hint="default"/>
                                  <w:sz w:val="18"/>
                                  <w:szCs w:val="18"/>
                                </w:rPr>
                              </w:pPr>
                              <w:r>
                                <w:rPr>
                                  <w:rFonts w:asciiTheme="minorHAnsi" w:eastAsiaTheme="minorEastAsia" w:cstheme="minorBidi"/>
                                  <w:color w:val="000000" w:themeColor="text1"/>
                                  <w:kern w:val="24"/>
                                  <w:sz w:val="18"/>
                                  <w:szCs w:val="18"/>
                                </w:rPr>
                                <w:t>现场清理</w:t>
                              </w:r>
                            </w:p>
                          </w:txbxContent>
                        </v:textbox>
                      </v:rect>
                      <v:shape id="_x0000_s1026" o:spid="_x0000_s1026" o:spt="32" type="#_x0000_t32" style="position:absolute;left:18351;top:29727;height:0;width:5199;" filled="f" stroked="t" coordsize="21600,21600" o:gfxdata="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7R/tvQAA&#10;ANsAAAAPAAAAAAAAAAEAIAAAACIAAABkcnMvZG93bnJldi54bWxQSwECFAAUAAAACACHTuJAMy8F&#10;njsAAAA5AAAAEAAAAAAAAAABACAAAAAMAQAAZHJzL3NoYXBleG1sLnhtbFBLBQYAAAAABgAGAFsB&#10;AAC2AwAAAAA=&#10;">
                        <v:fill on="f" focussize="0,0"/>
                        <v:stroke weight="1.25pt" color="#000000" joinstyle="round" endarrow="block" endarrowwidth="wide" endarrowlength="long"/>
                        <v:imagedata o:title=""/>
                        <o:lock v:ext="edit" aspectratio="f"/>
                      </v:shape>
                      <v:rect id="_x0000_s1026" o:spid="_x0000_s1026" o:spt="1" style="position:absolute;left:59408;top:27573;height:4314;width:11263;v-text-anchor:middle;" filled="f" stroked="t" coordsize="21600,21600" o:gfxdata="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WCyWvQAA&#10;ANsAAAAPAAAAAAAAAAEAIAAAACIAAABkcnMvZG93bnJldi54bWxQSwECFAAUAAAACACHTuJAMy8F&#10;njsAAAA5AAAAEAAAAAAAAAABACAAAAAMAQAAZHJzL3NoYXBleG1sLnhtbFBLBQYAAAAABgAGAFsB&#10;AAC2AwAAAAA=&#10;">
                        <v:fill on="f" focussize="0,0"/>
                        <v:stroke weight="1.25pt" color="#000000" joinstyle="miter"/>
                        <v:imagedata o:title=""/>
                        <o:lock v:ext="edit" aspectratio="f"/>
                        <v:textbox>
                          <w:txbxContent>
                            <w:p>
                              <w:pPr>
                                <w:pStyle w:val="17"/>
                                <w:jc w:val="center"/>
                                <w:textAlignment w:val="baseline"/>
                                <w:rPr>
                                  <w:rFonts w:hint="default"/>
                                  <w:sz w:val="18"/>
                                  <w:szCs w:val="18"/>
                                </w:rPr>
                              </w:pPr>
                              <w:r>
                                <w:rPr>
                                  <w:rFonts w:asciiTheme="minorHAnsi" w:eastAsiaTheme="minorEastAsia" w:cstheme="minorBidi"/>
                                  <w:color w:val="000000" w:themeColor="text1"/>
                                  <w:kern w:val="24"/>
                                  <w:sz w:val="18"/>
                                  <w:szCs w:val="18"/>
                                </w:rPr>
                                <w:t>表面修整</w:t>
                              </w:r>
                            </w:p>
                          </w:txbxContent>
                        </v:textbox>
                      </v:rect>
                      <v:rect id="_x0000_s1026" o:spid="_x0000_s1026" o:spt="1" style="position:absolute;left:40322;top:27568;height:4318;width:11438;v-text-anchor:middle;" filled="f" stroked="t" coordsize="21600,21600" o:gfxdata="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6KsuG8AAAA&#10;2wAAAA8AAAAAAAAAAQAgAAAAIgAAAGRycy9kb3ducmV2LnhtbFBLAQIUABQAAAAIAIdO4kAzLwWe&#10;OwAAADkAAAAQAAAAAAAAAAEAIAAAAAsBAABkcnMvc2hhcGV4bWwueG1sUEsFBgAAAAAGAAYAWwEA&#10;ALUDAAAAAA==&#10;">
                        <v:fill on="f" focussize="0,0"/>
                        <v:stroke weight="1.25pt" color="#000000" joinstyle="miter"/>
                        <v:imagedata o:title=""/>
                        <o:lock v:ext="edit" aspectratio="f"/>
                        <v:textbox>
                          <w:txbxContent>
                            <w:p>
                              <w:pPr>
                                <w:pStyle w:val="17"/>
                                <w:jc w:val="center"/>
                                <w:textAlignment w:val="baseline"/>
                                <w:rPr>
                                  <w:rFonts w:hint="default"/>
                                  <w:sz w:val="18"/>
                                  <w:szCs w:val="18"/>
                                </w:rPr>
                              </w:pPr>
                              <w:r>
                                <w:rPr>
                                  <w:rFonts w:asciiTheme="minorHAnsi" w:eastAsiaTheme="minorEastAsia" w:cstheme="minorBidi"/>
                                  <w:color w:val="000000" w:themeColor="text1"/>
                                  <w:kern w:val="24"/>
                                  <w:sz w:val="18"/>
                                  <w:szCs w:val="18"/>
                                </w:rPr>
                                <w:t>设备安装</w:t>
                              </w:r>
                            </w:p>
                            <w:p/>
                          </w:txbxContent>
                        </v:textbox>
                      </v:rect>
                      <v:shape id="_x0000_s1026" o:spid="_x0000_s1026" o:spt="32" type="#_x0000_t32" style="position:absolute;left:51756;top:29723;flip:y;height:9;width:7648;" filled="f" stroked="t" coordsize="21600,21600" o:gfxdata="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MpYpvQAA&#10;ANsAAAAPAAAAAAAAAAEAIAAAACIAAABkcnMvZG93bnJldi54bWxQSwECFAAUAAAACACHTuJAMy8F&#10;njsAAAA5AAAAEAAAAAAAAAABACAAAAAMAQAAZHJzL3NoYXBleG1sLnhtbFBLBQYAAAAABgAGAFsB&#10;AAC2AwAAAAA=&#10;">
                        <v:fill on="f" focussize="0,0"/>
                        <v:stroke weight="1.25pt" color="#000000" joinstyle="round" endarrow="block" endarrowwidth="wide" endarrowlength="long"/>
                        <v:imagedata o:title=""/>
                        <o:lock v:ext="edit" aspectratio="f"/>
                      </v:shape>
                      <v:rect id="_x0000_s1026" o:spid="_x0000_s1026" o:spt="1" style="position:absolute;left:7207;top:27568;height:4318;width:11144;v-text-anchor:middle;" filled="f" stroked="t" coordsize="21600,21600" o:gfxdata="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mDCLsAAADb&#10;AAAADwAAAAAAAAABACAAAAAiAAAAZHJzL2Rvd25yZXYueG1sUEsBAhQAFAAAAAgAh07iQDMvBZ47&#10;AAAAOQAAABAAAAAAAAAAAQAgAAAACgEAAGRycy9zaGFwZXhtbC54bWxQSwUGAAAAAAYABgBbAQAA&#10;tAMAAAAA&#10;">
                        <v:fill on="f" focussize="0,0"/>
                        <v:stroke weight="1.25pt" color="#000000" joinstyle="miter"/>
                        <v:imagedata o:title=""/>
                        <o:lock v:ext="edit" aspectratio="f"/>
                        <v:textbox>
                          <w:txbxContent>
                            <w:p>
                              <w:pPr>
                                <w:pStyle w:val="17"/>
                                <w:jc w:val="center"/>
                                <w:textAlignment w:val="baseline"/>
                                <w:rPr>
                                  <w:rFonts w:hint="default"/>
                                  <w:sz w:val="18"/>
                                  <w:szCs w:val="18"/>
                                </w:rPr>
                              </w:pPr>
                              <w:r>
                                <w:rPr>
                                  <w:rFonts w:asciiTheme="minorHAnsi" w:eastAsiaTheme="minorEastAsia" w:cstheme="minorBidi"/>
                                  <w:color w:val="000000" w:themeColor="text1"/>
                                  <w:kern w:val="24"/>
                                  <w:sz w:val="18"/>
                                  <w:szCs w:val="18"/>
                                </w:rPr>
                                <w:t>场地平整</w:t>
                              </w:r>
                            </w:p>
                          </w:txbxContent>
                        </v:textbox>
                      </v:rect>
                      <v:shape id="_x0000_s1026" o:spid="_x0000_s1026" o:spt="32" type="#_x0000_t32" style="position:absolute;left:10072;top:34402;height:0;width:5032;rotation:5898240f;" filled="f" stroked="t" coordsize="21600,21600" o:gfxdata="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Wc2a8AAAA&#10;2wAAAA8AAAAAAAAAAQAgAAAAIgAAAGRycy9kb3ducmV2LnhtbFBLAQIUABQAAAAIAIdO4kAzLwWe&#10;OwAAADkAAAAQAAAAAAAAAAEAIAAAAAsBAABkcnMvc2hhcGV4bWwueG1sUEsFBgAAAAAGAAYAWwEA&#10;ALUDAAAAAA==&#10;">
                        <v:fill on="f" focussize="0,0"/>
                        <v:stroke color="#000000" joinstyle="round" dashstyle="dash" endarrow="block" endarrowwidth="wide"/>
                        <v:imagedata o:title=""/>
                        <o:lock v:ext="edit" aspectratio="f"/>
                      </v:shape>
                      <v:shape id="_x0000_s1026" o:spid="_x0000_s1026" o:spt="32" type="#_x0000_t32" style="position:absolute;left:71215;top:29725;flip:y;height:106;width:4034;" filled="f" stroked="t" coordsize="21600,21600" o:gfxdata="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0Ofnq5AAAA2wAA&#10;AA8AAAAAAAAAAQAgAAAAIgAAAGRycy9kb3ducmV2LnhtbFBLAQIUABQAAAAIAIdO4kAzLwWeOwAA&#10;ADkAAAAQAAAAAAAAAAEAIAAAAAgBAABkcnMvc2hhcGV4bWwueG1sUEsFBgAAAAAGAAYAWwEAALID&#10;AAAAAA==&#10;">
                        <v:fill on="f" focussize="0,0"/>
                        <v:stroke weight="1.25pt" color="#000000" joinstyle="round" endarrow="block" endarrowwidth="wide" endarrowlength="long"/>
                        <v:imagedata o:title=""/>
                        <o:lock v:ext="edit" aspectratio="f"/>
                      </v:shape>
                      <v:shape id="_x0000_s1026" o:spid="_x0000_s1026" o:spt="32" type="#_x0000_t32" style="position:absolute;left:44521;top:34529;height:0;width:5032;rotation:5898240f;" filled="f" stroked="t" coordsize="21600,21600" o:gfxdata="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3KWm5AAAA2wAA&#10;AA8AAAAAAAAAAQAgAAAAIgAAAGRycy9kb3ducmV2LnhtbFBLAQIUABQAAAAIAIdO4kAzLwWeOwAA&#10;ADkAAAAQAAAAAAAAAAEAIAAAAAgBAABkcnMvc2hhcGV4bWwueG1sUEsFBgAAAAAGAAYAWwEAALID&#10;AAAAAA==&#10;">
                        <v:fill on="f" focussize="0,0"/>
                        <v:stroke weight="1pt" color="#000000" joinstyle="round" dashstyle="dash" endarrow="block" endarrowwidth="wide" endarrowlength="long"/>
                        <v:imagedata o:title=""/>
                        <o:lock v:ext="edit" aspectratio="f"/>
                      </v:shape>
                      <v:shape id="_x0000_s1026" o:spid="_x0000_s1026" o:spt="32" type="#_x0000_t32" style="position:absolute;left:77970;top:34529;height:0;width:5032;rotation:5898240f;" filled="f" stroked="t" coordsize="21600,21600" o:gfxdata="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8ltx65AAAA2wAA&#10;AA8AAAAAAAAAAQAgAAAAIgAAAGRycy9kb3ducmV2LnhtbFBLAQIUABQAAAAIAIdO4kAzLwWeOwAA&#10;ADkAAAAQAAAAAAAAAAEAIAAAAAgBAABkcnMvc2hhcGV4bWwueG1sUEsFBgAAAAAGAAYAWwEAALID&#10;AAAAAA==&#10;">
                        <v:fill on="f" focussize="0,0"/>
                        <v:stroke weight="1pt" color="#000000" joinstyle="round" dashstyle="dash" endarrow="block" endarrowwidth="wide" endarrowlength="long"/>
                        <v:imagedata o:title=""/>
                        <o:lock v:ext="edit" aspectratio="f"/>
                      </v:shape>
                      <v:rect id="_x0000_s1026" o:spid="_x0000_s1026" o:spt="1" style="position:absolute;left:7207;top:36918;height:4318;width:11144;v-text-anchor:middle;" filled="f" stroked="t" coordsize="21600,21600" o:gfxdata="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840G8AAAA&#10;2wAAAA8AAAAAAAAAAQAgAAAAIgAAAGRycy9kb3ducmV2LnhtbFBLAQIUABQAAAAIAIdO4kAzLwWe&#10;OwAAADkAAAAQAAAAAAAAAAEAIAAAAAsBAABkcnMvc2hhcGV4bWwueG1sUEsFBgAAAAAGAAYAWwEA&#10;ALUDAAAAAA==&#10;">
                        <v:fill on="f" focussize="0,0"/>
                        <v:stroke weight="1pt" color="#000000" joinstyle="miter" dashstyle="dash"/>
                        <v:imagedata o:title=""/>
                        <o:lock v:ext="edit" aspectratio="f"/>
                        <v:textbox>
                          <w:txbxContent>
                            <w:p>
                              <w:pPr>
                                <w:pStyle w:val="17"/>
                                <w:jc w:val="center"/>
                                <w:textAlignment w:val="baseline"/>
                                <w:rPr>
                                  <w:rFonts w:hint="default"/>
                                  <w:sz w:val="18"/>
                                  <w:szCs w:val="18"/>
                                </w:rPr>
                              </w:pPr>
                              <w:r>
                                <w:rPr>
                                  <w:rFonts w:ascii="Times New Roman" w:eastAsiaTheme="minorEastAsia"/>
                                  <w:color w:val="000000" w:themeColor="text1"/>
                                  <w:kern w:val="24"/>
                                  <w:sz w:val="18"/>
                                  <w:szCs w:val="18"/>
                                </w:rPr>
                                <w:t>固体废物</w:t>
                              </w:r>
                            </w:p>
                          </w:txbxContent>
                        </v:textbox>
                      </v:rect>
                      <v:rect id="_x0000_s1026" o:spid="_x0000_s1026" o:spt="1" style="position:absolute;left:40719;top:37172;height:4318;width:13113;v-text-anchor:middle;" filled="f" stroked="t" coordsize="21600,21600" o:gfxdata="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VezW8AAAA&#10;2wAAAA8AAAAAAAAAAQAgAAAAIgAAAGRycy9kb3ducmV2LnhtbFBLAQIUABQAAAAIAIdO4kAzLwWe&#10;OwAAADkAAAAQAAAAAAAAAAEAIAAAAAsBAABkcnMvc2hhcGV4bWwueG1sUEsFBgAAAAAGAAYAWwEA&#10;ALUDAAAAAA==&#10;">
                        <v:fill on="f" focussize="0,0"/>
                        <v:stroke weight="1pt" color="#000000" joinstyle="miter" dashstyle="dash"/>
                        <v:imagedata o:title=""/>
                        <o:lock v:ext="edit" aspectratio="f"/>
                        <v:textbox>
                          <w:txbxContent>
                            <w:p>
                              <w:pPr>
                                <w:pStyle w:val="17"/>
                                <w:jc w:val="center"/>
                                <w:textAlignment w:val="baseline"/>
                                <w:rPr>
                                  <w:rFonts w:hint="default"/>
                                  <w:sz w:val="18"/>
                                  <w:szCs w:val="18"/>
                                </w:rPr>
                              </w:pPr>
                              <w:r>
                                <w:rPr>
                                  <w:rFonts w:ascii="Times New Roman" w:eastAsiaTheme="minorEastAsia"/>
                                  <w:color w:val="000000" w:themeColor="text1"/>
                                  <w:kern w:val="24"/>
                                  <w:sz w:val="18"/>
                                  <w:szCs w:val="18"/>
                                </w:rPr>
                                <w:t>噪声</w:t>
                              </w:r>
                            </w:p>
                          </w:txbxContent>
                        </v:textbox>
                      </v:rect>
                      <v:rect id="_x0000_s1026" o:spid="_x0000_s1026" o:spt="1" style="position:absolute;left:41399;top:17728;height:4318;width:11160;v-text-anchor:middle;" filled="f" stroked="t" coordsize="21600,21600" o:gfxdata="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Z3q68AAAA&#10;2wAAAA8AAAAAAAAAAQAgAAAAIgAAAGRycy9kb3ducmV2LnhtbFBLAQIUABQAAAAIAIdO4kAzLwWe&#10;OwAAADkAAAAQAAAAAAAAAAEAIAAAAAsBAABkcnMvc2hhcGV4bWwueG1sUEsFBgAAAAAGAAYAWwEA&#10;ALUDAAAAAA==&#10;">
                        <v:fill on="f" focussize="0,0"/>
                        <v:stroke weight="1pt" color="#000000" joinstyle="miter" dashstyle="dash"/>
                        <v:imagedata o:title=""/>
                        <o:lock v:ext="edit" aspectratio="f"/>
                        <v:textbox>
                          <w:txbxContent>
                            <w:p>
                              <w:pPr>
                                <w:pStyle w:val="17"/>
                                <w:jc w:val="center"/>
                                <w:textAlignment w:val="baseline"/>
                                <w:rPr>
                                  <w:rFonts w:hint="default"/>
                                  <w:sz w:val="18"/>
                                  <w:szCs w:val="18"/>
                                </w:rPr>
                              </w:pPr>
                              <w:r>
                                <w:rPr>
                                  <w:rFonts w:ascii="Times New Roman" w:eastAsiaTheme="minorEastAsia"/>
                                  <w:color w:val="000000" w:themeColor="text1"/>
                                  <w:kern w:val="24"/>
                                  <w:sz w:val="18"/>
                                  <w:szCs w:val="18"/>
                                </w:rPr>
                                <w:t>扬尘、废水</w:t>
                              </w:r>
                            </w:p>
                          </w:txbxContent>
                        </v:textbox>
                      </v:rect>
                      <v:rect id="矩形 86" o:spid="_x0000_s1026" o:spt="1" style="position:absolute;left:75342;top:37172;height:4318;width:11160;v-text-anchor:middle;" filled="f" stroked="t" coordsize="21600,21600" o:gfxdata="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LQNm8AAAA&#10;2wAAAA8AAAAAAAAAAQAgAAAAIgAAAGRycy9kb3ducmV2LnhtbFBLAQIUABQAAAAIAIdO4kAzLwWe&#10;OwAAADkAAAAQAAAAAAAAAAEAIAAAAAsBAABkcnMvc2hhcGV4bWwueG1sUEsFBgAAAAAGAAYAWwEA&#10;ALUDAAAAAA==&#10;">
                        <v:fill on="f" focussize="0,0"/>
                        <v:stroke weight="1pt" color="#000000" joinstyle="miter" dashstyle="dash"/>
                        <v:imagedata o:title=""/>
                        <o:lock v:ext="edit" aspectratio="f"/>
                        <v:textbox>
                          <w:txbxContent>
                            <w:p>
                              <w:pPr>
                                <w:pStyle w:val="17"/>
                                <w:jc w:val="center"/>
                                <w:textAlignment w:val="baseline"/>
                                <w:rPr>
                                  <w:rFonts w:hint="default"/>
                                  <w:sz w:val="18"/>
                                  <w:szCs w:val="18"/>
                                </w:rPr>
                              </w:pPr>
                              <w:r>
                                <w:rPr>
                                  <w:rFonts w:ascii="Times New Roman" w:eastAsiaTheme="minorEastAsia"/>
                                  <w:color w:val="000000" w:themeColor="text1"/>
                                  <w:kern w:val="24"/>
                                  <w:sz w:val="18"/>
                                  <w:szCs w:val="18"/>
                                </w:rPr>
                                <w:t>固体废物</w:t>
                              </w:r>
                            </w:p>
                          </w:txbxContent>
                        </v:textbox>
                      </v:rect>
                      <v:shape id="_x0000_s1026" o:spid="_x0000_s1026" o:spt="32" type="#_x0000_t32" style="position:absolute;left:44643;top:24565;flip:y;height:0;width:5033;rotation:5898240f;" filled="f" stroked="t" coordsize="21600,21600" o:gfxdata="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rWIL4A&#10;AADbAAAADwAAAAAAAAABACAAAAAiAAAAZHJzL2Rvd25yZXYueG1sUEsBAhQAFAAAAAgAh07iQDMv&#10;BZ47AAAAOQAAABAAAAAAAAAAAQAgAAAADQEAAGRycy9zaGFwZXhtbC54bWxQSwUGAAAAAAYABgBb&#10;AQAAtwMAAAAA&#10;">
                        <v:fill on="f" focussize="0,0"/>
                        <v:stroke weight="1pt" color="#000000" joinstyle="round" dashstyle="dash" endarrow="block" endarrowwidth="wide" endarrowlength="long"/>
                        <v:imagedata o:title=""/>
                        <o:lock v:ext="edit" aspectratio="f"/>
                      </v:shape>
                      <v:shape id="_x0000_s1026" o:spid="_x0000_s1026" o:spt="32" type="#_x0000_t32" style="position:absolute;left:17636;top:32129;height:5761;width:20883;" filled="f" stroked="t" coordsize="21600,21600" o:gfxdata="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s7fb7sAAADb&#10;AAAADwAAAAAAAAABACAAAAAiAAAAZHJzL2Rvd25yZXYueG1sUEsBAhQAFAAAAAgAh07iQDMvBZ47&#10;AAAAOQAAABAAAAAAAAAAAQAgAAAACgEAAGRycy9zaGFwZXhtbC54bWxQSwUGAAAAAAYABgBbAQAA&#10;tAMAAAAA&#10;">
                        <v:fill on="f" focussize="0,0"/>
                        <v:stroke weight="1pt" color="#000000" joinstyle="round" dashstyle="dash" endarrow="block" endarrowwidth="wide" endarrowlength="long"/>
                        <v:imagedata o:title=""/>
                        <o:lock v:ext="edit" aspectratio="f"/>
                      </v:shape>
                      <v:shape id="_x0000_s1026" o:spid="_x0000_s1026" o:spt="32" type="#_x0000_t32" style="position:absolute;left:34198;top:32129;height:5041;width:5761;" filled="f" stroked="t" coordsize="21600,21600" o:gfxdata="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gnr0vQAA&#10;ANsAAAAPAAAAAAAAAAEAIAAAACIAAABkcnMvZG93bnJldi54bWxQSwECFAAUAAAACACHTuJAMy8F&#10;njsAAAA5AAAAEAAAAAAAAAABACAAAAAMAQAAZHJzL3NoYXBleG1sLnhtbFBLBQYAAAAABgAGAFsB&#10;AAC2AwAAAAA=&#10;">
                        <v:fill on="f" focussize="0,0"/>
                        <v:stroke weight="1pt" color="#000000" joinstyle="round" dashstyle="dash" endarrow="block" endarrowwidth="wide" endarrowlength="long"/>
                        <v:imagedata o:title=""/>
                        <o:lock v:ext="edit" aspectratio="f"/>
                      </v:shape>
                      <v:shape id="_x0000_s1026" o:spid="_x0000_s1026" o:spt="32" type="#_x0000_t32" style="position:absolute;left:34198;top:22048;flip:y;height:5041;width:7201;" filled="f" stroked="t" coordsize="21600,21600" o:gfxdata="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XuC+bsAAADb&#10;AAAADwAAAAAAAAABACAAAAAiAAAAZHJzL2Rvd25yZXYueG1sUEsBAhQAFAAAAAgAh07iQDMvBZ47&#10;AAAAOQAAABAAAAAAAAAAAQAgAAAACgEAAGRycy9zaGFwZXhtbC54bWxQSwUGAAAAAAYABgBbAQAA&#10;tAMAAAAA&#10;">
                        <v:fill on="f" focussize="0,0"/>
                        <v:stroke weight="1pt" color="#000000" joinstyle="round" dashstyle="dash" endarrow="block" endarrowwidth="wide" endarrowlength="long"/>
                        <v:imagedata o:title=""/>
                        <o:lock v:ext="edit" aspectratio="f"/>
                      </v:shape>
                      <v:shape id="_x0000_s1026" o:spid="_x0000_s1026" o:spt="32" type="#_x0000_t32" style="position:absolute;left:54360;top:32129;flip:x;height:5041;width:5041;" filled="f" stroked="t" coordsize="21600,21600" o:gfxdata="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cnYr4A&#10;AADbAAAADwAAAAAAAAABACAAAAAiAAAAZHJzL2Rvd25yZXYueG1sUEsBAhQAFAAAAAgAh07iQDMv&#10;BZ47AAAAOQAAABAAAAAAAAAAAQAgAAAADQEAAGRycy9zaGFwZXhtbC54bWxQSwUGAAAAAAYABgBb&#10;AQAAtwMAAAAA&#10;">
                        <v:fill on="f" focussize="0,0"/>
                        <v:stroke weight="1pt" color="#000000" joinstyle="round" dashstyle="dash" endarrow="block" endarrowwidth="wide" endarrowlength="long"/>
                        <v:imagedata o:title=""/>
                        <o:lock v:ext="edit" aspectratio="f"/>
                      </v:shape>
                      <v:shape id="_x0000_s1026" o:spid="_x0000_s1026" o:spt="32" type="#_x0000_t32" style="position:absolute;left:53640;top:22048;flip:x y;height:5041;width:5761;" filled="f" stroked="t" coordsize="21600,21600" o:gfxdata="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aPeqvQAA&#10;ANsAAAAPAAAAAAAAAAEAIAAAACIAAABkcnMvZG93bnJldi54bWxQSwECFAAUAAAACACHTuJAMy8F&#10;njsAAAA5AAAAEAAAAAAAAAABACAAAAAMAQAAZHJzL3NoYXBleG1sLnhtbFBLBQYAAAAABgAGAFsB&#10;AAC2AwAAAAA=&#10;">
                        <v:fill on="f" focussize="0,0"/>
                        <v:stroke weight="1pt" color="#000000" joinstyle="round" dashstyle="dash" endarrow="block" endarrowwidth="wide" endarrowlength="long"/>
                        <v:imagedata o:title=""/>
                        <o:lock v:ext="edit" aspectratio="f"/>
                      </v:shape>
                      <v:shape id="_x0000_s1026" o:spid="_x0000_s1026" o:spt="32" type="#_x0000_t32" style="position:absolute;left:18356;top:19888;flip:y;height:7201;width:22323;" filled="f" stroked="t" coordsize="21600,21600" o:gfxdata="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akcjr4A&#10;AADbAAAADwAAAAAAAAABACAAAAAiAAAAZHJzL2Rvd25yZXYueG1sUEsBAhQAFAAAAAgAh07iQDMv&#10;BZ47AAAAOQAAABAAAAAAAAAAAQAgAAAADQEAAGRycy9zaGFwZXhtbC54bWxQSwUGAAAAAAYABgBb&#10;AQAAtwMAAAAA&#10;">
                        <v:fill on="f" focussize="0,0"/>
                        <v:stroke weight="1pt" color="#000000" joinstyle="round" dashstyle="dash" endarrow="block" endarrowwidth="wide" endarrowlength="long"/>
                        <v:imagedata o:title=""/>
                        <o:lock v:ext="edit" aspectratio="f"/>
                      </v:shape>
                      <v:shape id="_x0000_s1026" o:spid="_x0000_s1026" o:spt="32" type="#_x0000_t32" style="position:absolute;left:53069;top:19745;flip:x y;height:7200;width:22318;" filled="f" stroked="t" coordsize="21600,21600" o:gfxdata="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zcpFvQAA&#10;ANsAAAAPAAAAAAAAAAEAIAAAACIAAABkcnMvZG93bnJldi54bWxQSwECFAAUAAAACACHTuJAMy8F&#10;njsAAAA5AAAAEAAAAAAAAAABACAAAAAMAQAAZHJzL3NoYXBleG1sLnhtbFBLBQYAAAAABgAGAFsB&#10;AAC2AwAAAAA=&#10;">
                        <v:fill on="f" focussize="0,0"/>
                        <v:stroke weight="1pt" color="#000000" joinstyle="round" dashstyle="dash" endarrow="block" endarrowwidth="wide" endarrowlength="long"/>
                        <v:imagedata o:title=""/>
                        <o:lock v:ext="edit" aspectratio="f"/>
                      </v:shape>
                      <v:shape id="_x0000_s1026" o:spid="_x0000_s1026" o:spt="32" type="#_x0000_t32" style="position:absolute;left:54360;top:32129;flip:x;height:7921;width:21603;" filled="f" stroked="t" coordsize="21600,21600" o:gfxdata="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QwhYb4A&#10;AADbAAAADwAAAAAAAAABACAAAAAiAAAAZHJzL2Rvd25yZXYueG1sUEsBAhQAFAAAAAgAh07iQDMv&#10;BZ47AAAAOQAAABAAAAAAAAAAAQAgAAAADQEAAGRycy9zaGFwZXhtbC54bWxQSwUGAAAAAAYABgBb&#10;AQAAtwMAAAAA&#10;">
                        <v:fill on="f" focussize="0,0"/>
                        <v:stroke weight="1pt" color="#000000" joinstyle="round" dashstyle="dash" endarrow="block" endarrowwidth="wide" endarrowlength="long"/>
                        <v:imagedata o:title=""/>
                        <o:lock v:ext="edit" aspectratio="f"/>
                      </v:shape>
                      <w10:wrap type="none"/>
                      <w10:anchorlock/>
                    </v:group>
                  </w:pict>
                </mc:Fallback>
              </mc:AlternateContent>
            </w:r>
          </w:p>
          <w:p>
            <w:pPr>
              <w:pStyle w:val="2"/>
              <w:rPr>
                <w:rFonts w:hint="default" w:ascii="Times New Roman" w:hAnsi="Times New Roman" w:cs="Times New Roman"/>
                <w:color w:val="auto"/>
              </w:rPr>
            </w:pPr>
          </w:p>
          <w:p>
            <w:pPr>
              <w:pStyle w:val="59"/>
              <w:numPr>
                <w:ilvl w:val="0"/>
                <w:numId w:val="6"/>
              </w:numPr>
              <w:adjustRightInd w:val="0"/>
              <w:snapToGrid w:val="0"/>
              <w:ind w:left="0" w:firstLine="0" w:firstLineChars="0"/>
              <w:jc w:val="center"/>
              <w:rPr>
                <w:rFonts w:hint="default" w:ascii="Times New Roman" w:hAnsi="Times New Roman" w:eastAsia="宋体" w:cs="Times New Roman"/>
                <w:b/>
                <w:bCs/>
                <w:color w:val="auto"/>
                <w:lang w:val="zh-CN"/>
              </w:rPr>
            </w:pPr>
            <w:r>
              <w:rPr>
                <w:rFonts w:hint="default" w:ascii="Times New Roman" w:hAnsi="Times New Roman" w:eastAsia="宋体" w:cs="Times New Roman"/>
                <w:b/>
                <w:bCs/>
                <w:color w:val="auto"/>
                <w:lang w:val="zh-CN"/>
              </w:rPr>
              <w:t>施工期工艺流程图</w:t>
            </w:r>
          </w:p>
          <w:p>
            <w:pPr>
              <w:pStyle w:val="8"/>
              <w:numPr>
                <w:ilvl w:val="0"/>
                <w:numId w:val="7"/>
              </w:numPr>
              <w:spacing w:after="0"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运营期</w:t>
            </w:r>
          </w:p>
          <w:p>
            <w:pPr>
              <w:spacing w:line="360" w:lineRule="auto"/>
              <w:rPr>
                <w:rFonts w:hint="default" w:ascii="Times New Roman" w:hAnsi="Times New Roman" w:eastAsia="宋体" w:cs="Times New Roman"/>
                <w:b/>
                <w:bCs/>
                <w:color w:val="auto"/>
                <w:sz w:val="24"/>
                <w:szCs w:val="24"/>
              </w:rPr>
            </w:pPr>
            <w:r>
              <w:rPr>
                <w:rFonts w:hint="default" w:ascii="Times New Roman" w:hAnsi="Times New Roman" w:cs="Times New Roman"/>
                <w:b/>
                <w:bCs/>
                <w:color w:val="auto"/>
                <w:sz w:val="24"/>
                <w:szCs w:val="24"/>
                <w:lang w:val="en-US" w:eastAsia="zh-CN"/>
              </w:rPr>
              <w:t>供热站</w:t>
            </w:r>
            <w:r>
              <w:rPr>
                <w:rFonts w:hint="default" w:ascii="Times New Roman" w:hAnsi="Times New Roman" w:eastAsia="宋体" w:cs="Times New Roman"/>
                <w:b/>
                <w:bCs/>
                <w:color w:val="auto"/>
                <w:sz w:val="24"/>
                <w:szCs w:val="24"/>
              </w:rPr>
              <w:t>工艺流程简述:</w:t>
            </w:r>
          </w:p>
          <w:p>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上煤系统工艺流程</w:t>
            </w:r>
          </w:p>
          <w:p>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燃料煤经汽车运至煤库，然后经装载机运至受煤坑，经皮带输送机</w:t>
            </w:r>
            <w:r>
              <w:rPr>
                <w:rFonts w:hint="default" w:ascii="Times New Roman" w:hAnsi="Times New Roman" w:eastAsia="宋体" w:cs="Times New Roman"/>
                <w:color w:val="auto"/>
                <w:sz w:val="24"/>
                <w:szCs w:val="24"/>
                <w:lang w:val="en-US" w:eastAsia="zh-CN"/>
              </w:rPr>
              <w:t>送至锅炉</w:t>
            </w:r>
            <w:r>
              <w:rPr>
                <w:rFonts w:hint="default" w:ascii="Times New Roman" w:hAnsi="Times New Roman" w:eastAsia="宋体" w:cs="Times New Roman"/>
                <w:color w:val="auto"/>
                <w:sz w:val="24"/>
                <w:szCs w:val="24"/>
              </w:rPr>
              <w:t>。</w:t>
            </w:r>
          </w:p>
          <w:p>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该工序主要污染物为燃料煤装卸、入料、输送</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过程产生的颗粒物及设备噪声。</w:t>
            </w:r>
          </w:p>
          <w:p>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热水生产及供应</w:t>
            </w:r>
          </w:p>
          <w:p>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煤炭经前仓闸门进入炉膛，空气由送风机鼓入炉膛，燃料在锅炉内充分燃烧，放出热量，将软化水加热成高温热水。</w:t>
            </w:r>
          </w:p>
          <w:p>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拟建工程对外供热采取间接供热方式。热水锅炉产生的高温热水直接供向热网，经过热力站换热后，回水由热网循环水泵送回锅炉，为一级热网系统；在各热力站通过换热器换热后直接送给热用户采暖的热水系统即为二级热网系统。经过换热站加热供暖热网中的循环水，达到供暖的目的。由换热站出来的低温热水送入锅炉进水系统，经加热后循环使用，不足部分由软水站处理后的软化水补充。</w:t>
            </w:r>
          </w:p>
          <w:p>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该工序主要污染物为锅炉燃煤产生的废气、定排污水、设备噪声及炉渣。</w:t>
            </w:r>
          </w:p>
          <w:p>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水处理工艺</w:t>
            </w:r>
          </w:p>
          <w:p>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采用软化除氧水，供水先由钠离子交换器软化，然后经解吸除氧器除氧后补入系统，经过处理后的补水水质满足锅炉进水的要求。</w:t>
            </w:r>
          </w:p>
          <w:p>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该工序主要污染物为反冲洗废水、水泵噪声及废交换树脂。</w:t>
            </w:r>
          </w:p>
          <w:p>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SNCR</w:t>
            </w:r>
            <w:r>
              <w:rPr>
                <w:rFonts w:hint="default" w:ascii="Times New Roman" w:hAnsi="Times New Roman" w:eastAsia="宋体" w:cs="Times New Roman"/>
                <w:color w:val="auto"/>
                <w:sz w:val="24"/>
                <w:szCs w:val="24"/>
                <w:lang w:val="en-US" w:eastAsia="zh-CN"/>
              </w:rPr>
              <w:t>及SCR双重脱硝</w:t>
            </w:r>
            <w:r>
              <w:rPr>
                <w:rFonts w:hint="default" w:ascii="Times New Roman" w:hAnsi="Times New Roman" w:eastAsia="宋体" w:cs="Times New Roman"/>
                <w:color w:val="auto"/>
                <w:sz w:val="24"/>
                <w:szCs w:val="24"/>
              </w:rPr>
              <w:t>系统</w:t>
            </w:r>
          </w:p>
          <w:p>
            <w:pPr>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SNCR选择性非催化还原法</w:t>
            </w:r>
          </w:p>
          <w:p>
            <w:pPr>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脱硝还原剂选用尿素，脱硝效率≥50%。该方法是把含有NHx基的还原剂喷入炉膛温度为800℃～1100℃的区域后，迅速热分解成NH3和其它副产物，随后NH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与烟气中的NOx进行SNCR反应而生成N</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减小</w:t>
            </w:r>
            <w:r>
              <w:rPr>
                <w:rFonts w:hint="default" w:ascii="Times New Roman" w:hAnsi="Times New Roman" w:eastAsia="宋体" w:cs="Times New Roman"/>
                <w:color w:val="auto"/>
                <w:sz w:val="24"/>
                <w:szCs w:val="24"/>
              </w:rPr>
              <w:t>烟气</w:t>
            </w:r>
            <w:r>
              <w:rPr>
                <w:rFonts w:hint="default" w:ascii="Times New Roman" w:hAnsi="Times New Roman" w:eastAsia="宋体" w:cs="Times New Roman"/>
                <w:color w:val="auto"/>
                <w:sz w:val="24"/>
                <w:szCs w:val="24"/>
                <w:lang w:val="en-US" w:eastAsia="zh-CN"/>
              </w:rPr>
              <w:t>中</w:t>
            </w:r>
            <w:r>
              <w:rPr>
                <w:rFonts w:hint="default" w:ascii="Times New Roman" w:hAnsi="Times New Roman" w:eastAsia="宋体" w:cs="Times New Roman"/>
                <w:color w:val="auto"/>
                <w:sz w:val="24"/>
                <w:szCs w:val="24"/>
              </w:rPr>
              <w:t>NOx排放浓度</w:t>
            </w:r>
            <w:r>
              <w:rPr>
                <w:rFonts w:hint="default" w:ascii="Times New Roman" w:hAnsi="Times New Roman" w:eastAsia="宋体" w:cs="Times New Roman"/>
                <w:color w:val="auto"/>
                <w:sz w:val="24"/>
                <w:szCs w:val="24"/>
                <w:lang w:eastAsia="zh-CN"/>
              </w:rPr>
              <w:t>。</w:t>
            </w:r>
          </w:p>
          <w:p>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SCR</w:t>
            </w:r>
            <w:r>
              <w:rPr>
                <w:rFonts w:hint="default" w:ascii="Times New Roman" w:hAnsi="Times New Roman" w:eastAsia="宋体" w:cs="Times New Roman"/>
                <w:color w:val="auto"/>
                <w:sz w:val="24"/>
                <w:szCs w:val="24"/>
                <w:lang w:val="en-US" w:eastAsia="zh-CN"/>
              </w:rPr>
              <w:t>选择性催化还原法</w:t>
            </w:r>
          </w:p>
          <w:p>
            <w:pPr>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本系统设置</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套SCR反应器</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，反应器露天布置，布置在锅炉房外墙的出口烟道中心线方向；催化剂按照</w:t>
            </w:r>
            <w:r>
              <w:rPr>
                <w:rFonts w:hint="default" w:ascii="Times New Roman" w:hAnsi="Times New Roman" w:eastAsia="宋体" w:cs="Times New Roman"/>
                <w:color w:val="auto"/>
                <w:sz w:val="24"/>
                <w:szCs w:val="24"/>
                <w:lang w:val="en-US" w:eastAsia="zh-CN"/>
              </w:rPr>
              <w:t>2+1模式布置（在反应器内布置两层，并预留一层，层间高度初步设计为3.15m）</w:t>
            </w:r>
            <w:r>
              <w:rPr>
                <w:rFonts w:hint="default" w:ascii="Times New Roman" w:hAnsi="Times New Roman" w:eastAsia="宋体" w:cs="Times New Roman"/>
                <w:color w:val="auto"/>
                <w:sz w:val="24"/>
                <w:szCs w:val="24"/>
                <w:lang w:eastAsia="zh-CN"/>
              </w:rPr>
              <w:t>；反应器为自立钢结构型式；烟气由上而下通过催化剂层。</w:t>
            </w:r>
          </w:p>
          <w:p>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该工序主要污染物为</w:t>
            </w:r>
            <w:r>
              <w:rPr>
                <w:rFonts w:hint="default" w:ascii="Times New Roman" w:hAnsi="Times New Roman" w:eastAsia="宋体" w:cs="Times New Roman"/>
                <w:color w:val="auto"/>
                <w:sz w:val="24"/>
                <w:szCs w:val="24"/>
                <w:lang w:val="en-US" w:eastAsia="zh-CN"/>
              </w:rPr>
              <w:t>废催化剂，</w:t>
            </w:r>
            <w:r>
              <w:rPr>
                <w:rFonts w:hint="default" w:ascii="Times New Roman" w:hAnsi="Times New Roman" w:eastAsia="宋体" w:cs="Times New Roman"/>
                <w:color w:val="auto"/>
                <w:sz w:val="24"/>
                <w:szCs w:val="24"/>
              </w:rPr>
              <w:t>压缩机、泵类噪声。</w:t>
            </w:r>
          </w:p>
          <w:p>
            <w:pPr>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脱硫</w:t>
            </w:r>
            <w:r>
              <w:rPr>
                <w:rFonts w:hint="default" w:ascii="Times New Roman" w:hAnsi="Times New Roman" w:eastAsia="宋体" w:cs="Times New Roman"/>
                <w:color w:val="auto"/>
                <w:sz w:val="24"/>
                <w:szCs w:val="24"/>
                <w:lang w:val="en-US" w:eastAsia="zh-CN"/>
              </w:rPr>
              <w:t>系统</w:t>
            </w:r>
          </w:p>
          <w:p>
            <w:pPr>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烟气经</w:t>
            </w:r>
            <w:r>
              <w:rPr>
                <w:rFonts w:hint="default" w:ascii="Times New Roman" w:hAnsi="Times New Roman" w:eastAsia="宋体" w:cs="Times New Roman"/>
                <w:color w:val="auto"/>
                <w:sz w:val="24"/>
                <w:szCs w:val="24"/>
                <w:lang w:val="en-US" w:eastAsia="zh-CN"/>
              </w:rPr>
              <w:t>脱硝</w:t>
            </w:r>
            <w:r>
              <w:rPr>
                <w:rFonts w:hint="default" w:ascii="Times New Roman" w:hAnsi="Times New Roman" w:eastAsia="宋体" w:cs="Times New Roman"/>
                <w:color w:val="auto"/>
                <w:sz w:val="24"/>
                <w:szCs w:val="24"/>
              </w:rPr>
              <w:t>后经引风机引入脱硫塔</w:t>
            </w:r>
            <w:r>
              <w:rPr>
                <w:rFonts w:hint="default" w:ascii="Times New Roman" w:hAnsi="Times New Roman" w:eastAsia="宋体" w:cs="Times New Roman"/>
                <w:color w:val="auto"/>
                <w:sz w:val="24"/>
                <w:szCs w:val="24"/>
                <w:lang w:eastAsia="zh-CN"/>
              </w:rPr>
              <w:t>，烟气经脱硫塔下部的文丘里管的加速，进入循环流化床床体，物料、烟气气固两相由于气流的作用，产生激烈的湍动与混合，气固间的相对滑落速度高达单颗粒滑落速度的数十倍，使得两者充分接触，为实现高脱硫率提供了根本的保证。在文丘里的出口扩管段设有喷水装置，喷入的雾化水用以降低脱硫反应器内的烟温，使烟温降至烟气露点以上20℃左右，从而使得SO</w:t>
            </w:r>
            <w:r>
              <w:rPr>
                <w:rFonts w:hint="default" w:ascii="Times New Roman" w:hAnsi="Times New Roman" w:eastAsia="宋体" w:cs="Times New Roman"/>
                <w:color w:val="auto"/>
                <w:sz w:val="24"/>
                <w:szCs w:val="24"/>
                <w:vertAlign w:val="subscript"/>
                <w:lang w:eastAsia="zh-CN"/>
              </w:rPr>
              <w:t>2</w:t>
            </w:r>
            <w:r>
              <w:rPr>
                <w:rFonts w:hint="default" w:ascii="Times New Roman" w:hAnsi="Times New Roman" w:eastAsia="宋体" w:cs="Times New Roman"/>
                <w:color w:val="auto"/>
                <w:sz w:val="24"/>
                <w:szCs w:val="24"/>
                <w:lang w:eastAsia="zh-CN"/>
              </w:rPr>
              <w:t>与</w:t>
            </w:r>
            <w:r>
              <w:rPr>
                <w:rFonts w:hint="default" w:ascii="Times New Roman" w:hAnsi="Times New Roman" w:eastAsia="宋体" w:cs="Times New Roman"/>
                <w:color w:val="auto"/>
                <w:sz w:val="24"/>
                <w:szCs w:val="24"/>
                <w:lang w:val="en-US" w:eastAsia="zh-CN"/>
              </w:rPr>
              <w:t>Mg</w:t>
            </w:r>
            <w:r>
              <w:rPr>
                <w:rFonts w:hint="default" w:ascii="Times New Roman" w:hAnsi="Times New Roman" w:eastAsia="宋体" w:cs="Times New Roman"/>
                <w:color w:val="auto"/>
                <w:sz w:val="24"/>
                <w:szCs w:val="24"/>
                <w:lang w:eastAsia="zh-CN"/>
              </w:rPr>
              <w:t>(OH)</w:t>
            </w:r>
            <w:r>
              <w:rPr>
                <w:rFonts w:hint="default" w:ascii="Times New Roman" w:hAnsi="Times New Roman" w:eastAsia="宋体" w:cs="Times New Roman"/>
                <w:color w:val="auto"/>
                <w:sz w:val="24"/>
                <w:szCs w:val="24"/>
                <w:vertAlign w:val="subscript"/>
                <w:lang w:eastAsia="zh-CN"/>
              </w:rPr>
              <w:t>2</w:t>
            </w:r>
            <w:r>
              <w:rPr>
                <w:rFonts w:hint="default" w:ascii="Times New Roman" w:hAnsi="Times New Roman" w:eastAsia="宋体" w:cs="Times New Roman"/>
                <w:color w:val="auto"/>
                <w:sz w:val="24"/>
                <w:szCs w:val="24"/>
                <w:lang w:eastAsia="zh-CN"/>
              </w:rPr>
              <w:t>的反应转化为可以瞬间完成的离子型反应，</w:t>
            </w:r>
            <w:r>
              <w:rPr>
                <w:rFonts w:hint="default" w:ascii="Times New Roman" w:hAnsi="Times New Roman" w:eastAsia="宋体" w:cs="Times New Roman"/>
                <w:color w:val="auto"/>
                <w:sz w:val="24"/>
                <w:szCs w:val="24"/>
                <w:lang w:val="en-US" w:eastAsia="zh-CN"/>
              </w:rPr>
              <w:t>反应后生成的Mg</w:t>
            </w:r>
            <w:r>
              <w:rPr>
                <w:rFonts w:hint="default" w:ascii="Times New Roman" w:hAnsi="Times New Roman" w:eastAsia="宋体" w:cs="Times New Roman"/>
                <w:color w:val="auto"/>
                <w:sz w:val="24"/>
                <w:szCs w:val="24"/>
                <w:lang w:eastAsia="zh-CN"/>
              </w:rPr>
              <w:t>SO</w:t>
            </w:r>
            <w:r>
              <w:rPr>
                <w:rFonts w:hint="default" w:ascii="Times New Roman" w:hAnsi="Times New Roman" w:eastAsia="宋体" w:cs="Times New Roman"/>
                <w:color w:val="auto"/>
                <w:sz w:val="24"/>
                <w:szCs w:val="24"/>
                <w:vertAlign w:val="subscript"/>
                <w:lang w:val="en-US" w:eastAsia="zh-CN"/>
              </w:rPr>
              <w:t>4</w:t>
            </w:r>
            <w:r>
              <w:rPr>
                <w:rFonts w:hint="default" w:ascii="Times New Roman" w:hAnsi="Times New Roman" w:eastAsia="宋体" w:cs="Times New Roman"/>
                <w:color w:val="auto"/>
                <w:sz w:val="24"/>
                <w:szCs w:val="24"/>
                <w:lang w:val="en-US" w:eastAsia="zh-CN"/>
              </w:rPr>
              <w:t>经</w:t>
            </w:r>
            <w:r>
              <w:rPr>
                <w:rFonts w:hint="default" w:ascii="Times New Roman" w:hAnsi="Times New Roman" w:eastAsia="宋体" w:cs="Times New Roman"/>
                <w:color w:val="auto"/>
                <w:sz w:val="24"/>
                <w:szCs w:val="24"/>
              </w:rPr>
              <w:t>旋转喷吹布袋除尘器</w:t>
            </w:r>
            <w:r>
              <w:rPr>
                <w:rFonts w:hint="default" w:ascii="Times New Roman" w:hAnsi="Times New Roman" w:eastAsia="宋体" w:cs="Times New Roman"/>
                <w:color w:val="auto"/>
                <w:sz w:val="24"/>
                <w:szCs w:val="24"/>
                <w:lang w:val="en-US" w:eastAsia="zh-CN"/>
              </w:rPr>
              <w:t>收集</w:t>
            </w:r>
            <w:r>
              <w:rPr>
                <w:rFonts w:hint="default" w:ascii="Times New Roman" w:hAnsi="Times New Roman" w:eastAsia="宋体" w:cs="Times New Roman"/>
                <w:color w:val="auto"/>
                <w:sz w:val="24"/>
                <w:szCs w:val="24"/>
              </w:rPr>
              <w:t>。</w:t>
            </w:r>
          </w:p>
          <w:p>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除尘、除灰、除渣系统</w:t>
            </w:r>
          </w:p>
          <w:p>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锅炉烟气脱硝</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脱硫</w:t>
            </w:r>
            <w:r>
              <w:rPr>
                <w:rFonts w:hint="default" w:ascii="Times New Roman" w:hAnsi="Times New Roman" w:eastAsia="宋体" w:cs="Times New Roman"/>
                <w:color w:val="auto"/>
                <w:sz w:val="24"/>
                <w:szCs w:val="24"/>
              </w:rPr>
              <w:t>后经管道进入布袋除尘器，布袋除尘器采用脉冲清灰方式，</w:t>
            </w:r>
            <w:r>
              <w:rPr>
                <w:rFonts w:hint="default" w:ascii="Times New Roman" w:hAnsi="Times New Roman" w:eastAsia="宋体" w:cs="Times New Roman"/>
                <w:color w:val="auto"/>
                <w:sz w:val="24"/>
                <w:szCs w:val="24"/>
                <w:lang w:val="en-US" w:eastAsia="zh-CN"/>
              </w:rPr>
              <w:t>产生的</w:t>
            </w:r>
            <w:r>
              <w:rPr>
                <w:rFonts w:hint="default" w:ascii="Times New Roman" w:hAnsi="Times New Roman" w:eastAsia="宋体" w:cs="Times New Roman"/>
                <w:color w:val="auto"/>
                <w:sz w:val="24"/>
                <w:szCs w:val="24"/>
                <w:lang w:eastAsia="zh-CN"/>
              </w:rPr>
              <w:t>粉煤灰</w:t>
            </w:r>
            <w:r>
              <w:rPr>
                <w:rFonts w:hint="default" w:ascii="Times New Roman" w:hAnsi="Times New Roman" w:eastAsia="宋体" w:cs="Times New Roman"/>
                <w:color w:val="auto"/>
                <w:sz w:val="24"/>
                <w:szCs w:val="24"/>
              </w:rPr>
              <w:t>定期清理，清理下来的</w:t>
            </w:r>
            <w:r>
              <w:rPr>
                <w:rFonts w:hint="default" w:ascii="Times New Roman" w:hAnsi="Times New Roman" w:eastAsia="宋体" w:cs="Times New Roman"/>
                <w:color w:val="auto"/>
                <w:sz w:val="24"/>
                <w:szCs w:val="24"/>
                <w:lang w:eastAsia="zh-CN"/>
              </w:rPr>
              <w:t>粉煤灰</w:t>
            </w:r>
            <w:r>
              <w:rPr>
                <w:rFonts w:hint="default" w:ascii="Times New Roman" w:hAnsi="Times New Roman" w:eastAsia="宋体" w:cs="Times New Roman"/>
                <w:color w:val="auto"/>
                <w:sz w:val="24"/>
                <w:szCs w:val="24"/>
              </w:rPr>
              <w:t>经刮板输送机和斗式提升机提升至</w:t>
            </w:r>
            <w:r>
              <w:rPr>
                <w:rFonts w:hint="default" w:ascii="Times New Roman" w:hAnsi="Times New Roman" w:eastAsia="宋体" w:cs="Times New Roman"/>
                <w:color w:val="auto"/>
                <w:sz w:val="24"/>
                <w:szCs w:val="24"/>
                <w:lang w:eastAsia="zh-CN"/>
              </w:rPr>
              <w:t>粉煤灰</w:t>
            </w:r>
            <w:r>
              <w:rPr>
                <w:rFonts w:hint="default" w:ascii="Times New Roman" w:hAnsi="Times New Roman" w:eastAsia="宋体" w:cs="Times New Roman"/>
                <w:color w:val="auto"/>
                <w:sz w:val="24"/>
                <w:szCs w:val="24"/>
              </w:rPr>
              <w:t>暂存粉仓，</w:t>
            </w:r>
            <w:r>
              <w:rPr>
                <w:rFonts w:hint="default" w:ascii="Times New Roman" w:hAnsi="Times New Roman" w:eastAsia="宋体" w:cs="Times New Roman"/>
                <w:color w:val="auto"/>
                <w:sz w:val="24"/>
                <w:szCs w:val="24"/>
                <w:lang w:val="en-US" w:eastAsia="zh-CN"/>
              </w:rPr>
              <w:t>集中收集后外售</w:t>
            </w:r>
            <w:r>
              <w:rPr>
                <w:rFonts w:hint="default" w:ascii="Times New Roman" w:hAnsi="Times New Roman" w:eastAsia="宋体" w:cs="Times New Roman"/>
                <w:color w:val="auto"/>
                <w:sz w:val="24"/>
                <w:szCs w:val="24"/>
              </w:rPr>
              <w:t>。</w:t>
            </w:r>
          </w:p>
          <w:p>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锅炉炉渣经落渣管落入重型链条除渣机将炉渣排出，</w:t>
            </w:r>
            <w:r>
              <w:rPr>
                <w:rFonts w:hint="default" w:ascii="Times New Roman" w:hAnsi="Times New Roman" w:eastAsia="宋体" w:cs="Times New Roman"/>
                <w:color w:val="auto"/>
                <w:sz w:val="24"/>
                <w:szCs w:val="24"/>
                <w:lang w:val="en-US" w:eastAsia="zh-CN"/>
              </w:rPr>
              <w:t>集中收集后外售</w:t>
            </w:r>
            <w:r>
              <w:rPr>
                <w:rFonts w:hint="default" w:ascii="Times New Roman" w:hAnsi="Times New Roman" w:eastAsia="宋体" w:cs="Times New Roman"/>
                <w:color w:val="auto"/>
                <w:sz w:val="24"/>
                <w:szCs w:val="24"/>
              </w:rPr>
              <w:t>。</w:t>
            </w:r>
          </w:p>
          <w:p>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该工序主要污染物为布袋除尘器</w:t>
            </w:r>
            <w:r>
              <w:rPr>
                <w:rFonts w:hint="default" w:ascii="Times New Roman" w:hAnsi="Times New Roman" w:eastAsia="宋体" w:cs="Times New Roman"/>
                <w:color w:val="auto"/>
                <w:sz w:val="24"/>
                <w:szCs w:val="24"/>
                <w:lang w:val="en-US" w:eastAsia="zh-CN"/>
              </w:rPr>
              <w:t>粉尘，除渣机、</w:t>
            </w:r>
            <w:r>
              <w:rPr>
                <w:rFonts w:hint="default" w:ascii="Times New Roman" w:hAnsi="Times New Roman" w:eastAsia="宋体" w:cs="Times New Roman"/>
                <w:color w:val="auto"/>
                <w:sz w:val="24"/>
                <w:szCs w:val="24"/>
              </w:rPr>
              <w:t>水泵、风机噪声。</w:t>
            </w:r>
          </w:p>
          <w:p>
            <w:pPr>
              <w:autoSpaceDE w:val="0"/>
              <w:autoSpaceDN w:val="0"/>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eastAsia="宋体" w:cs="Times New Roman"/>
                <w:color w:val="auto"/>
                <w:sz w:val="24"/>
                <w:szCs w:val="24"/>
              </w:rPr>
              <w:t>项目采用</w:t>
            </w:r>
            <w:r>
              <w:rPr>
                <w:rFonts w:hint="default" w:ascii="Times New Roman" w:hAnsi="Times New Roman" w:eastAsia="宋体" w:cs="Times New Roman"/>
                <w:color w:val="auto"/>
                <w:sz w:val="24"/>
                <w:szCs w:val="24"/>
                <w:lang w:val="en-US" w:eastAsia="zh-CN"/>
              </w:rPr>
              <w:t>炉内脱硫、</w:t>
            </w:r>
            <w:r>
              <w:rPr>
                <w:rFonts w:hint="default" w:ascii="Times New Roman" w:hAnsi="Times New Roman" w:cs="Times New Roman"/>
                <w:color w:val="auto"/>
                <w:sz w:val="24"/>
                <w:szCs w:val="24"/>
                <w:lang w:eastAsia="zh-CN"/>
              </w:rPr>
              <w:t>SNCR</w:t>
            </w:r>
            <w:r>
              <w:rPr>
                <w:rFonts w:hint="default" w:ascii="Times New Roman" w:hAnsi="Times New Roman" w:eastAsia="宋体" w:cs="Times New Roman"/>
                <w:color w:val="auto"/>
                <w:sz w:val="24"/>
                <w:szCs w:val="24"/>
              </w:rPr>
              <w:t>炉内脱硝</w:t>
            </w:r>
            <w:r>
              <w:rPr>
                <w:rFonts w:hint="default" w:ascii="Times New Roman" w:hAnsi="Times New Roman" w:eastAsia="宋体" w:cs="Times New Roman"/>
                <w:color w:val="auto"/>
                <w:sz w:val="24"/>
                <w:szCs w:val="24"/>
                <w:lang w:val="en-US" w:eastAsia="zh-CN"/>
              </w:rPr>
              <w:t>系统+SCR炉外脱硝系统</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湿法</w:t>
            </w:r>
            <w:r>
              <w:rPr>
                <w:rFonts w:hint="default" w:ascii="Times New Roman" w:hAnsi="Times New Roman" w:eastAsia="宋体" w:cs="Times New Roman"/>
                <w:color w:val="auto"/>
                <w:sz w:val="24"/>
                <w:szCs w:val="24"/>
              </w:rPr>
              <w:t>脱硫系统+布袋除尘器对锅炉烟气进行处理，烟气处理后经一根</w:t>
            </w:r>
            <w:r>
              <w:rPr>
                <w:rFonts w:hint="default" w:ascii="Times New Roman" w:hAnsi="Times New Roman" w:eastAsia="宋体" w:cs="Times New Roman"/>
                <w:color w:val="auto"/>
                <w:sz w:val="24"/>
                <w:szCs w:val="24"/>
                <w:lang w:val="en-US" w:eastAsia="zh-CN"/>
              </w:rPr>
              <w:t>80</w:t>
            </w:r>
            <w:r>
              <w:rPr>
                <w:rFonts w:hint="default" w:ascii="Times New Roman" w:hAnsi="Times New Roman" w:eastAsia="宋体" w:cs="Times New Roman"/>
                <w:color w:val="auto"/>
                <w:sz w:val="24"/>
                <w:szCs w:val="24"/>
                <w:lang w:eastAsia="zh-CN"/>
              </w:rPr>
              <w:t>m高</w:t>
            </w:r>
            <w:r>
              <w:rPr>
                <w:rFonts w:hint="default" w:ascii="Times New Roman" w:hAnsi="Times New Roman" w:eastAsia="宋体" w:cs="Times New Roman"/>
                <w:color w:val="auto"/>
                <w:sz w:val="24"/>
                <w:szCs w:val="24"/>
              </w:rPr>
              <w:t>烟囱排放。</w:t>
            </w: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bCs/>
                <w:color w:val="auto"/>
                <w:sz w:val="24"/>
              </w:rPr>
              <w:t>本项目运营期主要</w:t>
            </w:r>
            <w:r>
              <w:rPr>
                <w:rFonts w:hint="default" w:ascii="Times New Roman" w:hAnsi="Times New Roman" w:eastAsia="宋体" w:cs="Times New Roman"/>
                <w:color w:val="auto"/>
                <w:kern w:val="0"/>
                <w:sz w:val="24"/>
              </w:rPr>
              <w:t>流程及排污节点如下图：</w:t>
            </w:r>
          </w:p>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cs="Times New Roman"/>
                <w:color w:val="auto"/>
              </w:rPr>
              <w:drawing>
                <wp:inline distT="0" distB="0" distL="114300" distR="114300">
                  <wp:extent cx="5273040" cy="2513330"/>
                  <wp:effectExtent l="0" t="0" r="3810" b="1270"/>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10"/>
                          <a:stretch>
                            <a:fillRect/>
                          </a:stretch>
                        </pic:blipFill>
                        <pic:spPr>
                          <a:xfrm>
                            <a:off x="0" y="0"/>
                            <a:ext cx="5273040" cy="2513330"/>
                          </a:xfrm>
                          <a:prstGeom prst="rect">
                            <a:avLst/>
                          </a:prstGeom>
                          <a:noFill/>
                          <a:ln>
                            <a:noFill/>
                          </a:ln>
                        </pic:spPr>
                      </pic:pic>
                    </a:graphicData>
                  </a:graphic>
                </wp:inline>
              </w:drawing>
            </w:r>
          </w:p>
          <w:p>
            <w:pPr>
              <w:pStyle w:val="59"/>
              <w:numPr>
                <w:ilvl w:val="0"/>
                <w:numId w:val="6"/>
              </w:numPr>
              <w:adjustRightInd w:val="0"/>
              <w:snapToGrid w:val="0"/>
              <w:ind w:left="0" w:firstLine="0"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运营期主要流程及产污节点图</w:t>
            </w:r>
            <w:r>
              <w:rPr>
                <w:rFonts w:hint="default" w:ascii="Times New Roman" w:hAnsi="Times New Roman" w:eastAsia="宋体" w:cs="Times New Roman"/>
                <w:b/>
                <w:bCs/>
                <w:color w:val="auto"/>
                <w:szCs w:val="21"/>
              </w:rPr>
              <w:t>（G废气；N噪声）</w:t>
            </w:r>
          </w:p>
          <w:p>
            <w:pPr>
              <w:adjustRightInd w:val="0"/>
              <w:snapToGrid w:val="0"/>
              <w:spacing w:before="156" w:beforeLines="50"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bCs/>
                <w:color w:val="auto"/>
                <w:sz w:val="24"/>
              </w:rPr>
              <w:t>项目运营期</w:t>
            </w:r>
            <w:r>
              <w:rPr>
                <w:rFonts w:hint="default" w:ascii="Times New Roman" w:hAnsi="Times New Roman" w:cs="Times New Roman"/>
                <w:color w:val="auto"/>
                <w:sz w:val="24"/>
              </w:rPr>
              <w:t>产排污环节详见下表：</w:t>
            </w:r>
          </w:p>
          <w:p>
            <w:pPr>
              <w:pStyle w:val="36"/>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主要排污节点一览表</w:t>
            </w:r>
          </w:p>
          <w:tbl>
            <w:tblPr>
              <w:tblStyle w:val="21"/>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49"/>
              <w:gridCol w:w="1655"/>
              <w:gridCol w:w="1800"/>
              <w:gridCol w:w="720"/>
              <w:gridCol w:w="709"/>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9" w:type="dxa"/>
                  <w:vAlign w:val="center"/>
                </w:tcPr>
                <w:p>
                  <w:pPr>
                    <w:pStyle w:val="57"/>
                    <w:bidi w:val="0"/>
                    <w:rPr>
                      <w:rFonts w:hint="default" w:ascii="Times New Roman" w:hAnsi="Times New Roman" w:cs="Times New Roman"/>
                    </w:rPr>
                  </w:pPr>
                  <w:r>
                    <w:rPr>
                      <w:rFonts w:hint="default" w:ascii="Times New Roman" w:hAnsi="Times New Roman" w:cs="Times New Roman"/>
                    </w:rPr>
                    <w:t>类别</w:t>
                  </w:r>
                </w:p>
              </w:tc>
              <w:tc>
                <w:tcPr>
                  <w:tcW w:w="1655" w:type="dxa"/>
                  <w:vAlign w:val="center"/>
                </w:tcPr>
                <w:p>
                  <w:pPr>
                    <w:pStyle w:val="57"/>
                    <w:bidi w:val="0"/>
                    <w:rPr>
                      <w:rFonts w:hint="default" w:ascii="Times New Roman" w:hAnsi="Times New Roman" w:cs="Times New Roman"/>
                    </w:rPr>
                  </w:pPr>
                  <w:r>
                    <w:rPr>
                      <w:rFonts w:hint="default" w:ascii="Times New Roman" w:hAnsi="Times New Roman" w:cs="Times New Roman"/>
                    </w:rPr>
                    <w:t>产生点</w:t>
                  </w:r>
                </w:p>
              </w:tc>
              <w:tc>
                <w:tcPr>
                  <w:tcW w:w="1800" w:type="dxa"/>
                  <w:vAlign w:val="center"/>
                </w:tcPr>
                <w:p>
                  <w:pPr>
                    <w:pStyle w:val="57"/>
                    <w:bidi w:val="0"/>
                    <w:rPr>
                      <w:rFonts w:hint="default" w:ascii="Times New Roman" w:hAnsi="Times New Roman" w:cs="Times New Roman"/>
                    </w:rPr>
                  </w:pPr>
                  <w:r>
                    <w:rPr>
                      <w:rFonts w:hint="default" w:ascii="Times New Roman" w:hAnsi="Times New Roman" w:cs="Times New Roman"/>
                    </w:rPr>
                    <w:t>主要污染因子</w:t>
                  </w:r>
                </w:p>
              </w:tc>
              <w:tc>
                <w:tcPr>
                  <w:tcW w:w="720" w:type="dxa"/>
                  <w:vAlign w:val="center"/>
                </w:tcPr>
                <w:p>
                  <w:pPr>
                    <w:pStyle w:val="57"/>
                    <w:bidi w:val="0"/>
                    <w:rPr>
                      <w:rFonts w:hint="default" w:ascii="Times New Roman" w:hAnsi="Times New Roman" w:cs="Times New Roman"/>
                    </w:rPr>
                  </w:pPr>
                  <w:r>
                    <w:rPr>
                      <w:rFonts w:hint="default" w:ascii="Times New Roman" w:hAnsi="Times New Roman" w:cs="Times New Roman"/>
                    </w:rPr>
                    <w:t>排放</w:t>
                  </w:r>
                </w:p>
                <w:p>
                  <w:pPr>
                    <w:pStyle w:val="57"/>
                    <w:bidi w:val="0"/>
                    <w:rPr>
                      <w:rFonts w:hint="default" w:ascii="Times New Roman" w:hAnsi="Times New Roman" w:cs="Times New Roman"/>
                    </w:rPr>
                  </w:pPr>
                  <w:r>
                    <w:rPr>
                      <w:rFonts w:hint="default" w:ascii="Times New Roman" w:hAnsi="Times New Roman" w:cs="Times New Roman"/>
                    </w:rPr>
                    <w:t>特征</w:t>
                  </w:r>
                </w:p>
              </w:tc>
              <w:tc>
                <w:tcPr>
                  <w:tcW w:w="709" w:type="dxa"/>
                  <w:vAlign w:val="center"/>
                </w:tcPr>
                <w:p>
                  <w:pPr>
                    <w:pStyle w:val="57"/>
                    <w:bidi w:val="0"/>
                    <w:rPr>
                      <w:rFonts w:hint="default" w:ascii="Times New Roman" w:hAnsi="Times New Roman" w:cs="Times New Roman"/>
                    </w:rPr>
                  </w:pPr>
                  <w:r>
                    <w:rPr>
                      <w:rFonts w:hint="default" w:ascii="Times New Roman" w:hAnsi="Times New Roman" w:cs="Times New Roman"/>
                    </w:rPr>
                    <w:t>排放</w:t>
                  </w:r>
                </w:p>
                <w:p>
                  <w:pPr>
                    <w:pStyle w:val="57"/>
                    <w:bidi w:val="0"/>
                    <w:rPr>
                      <w:rFonts w:hint="default" w:ascii="Times New Roman" w:hAnsi="Times New Roman" w:cs="Times New Roman"/>
                    </w:rPr>
                  </w:pPr>
                  <w:r>
                    <w:rPr>
                      <w:rFonts w:hint="default" w:ascii="Times New Roman" w:hAnsi="Times New Roman" w:cs="Times New Roman"/>
                    </w:rPr>
                    <w:t>去向</w:t>
                  </w:r>
                </w:p>
              </w:tc>
              <w:tc>
                <w:tcPr>
                  <w:tcW w:w="3172" w:type="dxa"/>
                  <w:vAlign w:val="center"/>
                </w:tcPr>
                <w:p>
                  <w:pPr>
                    <w:pStyle w:val="57"/>
                    <w:bidi w:val="0"/>
                    <w:rPr>
                      <w:rFonts w:hint="default" w:ascii="Times New Roman" w:hAnsi="Times New Roman" w:cs="Times New Roman"/>
                    </w:rPr>
                  </w:pPr>
                  <w:r>
                    <w:rPr>
                      <w:rFonts w:hint="default" w:ascii="Times New Roman" w:hAnsi="Times New Roman" w:cs="Times New Roman"/>
                    </w:rPr>
                    <w:t>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9" w:type="dxa"/>
                  <w:vMerge w:val="restart"/>
                  <w:vAlign w:val="center"/>
                </w:tcPr>
                <w:p>
                  <w:pPr>
                    <w:pStyle w:val="44"/>
                    <w:bidi w:val="0"/>
                    <w:rPr>
                      <w:rFonts w:hint="default" w:ascii="Times New Roman" w:hAnsi="Times New Roman" w:cs="Times New Roman"/>
                    </w:rPr>
                  </w:pPr>
                  <w:r>
                    <w:rPr>
                      <w:rFonts w:hint="default" w:ascii="Times New Roman" w:hAnsi="Times New Roman" w:cs="Times New Roman"/>
                    </w:rPr>
                    <w:t>废</w:t>
                  </w:r>
                </w:p>
                <w:p>
                  <w:pPr>
                    <w:pStyle w:val="44"/>
                    <w:bidi w:val="0"/>
                    <w:rPr>
                      <w:rFonts w:hint="default" w:ascii="Times New Roman" w:hAnsi="Times New Roman" w:cs="Times New Roman"/>
                    </w:rPr>
                  </w:pPr>
                  <w:r>
                    <w:rPr>
                      <w:rFonts w:hint="default" w:ascii="Times New Roman" w:hAnsi="Times New Roman" w:cs="Times New Roman"/>
                    </w:rPr>
                    <w:t>气</w:t>
                  </w:r>
                </w:p>
              </w:tc>
              <w:tc>
                <w:tcPr>
                  <w:tcW w:w="1655" w:type="dxa"/>
                  <w:vAlign w:val="center"/>
                </w:tcPr>
                <w:p>
                  <w:pPr>
                    <w:pStyle w:val="44"/>
                    <w:bidi w:val="0"/>
                    <w:rPr>
                      <w:rFonts w:hint="default" w:ascii="Times New Roman" w:hAnsi="Times New Roman" w:cs="Times New Roman"/>
                    </w:rPr>
                  </w:pPr>
                  <w:r>
                    <w:rPr>
                      <w:rFonts w:hint="default" w:ascii="Times New Roman" w:hAnsi="Times New Roman" w:cs="Times New Roman"/>
                    </w:rPr>
                    <w:t>煤装卸入料及输送</w:t>
                  </w:r>
                </w:p>
              </w:tc>
              <w:tc>
                <w:tcPr>
                  <w:tcW w:w="1800" w:type="dxa"/>
                  <w:vAlign w:val="center"/>
                </w:tcPr>
                <w:p>
                  <w:pPr>
                    <w:pStyle w:val="44"/>
                    <w:bidi w:val="0"/>
                    <w:rPr>
                      <w:rFonts w:hint="default" w:ascii="Times New Roman" w:hAnsi="Times New Roman" w:cs="Times New Roman"/>
                    </w:rPr>
                  </w:pPr>
                  <w:r>
                    <w:rPr>
                      <w:rFonts w:hint="default" w:ascii="Times New Roman" w:hAnsi="Times New Roman" w:cs="Times New Roman"/>
                    </w:rPr>
                    <w:t>颗粒物</w:t>
                  </w:r>
                </w:p>
              </w:tc>
              <w:tc>
                <w:tcPr>
                  <w:tcW w:w="720" w:type="dxa"/>
                  <w:vAlign w:val="center"/>
                </w:tcPr>
                <w:p>
                  <w:pPr>
                    <w:pStyle w:val="44"/>
                    <w:bidi w:val="0"/>
                    <w:rPr>
                      <w:rFonts w:hint="default" w:ascii="Times New Roman" w:hAnsi="Times New Roman" w:cs="Times New Roman"/>
                    </w:rPr>
                  </w:pPr>
                  <w:r>
                    <w:rPr>
                      <w:rFonts w:hint="default" w:ascii="Times New Roman" w:hAnsi="Times New Roman" w:cs="Times New Roman"/>
                    </w:rPr>
                    <w:t>间断</w:t>
                  </w:r>
                </w:p>
              </w:tc>
              <w:tc>
                <w:tcPr>
                  <w:tcW w:w="709" w:type="dxa"/>
                  <w:vMerge w:val="restart"/>
                  <w:vAlign w:val="center"/>
                </w:tcPr>
                <w:p>
                  <w:pPr>
                    <w:pStyle w:val="44"/>
                    <w:bidi w:val="0"/>
                    <w:rPr>
                      <w:rFonts w:hint="default" w:ascii="Times New Roman" w:hAnsi="Times New Roman" w:cs="Times New Roman"/>
                    </w:rPr>
                  </w:pPr>
                  <w:r>
                    <w:rPr>
                      <w:rFonts w:hint="default" w:ascii="Times New Roman" w:hAnsi="Times New Roman" w:cs="Times New Roman"/>
                    </w:rPr>
                    <w:t>环境</w:t>
                  </w:r>
                </w:p>
                <w:p>
                  <w:pPr>
                    <w:pStyle w:val="44"/>
                    <w:bidi w:val="0"/>
                    <w:rPr>
                      <w:rFonts w:hint="default" w:ascii="Times New Roman" w:hAnsi="Times New Roman" w:cs="Times New Roman"/>
                    </w:rPr>
                  </w:pPr>
                  <w:r>
                    <w:rPr>
                      <w:rFonts w:hint="default" w:ascii="Times New Roman" w:hAnsi="Times New Roman" w:cs="Times New Roman"/>
                    </w:rPr>
                    <w:t>空气</w:t>
                  </w:r>
                </w:p>
              </w:tc>
              <w:tc>
                <w:tcPr>
                  <w:tcW w:w="3172" w:type="dxa"/>
                  <w:vAlign w:val="center"/>
                </w:tcPr>
                <w:p>
                  <w:pPr>
                    <w:pStyle w:val="44"/>
                    <w:bidi w:val="0"/>
                    <w:rPr>
                      <w:rFonts w:hint="default" w:ascii="Times New Roman" w:hAnsi="Times New Roman" w:cs="Times New Roman"/>
                    </w:rPr>
                  </w:pPr>
                  <w:r>
                    <w:rPr>
                      <w:rFonts w:hint="default" w:ascii="Times New Roman" w:hAnsi="Times New Roman" w:cs="Times New Roman"/>
                    </w:rPr>
                    <w:t>封闭式煤库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9" w:type="dxa"/>
                  <w:vMerge w:val="continue"/>
                  <w:vAlign w:val="center"/>
                </w:tcPr>
                <w:p>
                  <w:pPr>
                    <w:pStyle w:val="44"/>
                    <w:bidi w:val="0"/>
                    <w:rPr>
                      <w:rFonts w:hint="default" w:ascii="Times New Roman" w:hAnsi="Times New Roman" w:cs="Times New Roman"/>
                    </w:rPr>
                  </w:pPr>
                </w:p>
              </w:tc>
              <w:tc>
                <w:tcPr>
                  <w:tcW w:w="1655" w:type="dxa"/>
                  <w:vAlign w:val="center"/>
                </w:tcPr>
                <w:p>
                  <w:pPr>
                    <w:pStyle w:val="44"/>
                    <w:bidi w:val="0"/>
                    <w:rPr>
                      <w:rFonts w:hint="default" w:ascii="Times New Roman" w:hAnsi="Times New Roman" w:cs="Times New Roman"/>
                    </w:rPr>
                  </w:pPr>
                  <w:r>
                    <w:rPr>
                      <w:rFonts w:hint="default" w:ascii="Times New Roman" w:hAnsi="Times New Roman" w:cs="Times New Roman"/>
                    </w:rPr>
                    <w:t>锅炉</w:t>
                  </w:r>
                </w:p>
              </w:tc>
              <w:tc>
                <w:tcPr>
                  <w:tcW w:w="1800" w:type="dxa"/>
                  <w:vAlign w:val="center"/>
                </w:tcPr>
                <w:p>
                  <w:pPr>
                    <w:pStyle w:val="44"/>
                    <w:bidi w:val="0"/>
                    <w:rPr>
                      <w:rFonts w:hint="default" w:ascii="Times New Roman" w:hAnsi="Times New Roman" w:eastAsia="宋体" w:cs="Times New Roman"/>
                      <w:lang w:val="en-US" w:eastAsia="zh-CN"/>
                    </w:rPr>
                  </w:pPr>
                  <w:r>
                    <w:rPr>
                      <w:rFonts w:hint="default" w:ascii="Times New Roman" w:hAnsi="Times New Roman" w:cs="Times New Roman"/>
                    </w:rPr>
                    <w:t>颗粒物、SO</w:t>
                  </w:r>
                  <w:r>
                    <w:rPr>
                      <w:rFonts w:hint="default" w:ascii="Times New Roman" w:hAnsi="Times New Roman" w:cs="Times New Roman"/>
                      <w:vertAlign w:val="subscript"/>
                    </w:rPr>
                    <w:t>2</w:t>
                  </w:r>
                  <w:r>
                    <w:rPr>
                      <w:rFonts w:hint="default" w:ascii="Times New Roman" w:hAnsi="Times New Roman" w:cs="Times New Roman"/>
                    </w:rPr>
                    <w:t>、NO</w:t>
                  </w:r>
                  <w:r>
                    <w:rPr>
                      <w:rFonts w:hint="default" w:ascii="Times New Roman" w:hAnsi="Times New Roman" w:cs="Times New Roman"/>
                      <w:lang w:val="en-US" w:eastAsia="zh-CN"/>
                    </w:rPr>
                    <w:t>x、汞及其化合物、氨逃逸、烟气黑度</w:t>
                  </w:r>
                </w:p>
              </w:tc>
              <w:tc>
                <w:tcPr>
                  <w:tcW w:w="720" w:type="dxa"/>
                  <w:vAlign w:val="center"/>
                </w:tcPr>
                <w:p>
                  <w:pPr>
                    <w:pStyle w:val="44"/>
                    <w:bidi w:val="0"/>
                    <w:rPr>
                      <w:rFonts w:hint="default" w:ascii="Times New Roman" w:hAnsi="Times New Roman" w:cs="Times New Roman"/>
                    </w:rPr>
                  </w:pPr>
                  <w:r>
                    <w:rPr>
                      <w:rFonts w:hint="default" w:ascii="Times New Roman" w:hAnsi="Times New Roman" w:cs="Times New Roman"/>
                    </w:rPr>
                    <w:t>连续</w:t>
                  </w:r>
                </w:p>
              </w:tc>
              <w:tc>
                <w:tcPr>
                  <w:tcW w:w="709" w:type="dxa"/>
                  <w:vMerge w:val="continue"/>
                  <w:vAlign w:val="center"/>
                </w:tcPr>
                <w:p>
                  <w:pPr>
                    <w:pStyle w:val="44"/>
                    <w:bidi w:val="0"/>
                    <w:rPr>
                      <w:rFonts w:hint="default" w:ascii="Times New Roman" w:hAnsi="Times New Roman" w:cs="Times New Roman"/>
                    </w:rPr>
                  </w:pPr>
                </w:p>
              </w:tc>
              <w:tc>
                <w:tcPr>
                  <w:tcW w:w="3172" w:type="dxa"/>
                  <w:vAlign w:val="center"/>
                </w:tcPr>
                <w:p>
                  <w:pPr>
                    <w:pStyle w:val="44"/>
                    <w:bidi w:val="0"/>
                    <w:rPr>
                      <w:rFonts w:hint="default" w:ascii="Times New Roman" w:hAnsi="Times New Roman" w:cs="Times New Roman"/>
                    </w:rPr>
                  </w:pPr>
                  <w:r>
                    <w:rPr>
                      <w:rFonts w:hint="default" w:ascii="Times New Roman" w:hAnsi="Times New Roman" w:cs="Times New Roman"/>
                      <w:lang w:eastAsia="zh-CN"/>
                    </w:rPr>
                    <w:t>SNCR</w:t>
                  </w:r>
                  <w:r>
                    <w:rPr>
                      <w:rFonts w:hint="default" w:ascii="Times New Roman" w:hAnsi="Times New Roman" w:cs="Times New Roman"/>
                    </w:rPr>
                    <w:t>炉内脱硝</w:t>
                  </w:r>
                  <w:r>
                    <w:rPr>
                      <w:rFonts w:hint="default" w:ascii="Times New Roman" w:hAnsi="Times New Roman" w:eastAsia="宋体" w:cs="Times New Roman"/>
                      <w:lang w:eastAsia="zh-CN"/>
                    </w:rPr>
                    <w:t>及</w:t>
                  </w:r>
                  <w:r>
                    <w:rPr>
                      <w:rFonts w:hint="default" w:ascii="Times New Roman" w:hAnsi="Times New Roman" w:eastAsia="宋体" w:cs="Times New Roman"/>
                      <w:lang w:val="en-US" w:eastAsia="zh-CN"/>
                    </w:rPr>
                    <w:t>SCR炉</w:t>
                  </w:r>
                  <w:r>
                    <w:rPr>
                      <w:rFonts w:hint="default" w:ascii="Times New Roman" w:hAnsi="Times New Roman" w:cs="Times New Roman"/>
                      <w:lang w:val="en-US" w:eastAsia="zh-CN"/>
                    </w:rPr>
                    <w:t>外脱硝+脉冲布袋除尘器＋炉内脱硫及湿</w:t>
                  </w:r>
                  <w:r>
                    <w:rPr>
                      <w:rFonts w:hint="default" w:ascii="Times New Roman" w:hAnsi="Times New Roman" w:cs="Times New Roman"/>
                      <w:lang w:eastAsia="zh-CN"/>
                    </w:rPr>
                    <w:t>法</w:t>
                  </w:r>
                  <w:r>
                    <w:rPr>
                      <w:rFonts w:hint="default" w:ascii="Times New Roman" w:hAnsi="Times New Roman" w:cs="Times New Roman"/>
                    </w:rPr>
                    <w:t>脱硫+</w:t>
                  </w:r>
                  <w:r>
                    <w:rPr>
                      <w:rFonts w:hint="default" w:ascii="Times New Roman" w:hAnsi="Times New Roman" w:cs="Times New Roman"/>
                      <w:lang w:val="en-US" w:eastAsia="zh-CN"/>
                    </w:rPr>
                    <w:t>80</w:t>
                  </w:r>
                  <w:r>
                    <w:rPr>
                      <w:rFonts w:hint="default" w:ascii="Times New Roman" w:hAnsi="Times New Roman" w:cs="Times New Roman"/>
                      <w:lang w:eastAsia="zh-CN"/>
                    </w:rPr>
                    <w:t>m高</w:t>
                  </w:r>
                  <w:r>
                    <w:rPr>
                      <w:rFonts w:hint="default" w:ascii="Times New Roman" w:hAnsi="Times New Roman" w:cs="Times New Roman"/>
                    </w:rPr>
                    <w:t>烟囱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9" w:type="dxa"/>
                  <w:vMerge w:val="continue"/>
                  <w:vAlign w:val="center"/>
                </w:tcPr>
                <w:p>
                  <w:pPr>
                    <w:pStyle w:val="44"/>
                    <w:bidi w:val="0"/>
                    <w:rPr>
                      <w:rFonts w:hint="default" w:ascii="Times New Roman" w:hAnsi="Times New Roman" w:cs="Times New Roman"/>
                    </w:rPr>
                  </w:pPr>
                </w:p>
              </w:tc>
              <w:tc>
                <w:tcPr>
                  <w:tcW w:w="1655" w:type="dxa"/>
                  <w:vAlign w:val="center"/>
                </w:tcPr>
                <w:p>
                  <w:pPr>
                    <w:pStyle w:val="44"/>
                    <w:bidi w:val="0"/>
                    <w:rPr>
                      <w:rFonts w:hint="default" w:ascii="Times New Roman" w:hAnsi="Times New Roman" w:cs="Times New Roman"/>
                      <w:color w:val="000000" w:themeColor="text1"/>
                    </w:rPr>
                  </w:pPr>
                  <w:r>
                    <w:rPr>
                      <w:rFonts w:hint="default" w:ascii="Times New Roman" w:hAnsi="Times New Roman" w:cs="Times New Roman"/>
                      <w:color w:val="000000" w:themeColor="text1"/>
                    </w:rPr>
                    <w:t>食堂</w:t>
                  </w:r>
                </w:p>
              </w:tc>
              <w:tc>
                <w:tcPr>
                  <w:tcW w:w="1800" w:type="dxa"/>
                  <w:vAlign w:val="center"/>
                </w:tcPr>
                <w:p>
                  <w:pPr>
                    <w:pStyle w:val="44"/>
                    <w:bidi w:val="0"/>
                    <w:rPr>
                      <w:rFonts w:hint="default" w:ascii="Times New Roman" w:hAnsi="Times New Roman" w:cs="Times New Roman"/>
                      <w:color w:val="000000" w:themeColor="text1"/>
                    </w:rPr>
                  </w:pPr>
                  <w:r>
                    <w:rPr>
                      <w:rFonts w:hint="default" w:ascii="Times New Roman" w:hAnsi="Times New Roman" w:cs="Times New Roman"/>
                      <w:color w:val="000000" w:themeColor="text1"/>
                    </w:rPr>
                    <w:t>油烟</w:t>
                  </w:r>
                </w:p>
              </w:tc>
              <w:tc>
                <w:tcPr>
                  <w:tcW w:w="720" w:type="dxa"/>
                  <w:vAlign w:val="center"/>
                </w:tcPr>
                <w:p>
                  <w:pPr>
                    <w:pStyle w:val="44"/>
                    <w:bidi w:val="0"/>
                    <w:rPr>
                      <w:rFonts w:hint="default" w:ascii="Times New Roman" w:hAnsi="Times New Roman" w:cs="Times New Roman"/>
                      <w:color w:val="000000" w:themeColor="text1"/>
                    </w:rPr>
                  </w:pPr>
                  <w:r>
                    <w:rPr>
                      <w:rFonts w:hint="default" w:ascii="Times New Roman" w:hAnsi="Times New Roman" w:cs="Times New Roman"/>
                      <w:color w:val="000000" w:themeColor="text1"/>
                    </w:rPr>
                    <w:t>间断</w:t>
                  </w:r>
                </w:p>
              </w:tc>
              <w:tc>
                <w:tcPr>
                  <w:tcW w:w="709" w:type="dxa"/>
                  <w:vMerge w:val="continue"/>
                  <w:vAlign w:val="center"/>
                </w:tcPr>
                <w:p>
                  <w:pPr>
                    <w:pStyle w:val="44"/>
                    <w:bidi w:val="0"/>
                    <w:rPr>
                      <w:rFonts w:hint="default" w:ascii="Times New Roman" w:hAnsi="Times New Roman" w:cs="Times New Roman"/>
                      <w:color w:val="000000" w:themeColor="text1"/>
                    </w:rPr>
                  </w:pPr>
                </w:p>
              </w:tc>
              <w:tc>
                <w:tcPr>
                  <w:tcW w:w="3172" w:type="dxa"/>
                  <w:vAlign w:val="center"/>
                </w:tcPr>
                <w:p>
                  <w:pPr>
                    <w:pStyle w:val="44"/>
                    <w:bidi w:val="0"/>
                    <w:rPr>
                      <w:rFonts w:hint="default" w:ascii="Times New Roman" w:hAnsi="Times New Roman" w:cs="Times New Roman"/>
                      <w:color w:val="000000" w:themeColor="text1"/>
                    </w:rPr>
                  </w:pPr>
                  <w:r>
                    <w:rPr>
                      <w:rFonts w:hint="default" w:ascii="Times New Roman" w:hAnsi="Times New Roman" w:cs="Times New Roman"/>
                      <w:color w:val="000000" w:themeColor="text1"/>
                    </w:rPr>
                    <w:t>油烟净化器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9" w:type="dxa"/>
                  <w:vMerge w:val="restart"/>
                  <w:vAlign w:val="center"/>
                </w:tcPr>
                <w:p>
                  <w:pPr>
                    <w:pStyle w:val="44"/>
                    <w:bidi w:val="0"/>
                    <w:rPr>
                      <w:rFonts w:hint="default" w:ascii="Times New Roman" w:hAnsi="Times New Roman" w:cs="Times New Roman"/>
                    </w:rPr>
                  </w:pPr>
                  <w:r>
                    <w:rPr>
                      <w:rFonts w:hint="default" w:ascii="Times New Roman" w:hAnsi="Times New Roman" w:cs="Times New Roman"/>
                    </w:rPr>
                    <w:t>废</w:t>
                  </w:r>
                </w:p>
                <w:p>
                  <w:pPr>
                    <w:pStyle w:val="44"/>
                    <w:bidi w:val="0"/>
                    <w:rPr>
                      <w:rFonts w:hint="default" w:ascii="Times New Roman" w:hAnsi="Times New Roman" w:cs="Times New Roman"/>
                    </w:rPr>
                  </w:pPr>
                  <w:r>
                    <w:rPr>
                      <w:rFonts w:hint="default" w:ascii="Times New Roman" w:hAnsi="Times New Roman" w:cs="Times New Roman"/>
                    </w:rPr>
                    <w:t>水</w:t>
                  </w:r>
                </w:p>
              </w:tc>
              <w:tc>
                <w:tcPr>
                  <w:tcW w:w="1655" w:type="dxa"/>
                  <w:vAlign w:val="center"/>
                </w:tcPr>
                <w:p>
                  <w:pPr>
                    <w:pStyle w:val="44"/>
                    <w:bidi w:val="0"/>
                    <w:rPr>
                      <w:rFonts w:hint="default" w:ascii="Times New Roman" w:hAnsi="Times New Roman" w:cs="Times New Roman"/>
                    </w:rPr>
                  </w:pPr>
                  <w:r>
                    <w:rPr>
                      <w:rFonts w:hint="default" w:ascii="Times New Roman" w:hAnsi="Times New Roman" w:cs="Times New Roman"/>
                    </w:rPr>
                    <w:t>软水设备</w:t>
                  </w:r>
                </w:p>
              </w:tc>
              <w:tc>
                <w:tcPr>
                  <w:tcW w:w="1800" w:type="dxa"/>
                  <w:vAlign w:val="center"/>
                </w:tcPr>
                <w:p>
                  <w:pPr>
                    <w:pStyle w:val="44"/>
                    <w:bidi w:val="0"/>
                    <w:rPr>
                      <w:rFonts w:hint="default" w:ascii="Times New Roman" w:hAnsi="Times New Roman" w:cs="Times New Roman"/>
                    </w:rPr>
                  </w:pPr>
                  <w:r>
                    <w:rPr>
                      <w:rFonts w:hint="default" w:ascii="Times New Roman" w:hAnsi="Times New Roman" w:cs="Times New Roman"/>
                    </w:rPr>
                    <w:t>反冲洗水</w:t>
                  </w:r>
                </w:p>
              </w:tc>
              <w:tc>
                <w:tcPr>
                  <w:tcW w:w="720" w:type="dxa"/>
                  <w:vAlign w:val="center"/>
                </w:tcPr>
                <w:p>
                  <w:pPr>
                    <w:pStyle w:val="44"/>
                    <w:bidi w:val="0"/>
                    <w:rPr>
                      <w:rFonts w:hint="default" w:ascii="Times New Roman" w:hAnsi="Times New Roman" w:cs="Times New Roman"/>
                    </w:rPr>
                  </w:pPr>
                  <w:r>
                    <w:rPr>
                      <w:rFonts w:hint="default" w:ascii="Times New Roman" w:hAnsi="Times New Roman" w:cs="Times New Roman"/>
                    </w:rPr>
                    <w:t>间断</w:t>
                  </w:r>
                </w:p>
              </w:tc>
              <w:tc>
                <w:tcPr>
                  <w:tcW w:w="709" w:type="dxa"/>
                  <w:vMerge w:val="restart"/>
                  <w:vAlign w:val="center"/>
                </w:tcPr>
                <w:p>
                  <w:pPr>
                    <w:pStyle w:val="44"/>
                    <w:bidi w:val="0"/>
                    <w:rPr>
                      <w:rFonts w:hint="default" w:ascii="Times New Roman" w:hAnsi="Times New Roman" w:cs="Times New Roman"/>
                    </w:rPr>
                  </w:pPr>
                  <w:r>
                    <w:rPr>
                      <w:rFonts w:hint="default" w:ascii="Times New Roman" w:hAnsi="Times New Roman" w:cs="Times New Roman"/>
                    </w:rPr>
                    <w:t>不外排</w:t>
                  </w:r>
                </w:p>
              </w:tc>
              <w:tc>
                <w:tcPr>
                  <w:tcW w:w="3172" w:type="dxa"/>
                  <w:vAlign w:val="center"/>
                </w:tcPr>
                <w:p>
                  <w:pPr>
                    <w:pStyle w:val="44"/>
                    <w:bidi w:val="0"/>
                    <w:rPr>
                      <w:rFonts w:hint="default" w:ascii="Times New Roman" w:hAnsi="Times New Roman" w:cs="Times New Roman"/>
                    </w:rPr>
                  </w:pPr>
                  <w:r>
                    <w:rPr>
                      <w:rFonts w:hint="default" w:ascii="Times New Roman" w:hAnsi="Times New Roman" w:cs="Times New Roman"/>
                    </w:rPr>
                    <w:t>用于</w:t>
                  </w:r>
                  <w:r>
                    <w:rPr>
                      <w:rFonts w:hint="default" w:ascii="Times New Roman" w:hAnsi="Times New Roman" w:cs="Times New Roman"/>
                      <w:lang w:eastAsia="zh-CN"/>
                    </w:rPr>
                    <w:t>脱硫系统</w:t>
                  </w:r>
                  <w:r>
                    <w:rPr>
                      <w:rFonts w:hint="default" w:ascii="Times New Roman" w:hAnsi="Times New Roman" w:cs="Times New Roman"/>
                      <w:lang w:val="en-US" w:eastAsia="zh-CN"/>
                    </w:rPr>
                    <w:t>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9" w:type="dxa"/>
                  <w:vMerge w:val="continue"/>
                  <w:vAlign w:val="center"/>
                </w:tcPr>
                <w:p>
                  <w:pPr>
                    <w:pStyle w:val="44"/>
                    <w:bidi w:val="0"/>
                    <w:rPr>
                      <w:rFonts w:hint="default" w:ascii="Times New Roman" w:hAnsi="Times New Roman" w:cs="Times New Roman"/>
                    </w:rPr>
                  </w:pPr>
                </w:p>
              </w:tc>
              <w:tc>
                <w:tcPr>
                  <w:tcW w:w="1655" w:type="dxa"/>
                  <w:vAlign w:val="center"/>
                </w:tcPr>
                <w:p>
                  <w:pPr>
                    <w:pStyle w:val="44"/>
                    <w:bidi w:val="0"/>
                    <w:rPr>
                      <w:rFonts w:hint="default" w:ascii="Times New Roman" w:hAnsi="Times New Roman" w:cs="Times New Roman"/>
                    </w:rPr>
                  </w:pPr>
                  <w:r>
                    <w:rPr>
                      <w:rFonts w:hint="default" w:ascii="Times New Roman" w:hAnsi="Times New Roman" w:cs="Times New Roman"/>
                    </w:rPr>
                    <w:t>锅炉</w:t>
                  </w:r>
                </w:p>
              </w:tc>
              <w:tc>
                <w:tcPr>
                  <w:tcW w:w="1800" w:type="dxa"/>
                  <w:vAlign w:val="center"/>
                </w:tcPr>
                <w:p>
                  <w:pPr>
                    <w:pStyle w:val="44"/>
                    <w:bidi w:val="0"/>
                    <w:rPr>
                      <w:rFonts w:hint="default" w:ascii="Times New Roman" w:hAnsi="Times New Roman" w:cs="Times New Roman"/>
                    </w:rPr>
                  </w:pPr>
                  <w:r>
                    <w:rPr>
                      <w:rFonts w:hint="default" w:ascii="Times New Roman" w:hAnsi="Times New Roman" w:cs="Times New Roman"/>
                    </w:rPr>
                    <w:t>定排水</w:t>
                  </w:r>
                </w:p>
              </w:tc>
              <w:tc>
                <w:tcPr>
                  <w:tcW w:w="720" w:type="dxa"/>
                  <w:vAlign w:val="center"/>
                </w:tcPr>
                <w:p>
                  <w:pPr>
                    <w:pStyle w:val="44"/>
                    <w:bidi w:val="0"/>
                    <w:rPr>
                      <w:rFonts w:hint="default" w:ascii="Times New Roman" w:hAnsi="Times New Roman" w:cs="Times New Roman"/>
                    </w:rPr>
                  </w:pPr>
                  <w:r>
                    <w:rPr>
                      <w:rFonts w:hint="default" w:ascii="Times New Roman" w:hAnsi="Times New Roman" w:cs="Times New Roman"/>
                    </w:rPr>
                    <w:t>间断</w:t>
                  </w:r>
                </w:p>
              </w:tc>
              <w:tc>
                <w:tcPr>
                  <w:tcW w:w="709" w:type="dxa"/>
                  <w:vMerge w:val="continue"/>
                  <w:vAlign w:val="center"/>
                </w:tcPr>
                <w:p>
                  <w:pPr>
                    <w:pStyle w:val="44"/>
                    <w:bidi w:val="0"/>
                    <w:rPr>
                      <w:rFonts w:hint="default" w:ascii="Times New Roman" w:hAnsi="Times New Roman" w:cs="Times New Roman"/>
                    </w:rPr>
                  </w:pPr>
                </w:p>
              </w:tc>
              <w:tc>
                <w:tcPr>
                  <w:tcW w:w="3172" w:type="dxa"/>
                  <w:vAlign w:val="center"/>
                </w:tcPr>
                <w:p>
                  <w:pPr>
                    <w:pStyle w:val="44"/>
                    <w:bidi w:val="0"/>
                    <w:rPr>
                      <w:rFonts w:hint="default" w:ascii="Times New Roman" w:hAnsi="Times New Roman" w:cs="Times New Roman"/>
                    </w:rPr>
                  </w:pPr>
                  <w:r>
                    <w:rPr>
                      <w:rFonts w:hint="default" w:ascii="Times New Roman" w:hAnsi="Times New Roman" w:cs="Times New Roman"/>
                    </w:rPr>
                    <w:t>用于</w:t>
                  </w:r>
                  <w:r>
                    <w:rPr>
                      <w:rFonts w:hint="default" w:ascii="Times New Roman" w:hAnsi="Times New Roman" w:cs="Times New Roman"/>
                      <w:lang w:eastAsia="zh-CN"/>
                    </w:rPr>
                    <w:t>脱硫系统</w:t>
                  </w:r>
                  <w:r>
                    <w:rPr>
                      <w:rFonts w:hint="default" w:ascii="Times New Roman" w:hAnsi="Times New Roman" w:cs="Times New Roman"/>
                      <w:lang w:val="en-US" w:eastAsia="zh-CN"/>
                    </w:rPr>
                    <w:t>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9" w:type="dxa"/>
                  <w:vMerge w:val="continue"/>
                  <w:vAlign w:val="center"/>
                </w:tcPr>
                <w:p>
                  <w:pPr>
                    <w:pStyle w:val="44"/>
                    <w:bidi w:val="0"/>
                    <w:rPr>
                      <w:rFonts w:hint="default" w:ascii="Times New Roman" w:hAnsi="Times New Roman" w:cs="Times New Roman"/>
                    </w:rPr>
                  </w:pPr>
                </w:p>
              </w:tc>
              <w:tc>
                <w:tcPr>
                  <w:tcW w:w="1655" w:type="dxa"/>
                  <w:vAlign w:val="center"/>
                </w:tcPr>
                <w:p>
                  <w:pPr>
                    <w:pStyle w:val="44"/>
                    <w:bidi w:val="0"/>
                    <w:rPr>
                      <w:rFonts w:hint="default" w:ascii="Times New Roman" w:hAnsi="Times New Roman" w:cs="Times New Roman"/>
                    </w:rPr>
                  </w:pPr>
                  <w:r>
                    <w:rPr>
                      <w:rFonts w:hint="default" w:ascii="Times New Roman" w:hAnsi="Times New Roman" w:cs="Times New Roman"/>
                    </w:rPr>
                    <w:t>生活污水</w:t>
                  </w:r>
                </w:p>
              </w:tc>
              <w:tc>
                <w:tcPr>
                  <w:tcW w:w="1800" w:type="dxa"/>
                  <w:vAlign w:val="center"/>
                </w:tcPr>
                <w:p>
                  <w:pPr>
                    <w:pStyle w:val="44"/>
                    <w:bidi w:val="0"/>
                    <w:rPr>
                      <w:rFonts w:hint="default" w:ascii="Times New Roman" w:hAnsi="Times New Roman" w:eastAsia="宋体" w:cs="Times New Roman"/>
                      <w:lang w:val="en-US" w:eastAsia="zh-CN"/>
                    </w:rPr>
                  </w:pPr>
                  <w:r>
                    <w:rPr>
                      <w:rFonts w:hint="default" w:ascii="Times New Roman" w:hAnsi="Times New Roman" w:cs="Times New Roman"/>
                    </w:rPr>
                    <w:t>COD、</w:t>
                  </w:r>
                  <w:r>
                    <w:rPr>
                      <w:rFonts w:hint="default" w:ascii="Times New Roman" w:hAnsi="Times New Roman" w:cs="Times New Roman"/>
                      <w:lang w:val="en-US" w:eastAsia="zh-CN"/>
                    </w:rPr>
                    <w:t>BOD</w:t>
                  </w:r>
                  <w:r>
                    <w:rPr>
                      <w:rFonts w:hint="default" w:ascii="Times New Roman" w:hAnsi="Times New Roman" w:cs="Times New Roman"/>
                      <w:vertAlign w:val="subscript"/>
                      <w:lang w:val="en-US" w:eastAsia="zh-CN"/>
                    </w:rPr>
                    <w:t>5</w:t>
                  </w:r>
                  <w:r>
                    <w:rPr>
                      <w:rFonts w:hint="default" w:ascii="Times New Roman" w:hAnsi="Times New Roman" w:cs="Times New Roman"/>
                      <w:lang w:val="en-US" w:eastAsia="zh-CN"/>
                    </w:rPr>
                    <w:t>、</w:t>
                  </w:r>
                  <w:r>
                    <w:rPr>
                      <w:rFonts w:hint="default" w:ascii="Times New Roman" w:hAnsi="Times New Roman" w:cs="Times New Roman"/>
                    </w:rPr>
                    <w:t>SS、氨氮</w:t>
                  </w:r>
                  <w:r>
                    <w:rPr>
                      <w:rFonts w:hint="default" w:ascii="Times New Roman" w:hAnsi="Times New Roman" w:cs="Times New Roman"/>
                      <w:lang w:eastAsia="zh-CN"/>
                    </w:rPr>
                    <w:t>、</w:t>
                  </w:r>
                  <w:r>
                    <w:rPr>
                      <w:rFonts w:hint="default" w:ascii="Times New Roman" w:hAnsi="Times New Roman" w:cs="Times New Roman"/>
                      <w:lang w:val="en-US" w:eastAsia="zh-CN"/>
                    </w:rPr>
                    <w:t>动植物油</w:t>
                  </w:r>
                </w:p>
              </w:tc>
              <w:tc>
                <w:tcPr>
                  <w:tcW w:w="720" w:type="dxa"/>
                  <w:vAlign w:val="center"/>
                </w:tcPr>
                <w:p>
                  <w:pPr>
                    <w:pStyle w:val="44"/>
                    <w:bidi w:val="0"/>
                    <w:rPr>
                      <w:rFonts w:hint="default" w:ascii="Times New Roman" w:hAnsi="Times New Roman" w:cs="Times New Roman"/>
                    </w:rPr>
                  </w:pPr>
                  <w:r>
                    <w:rPr>
                      <w:rFonts w:hint="default" w:ascii="Times New Roman" w:hAnsi="Times New Roman" w:cs="Times New Roman"/>
                    </w:rPr>
                    <w:t>连续</w:t>
                  </w:r>
                </w:p>
              </w:tc>
              <w:tc>
                <w:tcPr>
                  <w:tcW w:w="709" w:type="dxa"/>
                  <w:vAlign w:val="center"/>
                </w:tcPr>
                <w:p>
                  <w:pPr>
                    <w:pStyle w:val="44"/>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间接排放</w:t>
                  </w:r>
                </w:p>
              </w:tc>
              <w:tc>
                <w:tcPr>
                  <w:tcW w:w="3172" w:type="dxa"/>
                  <w:vAlign w:val="center"/>
                </w:tcPr>
                <w:p>
                  <w:pPr>
                    <w:pStyle w:val="44"/>
                    <w:bidi w:val="0"/>
                    <w:rPr>
                      <w:rFonts w:hint="default" w:ascii="Times New Roman" w:hAnsi="Times New Roman" w:cs="Times New Roman"/>
                    </w:rPr>
                  </w:pPr>
                  <w:r>
                    <w:rPr>
                      <w:rFonts w:hint="default" w:ascii="Times New Roman" w:hAnsi="Times New Roman" w:cs="Times New Roman"/>
                    </w:rPr>
                    <w:t>排入污水处理厂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9" w:type="dxa"/>
                  <w:vAlign w:val="center"/>
                </w:tcPr>
                <w:p>
                  <w:pPr>
                    <w:pStyle w:val="44"/>
                    <w:bidi w:val="0"/>
                    <w:rPr>
                      <w:rFonts w:hint="default" w:ascii="Times New Roman" w:hAnsi="Times New Roman" w:cs="Times New Roman"/>
                    </w:rPr>
                  </w:pPr>
                  <w:r>
                    <w:rPr>
                      <w:rFonts w:hint="default" w:ascii="Times New Roman" w:hAnsi="Times New Roman" w:cs="Times New Roman"/>
                    </w:rPr>
                    <w:t>噪声</w:t>
                  </w:r>
                </w:p>
              </w:tc>
              <w:tc>
                <w:tcPr>
                  <w:tcW w:w="1655" w:type="dxa"/>
                  <w:vAlign w:val="center"/>
                </w:tcPr>
                <w:p>
                  <w:pPr>
                    <w:pStyle w:val="44"/>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生产设备</w:t>
                  </w:r>
                </w:p>
              </w:tc>
              <w:tc>
                <w:tcPr>
                  <w:tcW w:w="1800" w:type="dxa"/>
                  <w:vAlign w:val="center"/>
                </w:tcPr>
                <w:p>
                  <w:pPr>
                    <w:pStyle w:val="44"/>
                    <w:bidi w:val="0"/>
                    <w:rPr>
                      <w:rFonts w:hint="default" w:ascii="Times New Roman" w:hAnsi="Times New Roman" w:cs="Times New Roman"/>
                    </w:rPr>
                  </w:pPr>
                  <w:r>
                    <w:rPr>
                      <w:rFonts w:hint="default" w:ascii="Times New Roman" w:hAnsi="Times New Roman" w:cs="Times New Roman"/>
                    </w:rPr>
                    <w:t>噪声</w:t>
                  </w:r>
                </w:p>
              </w:tc>
              <w:tc>
                <w:tcPr>
                  <w:tcW w:w="720" w:type="dxa"/>
                  <w:vAlign w:val="center"/>
                </w:tcPr>
                <w:p>
                  <w:pPr>
                    <w:pStyle w:val="44"/>
                    <w:bidi w:val="0"/>
                    <w:rPr>
                      <w:rFonts w:hint="default" w:ascii="Times New Roman" w:hAnsi="Times New Roman" w:cs="Times New Roman"/>
                    </w:rPr>
                  </w:pPr>
                  <w:r>
                    <w:rPr>
                      <w:rFonts w:hint="default" w:ascii="Times New Roman" w:hAnsi="Times New Roman" w:cs="Times New Roman"/>
                    </w:rPr>
                    <w:t>间断</w:t>
                  </w:r>
                </w:p>
              </w:tc>
              <w:tc>
                <w:tcPr>
                  <w:tcW w:w="709" w:type="dxa"/>
                  <w:vAlign w:val="center"/>
                </w:tcPr>
                <w:p>
                  <w:pPr>
                    <w:pStyle w:val="44"/>
                    <w:bidi w:val="0"/>
                    <w:rPr>
                      <w:rFonts w:hint="default" w:ascii="Times New Roman" w:hAnsi="Times New Roman" w:cs="Times New Roman"/>
                    </w:rPr>
                  </w:pPr>
                  <w:r>
                    <w:rPr>
                      <w:rFonts w:hint="default" w:ascii="Times New Roman" w:hAnsi="Times New Roman" w:cs="Times New Roman"/>
                    </w:rPr>
                    <w:t>周围</w:t>
                  </w:r>
                </w:p>
                <w:p>
                  <w:pPr>
                    <w:pStyle w:val="44"/>
                    <w:bidi w:val="0"/>
                    <w:rPr>
                      <w:rFonts w:hint="default" w:ascii="Times New Roman" w:hAnsi="Times New Roman" w:cs="Times New Roman"/>
                    </w:rPr>
                  </w:pPr>
                  <w:r>
                    <w:rPr>
                      <w:rFonts w:hint="default" w:ascii="Times New Roman" w:hAnsi="Times New Roman" w:cs="Times New Roman"/>
                    </w:rPr>
                    <w:t>环境</w:t>
                  </w:r>
                </w:p>
              </w:tc>
              <w:tc>
                <w:tcPr>
                  <w:tcW w:w="3172" w:type="dxa"/>
                  <w:vAlign w:val="center"/>
                </w:tcPr>
                <w:p>
                  <w:pPr>
                    <w:pStyle w:val="44"/>
                    <w:bidi w:val="0"/>
                    <w:rPr>
                      <w:rFonts w:hint="default" w:ascii="Times New Roman" w:hAnsi="Times New Roman" w:cs="Times New Roman"/>
                    </w:rPr>
                  </w:pPr>
                  <w:r>
                    <w:rPr>
                      <w:rFonts w:hint="default" w:ascii="Times New Roman" w:hAnsi="Times New Roman" w:cs="Times New Roman"/>
                      <w:snapToGrid w:val="0"/>
                      <w:color w:val="auto"/>
                      <w:kern w:val="0"/>
                      <w:sz w:val="21"/>
                      <w:szCs w:val="21"/>
                      <w:lang w:val="en-US" w:eastAsia="zh-CN"/>
                    </w:rPr>
                    <w:t>锅炉房封闭，选用低噪声设备，基础减振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9" w:type="dxa"/>
                  <w:vMerge w:val="restart"/>
                  <w:vAlign w:val="center"/>
                </w:tcPr>
                <w:p>
                  <w:pPr>
                    <w:pStyle w:val="44"/>
                    <w:bidi w:val="0"/>
                    <w:rPr>
                      <w:rFonts w:hint="default" w:ascii="Times New Roman" w:hAnsi="Times New Roman" w:cs="Times New Roman"/>
                    </w:rPr>
                  </w:pPr>
                  <w:r>
                    <w:rPr>
                      <w:rFonts w:hint="default" w:ascii="Times New Roman" w:hAnsi="Times New Roman" w:cs="Times New Roman"/>
                    </w:rPr>
                    <w:t>固</w:t>
                  </w:r>
                </w:p>
                <w:p>
                  <w:pPr>
                    <w:pStyle w:val="44"/>
                    <w:bidi w:val="0"/>
                    <w:rPr>
                      <w:rFonts w:hint="default" w:ascii="Times New Roman" w:hAnsi="Times New Roman" w:cs="Times New Roman"/>
                    </w:rPr>
                  </w:pPr>
                  <w:r>
                    <w:rPr>
                      <w:rFonts w:hint="default" w:ascii="Times New Roman" w:hAnsi="Times New Roman" w:cs="Times New Roman"/>
                    </w:rPr>
                    <w:t>废</w:t>
                  </w:r>
                </w:p>
              </w:tc>
              <w:tc>
                <w:tcPr>
                  <w:tcW w:w="1655" w:type="dxa"/>
                  <w:vAlign w:val="center"/>
                </w:tcPr>
                <w:p>
                  <w:pPr>
                    <w:pStyle w:val="44"/>
                    <w:bidi w:val="0"/>
                    <w:rPr>
                      <w:rFonts w:hint="default" w:ascii="Times New Roman" w:hAnsi="Times New Roman" w:cs="Times New Roman"/>
                    </w:rPr>
                  </w:pPr>
                  <w:r>
                    <w:rPr>
                      <w:rFonts w:hint="default" w:ascii="Times New Roman" w:hAnsi="Times New Roman" w:cs="Times New Roman"/>
                    </w:rPr>
                    <w:t>锅炉</w:t>
                  </w:r>
                </w:p>
              </w:tc>
              <w:tc>
                <w:tcPr>
                  <w:tcW w:w="1800" w:type="dxa"/>
                  <w:vAlign w:val="center"/>
                </w:tcPr>
                <w:p>
                  <w:pPr>
                    <w:pStyle w:val="44"/>
                    <w:bidi w:val="0"/>
                    <w:rPr>
                      <w:rFonts w:hint="default" w:ascii="Times New Roman" w:hAnsi="Times New Roman" w:cs="Times New Roman"/>
                    </w:rPr>
                  </w:pPr>
                  <w:r>
                    <w:rPr>
                      <w:rFonts w:hint="default" w:ascii="Times New Roman" w:hAnsi="Times New Roman" w:cs="Times New Roman"/>
                    </w:rPr>
                    <w:t>炉渣</w:t>
                  </w:r>
                </w:p>
              </w:tc>
              <w:tc>
                <w:tcPr>
                  <w:tcW w:w="720" w:type="dxa"/>
                  <w:vAlign w:val="center"/>
                </w:tcPr>
                <w:p>
                  <w:pPr>
                    <w:pStyle w:val="44"/>
                    <w:bidi w:val="0"/>
                    <w:rPr>
                      <w:rFonts w:hint="default" w:ascii="Times New Roman" w:hAnsi="Times New Roman" w:cs="Times New Roman"/>
                    </w:rPr>
                  </w:pPr>
                  <w:r>
                    <w:rPr>
                      <w:rFonts w:hint="default" w:ascii="Times New Roman" w:hAnsi="Times New Roman" w:cs="Times New Roman"/>
                    </w:rPr>
                    <w:t>间断</w:t>
                  </w:r>
                </w:p>
              </w:tc>
              <w:tc>
                <w:tcPr>
                  <w:tcW w:w="709" w:type="dxa"/>
                  <w:vMerge w:val="restart"/>
                  <w:vAlign w:val="center"/>
                </w:tcPr>
                <w:p>
                  <w:pPr>
                    <w:pStyle w:val="44"/>
                    <w:bidi w:val="0"/>
                    <w:rPr>
                      <w:rFonts w:hint="default" w:ascii="Times New Roman" w:hAnsi="Times New Roman" w:cs="Times New Roman"/>
                    </w:rPr>
                  </w:pPr>
                  <w:r>
                    <w:rPr>
                      <w:rFonts w:hint="default" w:ascii="Times New Roman" w:hAnsi="Times New Roman" w:cs="Times New Roman"/>
                    </w:rPr>
                    <w:t>不外排</w:t>
                  </w:r>
                </w:p>
              </w:tc>
              <w:tc>
                <w:tcPr>
                  <w:tcW w:w="3172" w:type="dxa"/>
                  <w:vAlign w:val="center"/>
                </w:tcPr>
                <w:p>
                  <w:pPr>
                    <w:pStyle w:val="44"/>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集中收集后外售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9" w:type="dxa"/>
                  <w:vMerge w:val="continue"/>
                  <w:vAlign w:val="center"/>
                </w:tcPr>
                <w:p>
                  <w:pPr>
                    <w:pStyle w:val="44"/>
                    <w:bidi w:val="0"/>
                    <w:rPr>
                      <w:rFonts w:hint="default" w:ascii="Times New Roman" w:hAnsi="Times New Roman" w:cs="Times New Roman"/>
                    </w:rPr>
                  </w:pPr>
                </w:p>
              </w:tc>
              <w:tc>
                <w:tcPr>
                  <w:tcW w:w="1655" w:type="dxa"/>
                  <w:vAlign w:val="center"/>
                </w:tcPr>
                <w:p>
                  <w:pPr>
                    <w:pStyle w:val="44"/>
                    <w:bidi w:val="0"/>
                    <w:rPr>
                      <w:rFonts w:hint="default" w:ascii="Times New Roman" w:hAnsi="Times New Roman" w:cs="Times New Roman"/>
                    </w:rPr>
                  </w:pPr>
                  <w:r>
                    <w:rPr>
                      <w:rFonts w:hint="default" w:ascii="Times New Roman" w:hAnsi="Times New Roman" w:cs="Times New Roman"/>
                    </w:rPr>
                    <w:t>除尘器</w:t>
                  </w:r>
                </w:p>
              </w:tc>
              <w:tc>
                <w:tcPr>
                  <w:tcW w:w="1800" w:type="dxa"/>
                  <w:vAlign w:val="center"/>
                </w:tcPr>
                <w:p>
                  <w:pPr>
                    <w:pStyle w:val="44"/>
                    <w:bidi w:val="0"/>
                    <w:rPr>
                      <w:rFonts w:hint="default" w:ascii="Times New Roman" w:hAnsi="Times New Roman" w:eastAsia="宋体" w:cs="Times New Roman"/>
                      <w:lang w:eastAsia="zh-CN"/>
                    </w:rPr>
                  </w:pPr>
                  <w:r>
                    <w:rPr>
                      <w:rFonts w:hint="default" w:ascii="Times New Roman" w:hAnsi="Times New Roman" w:cs="Times New Roman"/>
                      <w:lang w:val="en-US" w:eastAsia="zh-CN"/>
                    </w:rPr>
                    <w:t>粉煤灰</w:t>
                  </w:r>
                </w:p>
              </w:tc>
              <w:tc>
                <w:tcPr>
                  <w:tcW w:w="720" w:type="dxa"/>
                  <w:vAlign w:val="center"/>
                </w:tcPr>
                <w:p>
                  <w:pPr>
                    <w:pStyle w:val="44"/>
                    <w:bidi w:val="0"/>
                    <w:rPr>
                      <w:rFonts w:hint="default" w:ascii="Times New Roman" w:hAnsi="Times New Roman" w:cs="Times New Roman"/>
                    </w:rPr>
                  </w:pPr>
                  <w:r>
                    <w:rPr>
                      <w:rFonts w:hint="default" w:ascii="Times New Roman" w:hAnsi="Times New Roman" w:cs="Times New Roman"/>
                    </w:rPr>
                    <w:t>连续</w:t>
                  </w:r>
                </w:p>
              </w:tc>
              <w:tc>
                <w:tcPr>
                  <w:tcW w:w="709" w:type="dxa"/>
                  <w:vMerge w:val="continue"/>
                  <w:vAlign w:val="center"/>
                </w:tcPr>
                <w:p>
                  <w:pPr>
                    <w:pStyle w:val="44"/>
                    <w:bidi w:val="0"/>
                    <w:rPr>
                      <w:rFonts w:hint="default" w:ascii="Times New Roman" w:hAnsi="Times New Roman" w:cs="Times New Roman"/>
                    </w:rPr>
                  </w:pPr>
                </w:p>
              </w:tc>
              <w:tc>
                <w:tcPr>
                  <w:tcW w:w="3172" w:type="dxa"/>
                  <w:vAlign w:val="center"/>
                </w:tcPr>
                <w:p>
                  <w:pPr>
                    <w:pStyle w:val="44"/>
                    <w:bidi w:val="0"/>
                    <w:rPr>
                      <w:rFonts w:hint="default" w:ascii="Times New Roman" w:hAnsi="Times New Roman" w:cs="Times New Roman"/>
                    </w:rPr>
                  </w:pPr>
                  <w:r>
                    <w:rPr>
                      <w:rFonts w:hint="default" w:ascii="Times New Roman" w:hAnsi="Times New Roman" w:cs="Times New Roman"/>
                      <w:lang w:val="en-US" w:eastAsia="zh-CN"/>
                    </w:rPr>
                    <w:t>集中收集后外售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9" w:type="dxa"/>
                  <w:vMerge w:val="continue"/>
                  <w:vAlign w:val="center"/>
                </w:tcPr>
                <w:p>
                  <w:pPr>
                    <w:pStyle w:val="44"/>
                    <w:bidi w:val="0"/>
                    <w:rPr>
                      <w:rFonts w:hint="default" w:ascii="Times New Roman" w:hAnsi="Times New Roman" w:cs="Times New Roman"/>
                    </w:rPr>
                  </w:pPr>
                </w:p>
              </w:tc>
              <w:tc>
                <w:tcPr>
                  <w:tcW w:w="1655" w:type="dxa"/>
                  <w:vAlign w:val="center"/>
                </w:tcPr>
                <w:p>
                  <w:pPr>
                    <w:pStyle w:val="44"/>
                    <w:bidi w:val="0"/>
                    <w:rPr>
                      <w:rFonts w:hint="default" w:ascii="Times New Roman" w:hAnsi="Times New Roman" w:cs="Times New Roman"/>
                    </w:rPr>
                  </w:pPr>
                  <w:r>
                    <w:rPr>
                      <w:rFonts w:hint="default" w:ascii="Times New Roman" w:hAnsi="Times New Roman" w:cs="Times New Roman"/>
                    </w:rPr>
                    <w:t>脱硫系统</w:t>
                  </w:r>
                </w:p>
              </w:tc>
              <w:tc>
                <w:tcPr>
                  <w:tcW w:w="1800" w:type="dxa"/>
                  <w:vAlign w:val="center"/>
                </w:tcPr>
                <w:p>
                  <w:pPr>
                    <w:pStyle w:val="44"/>
                    <w:bidi w:val="0"/>
                    <w:rPr>
                      <w:rFonts w:hint="default" w:ascii="Times New Roman" w:hAnsi="Times New Roman" w:eastAsia="宋体" w:cs="Times New Roman"/>
                      <w:lang w:eastAsia="zh-CN"/>
                    </w:rPr>
                  </w:pPr>
                  <w:r>
                    <w:rPr>
                      <w:rFonts w:hint="default" w:ascii="Times New Roman" w:hAnsi="Times New Roman" w:cs="Times New Roman"/>
                      <w:sz w:val="21"/>
                      <w:szCs w:val="21"/>
                      <w:lang w:val="en-US" w:eastAsia="zh-CN"/>
                    </w:rPr>
                    <w:t>MgSO</w:t>
                  </w:r>
                  <w:r>
                    <w:rPr>
                      <w:rFonts w:hint="default" w:ascii="Times New Roman" w:hAnsi="Times New Roman" w:cs="Times New Roman"/>
                      <w:sz w:val="21"/>
                      <w:szCs w:val="21"/>
                      <w:vertAlign w:val="subscript"/>
                      <w:lang w:val="en-US" w:eastAsia="zh-CN"/>
                    </w:rPr>
                    <w:t>4</w:t>
                  </w:r>
                </w:p>
              </w:tc>
              <w:tc>
                <w:tcPr>
                  <w:tcW w:w="720" w:type="dxa"/>
                  <w:vAlign w:val="center"/>
                </w:tcPr>
                <w:p>
                  <w:pPr>
                    <w:pStyle w:val="44"/>
                    <w:bidi w:val="0"/>
                    <w:rPr>
                      <w:rFonts w:hint="default" w:ascii="Times New Roman" w:hAnsi="Times New Roman" w:cs="Times New Roman"/>
                    </w:rPr>
                  </w:pPr>
                  <w:r>
                    <w:rPr>
                      <w:rFonts w:hint="default" w:ascii="Times New Roman" w:hAnsi="Times New Roman" w:cs="Times New Roman"/>
                    </w:rPr>
                    <w:t>连续</w:t>
                  </w:r>
                </w:p>
              </w:tc>
              <w:tc>
                <w:tcPr>
                  <w:tcW w:w="709" w:type="dxa"/>
                  <w:vMerge w:val="continue"/>
                  <w:vAlign w:val="center"/>
                </w:tcPr>
                <w:p>
                  <w:pPr>
                    <w:pStyle w:val="44"/>
                    <w:bidi w:val="0"/>
                    <w:rPr>
                      <w:rFonts w:hint="default" w:ascii="Times New Roman" w:hAnsi="Times New Roman" w:cs="Times New Roman"/>
                    </w:rPr>
                  </w:pPr>
                </w:p>
              </w:tc>
              <w:tc>
                <w:tcPr>
                  <w:tcW w:w="3172" w:type="dxa"/>
                  <w:vAlign w:val="center"/>
                </w:tcPr>
                <w:p>
                  <w:pPr>
                    <w:pStyle w:val="44"/>
                    <w:bidi w:val="0"/>
                    <w:rPr>
                      <w:rFonts w:hint="default" w:ascii="Times New Roman" w:hAnsi="Times New Roman" w:cs="Times New Roman"/>
                    </w:rPr>
                  </w:pPr>
                  <w:r>
                    <w:rPr>
                      <w:rFonts w:hint="default" w:ascii="Times New Roman" w:hAnsi="Times New Roman" w:cs="Times New Roman"/>
                      <w:lang w:val="en-US" w:eastAsia="zh-CN"/>
                    </w:rPr>
                    <w:t>集中收集后外售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9" w:type="dxa"/>
                  <w:vMerge w:val="continue"/>
                  <w:vAlign w:val="center"/>
                </w:tcPr>
                <w:p>
                  <w:pPr>
                    <w:pStyle w:val="44"/>
                    <w:bidi w:val="0"/>
                    <w:rPr>
                      <w:rFonts w:hint="default" w:ascii="Times New Roman" w:hAnsi="Times New Roman" w:cs="Times New Roman"/>
                    </w:rPr>
                  </w:pPr>
                </w:p>
              </w:tc>
              <w:tc>
                <w:tcPr>
                  <w:tcW w:w="1655" w:type="dxa"/>
                  <w:vAlign w:val="center"/>
                </w:tcPr>
                <w:p>
                  <w:pPr>
                    <w:pStyle w:val="44"/>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SCR脱硝系统</w:t>
                  </w:r>
                </w:p>
              </w:tc>
              <w:tc>
                <w:tcPr>
                  <w:tcW w:w="1800" w:type="dxa"/>
                  <w:vAlign w:val="center"/>
                </w:tcPr>
                <w:p>
                  <w:pPr>
                    <w:pStyle w:val="44"/>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废催化剂</w:t>
                  </w:r>
                </w:p>
              </w:tc>
              <w:tc>
                <w:tcPr>
                  <w:tcW w:w="720" w:type="dxa"/>
                  <w:vAlign w:val="center"/>
                </w:tcPr>
                <w:p>
                  <w:pPr>
                    <w:pStyle w:val="44"/>
                    <w:bidi w:val="0"/>
                    <w:rPr>
                      <w:rFonts w:hint="default" w:ascii="Times New Roman" w:hAnsi="Times New Roman" w:cs="Times New Roman"/>
                    </w:rPr>
                  </w:pPr>
                  <w:r>
                    <w:rPr>
                      <w:rFonts w:hint="default" w:ascii="Times New Roman" w:hAnsi="Times New Roman" w:cs="Times New Roman"/>
                    </w:rPr>
                    <w:t>间断</w:t>
                  </w:r>
                </w:p>
              </w:tc>
              <w:tc>
                <w:tcPr>
                  <w:tcW w:w="709" w:type="dxa"/>
                  <w:vMerge w:val="continue"/>
                  <w:vAlign w:val="center"/>
                </w:tcPr>
                <w:p>
                  <w:pPr>
                    <w:pStyle w:val="44"/>
                    <w:bidi w:val="0"/>
                    <w:rPr>
                      <w:rFonts w:hint="default" w:ascii="Times New Roman" w:hAnsi="Times New Roman" w:cs="Times New Roman"/>
                    </w:rPr>
                  </w:pPr>
                </w:p>
              </w:tc>
              <w:tc>
                <w:tcPr>
                  <w:tcW w:w="3172" w:type="dxa"/>
                  <w:vAlign w:val="center"/>
                </w:tcPr>
                <w:p>
                  <w:pPr>
                    <w:pStyle w:val="44"/>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交由有资质的单位处理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9" w:type="dxa"/>
                  <w:vMerge w:val="continue"/>
                  <w:vAlign w:val="center"/>
                </w:tcPr>
                <w:p>
                  <w:pPr>
                    <w:pStyle w:val="44"/>
                    <w:bidi w:val="0"/>
                    <w:rPr>
                      <w:rFonts w:hint="default" w:ascii="Times New Roman" w:hAnsi="Times New Roman" w:cs="Times New Roman"/>
                    </w:rPr>
                  </w:pPr>
                </w:p>
              </w:tc>
              <w:tc>
                <w:tcPr>
                  <w:tcW w:w="1655" w:type="dxa"/>
                  <w:vAlign w:val="center"/>
                </w:tcPr>
                <w:p>
                  <w:pPr>
                    <w:pStyle w:val="44"/>
                    <w:bidi w:val="0"/>
                    <w:rPr>
                      <w:rFonts w:hint="default" w:ascii="Times New Roman" w:hAnsi="Times New Roman" w:cs="Times New Roman"/>
                    </w:rPr>
                  </w:pPr>
                  <w:r>
                    <w:rPr>
                      <w:rFonts w:hint="default" w:ascii="Times New Roman" w:hAnsi="Times New Roman" w:cs="Times New Roman"/>
                    </w:rPr>
                    <w:t>软水站</w:t>
                  </w:r>
                </w:p>
              </w:tc>
              <w:tc>
                <w:tcPr>
                  <w:tcW w:w="1800" w:type="dxa"/>
                  <w:vAlign w:val="center"/>
                </w:tcPr>
                <w:p>
                  <w:pPr>
                    <w:pStyle w:val="44"/>
                    <w:bidi w:val="0"/>
                    <w:rPr>
                      <w:rFonts w:hint="default" w:ascii="Times New Roman" w:hAnsi="Times New Roman" w:cs="Times New Roman"/>
                    </w:rPr>
                  </w:pPr>
                  <w:r>
                    <w:rPr>
                      <w:rFonts w:hint="default" w:ascii="Times New Roman" w:hAnsi="Times New Roman" w:cs="Times New Roman"/>
                    </w:rPr>
                    <w:t>废离子交换树脂</w:t>
                  </w:r>
                </w:p>
              </w:tc>
              <w:tc>
                <w:tcPr>
                  <w:tcW w:w="720" w:type="dxa"/>
                  <w:vAlign w:val="center"/>
                </w:tcPr>
                <w:p>
                  <w:pPr>
                    <w:pStyle w:val="44"/>
                    <w:bidi w:val="0"/>
                    <w:rPr>
                      <w:rFonts w:hint="default" w:ascii="Times New Roman" w:hAnsi="Times New Roman" w:cs="Times New Roman"/>
                    </w:rPr>
                  </w:pPr>
                  <w:r>
                    <w:rPr>
                      <w:rFonts w:hint="default" w:ascii="Times New Roman" w:hAnsi="Times New Roman" w:cs="Times New Roman"/>
                    </w:rPr>
                    <w:t>间断</w:t>
                  </w:r>
                </w:p>
              </w:tc>
              <w:tc>
                <w:tcPr>
                  <w:tcW w:w="709" w:type="dxa"/>
                  <w:vMerge w:val="continue"/>
                  <w:vAlign w:val="center"/>
                </w:tcPr>
                <w:p>
                  <w:pPr>
                    <w:pStyle w:val="44"/>
                    <w:bidi w:val="0"/>
                    <w:rPr>
                      <w:rFonts w:hint="default" w:ascii="Times New Roman" w:hAnsi="Times New Roman" w:cs="Times New Roman"/>
                    </w:rPr>
                  </w:pPr>
                </w:p>
              </w:tc>
              <w:tc>
                <w:tcPr>
                  <w:tcW w:w="3172" w:type="dxa"/>
                  <w:vAlign w:val="center"/>
                </w:tcPr>
                <w:p>
                  <w:pPr>
                    <w:pStyle w:val="44"/>
                    <w:bidi w:val="0"/>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厂家定期更换回收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9" w:type="dxa"/>
                  <w:vMerge w:val="continue"/>
                  <w:vAlign w:val="center"/>
                </w:tcPr>
                <w:p>
                  <w:pPr>
                    <w:pStyle w:val="44"/>
                    <w:bidi w:val="0"/>
                    <w:rPr>
                      <w:rFonts w:hint="default" w:ascii="Times New Roman" w:hAnsi="Times New Roman" w:cs="Times New Roman"/>
                    </w:rPr>
                  </w:pPr>
                </w:p>
              </w:tc>
              <w:tc>
                <w:tcPr>
                  <w:tcW w:w="1655" w:type="dxa"/>
                  <w:vAlign w:val="center"/>
                </w:tcPr>
                <w:p>
                  <w:pPr>
                    <w:pStyle w:val="44"/>
                    <w:bidi w:val="0"/>
                    <w:rPr>
                      <w:rFonts w:hint="default" w:ascii="Times New Roman" w:hAnsi="Times New Roman" w:eastAsia="宋体" w:cs="Times New Roman"/>
                      <w:lang w:eastAsia="zh-CN"/>
                    </w:rPr>
                  </w:pPr>
                  <w:r>
                    <w:rPr>
                      <w:rFonts w:hint="default" w:ascii="Times New Roman" w:hAnsi="Times New Roman" w:cs="Times New Roman"/>
                      <w:lang w:val="en-US" w:eastAsia="zh-CN"/>
                    </w:rPr>
                    <w:t>办公生活</w:t>
                  </w:r>
                </w:p>
              </w:tc>
              <w:tc>
                <w:tcPr>
                  <w:tcW w:w="1800" w:type="dxa"/>
                  <w:vAlign w:val="center"/>
                </w:tcPr>
                <w:p>
                  <w:pPr>
                    <w:pStyle w:val="44"/>
                    <w:bidi w:val="0"/>
                    <w:rPr>
                      <w:rFonts w:hint="default" w:ascii="Times New Roman" w:hAnsi="Times New Roman" w:cs="Times New Roman"/>
                    </w:rPr>
                  </w:pPr>
                  <w:r>
                    <w:rPr>
                      <w:rFonts w:hint="default" w:ascii="Times New Roman" w:hAnsi="Times New Roman" w:cs="Times New Roman"/>
                    </w:rPr>
                    <w:t>生活垃圾</w:t>
                  </w:r>
                </w:p>
              </w:tc>
              <w:tc>
                <w:tcPr>
                  <w:tcW w:w="720" w:type="dxa"/>
                  <w:vAlign w:val="center"/>
                </w:tcPr>
                <w:p>
                  <w:pPr>
                    <w:pStyle w:val="44"/>
                    <w:bidi w:val="0"/>
                    <w:rPr>
                      <w:rFonts w:hint="default" w:ascii="Times New Roman" w:hAnsi="Times New Roman" w:cs="Times New Roman"/>
                    </w:rPr>
                  </w:pPr>
                  <w:r>
                    <w:rPr>
                      <w:rFonts w:hint="default" w:ascii="Times New Roman" w:hAnsi="Times New Roman" w:cs="Times New Roman"/>
                    </w:rPr>
                    <w:t>间断</w:t>
                  </w:r>
                </w:p>
              </w:tc>
              <w:tc>
                <w:tcPr>
                  <w:tcW w:w="709" w:type="dxa"/>
                  <w:vMerge w:val="continue"/>
                  <w:vAlign w:val="center"/>
                </w:tcPr>
                <w:p>
                  <w:pPr>
                    <w:pStyle w:val="44"/>
                    <w:bidi w:val="0"/>
                    <w:rPr>
                      <w:rFonts w:hint="default" w:ascii="Times New Roman" w:hAnsi="Times New Roman" w:cs="Times New Roman"/>
                    </w:rPr>
                  </w:pPr>
                </w:p>
              </w:tc>
              <w:tc>
                <w:tcPr>
                  <w:tcW w:w="3172" w:type="dxa"/>
                  <w:vAlign w:val="center"/>
                </w:tcPr>
                <w:p>
                  <w:pPr>
                    <w:pStyle w:val="44"/>
                    <w:bidi w:val="0"/>
                    <w:rPr>
                      <w:rFonts w:hint="default" w:ascii="Times New Roman" w:hAnsi="Times New Roman" w:cs="Times New Roman"/>
                    </w:rPr>
                  </w:pPr>
                  <w:r>
                    <w:rPr>
                      <w:rFonts w:hint="default" w:ascii="Times New Roman" w:hAnsi="Times New Roman" w:cs="Times New Roman"/>
                    </w:rPr>
                    <w:t>集中收集，环卫部门统一处理</w:t>
                  </w:r>
                </w:p>
              </w:tc>
            </w:tr>
          </w:tbl>
          <w:p>
            <w:pPr>
              <w:snapToGrid w:val="0"/>
              <w:spacing w:line="360" w:lineRule="auto"/>
              <w:ind w:firstLine="482" w:firstLineChars="200"/>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val="en-US" w:eastAsia="zh-CN"/>
              </w:rPr>
              <w:t>管网工程</w:t>
            </w:r>
            <w:r>
              <w:rPr>
                <w:rFonts w:hint="default" w:ascii="Times New Roman" w:hAnsi="Times New Roman" w:eastAsia="宋体" w:cs="Times New Roman"/>
                <w:b/>
                <w:bCs/>
                <w:color w:val="auto"/>
                <w:sz w:val="24"/>
                <w:szCs w:val="24"/>
              </w:rPr>
              <w:t>工艺流程简述</w:t>
            </w:r>
            <w:r>
              <w:rPr>
                <w:rFonts w:hint="default" w:ascii="Times New Roman" w:hAnsi="Times New Roman" w:eastAsia="宋体" w:cs="Times New Roman"/>
                <w:b/>
                <w:bCs/>
                <w:color w:val="auto"/>
                <w:sz w:val="24"/>
                <w:szCs w:val="24"/>
                <w:lang w:eastAsia="zh-CN"/>
              </w:rPr>
              <w:t>：</w:t>
            </w:r>
          </w:p>
          <w:p>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项目管网主要为直埋铺设施工，主要内容包括管沟的开挖、地基处理、管道安装、覆土回填及地面处理。施工期工艺流程及排污节点见图</w:t>
            </w:r>
            <w:r>
              <w:rPr>
                <w:rFonts w:hint="default" w:ascii="Times New Roman" w:hAnsi="Times New Roman" w:eastAsia="宋体" w:cs="Times New Roman"/>
                <w:color w:val="auto"/>
                <w:sz w:val="24"/>
                <w:szCs w:val="24"/>
                <w:lang w:val="en-US" w:eastAsia="zh-CN"/>
              </w:rPr>
              <w:t>2-3</w:t>
            </w:r>
            <w:r>
              <w:rPr>
                <w:rFonts w:hint="default" w:ascii="Times New Roman" w:hAnsi="Times New Roman" w:eastAsia="宋体" w:cs="Times New Roman"/>
                <w:color w:val="auto"/>
                <w:sz w:val="24"/>
                <w:szCs w:val="24"/>
              </w:rPr>
              <w:t>。</w:t>
            </w:r>
          </w:p>
          <w:p>
            <w:pPr>
              <w:pStyle w:val="2"/>
              <w:rPr>
                <w:rFonts w:hint="default"/>
              </w:rPr>
            </w:pPr>
            <w:r>
              <w:rPr>
                <w:rFonts w:hint="default" w:ascii="Times New Roman" w:hAnsi="Times New Roman" w:cs="Times New Roman"/>
                <w:color w:val="auto"/>
              </w:rPr>
              <w:drawing>
                <wp:inline distT="0" distB="0" distL="114300" distR="114300">
                  <wp:extent cx="5353685" cy="1259205"/>
                  <wp:effectExtent l="0" t="0" r="18415" b="1714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1"/>
                          <a:stretch>
                            <a:fillRect/>
                          </a:stretch>
                        </pic:blipFill>
                        <pic:spPr>
                          <a:xfrm>
                            <a:off x="0" y="0"/>
                            <a:ext cx="5353685" cy="1259205"/>
                          </a:xfrm>
                          <a:prstGeom prst="rect">
                            <a:avLst/>
                          </a:prstGeom>
                          <a:noFill/>
                          <a:ln>
                            <a:noFill/>
                          </a:ln>
                        </pic:spPr>
                      </pic:pic>
                    </a:graphicData>
                  </a:graphic>
                </wp:inline>
              </w:drawing>
            </w:r>
          </w:p>
          <w:p>
            <w:pPr>
              <w:pStyle w:val="59"/>
              <w:numPr>
                <w:ilvl w:val="0"/>
                <w:numId w:val="6"/>
              </w:numPr>
              <w:adjustRightInd w:val="0"/>
              <w:snapToGrid w:val="0"/>
              <w:spacing w:line="240" w:lineRule="auto"/>
              <w:ind w:left="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rPr>
              <w:t>运营期主要流程及产污节点图（G废气；N噪声）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3" w:type="pct"/>
            <w:tcBorders>
              <w:top w:val="single" w:color="auto" w:sz="4" w:space="0"/>
              <w:left w:val="single" w:color="auto" w:sz="8" w:space="0"/>
              <w:bottom w:val="single" w:color="auto" w:sz="8" w:space="0"/>
              <w:right w:val="single" w:color="auto" w:sz="4" w:space="0"/>
            </w:tcBorders>
            <w:shd w:val="clear" w:color="auto" w:fill="auto"/>
            <w:vAlign w:val="center"/>
          </w:tcPr>
          <w:p>
            <w:pPr>
              <w:pStyle w:val="17"/>
              <w:adjustRightInd w:val="0"/>
              <w:snapToGrid w:val="0"/>
              <w:spacing w:beforeAutospacing="0" w:afterAutospacing="0"/>
              <w:jc w:val="center"/>
              <w:rPr>
                <w:rFonts w:hint="default" w:ascii="Times New Roman" w:hAnsi="Times New Roman" w:cs="Times New Roman"/>
                <w:color w:val="auto"/>
                <w:sz w:val="21"/>
                <w:szCs w:val="21"/>
              </w:rPr>
            </w:pPr>
            <w:r>
              <w:rPr>
                <w:rFonts w:hint="default" w:ascii="Times New Roman" w:hAnsi="Times New Roman" w:cs="Times New Roman"/>
                <w:bCs/>
                <w:color w:val="auto"/>
                <w:kern w:val="2"/>
                <w:sz w:val="21"/>
                <w:szCs w:val="21"/>
              </w:rPr>
              <w:t>与项目有关的原有环境污染问题</w:t>
            </w:r>
          </w:p>
        </w:tc>
        <w:tc>
          <w:tcPr>
            <w:tcW w:w="4796" w:type="pct"/>
            <w:tcBorders>
              <w:top w:val="single" w:color="auto" w:sz="4" w:space="0"/>
              <w:left w:val="single" w:color="auto" w:sz="4" w:space="0"/>
              <w:bottom w:val="single" w:color="auto" w:sz="8" w:space="0"/>
              <w:right w:val="single" w:color="auto" w:sz="8" w:space="0"/>
            </w:tcBorders>
            <w:shd w:val="clear" w:color="auto" w:fill="auto"/>
            <w:vAlign w:val="top"/>
          </w:tcPr>
          <w:p>
            <w:pPr>
              <w:spacing w:line="360" w:lineRule="auto"/>
              <w:rPr>
                <w:rFonts w:hint="default" w:ascii="Times New Roman" w:hAnsi="Times New Roman" w:cs="Times New Roman"/>
                <w:color w:val="auto"/>
                <w:sz w:val="24"/>
              </w:rPr>
            </w:pPr>
            <w:r>
              <w:rPr>
                <w:rFonts w:hint="default" w:ascii="Times New Roman" w:hAnsi="Times New Roman" w:cs="Times New Roman"/>
                <w:b/>
                <w:color w:val="auto"/>
                <w:sz w:val="24"/>
              </w:rPr>
              <w:t>与项目有关的原有污染情况及主要环境问题:</w:t>
            </w:r>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中华人民共和国环境影响评价法》第三十一条：建设单位未依法报批建设项目环境影响报告书、报告表，或者未依照本法第二十四条的规定重新报批或者报请重新审核环境影响报告书、报告表，擅自开工建设的，由县级以上生态环境主管部门责令停止建设，根据违法情节和危害后果，处建设项目总投资额百分之一以上百分之五以下的罚款，并可以责令恢复原状；对建设单位直接负责的主管人员和其他直接责任人员，依法给予行政处分。</w:t>
            </w:r>
          </w:p>
          <w:p>
            <w:pPr>
              <w:spacing w:line="360" w:lineRule="auto"/>
              <w:ind w:firstLine="480" w:firstLineChars="200"/>
              <w:rPr>
                <w:rFonts w:hint="default" w:ascii="Times New Roman" w:hAnsi="Times New Roman" w:cs="Times New Roman"/>
                <w:bCs/>
                <w:color w:val="auto"/>
                <w:sz w:val="24"/>
                <w:lang w:val="en-US" w:eastAsia="zh-CN"/>
              </w:rPr>
            </w:pPr>
            <w:r>
              <w:rPr>
                <w:rFonts w:hint="default" w:ascii="Times New Roman" w:hAnsi="Times New Roman" w:cs="Times New Roman"/>
                <w:bCs/>
                <w:color w:val="auto"/>
                <w:sz w:val="24"/>
                <w:lang w:val="en-US" w:eastAsia="zh-CN"/>
              </w:rPr>
              <w:t>根据县委领导议事纪要[2021]1号指出：按照“一事一议、边批边建”的方式，加快推进城北集中供热（金字供热）项目，确保项目尽早开工建设，涉及的行政主管部门补办相关审批手续，并免于行政处罚。</w:t>
            </w:r>
          </w:p>
          <w:p>
            <w:pPr>
              <w:spacing w:line="360" w:lineRule="auto"/>
              <w:ind w:firstLine="480" w:firstLineChars="200"/>
              <w:rPr>
                <w:rFonts w:hint="default" w:ascii="Times New Roman" w:hAnsi="Times New Roman" w:cs="Times New Roman"/>
                <w:bCs/>
                <w:color w:val="auto"/>
                <w:sz w:val="24"/>
                <w:lang w:val="en-US" w:eastAsia="zh-CN"/>
              </w:rPr>
            </w:pPr>
          </w:p>
          <w:p>
            <w:pPr>
              <w:pStyle w:val="2"/>
              <w:rPr>
                <w:rFonts w:hint="default" w:ascii="Times New Roman" w:hAnsi="Times New Roman" w:cs="Times New Roman"/>
                <w:bCs/>
                <w:color w:val="auto"/>
                <w:sz w:val="24"/>
                <w:lang w:val="en-US" w:eastAsia="zh-CN"/>
              </w:rPr>
            </w:pPr>
          </w:p>
          <w:p>
            <w:pPr>
              <w:pStyle w:val="2"/>
              <w:rPr>
                <w:rFonts w:hint="default" w:ascii="Times New Roman" w:hAnsi="Times New Roman" w:cs="Times New Roman"/>
                <w:bCs/>
                <w:color w:val="auto"/>
                <w:sz w:val="24"/>
                <w:lang w:val="en-US" w:eastAsia="zh-CN"/>
              </w:rPr>
            </w:pPr>
          </w:p>
          <w:p>
            <w:pPr>
              <w:spacing w:line="360" w:lineRule="auto"/>
              <w:rPr>
                <w:rFonts w:hint="default" w:ascii="Times New Roman" w:hAnsi="Times New Roman" w:cs="Times New Roman"/>
                <w:bCs/>
                <w:color w:val="auto"/>
                <w:szCs w:val="21"/>
              </w:rPr>
            </w:pPr>
          </w:p>
        </w:tc>
      </w:tr>
    </w:tbl>
    <w:p>
      <w:pPr>
        <w:rPr>
          <w:rFonts w:ascii="Times New Roman" w:hAnsi="Times New Roman" w:eastAsia="黑体" w:cs="Times New Roman"/>
          <w:snapToGrid w:val="0"/>
          <w:color w:val="auto"/>
          <w:sz w:val="36"/>
          <w:szCs w:val="36"/>
        </w:rPr>
        <w:sectPr>
          <w:pgSz w:w="11906" w:h="16838"/>
          <w:pgMar w:top="1702" w:right="1531" w:bottom="1702" w:left="1531" w:header="851" w:footer="851" w:gutter="0"/>
          <w:cols w:space="425" w:num="1"/>
          <w:docGrid w:type="lines" w:linePitch="312" w:charSpace="0"/>
        </w:sectPr>
      </w:pPr>
    </w:p>
    <w:p>
      <w:pPr>
        <w:pStyle w:val="17"/>
        <w:spacing w:beforeAutospacing="0" w:afterAutospacing="0" w:line="360" w:lineRule="auto"/>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三、区域环境质量现状、环境保护目标及评价标准</w:t>
      </w:r>
    </w:p>
    <w:tbl>
      <w:tblPr>
        <w:tblStyle w:val="21"/>
        <w:tblW w:w="92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2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46" w:hRule="atLeast"/>
          <w:jc w:val="center"/>
        </w:trPr>
        <w:tc>
          <w:tcPr>
            <w:tcW w:w="456" w:type="dxa"/>
            <w:tcBorders>
              <w:top w:val="single" w:color="auto" w:sz="8" w:space="0"/>
              <w:left w:val="single" w:color="auto" w:sz="8"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区域</w:t>
            </w:r>
          </w:p>
          <w:p>
            <w:pPr>
              <w:adjustRightInd w:val="0"/>
              <w:snapToGrid w:val="0"/>
              <w:jc w:val="center"/>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环境</w:t>
            </w:r>
          </w:p>
          <w:p>
            <w:pPr>
              <w:adjustRightInd w:val="0"/>
              <w:snapToGrid w:val="0"/>
              <w:jc w:val="center"/>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质量</w:t>
            </w:r>
          </w:p>
          <w:p>
            <w:pPr>
              <w:adjustRightInd w:val="0"/>
              <w:snapToGrid w:val="0"/>
              <w:jc w:val="center"/>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现状</w:t>
            </w:r>
          </w:p>
        </w:tc>
        <w:tc>
          <w:tcPr>
            <w:tcW w:w="8752" w:type="dxa"/>
            <w:tcBorders>
              <w:top w:val="single" w:color="auto" w:sz="8" w:space="0"/>
              <w:left w:val="single" w:color="auto" w:sz="4" w:space="0"/>
              <w:bottom w:val="single" w:color="auto" w:sz="4" w:space="0"/>
              <w:right w:val="single" w:color="auto" w:sz="8" w:space="0"/>
            </w:tcBorders>
            <w:shd w:val="clear" w:color="auto" w:fill="auto"/>
            <w:vAlign w:val="center"/>
          </w:tcPr>
          <w:p>
            <w:pPr>
              <w:pStyle w:val="11"/>
              <w:snapToGrid w:val="0"/>
              <w:spacing w:before="156" w:beforeLines="50" w:line="360" w:lineRule="auto"/>
              <w:ind w:firstLine="482" w:firstLineChars="200"/>
              <w:rPr>
                <w:rFonts w:ascii="Times New Roman" w:hAnsi="Times New Roman" w:cs="Times New Roman"/>
                <w:b/>
                <w:color w:val="auto"/>
                <w:sz w:val="24"/>
              </w:rPr>
            </w:pPr>
            <w:r>
              <w:rPr>
                <w:rFonts w:ascii="Times New Roman" w:hAnsi="Times New Roman" w:cs="Times New Roman"/>
                <w:b/>
                <w:color w:val="auto"/>
                <w:sz w:val="24"/>
              </w:rPr>
              <w:t>1、大气环境</w:t>
            </w:r>
          </w:p>
          <w:p>
            <w:pPr>
              <w:pStyle w:val="36"/>
              <w:ind w:firstLine="480"/>
              <w:rPr>
                <w:rFonts w:ascii="Times New Roman" w:hAnsi="Times New Roman" w:cs="Times New Roman"/>
                <w:color w:val="auto"/>
                <w:sz w:val="24"/>
                <w:szCs w:val="24"/>
              </w:rPr>
            </w:pPr>
            <w:r>
              <w:rPr>
                <w:rFonts w:ascii="Times New Roman" w:hAnsi="Times New Roman" w:cs="Times New Roman"/>
                <w:color w:val="auto"/>
                <w:sz w:val="24"/>
                <w:szCs w:val="24"/>
              </w:rPr>
              <w:t>（1）环境质量公报</w:t>
            </w:r>
          </w:p>
          <w:p>
            <w:pPr>
              <w:adjustRightInd w:val="0"/>
              <w:snapToGri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项目所在区域环境空气质量执行《环境空气质量标准》（GB3095-2012）及其修改单中二级标准要求。本评价引用《2021年承德市生态环境状况公报》中</w:t>
            </w:r>
            <w:r>
              <w:rPr>
                <w:rFonts w:hint="eastAsia" w:ascii="Times New Roman" w:hAnsi="Times New Roman" w:cs="Times New Roman"/>
                <w:color w:val="auto"/>
                <w:sz w:val="24"/>
                <w:lang w:val="en-US" w:eastAsia="zh-CN"/>
              </w:rPr>
              <w:t>围场县</w:t>
            </w:r>
            <w:r>
              <w:rPr>
                <w:rFonts w:ascii="Times New Roman" w:hAnsi="Times New Roman" w:cs="Times New Roman"/>
                <w:color w:val="auto"/>
                <w:sz w:val="24"/>
              </w:rPr>
              <w:t>大气常规污染物中的SO</w:t>
            </w:r>
            <w:r>
              <w:rPr>
                <w:rFonts w:ascii="Times New Roman" w:hAnsi="Times New Roman" w:cs="Times New Roman"/>
                <w:color w:val="auto"/>
                <w:sz w:val="24"/>
                <w:vertAlign w:val="subscript"/>
              </w:rPr>
              <w:t>2</w:t>
            </w:r>
            <w:r>
              <w:rPr>
                <w:rFonts w:ascii="Times New Roman" w:hAnsi="Times New Roman" w:cs="Times New Roman"/>
                <w:color w:val="auto"/>
                <w:sz w:val="24"/>
              </w:rPr>
              <w:t>、CO、NO</w:t>
            </w:r>
            <w:r>
              <w:rPr>
                <w:rFonts w:ascii="Times New Roman" w:hAnsi="Times New Roman" w:cs="Times New Roman"/>
                <w:color w:val="auto"/>
                <w:sz w:val="24"/>
                <w:vertAlign w:val="subscript"/>
              </w:rPr>
              <w:t>2</w:t>
            </w:r>
            <w:r>
              <w:rPr>
                <w:rFonts w:ascii="Times New Roman" w:hAnsi="Times New Roman" w:cs="Times New Roman"/>
                <w:color w:val="auto"/>
                <w:sz w:val="24"/>
              </w:rPr>
              <w:t>、O</w:t>
            </w:r>
            <w:r>
              <w:rPr>
                <w:rFonts w:ascii="Times New Roman" w:hAnsi="Times New Roman" w:cs="Times New Roman"/>
                <w:color w:val="auto"/>
                <w:sz w:val="24"/>
                <w:vertAlign w:val="subscript"/>
              </w:rPr>
              <w:t>3</w:t>
            </w:r>
            <w:r>
              <w:rPr>
                <w:rFonts w:ascii="Times New Roman" w:hAnsi="Times New Roman" w:cs="Times New Roman"/>
                <w:color w:val="auto"/>
                <w:sz w:val="24"/>
              </w:rPr>
              <w:t>、PM</w:t>
            </w:r>
            <w:r>
              <w:rPr>
                <w:rFonts w:ascii="Times New Roman" w:hAnsi="Times New Roman" w:cs="Times New Roman"/>
                <w:color w:val="auto"/>
                <w:sz w:val="24"/>
                <w:vertAlign w:val="subscript"/>
              </w:rPr>
              <w:t>10</w:t>
            </w:r>
            <w:r>
              <w:rPr>
                <w:rFonts w:ascii="Times New Roman" w:hAnsi="Times New Roman" w:cs="Times New Roman"/>
                <w:color w:val="auto"/>
                <w:sz w:val="24"/>
              </w:rPr>
              <w:t>和PM</w:t>
            </w:r>
            <w:r>
              <w:rPr>
                <w:rFonts w:ascii="Times New Roman" w:hAnsi="Times New Roman" w:cs="Times New Roman"/>
                <w:color w:val="auto"/>
                <w:sz w:val="24"/>
                <w:vertAlign w:val="subscript"/>
              </w:rPr>
              <w:t>2.5</w:t>
            </w:r>
            <w:r>
              <w:rPr>
                <w:rFonts w:ascii="Times New Roman" w:hAnsi="Times New Roman" w:cs="Times New Roman"/>
                <w:color w:val="auto"/>
                <w:sz w:val="24"/>
              </w:rPr>
              <w:t>现状监测统计资料，来说明拟建地区的环境空气质量，监测结果见下表。</w:t>
            </w:r>
          </w:p>
          <w:p>
            <w:pPr>
              <w:pStyle w:val="59"/>
              <w:keepNext w:val="0"/>
              <w:keepLines w:val="0"/>
              <w:pageBreakBefore w:val="0"/>
              <w:widowControl w:val="0"/>
              <w:numPr>
                <w:ilvl w:val="0"/>
                <w:numId w:val="8"/>
              </w:numPr>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宋体"/>
                <w:b/>
                <w:bCs/>
                <w:color w:val="auto"/>
                <w:szCs w:val="21"/>
              </w:rPr>
            </w:pPr>
            <w:r>
              <w:rPr>
                <w:rStyle w:val="24"/>
                <w:rFonts w:ascii="Times New Roman" w:hAnsi="Times New Roman" w:eastAsia="宋体"/>
                <w:color w:val="auto"/>
              </w:rPr>
              <w:t>2021年</w:t>
            </w:r>
            <w:r>
              <w:rPr>
                <w:rStyle w:val="24"/>
                <w:rFonts w:hint="eastAsia" w:ascii="Times New Roman" w:hAnsi="Times New Roman" w:eastAsia="宋体"/>
                <w:color w:val="auto"/>
                <w:lang w:val="en-US" w:eastAsia="zh-CN"/>
              </w:rPr>
              <w:t>围场县</w:t>
            </w:r>
            <w:r>
              <w:rPr>
                <w:rFonts w:ascii="Times New Roman" w:hAnsi="Times New Roman" w:eastAsia="宋体"/>
                <w:b/>
                <w:bCs/>
                <w:color w:val="auto"/>
                <w:szCs w:val="21"/>
              </w:rPr>
              <w:t>环境空气质量监测结果表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2"/>
              <w:gridCol w:w="861"/>
              <w:gridCol w:w="862"/>
              <w:gridCol w:w="862"/>
              <w:gridCol w:w="862"/>
              <w:gridCol w:w="862"/>
              <w:gridCol w:w="867"/>
              <w:gridCol w:w="2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pct"/>
                  <w:vAlign w:val="center"/>
                </w:tcPr>
                <w:p>
                  <w:pPr>
                    <w:jc w:val="center"/>
                    <w:rPr>
                      <w:rFonts w:ascii="Times New Roman" w:hAnsi="Times New Roman" w:cs="Times New Roman"/>
                      <w:b/>
                      <w:bCs/>
                      <w:color w:val="auto"/>
                      <w:szCs w:val="21"/>
                    </w:rPr>
                  </w:pPr>
                  <w:r>
                    <w:rPr>
                      <w:rFonts w:ascii="Times New Roman" w:hAnsi="Times New Roman" w:cs="Times New Roman"/>
                      <w:b/>
                      <w:bCs/>
                      <w:color w:val="auto"/>
                      <w:szCs w:val="21"/>
                    </w:rPr>
                    <w:t>污染物名称</w:t>
                  </w:r>
                </w:p>
              </w:tc>
              <w:tc>
                <w:tcPr>
                  <w:tcW w:w="476" w:type="pct"/>
                  <w:vAlign w:val="center"/>
                </w:tcPr>
                <w:p>
                  <w:pPr>
                    <w:jc w:val="center"/>
                    <w:rPr>
                      <w:rFonts w:ascii="Times New Roman" w:hAnsi="Times New Roman" w:cs="Times New Roman"/>
                      <w:b/>
                      <w:bCs/>
                      <w:color w:val="auto"/>
                      <w:szCs w:val="21"/>
                    </w:rPr>
                  </w:pPr>
                  <w:r>
                    <w:rPr>
                      <w:rFonts w:ascii="Times New Roman" w:hAnsi="Times New Roman" w:cs="Times New Roman"/>
                      <w:b/>
                      <w:bCs/>
                      <w:color w:val="auto"/>
                      <w:szCs w:val="21"/>
                    </w:rPr>
                    <w:t>PM</w:t>
                  </w:r>
                  <w:r>
                    <w:rPr>
                      <w:rFonts w:ascii="Times New Roman" w:hAnsi="Times New Roman" w:cs="Times New Roman"/>
                      <w:b/>
                      <w:bCs/>
                      <w:color w:val="auto"/>
                      <w:szCs w:val="21"/>
                      <w:vertAlign w:val="subscript"/>
                    </w:rPr>
                    <w:t>10</w:t>
                  </w:r>
                </w:p>
              </w:tc>
              <w:tc>
                <w:tcPr>
                  <w:tcW w:w="476" w:type="pct"/>
                  <w:vAlign w:val="center"/>
                </w:tcPr>
                <w:p>
                  <w:pPr>
                    <w:jc w:val="center"/>
                    <w:rPr>
                      <w:rFonts w:ascii="Times New Roman" w:hAnsi="Times New Roman" w:cs="Times New Roman"/>
                      <w:b/>
                      <w:bCs/>
                      <w:color w:val="auto"/>
                      <w:szCs w:val="21"/>
                    </w:rPr>
                  </w:pPr>
                  <w:r>
                    <w:rPr>
                      <w:rFonts w:ascii="Times New Roman" w:hAnsi="Times New Roman" w:cs="Times New Roman"/>
                      <w:b/>
                      <w:bCs/>
                      <w:color w:val="auto"/>
                      <w:szCs w:val="21"/>
                    </w:rPr>
                    <w:t>PM</w:t>
                  </w:r>
                  <w:r>
                    <w:rPr>
                      <w:rFonts w:ascii="Times New Roman" w:hAnsi="Times New Roman" w:cs="Times New Roman"/>
                      <w:b/>
                      <w:bCs/>
                      <w:color w:val="auto"/>
                      <w:szCs w:val="21"/>
                      <w:vertAlign w:val="subscript"/>
                    </w:rPr>
                    <w:t>2.5</w:t>
                  </w:r>
                </w:p>
              </w:tc>
              <w:tc>
                <w:tcPr>
                  <w:tcW w:w="476" w:type="pct"/>
                  <w:vAlign w:val="center"/>
                </w:tcPr>
                <w:p>
                  <w:pPr>
                    <w:jc w:val="center"/>
                    <w:rPr>
                      <w:rFonts w:ascii="Times New Roman" w:hAnsi="Times New Roman" w:cs="Times New Roman"/>
                      <w:b/>
                      <w:bCs/>
                      <w:color w:val="auto"/>
                      <w:szCs w:val="21"/>
                    </w:rPr>
                  </w:pPr>
                  <w:r>
                    <w:rPr>
                      <w:rFonts w:ascii="Times New Roman" w:hAnsi="Times New Roman" w:cs="Times New Roman"/>
                      <w:b/>
                      <w:bCs/>
                      <w:color w:val="auto"/>
                      <w:szCs w:val="21"/>
                    </w:rPr>
                    <w:t>SO</w:t>
                  </w:r>
                  <w:r>
                    <w:rPr>
                      <w:rFonts w:ascii="Times New Roman" w:hAnsi="Times New Roman" w:cs="Times New Roman"/>
                      <w:b/>
                      <w:bCs/>
                      <w:color w:val="auto"/>
                      <w:szCs w:val="21"/>
                      <w:vertAlign w:val="subscript"/>
                    </w:rPr>
                    <w:t>2</w:t>
                  </w:r>
                </w:p>
              </w:tc>
              <w:tc>
                <w:tcPr>
                  <w:tcW w:w="476" w:type="pct"/>
                  <w:vAlign w:val="center"/>
                </w:tcPr>
                <w:p>
                  <w:pPr>
                    <w:jc w:val="center"/>
                    <w:rPr>
                      <w:rFonts w:ascii="Times New Roman" w:hAnsi="Times New Roman" w:cs="Times New Roman"/>
                      <w:b/>
                      <w:bCs/>
                      <w:color w:val="auto"/>
                      <w:szCs w:val="21"/>
                    </w:rPr>
                  </w:pPr>
                  <w:r>
                    <w:rPr>
                      <w:rFonts w:ascii="Times New Roman" w:hAnsi="Times New Roman" w:cs="Times New Roman"/>
                      <w:b/>
                      <w:bCs/>
                      <w:color w:val="auto"/>
                      <w:szCs w:val="21"/>
                    </w:rPr>
                    <w:t>NO</w:t>
                  </w:r>
                  <w:r>
                    <w:rPr>
                      <w:rFonts w:ascii="Times New Roman" w:hAnsi="Times New Roman" w:cs="Times New Roman"/>
                      <w:b/>
                      <w:bCs/>
                      <w:color w:val="auto"/>
                      <w:szCs w:val="21"/>
                      <w:vertAlign w:val="subscript"/>
                    </w:rPr>
                    <w:t>2</w:t>
                  </w:r>
                </w:p>
              </w:tc>
              <w:tc>
                <w:tcPr>
                  <w:tcW w:w="476" w:type="pct"/>
                  <w:vAlign w:val="center"/>
                </w:tcPr>
                <w:p>
                  <w:pPr>
                    <w:jc w:val="center"/>
                    <w:rPr>
                      <w:rFonts w:ascii="Times New Roman" w:hAnsi="Times New Roman" w:cs="Times New Roman"/>
                      <w:b/>
                      <w:bCs/>
                      <w:color w:val="auto"/>
                      <w:szCs w:val="21"/>
                    </w:rPr>
                  </w:pPr>
                  <w:r>
                    <w:rPr>
                      <w:rFonts w:ascii="Times New Roman" w:hAnsi="Times New Roman" w:cs="Times New Roman"/>
                      <w:b/>
                      <w:bCs/>
                      <w:color w:val="auto"/>
                      <w:szCs w:val="21"/>
                    </w:rPr>
                    <w:t>CO</w:t>
                  </w:r>
                </w:p>
              </w:tc>
              <w:tc>
                <w:tcPr>
                  <w:tcW w:w="479" w:type="pct"/>
                  <w:vAlign w:val="center"/>
                </w:tcPr>
                <w:p>
                  <w:pPr>
                    <w:jc w:val="center"/>
                    <w:rPr>
                      <w:rFonts w:ascii="Times New Roman" w:hAnsi="Times New Roman" w:cs="Times New Roman"/>
                      <w:b/>
                      <w:bCs/>
                      <w:color w:val="auto"/>
                      <w:szCs w:val="21"/>
                    </w:rPr>
                  </w:pPr>
                  <w:r>
                    <w:rPr>
                      <w:rFonts w:ascii="Times New Roman" w:hAnsi="Times New Roman" w:cs="Times New Roman"/>
                      <w:b/>
                      <w:bCs/>
                      <w:color w:val="auto"/>
                      <w:szCs w:val="21"/>
                    </w:rPr>
                    <w:t>O</w:t>
                  </w:r>
                  <w:r>
                    <w:rPr>
                      <w:rFonts w:ascii="Times New Roman" w:hAnsi="Times New Roman" w:cs="Times New Roman"/>
                      <w:b/>
                      <w:bCs/>
                      <w:color w:val="auto"/>
                      <w:szCs w:val="21"/>
                      <w:vertAlign w:val="subscript"/>
                    </w:rPr>
                    <w:t>3</w:t>
                  </w:r>
                </w:p>
              </w:tc>
              <w:tc>
                <w:tcPr>
                  <w:tcW w:w="1385" w:type="pct"/>
                  <w:vAlign w:val="center"/>
                </w:tcPr>
                <w:p>
                  <w:pPr>
                    <w:jc w:val="center"/>
                    <w:rPr>
                      <w:rFonts w:ascii="Times New Roman" w:hAnsi="Times New Roman" w:cs="Times New Roman"/>
                      <w:b/>
                      <w:bCs/>
                      <w:color w:val="auto"/>
                      <w:szCs w:val="21"/>
                    </w:rPr>
                  </w:pPr>
                  <w:r>
                    <w:rPr>
                      <w:rFonts w:ascii="Times New Roman" w:hAnsi="Times New Roman" w:cs="Times New Roman"/>
                      <w:b/>
                      <w:bCs/>
                      <w:color w:val="auto"/>
                      <w:szCs w:val="21"/>
                    </w:rPr>
                    <w:t>环境空气质量综合指数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pc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年均值</w:t>
                  </w:r>
                </w:p>
              </w:tc>
              <w:tc>
                <w:tcPr>
                  <w:tcW w:w="476" w:type="pct"/>
                  <w:vAlign w:val="center"/>
                </w:tcPr>
                <w:p>
                  <w:pPr>
                    <w:widowControl/>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45</w:t>
                  </w:r>
                </w:p>
              </w:tc>
              <w:tc>
                <w:tcPr>
                  <w:tcW w:w="476" w:type="pct"/>
                  <w:vAlign w:val="center"/>
                </w:tcPr>
                <w:p>
                  <w:pPr>
                    <w:widowControl/>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19</w:t>
                  </w:r>
                </w:p>
              </w:tc>
              <w:tc>
                <w:tcPr>
                  <w:tcW w:w="476" w:type="pct"/>
                  <w:vAlign w:val="center"/>
                </w:tcPr>
                <w:p>
                  <w:pPr>
                    <w:widowControl/>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w:t>
                  </w:r>
                </w:p>
              </w:tc>
              <w:tc>
                <w:tcPr>
                  <w:tcW w:w="476" w:type="pct"/>
                  <w:vAlign w:val="center"/>
                </w:tcPr>
                <w:p>
                  <w:pPr>
                    <w:widowControl/>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19</w:t>
                  </w:r>
                </w:p>
              </w:tc>
              <w:tc>
                <w:tcPr>
                  <w:tcW w:w="476" w:type="pct"/>
                  <w:vAlign w:val="center"/>
                </w:tcPr>
                <w:p>
                  <w:pPr>
                    <w:widowControl/>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w:t>
                  </w:r>
                </w:p>
              </w:tc>
              <w:tc>
                <w:tcPr>
                  <w:tcW w:w="479" w:type="pct"/>
                  <w:vAlign w:val="center"/>
                </w:tcPr>
                <w:p>
                  <w:pPr>
                    <w:widowControl/>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118</w:t>
                  </w:r>
                </w:p>
              </w:tc>
              <w:tc>
                <w:tcPr>
                  <w:tcW w:w="1385" w:type="pct"/>
                  <w:vAlign w:val="center"/>
                </w:tcPr>
                <w:p>
                  <w:pPr>
                    <w:widowControl/>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pc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标准（二级）</w:t>
                  </w:r>
                </w:p>
              </w:tc>
              <w:tc>
                <w:tcPr>
                  <w:tcW w:w="476" w:type="pc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70</w:t>
                  </w:r>
                </w:p>
              </w:tc>
              <w:tc>
                <w:tcPr>
                  <w:tcW w:w="476" w:type="pc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35</w:t>
                  </w:r>
                </w:p>
              </w:tc>
              <w:tc>
                <w:tcPr>
                  <w:tcW w:w="476" w:type="pc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60</w:t>
                  </w:r>
                </w:p>
              </w:tc>
              <w:tc>
                <w:tcPr>
                  <w:tcW w:w="476" w:type="pc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40</w:t>
                  </w:r>
                </w:p>
              </w:tc>
              <w:tc>
                <w:tcPr>
                  <w:tcW w:w="476" w:type="pc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4.0</w:t>
                  </w:r>
                </w:p>
              </w:tc>
              <w:tc>
                <w:tcPr>
                  <w:tcW w:w="479" w:type="pc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160</w:t>
                  </w:r>
                </w:p>
              </w:tc>
              <w:tc>
                <w:tcPr>
                  <w:tcW w:w="1385" w:type="pc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w:t>
                  </w:r>
                </w:p>
              </w:tc>
            </w:tr>
          </w:tbl>
          <w:p>
            <w:pPr>
              <w:autoSpaceDE w:val="0"/>
              <w:autoSpaceDN w:val="0"/>
              <w:adjustRightInd w:val="0"/>
              <w:snapToGrid w:val="0"/>
              <w:spacing w:line="360" w:lineRule="auto"/>
              <w:rPr>
                <w:rFonts w:ascii="Times New Roman" w:hAnsi="Times New Roman" w:cs="Times New Roman"/>
                <w:b/>
                <w:color w:val="auto"/>
                <w:szCs w:val="21"/>
              </w:rPr>
            </w:pPr>
            <w:r>
              <w:rPr>
                <w:rFonts w:ascii="Times New Roman" w:hAnsi="Times New Roman" w:cs="Times New Roman"/>
                <w:b/>
                <w:color w:val="auto"/>
                <w:szCs w:val="21"/>
              </w:rPr>
              <w:t>注：1.CO的浓度单位是mg/m</w:t>
            </w:r>
            <w:r>
              <w:rPr>
                <w:rFonts w:ascii="Times New Roman" w:hAnsi="Times New Roman" w:cs="Times New Roman"/>
                <w:b/>
                <w:color w:val="auto"/>
                <w:szCs w:val="21"/>
                <w:vertAlign w:val="superscript"/>
              </w:rPr>
              <w:t>3</w:t>
            </w:r>
            <w:r>
              <w:rPr>
                <w:rFonts w:ascii="Times New Roman" w:hAnsi="Times New Roman" w:cs="Times New Roman"/>
                <w:b/>
                <w:color w:val="auto"/>
                <w:szCs w:val="21"/>
              </w:rPr>
              <w:t>，PM</w:t>
            </w:r>
            <w:r>
              <w:rPr>
                <w:rFonts w:ascii="Times New Roman" w:hAnsi="Times New Roman" w:cs="Times New Roman"/>
                <w:b/>
                <w:color w:val="auto"/>
                <w:szCs w:val="21"/>
                <w:vertAlign w:val="subscript"/>
              </w:rPr>
              <w:t>2.5</w:t>
            </w:r>
            <w:r>
              <w:rPr>
                <w:rFonts w:ascii="Times New Roman" w:hAnsi="Times New Roman" w:cs="Times New Roman"/>
                <w:b/>
                <w:color w:val="auto"/>
                <w:szCs w:val="21"/>
              </w:rPr>
              <w:t>、PM</w:t>
            </w:r>
            <w:r>
              <w:rPr>
                <w:rFonts w:ascii="Times New Roman" w:hAnsi="Times New Roman" w:cs="Times New Roman"/>
                <w:b/>
                <w:color w:val="auto"/>
                <w:szCs w:val="21"/>
                <w:vertAlign w:val="subscript"/>
              </w:rPr>
              <w:t>10</w:t>
            </w:r>
            <w:r>
              <w:rPr>
                <w:rFonts w:ascii="Times New Roman" w:hAnsi="Times New Roman" w:cs="Times New Roman"/>
                <w:b/>
                <w:color w:val="auto"/>
                <w:szCs w:val="21"/>
              </w:rPr>
              <w:t>、NO</w:t>
            </w:r>
            <w:r>
              <w:rPr>
                <w:rFonts w:ascii="Times New Roman" w:hAnsi="Times New Roman" w:cs="Times New Roman"/>
                <w:b/>
                <w:color w:val="auto"/>
                <w:szCs w:val="21"/>
                <w:vertAlign w:val="subscript"/>
              </w:rPr>
              <w:t>2</w:t>
            </w:r>
            <w:r>
              <w:rPr>
                <w:rFonts w:ascii="Times New Roman" w:hAnsi="Times New Roman" w:cs="Times New Roman"/>
                <w:b/>
                <w:color w:val="auto"/>
                <w:szCs w:val="21"/>
              </w:rPr>
              <w:t>、SO</w:t>
            </w:r>
            <w:r>
              <w:rPr>
                <w:rFonts w:ascii="Times New Roman" w:hAnsi="Times New Roman" w:cs="Times New Roman"/>
                <w:b/>
                <w:color w:val="auto"/>
                <w:szCs w:val="21"/>
                <w:vertAlign w:val="subscript"/>
              </w:rPr>
              <w:t>2</w:t>
            </w:r>
            <w:r>
              <w:rPr>
                <w:rFonts w:ascii="Times New Roman" w:hAnsi="Times New Roman" w:cs="Times New Roman"/>
                <w:b/>
                <w:color w:val="auto"/>
                <w:szCs w:val="21"/>
              </w:rPr>
              <w:t>、O</w:t>
            </w:r>
            <w:r>
              <w:rPr>
                <w:rFonts w:ascii="Times New Roman" w:hAnsi="Times New Roman" w:cs="Times New Roman"/>
                <w:b/>
                <w:color w:val="auto"/>
                <w:szCs w:val="21"/>
                <w:vertAlign w:val="subscript"/>
              </w:rPr>
              <w:t>3</w:t>
            </w:r>
            <w:r>
              <w:rPr>
                <w:rFonts w:ascii="Times New Roman" w:hAnsi="Times New Roman" w:cs="Times New Roman"/>
                <w:b/>
                <w:color w:val="auto"/>
                <w:szCs w:val="21"/>
              </w:rPr>
              <w:t>的浓度单位是μg/m</w:t>
            </w:r>
            <w:r>
              <w:rPr>
                <w:rFonts w:ascii="Times New Roman" w:hAnsi="Times New Roman" w:cs="Times New Roman"/>
                <w:b/>
                <w:color w:val="auto"/>
                <w:szCs w:val="21"/>
                <w:vertAlign w:val="superscript"/>
              </w:rPr>
              <w:t>3</w:t>
            </w:r>
            <w:r>
              <w:rPr>
                <w:rFonts w:ascii="Times New Roman" w:hAnsi="Times New Roman" w:cs="Times New Roman"/>
                <w:b/>
                <w:color w:val="auto"/>
                <w:szCs w:val="21"/>
              </w:rPr>
              <w:t>；2.CO为24小时平均第95百分位数，O</w:t>
            </w:r>
            <w:r>
              <w:rPr>
                <w:rFonts w:ascii="Times New Roman" w:hAnsi="Times New Roman" w:cs="Times New Roman"/>
                <w:b/>
                <w:color w:val="auto"/>
                <w:szCs w:val="21"/>
                <w:vertAlign w:val="subscript"/>
              </w:rPr>
              <w:t>3</w:t>
            </w:r>
            <w:r>
              <w:rPr>
                <w:rFonts w:ascii="Times New Roman" w:hAnsi="Times New Roman" w:cs="Times New Roman"/>
                <w:b/>
                <w:color w:val="auto"/>
                <w:szCs w:val="21"/>
              </w:rPr>
              <w:t>为日最大8小时平均第90百分位数。</w:t>
            </w:r>
          </w:p>
          <w:p>
            <w:pPr>
              <w:adjustRightInd w:val="0"/>
              <w:snapToGrid w:val="0"/>
              <w:spacing w:line="360" w:lineRule="auto"/>
              <w:ind w:firstLine="440" w:firstLineChars="200"/>
              <w:rPr>
                <w:rFonts w:ascii="Times New Roman" w:hAnsi="Times New Roman" w:cs="Times New Roman"/>
                <w:bCs/>
                <w:color w:val="auto"/>
                <w:spacing w:val="-10"/>
                <w:sz w:val="24"/>
              </w:rPr>
            </w:pPr>
            <w:r>
              <w:rPr>
                <w:rFonts w:ascii="Times New Roman" w:hAnsi="Times New Roman" w:cs="Times New Roman"/>
                <w:bCs/>
                <w:color w:val="auto"/>
                <w:spacing w:val="-10"/>
                <w:sz w:val="24"/>
              </w:rPr>
              <w:t>区域环境空气质量现状评价表见下表：</w:t>
            </w:r>
          </w:p>
          <w:p>
            <w:pPr>
              <w:pStyle w:val="59"/>
              <w:keepNext w:val="0"/>
              <w:keepLines w:val="0"/>
              <w:pageBreakBefore w:val="0"/>
              <w:widowControl w:val="0"/>
              <w:numPr>
                <w:ilvl w:val="0"/>
                <w:numId w:val="8"/>
              </w:numPr>
              <w:kinsoku/>
              <w:wordWrap/>
              <w:overflowPunct/>
              <w:topLinePunct w:val="0"/>
              <w:autoSpaceDE w:val="0"/>
              <w:autoSpaceDN w:val="0"/>
              <w:bidi w:val="0"/>
              <w:adjustRightInd w:val="0"/>
              <w:snapToGrid w:val="0"/>
              <w:spacing w:line="240" w:lineRule="auto"/>
              <w:ind w:left="0" w:firstLine="0" w:firstLineChars="0"/>
              <w:jc w:val="center"/>
              <w:textAlignment w:val="auto"/>
              <w:rPr>
                <w:rStyle w:val="24"/>
                <w:rFonts w:ascii="Times New Roman" w:hAnsi="Times New Roman" w:eastAsia="宋体"/>
                <w:color w:val="auto"/>
              </w:rPr>
            </w:pPr>
            <w:r>
              <w:rPr>
                <w:rStyle w:val="24"/>
                <w:rFonts w:ascii="Times New Roman" w:hAnsi="Times New Roman" w:eastAsia="宋体"/>
                <w:color w:val="auto"/>
              </w:rPr>
              <w:t>2021年区域环境空气质量现状评价表</w:t>
            </w:r>
          </w:p>
          <w:tbl>
            <w:tblPr>
              <w:tblStyle w:val="21"/>
              <w:tblW w:w="49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2"/>
              <w:gridCol w:w="1145"/>
              <w:gridCol w:w="1145"/>
              <w:gridCol w:w="1145"/>
              <w:gridCol w:w="1145"/>
              <w:gridCol w:w="1145"/>
              <w:gridCol w:w="1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环境空气质量综合指数</w:t>
                  </w:r>
                </w:p>
              </w:tc>
              <w:tc>
                <w:tcPr>
                  <w:tcW w:w="636"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PM</w:t>
                  </w:r>
                  <w:r>
                    <w:rPr>
                      <w:rFonts w:ascii="Times New Roman" w:hAnsi="Times New Roman" w:eastAsia="宋体" w:cs="Times New Roman"/>
                      <w:b/>
                      <w:bCs/>
                      <w:color w:val="auto"/>
                      <w:szCs w:val="21"/>
                      <w:vertAlign w:val="subscript"/>
                    </w:rPr>
                    <w:t>10</w:t>
                  </w:r>
                </w:p>
              </w:tc>
              <w:tc>
                <w:tcPr>
                  <w:tcW w:w="636"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PM</w:t>
                  </w:r>
                  <w:r>
                    <w:rPr>
                      <w:rFonts w:ascii="Times New Roman" w:hAnsi="Times New Roman" w:eastAsia="宋体" w:cs="Times New Roman"/>
                      <w:b/>
                      <w:bCs/>
                      <w:color w:val="auto"/>
                      <w:szCs w:val="21"/>
                      <w:vertAlign w:val="subscript"/>
                    </w:rPr>
                    <w:t>2.5</w:t>
                  </w:r>
                </w:p>
              </w:tc>
              <w:tc>
                <w:tcPr>
                  <w:tcW w:w="636"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SO</w:t>
                  </w:r>
                  <w:r>
                    <w:rPr>
                      <w:rFonts w:ascii="Times New Roman" w:hAnsi="Times New Roman" w:eastAsia="宋体" w:cs="Times New Roman"/>
                      <w:b/>
                      <w:bCs/>
                      <w:color w:val="auto"/>
                      <w:szCs w:val="21"/>
                      <w:vertAlign w:val="subscript"/>
                    </w:rPr>
                    <w:t>2</w:t>
                  </w:r>
                </w:p>
              </w:tc>
              <w:tc>
                <w:tcPr>
                  <w:tcW w:w="636"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NO</w:t>
                  </w:r>
                  <w:r>
                    <w:rPr>
                      <w:rFonts w:ascii="Times New Roman" w:hAnsi="Times New Roman" w:eastAsia="宋体" w:cs="Times New Roman"/>
                      <w:b/>
                      <w:bCs/>
                      <w:color w:val="auto"/>
                      <w:szCs w:val="21"/>
                      <w:vertAlign w:val="subscript"/>
                    </w:rPr>
                    <w:t>2</w:t>
                  </w:r>
                </w:p>
              </w:tc>
              <w:tc>
                <w:tcPr>
                  <w:tcW w:w="636"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CO</w:t>
                  </w:r>
                </w:p>
              </w:tc>
              <w:tc>
                <w:tcPr>
                  <w:tcW w:w="636"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O</w:t>
                  </w:r>
                  <w:r>
                    <w:rPr>
                      <w:rFonts w:ascii="Times New Roman" w:hAnsi="Times New Roman" w:eastAsia="宋体" w:cs="Times New Roman"/>
                      <w:b/>
                      <w:bCs/>
                      <w:color w:val="auto"/>
                      <w:szCs w:val="21"/>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pct"/>
                  <w:vAlign w:val="center"/>
                </w:tcPr>
                <w:p>
                  <w:pPr>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现状浓度（µg/m</w:t>
                  </w:r>
                  <w:r>
                    <w:rPr>
                      <w:rFonts w:ascii="Times New Roman" w:hAnsi="Times New Roman" w:eastAsia="宋体" w:cs="Times New Roman"/>
                      <w:color w:val="auto"/>
                      <w:kern w:val="0"/>
                      <w:szCs w:val="21"/>
                      <w:vertAlign w:val="superscript"/>
                    </w:rPr>
                    <w:t>3</w:t>
                  </w:r>
                  <w:r>
                    <w:rPr>
                      <w:rFonts w:ascii="Times New Roman" w:hAnsi="Times New Roman" w:eastAsia="宋体" w:cs="Times New Roman"/>
                      <w:color w:val="auto"/>
                      <w:kern w:val="0"/>
                      <w:szCs w:val="21"/>
                    </w:rPr>
                    <w:t>）</w:t>
                  </w:r>
                </w:p>
              </w:tc>
              <w:tc>
                <w:tcPr>
                  <w:tcW w:w="1079" w:type="dxa"/>
                  <w:vAlign w:val="center"/>
                </w:tcPr>
                <w:p>
                  <w:pPr>
                    <w:widowControl/>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45</w:t>
                  </w:r>
                </w:p>
              </w:tc>
              <w:tc>
                <w:tcPr>
                  <w:tcW w:w="1079" w:type="dxa"/>
                  <w:vAlign w:val="center"/>
                </w:tcPr>
                <w:p>
                  <w:pPr>
                    <w:widowControl/>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19</w:t>
                  </w:r>
                </w:p>
              </w:tc>
              <w:tc>
                <w:tcPr>
                  <w:tcW w:w="1079" w:type="dxa"/>
                  <w:vAlign w:val="center"/>
                </w:tcPr>
                <w:p>
                  <w:pPr>
                    <w:widowControl/>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9</w:t>
                  </w:r>
                </w:p>
              </w:tc>
              <w:tc>
                <w:tcPr>
                  <w:tcW w:w="1079" w:type="dxa"/>
                  <w:vAlign w:val="center"/>
                </w:tcPr>
                <w:p>
                  <w:pPr>
                    <w:widowControl/>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19</w:t>
                  </w:r>
                </w:p>
              </w:tc>
              <w:tc>
                <w:tcPr>
                  <w:tcW w:w="1079" w:type="dxa"/>
                  <w:vAlign w:val="center"/>
                </w:tcPr>
                <w:p>
                  <w:pPr>
                    <w:widowControl/>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1.2</w:t>
                  </w:r>
                </w:p>
              </w:tc>
              <w:tc>
                <w:tcPr>
                  <w:tcW w:w="1079" w:type="dxa"/>
                  <w:vAlign w:val="center"/>
                </w:tcPr>
                <w:p>
                  <w:pPr>
                    <w:widowControl/>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pct"/>
                  <w:vAlign w:val="center"/>
                </w:tcPr>
                <w:p>
                  <w:pPr>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标准值（µg/m</w:t>
                  </w:r>
                  <w:r>
                    <w:rPr>
                      <w:rFonts w:ascii="Times New Roman" w:hAnsi="Times New Roman" w:eastAsia="宋体" w:cs="Times New Roman"/>
                      <w:color w:val="auto"/>
                      <w:kern w:val="0"/>
                      <w:szCs w:val="21"/>
                      <w:vertAlign w:val="superscript"/>
                    </w:rPr>
                    <w:t>3</w:t>
                  </w:r>
                  <w:r>
                    <w:rPr>
                      <w:rFonts w:ascii="Times New Roman" w:hAnsi="Times New Roman" w:eastAsia="宋体" w:cs="Times New Roman"/>
                      <w:color w:val="auto"/>
                      <w:kern w:val="0"/>
                      <w:szCs w:val="21"/>
                    </w:rPr>
                    <w:t>）</w:t>
                  </w:r>
                </w:p>
              </w:tc>
              <w:tc>
                <w:tcPr>
                  <w:tcW w:w="636" w:type="pct"/>
                  <w:vAlign w:val="center"/>
                </w:tcPr>
                <w:p>
                  <w:pPr>
                    <w:widowControl/>
                    <w:jc w:val="center"/>
                    <w:rPr>
                      <w:rFonts w:ascii="Times New Roman" w:hAnsi="Times New Roman" w:eastAsia="宋体" w:cs="Times New Roman"/>
                      <w:bCs/>
                      <w:color w:val="auto"/>
                      <w:kern w:val="0"/>
                      <w:szCs w:val="21"/>
                    </w:rPr>
                  </w:pPr>
                  <w:r>
                    <w:rPr>
                      <w:rFonts w:ascii="Times New Roman" w:hAnsi="Times New Roman" w:eastAsia="宋体" w:cs="Times New Roman"/>
                      <w:color w:val="auto"/>
                      <w:szCs w:val="21"/>
                    </w:rPr>
                    <w:t>70</w:t>
                  </w:r>
                </w:p>
              </w:tc>
              <w:tc>
                <w:tcPr>
                  <w:tcW w:w="636" w:type="pct"/>
                  <w:vAlign w:val="center"/>
                </w:tcPr>
                <w:p>
                  <w:pPr>
                    <w:widowControl/>
                    <w:jc w:val="center"/>
                    <w:rPr>
                      <w:rFonts w:ascii="Times New Roman" w:hAnsi="Times New Roman" w:eastAsia="宋体" w:cs="Times New Roman"/>
                      <w:bCs/>
                      <w:color w:val="auto"/>
                      <w:kern w:val="0"/>
                      <w:szCs w:val="21"/>
                    </w:rPr>
                  </w:pPr>
                  <w:r>
                    <w:rPr>
                      <w:rFonts w:ascii="Times New Roman" w:hAnsi="Times New Roman" w:eastAsia="宋体" w:cs="Times New Roman"/>
                      <w:color w:val="auto"/>
                      <w:szCs w:val="21"/>
                    </w:rPr>
                    <w:t>35</w:t>
                  </w:r>
                </w:p>
              </w:tc>
              <w:tc>
                <w:tcPr>
                  <w:tcW w:w="636" w:type="pct"/>
                  <w:vAlign w:val="center"/>
                </w:tcPr>
                <w:p>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szCs w:val="21"/>
                    </w:rPr>
                    <w:t>60</w:t>
                  </w:r>
                </w:p>
              </w:tc>
              <w:tc>
                <w:tcPr>
                  <w:tcW w:w="636" w:type="pct"/>
                  <w:vAlign w:val="center"/>
                </w:tcPr>
                <w:p>
                  <w:pPr>
                    <w:widowControl/>
                    <w:jc w:val="center"/>
                    <w:rPr>
                      <w:rFonts w:ascii="Times New Roman" w:hAnsi="Times New Roman" w:eastAsia="宋体" w:cs="Times New Roman"/>
                      <w:color w:val="auto"/>
                      <w:szCs w:val="21"/>
                    </w:rPr>
                  </w:pPr>
                  <w:r>
                    <w:rPr>
                      <w:rFonts w:ascii="Times New Roman" w:hAnsi="Times New Roman" w:eastAsia="宋体" w:cs="Times New Roman"/>
                      <w:color w:val="auto"/>
                      <w:szCs w:val="21"/>
                    </w:rPr>
                    <w:t>40</w:t>
                  </w:r>
                </w:p>
              </w:tc>
              <w:tc>
                <w:tcPr>
                  <w:tcW w:w="636" w:type="pct"/>
                  <w:vAlign w:val="center"/>
                </w:tcPr>
                <w:p>
                  <w:pPr>
                    <w:widowControl/>
                    <w:jc w:val="center"/>
                    <w:rPr>
                      <w:rFonts w:ascii="Times New Roman" w:hAnsi="Times New Roman" w:eastAsia="宋体" w:cs="Times New Roman"/>
                      <w:bCs/>
                      <w:color w:val="auto"/>
                      <w:kern w:val="0"/>
                      <w:szCs w:val="21"/>
                    </w:rPr>
                  </w:pPr>
                  <w:r>
                    <w:rPr>
                      <w:rFonts w:ascii="Times New Roman" w:hAnsi="Times New Roman" w:eastAsia="宋体" w:cs="Times New Roman"/>
                      <w:color w:val="auto"/>
                      <w:szCs w:val="21"/>
                    </w:rPr>
                    <w:t>4.0</w:t>
                  </w:r>
                </w:p>
              </w:tc>
              <w:tc>
                <w:tcPr>
                  <w:tcW w:w="636" w:type="pct"/>
                  <w:vAlign w:val="center"/>
                </w:tcPr>
                <w:p>
                  <w:pPr>
                    <w:widowControl/>
                    <w:jc w:val="center"/>
                    <w:rPr>
                      <w:rFonts w:ascii="Times New Roman" w:hAnsi="Times New Roman" w:eastAsia="宋体" w:cs="Times New Roman"/>
                      <w:bCs/>
                      <w:color w:val="auto"/>
                      <w:kern w:val="0"/>
                      <w:szCs w:val="21"/>
                    </w:rPr>
                  </w:pPr>
                  <w:r>
                    <w:rPr>
                      <w:rFonts w:ascii="Times New Roman" w:hAnsi="Times New Roman" w:eastAsia="宋体" w:cs="Times New Roman"/>
                      <w:color w:val="auto"/>
                      <w:szCs w:val="21"/>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pct"/>
                  <w:vAlign w:val="center"/>
                </w:tcPr>
                <w:p>
                  <w:pPr>
                    <w:jc w:val="center"/>
                    <w:rPr>
                      <w:rFonts w:ascii="Times New Roman" w:hAnsi="Times New Roman" w:eastAsia="宋体" w:cs="Times New Roman"/>
                      <w:color w:val="auto"/>
                      <w:szCs w:val="21"/>
                    </w:rPr>
                  </w:pPr>
                  <w:r>
                    <w:rPr>
                      <w:rFonts w:ascii="Times New Roman" w:hAnsi="Times New Roman" w:cs="Times New Roman"/>
                      <w:color w:val="auto"/>
                      <w:szCs w:val="21"/>
                    </w:rPr>
                    <w:t>占标率</w:t>
                  </w:r>
                </w:p>
              </w:tc>
              <w:tc>
                <w:tcPr>
                  <w:tcW w:w="636" w:type="pct"/>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64.28%</w:t>
                  </w:r>
                </w:p>
              </w:tc>
              <w:tc>
                <w:tcPr>
                  <w:tcW w:w="636" w:type="pct"/>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54.28%</w:t>
                  </w:r>
                </w:p>
              </w:tc>
              <w:tc>
                <w:tcPr>
                  <w:tcW w:w="636" w:type="pct"/>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15%</w:t>
                  </w:r>
                </w:p>
              </w:tc>
              <w:tc>
                <w:tcPr>
                  <w:tcW w:w="636" w:type="pct"/>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47.5%</w:t>
                  </w:r>
                </w:p>
              </w:tc>
              <w:tc>
                <w:tcPr>
                  <w:tcW w:w="636" w:type="pct"/>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30%</w:t>
                  </w:r>
                </w:p>
              </w:tc>
              <w:tc>
                <w:tcPr>
                  <w:tcW w:w="636" w:type="pct"/>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pct"/>
                  <w:vAlign w:val="center"/>
                </w:tcPr>
                <w:p>
                  <w:pPr>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达标情况</w:t>
                  </w:r>
                </w:p>
              </w:tc>
              <w:tc>
                <w:tcPr>
                  <w:tcW w:w="636" w:type="pct"/>
                  <w:vAlign w:val="center"/>
                </w:tcPr>
                <w:p>
                  <w:pPr>
                    <w:widowControl/>
                    <w:jc w:val="center"/>
                    <w:rPr>
                      <w:rFonts w:ascii="Times New Roman" w:hAnsi="Times New Roman" w:eastAsia="宋体" w:cs="Times New Roman"/>
                      <w:bCs/>
                      <w:color w:val="auto"/>
                      <w:kern w:val="0"/>
                      <w:szCs w:val="21"/>
                    </w:rPr>
                  </w:pPr>
                  <w:r>
                    <w:rPr>
                      <w:rFonts w:ascii="Times New Roman" w:hAnsi="Times New Roman" w:eastAsia="宋体" w:cs="Times New Roman"/>
                      <w:color w:val="auto"/>
                      <w:kern w:val="0"/>
                      <w:szCs w:val="21"/>
                    </w:rPr>
                    <w:t>达标</w:t>
                  </w:r>
                </w:p>
              </w:tc>
              <w:tc>
                <w:tcPr>
                  <w:tcW w:w="636" w:type="pct"/>
                  <w:vAlign w:val="center"/>
                </w:tcPr>
                <w:p>
                  <w:pPr>
                    <w:widowControl/>
                    <w:jc w:val="center"/>
                    <w:rPr>
                      <w:rFonts w:ascii="Times New Roman" w:hAnsi="Times New Roman" w:eastAsia="宋体" w:cs="Times New Roman"/>
                      <w:bCs/>
                      <w:color w:val="auto"/>
                      <w:kern w:val="0"/>
                      <w:szCs w:val="21"/>
                    </w:rPr>
                  </w:pPr>
                  <w:r>
                    <w:rPr>
                      <w:rFonts w:ascii="Times New Roman" w:hAnsi="Times New Roman" w:eastAsia="宋体" w:cs="Times New Roman"/>
                      <w:color w:val="auto"/>
                      <w:kern w:val="0"/>
                      <w:szCs w:val="21"/>
                    </w:rPr>
                    <w:t>达标</w:t>
                  </w:r>
                </w:p>
              </w:tc>
              <w:tc>
                <w:tcPr>
                  <w:tcW w:w="636" w:type="pct"/>
                  <w:vAlign w:val="center"/>
                </w:tcPr>
                <w:p>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达标</w:t>
                  </w:r>
                </w:p>
              </w:tc>
              <w:tc>
                <w:tcPr>
                  <w:tcW w:w="636" w:type="pct"/>
                  <w:vAlign w:val="center"/>
                </w:tcPr>
                <w:p>
                  <w:pPr>
                    <w:widowControl/>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达标</w:t>
                  </w:r>
                </w:p>
              </w:tc>
              <w:tc>
                <w:tcPr>
                  <w:tcW w:w="636" w:type="pct"/>
                  <w:vAlign w:val="center"/>
                </w:tcPr>
                <w:p>
                  <w:pPr>
                    <w:widowControl/>
                    <w:jc w:val="center"/>
                    <w:rPr>
                      <w:rFonts w:ascii="Times New Roman" w:hAnsi="Times New Roman" w:eastAsia="宋体" w:cs="Times New Roman"/>
                      <w:bCs/>
                      <w:color w:val="auto"/>
                      <w:kern w:val="0"/>
                      <w:szCs w:val="21"/>
                    </w:rPr>
                  </w:pPr>
                  <w:r>
                    <w:rPr>
                      <w:rFonts w:ascii="Times New Roman" w:hAnsi="Times New Roman" w:eastAsia="宋体" w:cs="Times New Roman"/>
                      <w:color w:val="auto"/>
                      <w:kern w:val="0"/>
                      <w:szCs w:val="21"/>
                    </w:rPr>
                    <w:t>达标</w:t>
                  </w:r>
                </w:p>
              </w:tc>
              <w:tc>
                <w:tcPr>
                  <w:tcW w:w="636" w:type="pct"/>
                  <w:vAlign w:val="center"/>
                </w:tcPr>
                <w:p>
                  <w:pPr>
                    <w:widowControl/>
                    <w:jc w:val="center"/>
                    <w:rPr>
                      <w:rFonts w:ascii="Times New Roman" w:hAnsi="Times New Roman" w:eastAsia="宋体" w:cs="Times New Roman"/>
                      <w:bCs/>
                      <w:color w:val="auto"/>
                      <w:kern w:val="0"/>
                      <w:szCs w:val="21"/>
                    </w:rPr>
                  </w:pPr>
                  <w:r>
                    <w:rPr>
                      <w:rFonts w:ascii="Times New Roman" w:hAnsi="Times New Roman" w:eastAsia="宋体" w:cs="Times New Roman"/>
                      <w:color w:val="auto"/>
                      <w:kern w:val="0"/>
                      <w:szCs w:val="21"/>
                    </w:rPr>
                    <w:t>达标</w:t>
                  </w:r>
                </w:p>
              </w:tc>
            </w:tr>
          </w:tbl>
          <w:p>
            <w:pPr>
              <w:spacing w:line="360" w:lineRule="auto"/>
              <w:ind w:firstLine="480" w:firstLineChars="200"/>
              <w:rPr>
                <w:rFonts w:ascii="Times New Roman" w:hAnsi="Times New Roman" w:cs="Times New Roman"/>
                <w:bCs/>
                <w:color w:val="auto"/>
                <w:sz w:val="24"/>
              </w:rPr>
            </w:pPr>
            <w:r>
              <w:rPr>
                <w:rFonts w:hint="default" w:ascii="Times New Roman" w:hAnsi="Times New Roman" w:cs="Times New Roman"/>
                <w:color w:val="auto"/>
                <w:sz w:val="24"/>
                <w:szCs w:val="24"/>
              </w:rPr>
              <w:t>由上表评价结果可知，</w:t>
            </w:r>
            <w:r>
              <w:rPr>
                <w:rFonts w:hint="eastAsia" w:ascii="Times New Roman" w:hAnsi="Times New Roman" w:cs="Times New Roman"/>
                <w:color w:val="auto"/>
                <w:sz w:val="24"/>
                <w:szCs w:val="24"/>
                <w:lang w:val="en-US" w:eastAsia="zh-CN"/>
              </w:rPr>
              <w:t>围场</w:t>
            </w:r>
            <w:r>
              <w:rPr>
                <w:rFonts w:hint="default" w:ascii="Times New Roman" w:hAnsi="Times New Roman" w:cs="Times New Roman"/>
                <w:color w:val="auto"/>
                <w:sz w:val="24"/>
                <w:szCs w:val="24"/>
                <w:lang w:val="en-US" w:eastAsia="zh-CN"/>
              </w:rPr>
              <w:t>县</w:t>
            </w:r>
            <w:r>
              <w:rPr>
                <w:rFonts w:hint="default" w:ascii="Times New Roman" w:hAnsi="Times New Roman" w:cs="Times New Roman"/>
                <w:color w:val="auto"/>
                <w:sz w:val="24"/>
                <w:szCs w:val="24"/>
              </w:rPr>
              <w:t>环境空气质量中PM</w:t>
            </w:r>
            <w:r>
              <w:rPr>
                <w:rFonts w:hint="default" w:ascii="Times New Roman" w:hAnsi="Times New Roman" w:cs="Times New Roman"/>
                <w:color w:val="auto"/>
                <w:sz w:val="24"/>
                <w:szCs w:val="24"/>
                <w:vertAlign w:val="subscript"/>
              </w:rPr>
              <w:t>2.5</w:t>
            </w:r>
            <w:r>
              <w:rPr>
                <w:rFonts w:hint="default" w:ascii="Times New Roman" w:hAnsi="Times New Roman" w:cs="Times New Roman"/>
                <w:color w:val="auto"/>
                <w:sz w:val="24"/>
                <w:szCs w:val="24"/>
              </w:rPr>
              <w:t>、PM</w:t>
            </w:r>
            <w:r>
              <w:rPr>
                <w:rFonts w:hint="default" w:ascii="Times New Roman" w:hAnsi="Times New Roman" w:cs="Times New Roman"/>
                <w:color w:val="auto"/>
                <w:sz w:val="24"/>
                <w:szCs w:val="24"/>
                <w:vertAlign w:val="subscript"/>
              </w:rPr>
              <w:t>10</w:t>
            </w:r>
            <w:r>
              <w:rPr>
                <w:rFonts w:hint="default" w:ascii="Times New Roman" w:hAnsi="Times New Roman" w:cs="Times New Roman"/>
                <w:color w:val="auto"/>
                <w:sz w:val="24"/>
                <w:szCs w:val="24"/>
              </w:rPr>
              <w:t>、SO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、CO、O</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、NO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六项常规污染物监测结果中：SO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的年平均质量浓度、NO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的年平均质量浓度、CO24小时平均浓度第95百分位数、PM</w:t>
            </w:r>
            <w:r>
              <w:rPr>
                <w:rFonts w:hint="default" w:ascii="Times New Roman" w:hAnsi="Times New Roman" w:cs="Times New Roman"/>
                <w:color w:val="auto"/>
                <w:sz w:val="24"/>
                <w:szCs w:val="24"/>
                <w:vertAlign w:val="subscript"/>
              </w:rPr>
              <w:t>10</w:t>
            </w:r>
            <w:r>
              <w:rPr>
                <w:rFonts w:hint="default" w:ascii="Times New Roman" w:hAnsi="Times New Roman" w:cs="Times New Roman"/>
                <w:color w:val="auto"/>
                <w:sz w:val="24"/>
                <w:szCs w:val="24"/>
              </w:rPr>
              <w:t>年平均质量浓度、PM</w:t>
            </w:r>
            <w:r>
              <w:rPr>
                <w:rFonts w:hint="default" w:ascii="Times New Roman" w:hAnsi="Times New Roman" w:cs="Times New Roman"/>
                <w:color w:val="auto"/>
                <w:sz w:val="24"/>
                <w:szCs w:val="24"/>
                <w:vertAlign w:val="subscript"/>
              </w:rPr>
              <w:t>2.5</w:t>
            </w:r>
            <w:r>
              <w:rPr>
                <w:rFonts w:hint="default" w:ascii="Times New Roman" w:hAnsi="Times New Roman" w:cs="Times New Roman"/>
                <w:color w:val="auto"/>
                <w:sz w:val="24"/>
                <w:szCs w:val="24"/>
              </w:rPr>
              <w:t>的年平均质量浓度、O</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日最大8小时平均浓度达标。则根据上述分析结果判定：项目所在区域为达标</w:t>
            </w:r>
            <w:r>
              <w:rPr>
                <w:rFonts w:hint="default" w:ascii="Times New Roman" w:hAnsi="Times New Roman" w:cs="Times New Roman"/>
                <w:bCs/>
                <w:color w:val="auto"/>
                <w:sz w:val="24"/>
              </w:rPr>
              <w:t>区。</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为进一步了解项目区环境空气质量现状，</w:t>
            </w:r>
            <w:r>
              <w:rPr>
                <w:rFonts w:hint="eastAsia" w:ascii="Times New Roman" w:hAnsi="Times New Roman" w:cs="Times New Roman"/>
                <w:color w:val="auto"/>
                <w:sz w:val="24"/>
                <w:szCs w:val="24"/>
                <w:lang w:val="en-US" w:eastAsia="zh-CN"/>
              </w:rPr>
              <w:t>围场满族蒙古族自治县腾兴供热有限公司于2020年9月委托承德圣合环境检测有限公司；2023年2月委托辽宁鹏宇环境监测有限公司对区域环境质量进行了监测，并出具了监测报告。《围场满族蒙古族自治县腾兴供热有限公司金字供热站项目检验检测报告》（</w:t>
            </w:r>
            <w:r>
              <w:rPr>
                <w:rFonts w:hint="eastAsia" w:ascii="Times New Roman" w:hAnsi="Times New Roman" w:cs="Times New Roman"/>
                <w:color w:val="auto"/>
                <w:sz w:val="24"/>
                <w:szCs w:val="24"/>
              </w:rPr>
              <w:t>圣合(检)字</w:t>
            </w:r>
            <w:r>
              <w:rPr>
                <w:rFonts w:hint="default" w:ascii="Times New Roman" w:hAnsi="Times New Roman" w:cs="Times New Roman"/>
                <w:color w:val="auto"/>
                <w:sz w:val="24"/>
                <w:szCs w:val="24"/>
              </w:rPr>
              <w:t>WT</w:t>
            </w:r>
            <w:r>
              <w:rPr>
                <w:rFonts w:hint="eastAsia" w:ascii="Times New Roman" w:hAnsi="Times New Roman" w:cs="Times New Roman"/>
                <w:color w:val="auto"/>
                <w:sz w:val="24"/>
                <w:szCs w:val="24"/>
              </w:rPr>
              <w:t>20</w:t>
            </w:r>
            <w:r>
              <w:rPr>
                <w:rFonts w:hint="eastAsia" w:ascii="Times New Roman" w:hAnsi="Times New Roman" w:cs="Times New Roman"/>
                <w:color w:val="auto"/>
                <w:sz w:val="24"/>
                <w:szCs w:val="24"/>
                <w:lang w:val="en-US" w:eastAsia="zh-CN"/>
              </w:rPr>
              <w:t>20</w:t>
            </w:r>
            <w:r>
              <w:rPr>
                <w:rFonts w:hint="eastAsia" w:ascii="Times New Roman" w:hAnsi="Times New Roman" w:cs="Times New Roman"/>
                <w:color w:val="auto"/>
                <w:sz w:val="24"/>
                <w:szCs w:val="24"/>
              </w:rPr>
              <w:t>-0</w:t>
            </w:r>
            <w:r>
              <w:rPr>
                <w:rFonts w:hint="eastAsia" w:ascii="Times New Roman" w:hAnsi="Times New Roman" w:cs="Times New Roman"/>
                <w:color w:val="auto"/>
                <w:sz w:val="24"/>
                <w:szCs w:val="24"/>
                <w:lang w:val="en-US" w:eastAsia="zh-CN"/>
              </w:rPr>
              <w:t>742）；《围场满族蒙古族自治县腾兴供热有限公司城北热源厂（金字供热站）项目</w:t>
            </w:r>
            <w:r>
              <w:rPr>
                <w:rFonts w:hint="eastAsia" w:ascii="Times New Roman" w:hAnsi="Times New Roman" w:cs="Times New Roman"/>
                <w:color w:val="auto"/>
                <w:sz w:val="24"/>
                <w:szCs w:val="24"/>
              </w:rPr>
              <w:t>环境质量现状</w:t>
            </w:r>
            <w:r>
              <w:rPr>
                <w:rFonts w:hint="eastAsia" w:ascii="Times New Roman" w:hAnsi="Times New Roman" w:cs="Times New Roman"/>
                <w:color w:val="auto"/>
                <w:sz w:val="24"/>
                <w:szCs w:val="24"/>
                <w:lang w:eastAsia="zh-CN"/>
              </w:rPr>
              <w:t>检</w:t>
            </w:r>
            <w:r>
              <w:rPr>
                <w:rFonts w:hint="eastAsia" w:ascii="Times New Roman" w:hAnsi="Times New Roman" w:cs="Times New Roman"/>
                <w:color w:val="auto"/>
                <w:sz w:val="24"/>
                <w:szCs w:val="24"/>
              </w:rPr>
              <w:t>测</w:t>
            </w:r>
            <w:r>
              <w:rPr>
                <w:rFonts w:hint="eastAsia"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eastAsia="zh-CN"/>
              </w:rPr>
              <w:t>（辽鹏环测）字PY2302309-001号</w:t>
            </w:r>
            <w:r>
              <w:rPr>
                <w:rFonts w:hint="eastAsia" w:ascii="Times New Roman" w:hAnsi="Times New Roman" w:cs="Times New Roman"/>
                <w:color w:val="auto"/>
                <w:sz w:val="24"/>
                <w:szCs w:val="24"/>
                <w:lang w:val="en-US" w:eastAsia="zh-CN"/>
              </w:rPr>
              <w:t>）。</w:t>
            </w:r>
          </w:p>
          <w:p>
            <w:pPr>
              <w:pStyle w:val="59"/>
              <w:keepNext w:val="0"/>
              <w:keepLines w:val="0"/>
              <w:pageBreakBefore w:val="0"/>
              <w:widowControl w:val="0"/>
              <w:numPr>
                <w:ilvl w:val="0"/>
                <w:numId w:val="8"/>
              </w:numPr>
              <w:kinsoku/>
              <w:wordWrap/>
              <w:overflowPunct/>
              <w:topLinePunct w:val="0"/>
              <w:autoSpaceDE w:val="0"/>
              <w:autoSpaceDN w:val="0"/>
              <w:bidi w:val="0"/>
              <w:adjustRightInd w:val="0"/>
              <w:snapToGrid w:val="0"/>
              <w:spacing w:line="240" w:lineRule="auto"/>
              <w:ind w:left="0" w:firstLine="0" w:firstLineChars="0"/>
              <w:jc w:val="center"/>
              <w:textAlignment w:val="auto"/>
              <w:rPr>
                <w:rStyle w:val="24"/>
                <w:rFonts w:hint="default" w:ascii="Times New Roman" w:hAnsi="Times New Roman" w:eastAsia="宋体" w:cs="Times New Roman"/>
                <w:color w:val="auto"/>
              </w:rPr>
            </w:pPr>
            <w:r>
              <w:rPr>
                <w:rStyle w:val="24"/>
                <w:rFonts w:hint="default" w:ascii="Times New Roman" w:hAnsi="Times New Roman" w:eastAsia="宋体" w:cs="Times New Roman"/>
                <w:color w:val="auto"/>
              </w:rPr>
              <w:t>环境空气质量监测结果表</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978"/>
              <w:gridCol w:w="1426"/>
              <w:gridCol w:w="1671"/>
              <w:gridCol w:w="1705"/>
              <w:gridCol w:w="1410"/>
              <w:gridCol w:w="1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noWrap w:val="0"/>
                  <w:vAlign w:val="center"/>
                </w:tcPr>
                <w:p>
                  <w:pPr>
                    <w:pStyle w:val="39"/>
                    <w:spacing w:line="260" w:lineRule="exact"/>
                    <w:rPr>
                      <w:b/>
                      <w:bCs/>
                      <w:color w:val="auto"/>
                      <w:szCs w:val="21"/>
                    </w:rPr>
                  </w:pPr>
                  <w:r>
                    <w:rPr>
                      <w:b/>
                      <w:bCs/>
                      <w:color w:val="auto"/>
                      <w:szCs w:val="21"/>
                    </w:rPr>
                    <w:t>项目</w:t>
                  </w:r>
                </w:p>
              </w:tc>
              <w:tc>
                <w:tcPr>
                  <w:tcW w:w="540" w:type="pct"/>
                  <w:noWrap w:val="0"/>
                  <w:vAlign w:val="center"/>
                </w:tcPr>
                <w:p>
                  <w:pPr>
                    <w:pStyle w:val="39"/>
                    <w:spacing w:line="260" w:lineRule="exact"/>
                    <w:rPr>
                      <w:b/>
                      <w:bCs/>
                      <w:color w:val="auto"/>
                      <w:szCs w:val="21"/>
                    </w:rPr>
                  </w:pPr>
                  <w:r>
                    <w:rPr>
                      <w:b/>
                      <w:bCs/>
                      <w:color w:val="auto"/>
                      <w:szCs w:val="21"/>
                    </w:rPr>
                    <w:t>监测点</w:t>
                  </w:r>
                </w:p>
              </w:tc>
              <w:tc>
                <w:tcPr>
                  <w:tcW w:w="788" w:type="pct"/>
                  <w:noWrap w:val="0"/>
                  <w:vAlign w:val="center"/>
                </w:tcPr>
                <w:p>
                  <w:pPr>
                    <w:pStyle w:val="39"/>
                    <w:spacing w:line="260" w:lineRule="exact"/>
                    <w:rPr>
                      <w:b/>
                      <w:bCs/>
                      <w:color w:val="auto"/>
                      <w:szCs w:val="21"/>
                    </w:rPr>
                  </w:pPr>
                  <w:r>
                    <w:rPr>
                      <w:b/>
                      <w:bCs/>
                      <w:color w:val="auto"/>
                      <w:szCs w:val="21"/>
                    </w:rPr>
                    <w:t>小时均值范围</w:t>
                  </w:r>
                </w:p>
              </w:tc>
              <w:tc>
                <w:tcPr>
                  <w:tcW w:w="923" w:type="pct"/>
                  <w:noWrap w:val="0"/>
                  <w:vAlign w:val="center"/>
                </w:tcPr>
                <w:p>
                  <w:pPr>
                    <w:pStyle w:val="39"/>
                    <w:spacing w:line="260" w:lineRule="exact"/>
                    <w:rPr>
                      <w:b/>
                      <w:bCs/>
                      <w:color w:val="auto"/>
                      <w:szCs w:val="21"/>
                    </w:rPr>
                  </w:pPr>
                  <w:r>
                    <w:rPr>
                      <w:b/>
                      <w:bCs/>
                      <w:color w:val="auto"/>
                    </w:rPr>
                    <w:t>最大小时均值</w:t>
                  </w:r>
                  <w:r>
                    <w:rPr>
                      <w:b/>
                      <w:bCs/>
                      <w:color w:val="auto"/>
                      <w:szCs w:val="21"/>
                    </w:rPr>
                    <w:t>占标率（%）</w:t>
                  </w:r>
                </w:p>
              </w:tc>
              <w:tc>
                <w:tcPr>
                  <w:tcW w:w="942" w:type="pct"/>
                  <w:noWrap w:val="0"/>
                  <w:vAlign w:val="center"/>
                </w:tcPr>
                <w:p>
                  <w:pPr>
                    <w:pStyle w:val="39"/>
                    <w:spacing w:line="260" w:lineRule="exact"/>
                    <w:rPr>
                      <w:b/>
                      <w:bCs/>
                      <w:color w:val="auto"/>
                      <w:szCs w:val="21"/>
                    </w:rPr>
                  </w:pPr>
                  <w:r>
                    <w:rPr>
                      <w:b/>
                      <w:bCs/>
                      <w:color w:val="auto"/>
                      <w:szCs w:val="21"/>
                    </w:rPr>
                    <w:t>日均值范围</w:t>
                  </w:r>
                </w:p>
              </w:tc>
              <w:tc>
                <w:tcPr>
                  <w:tcW w:w="779" w:type="pct"/>
                  <w:noWrap w:val="0"/>
                  <w:vAlign w:val="center"/>
                </w:tcPr>
                <w:p>
                  <w:pPr>
                    <w:pStyle w:val="39"/>
                    <w:spacing w:line="260" w:lineRule="exact"/>
                    <w:rPr>
                      <w:b/>
                      <w:bCs/>
                      <w:color w:val="auto"/>
                      <w:szCs w:val="21"/>
                    </w:rPr>
                  </w:pPr>
                  <w:r>
                    <w:rPr>
                      <w:b/>
                      <w:bCs/>
                      <w:color w:val="auto"/>
                    </w:rPr>
                    <w:t>最大日均值</w:t>
                  </w:r>
                  <w:r>
                    <w:rPr>
                      <w:b/>
                      <w:bCs/>
                      <w:color w:val="auto"/>
                      <w:szCs w:val="21"/>
                    </w:rPr>
                    <w:t>占标率（%）</w:t>
                  </w:r>
                </w:p>
              </w:tc>
              <w:tc>
                <w:tcPr>
                  <w:tcW w:w="597" w:type="pct"/>
                  <w:noWrap w:val="0"/>
                  <w:vAlign w:val="center"/>
                </w:tcPr>
                <w:p>
                  <w:pPr>
                    <w:pStyle w:val="39"/>
                    <w:spacing w:line="260" w:lineRule="exact"/>
                    <w:rPr>
                      <w:b/>
                      <w:bCs/>
                      <w:color w:val="auto"/>
                    </w:rPr>
                  </w:pPr>
                  <w:r>
                    <w:rPr>
                      <w:b/>
                      <w:bCs/>
                      <w:color w:val="auto"/>
                    </w:rPr>
                    <w:t>超标率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noWrap w:val="0"/>
                  <w:vAlign w:val="center"/>
                </w:tcPr>
                <w:p>
                  <w:pPr>
                    <w:pStyle w:val="39"/>
                    <w:spacing w:line="260" w:lineRule="exact"/>
                    <w:rPr>
                      <w:color w:val="auto"/>
                      <w:szCs w:val="21"/>
                    </w:rPr>
                  </w:pPr>
                  <w:r>
                    <w:rPr>
                      <w:color w:val="auto"/>
                      <w:szCs w:val="21"/>
                    </w:rPr>
                    <w:t>TSP</w:t>
                  </w:r>
                </w:p>
              </w:tc>
              <w:tc>
                <w:tcPr>
                  <w:tcW w:w="540" w:type="pct"/>
                  <w:noWrap w:val="0"/>
                  <w:vAlign w:val="center"/>
                </w:tcPr>
                <w:p>
                  <w:pPr>
                    <w:pStyle w:val="39"/>
                    <w:spacing w:line="260" w:lineRule="exact"/>
                    <w:rPr>
                      <w:rFonts w:hint="eastAsia" w:eastAsiaTheme="minorEastAsia"/>
                      <w:color w:val="auto"/>
                      <w:szCs w:val="21"/>
                      <w:lang w:eastAsia="zh-CN"/>
                    </w:rPr>
                  </w:pPr>
                  <w:r>
                    <w:rPr>
                      <w:rFonts w:hint="eastAsia"/>
                      <w:color w:val="auto"/>
                      <w:szCs w:val="21"/>
                      <w:lang w:val="en-US" w:eastAsia="zh-CN"/>
                    </w:rPr>
                    <w:t>G1</w:t>
                  </w:r>
                </w:p>
              </w:tc>
              <w:tc>
                <w:tcPr>
                  <w:tcW w:w="788" w:type="pct"/>
                  <w:noWrap w:val="0"/>
                  <w:vAlign w:val="center"/>
                </w:tcPr>
                <w:p>
                  <w:pPr>
                    <w:pStyle w:val="39"/>
                    <w:spacing w:line="260" w:lineRule="exact"/>
                    <w:rPr>
                      <w:color w:val="auto"/>
                      <w:szCs w:val="21"/>
                    </w:rPr>
                  </w:pPr>
                  <w:r>
                    <w:rPr>
                      <w:color w:val="auto"/>
                      <w:szCs w:val="21"/>
                    </w:rPr>
                    <w:t>/</w:t>
                  </w:r>
                </w:p>
              </w:tc>
              <w:tc>
                <w:tcPr>
                  <w:tcW w:w="923" w:type="pct"/>
                  <w:tcBorders>
                    <w:top w:val="single" w:color="auto" w:sz="4" w:space="0"/>
                    <w:left w:val="single" w:color="auto" w:sz="4" w:space="0"/>
                    <w:bottom w:val="single" w:color="auto" w:sz="4" w:space="0"/>
                    <w:right w:val="single" w:color="auto" w:sz="4" w:space="0"/>
                  </w:tcBorders>
                  <w:noWrap w:val="0"/>
                  <w:vAlign w:val="center"/>
                </w:tcPr>
                <w:p>
                  <w:pPr>
                    <w:spacing w:line="260" w:lineRule="exact"/>
                    <w:ind w:firstLine="0" w:firstLineChars="0"/>
                    <w:jc w:val="center"/>
                    <w:rPr>
                      <w:rFonts w:ascii="Times New Roman" w:hAnsi="Times New Roman"/>
                      <w:color w:val="auto"/>
                      <w:sz w:val="21"/>
                      <w:szCs w:val="21"/>
                    </w:rPr>
                  </w:pPr>
                  <w:r>
                    <w:rPr>
                      <w:rFonts w:ascii="Times New Roman" w:hAnsi="Times New Roman"/>
                      <w:color w:val="auto"/>
                      <w:sz w:val="21"/>
                      <w:szCs w:val="21"/>
                    </w:rPr>
                    <w:t>/</w:t>
                  </w:r>
                </w:p>
              </w:tc>
              <w:tc>
                <w:tcPr>
                  <w:tcW w:w="942" w:type="pct"/>
                  <w:noWrap w:val="0"/>
                  <w:vAlign w:val="center"/>
                </w:tcPr>
                <w:p>
                  <w:pPr>
                    <w:pStyle w:val="39"/>
                    <w:spacing w:line="260" w:lineRule="exact"/>
                    <w:rPr>
                      <w:rFonts w:hint="default" w:eastAsiaTheme="minorEastAsia"/>
                      <w:color w:val="auto"/>
                      <w:szCs w:val="21"/>
                      <w:lang w:val="en-US" w:eastAsia="zh-CN"/>
                    </w:rPr>
                  </w:pPr>
                  <w:r>
                    <w:rPr>
                      <w:rFonts w:hint="eastAsia"/>
                      <w:color w:val="auto"/>
                      <w:szCs w:val="21"/>
                      <w:lang w:val="en-US" w:eastAsia="zh-CN"/>
                    </w:rPr>
                    <w:t>156-199</w:t>
                  </w:r>
                </w:p>
              </w:tc>
              <w:tc>
                <w:tcPr>
                  <w:tcW w:w="779" w:type="pct"/>
                  <w:tcBorders>
                    <w:top w:val="single" w:color="auto" w:sz="4" w:space="0"/>
                    <w:left w:val="single" w:color="auto" w:sz="4" w:space="0"/>
                    <w:bottom w:val="single" w:color="auto" w:sz="4" w:space="0"/>
                    <w:right w:val="single" w:color="auto" w:sz="4" w:space="0"/>
                  </w:tcBorders>
                  <w:noWrap w:val="0"/>
                  <w:vAlign w:val="center"/>
                </w:tcPr>
                <w:p>
                  <w:pPr>
                    <w:spacing w:line="260" w:lineRule="exact"/>
                    <w:ind w:firstLine="0" w:firstLineChars="0"/>
                    <w:jc w:val="center"/>
                    <w:rPr>
                      <w:rFonts w:hint="default" w:ascii="Times New Roman" w:hAnsi="Times New Roman"/>
                      <w:color w:val="auto"/>
                      <w:sz w:val="21"/>
                      <w:szCs w:val="21"/>
                      <w:lang w:val="en-US"/>
                    </w:rPr>
                  </w:pPr>
                  <w:r>
                    <w:rPr>
                      <w:rFonts w:hint="eastAsia" w:ascii="Times New Roman" w:hAnsi="Times New Roman"/>
                      <w:color w:val="auto"/>
                      <w:sz w:val="21"/>
                      <w:szCs w:val="21"/>
                      <w:lang w:val="en-US" w:eastAsia="zh-CN"/>
                    </w:rPr>
                    <w:t>66.3</w:t>
                  </w:r>
                </w:p>
              </w:tc>
              <w:tc>
                <w:tcPr>
                  <w:tcW w:w="597" w:type="pct"/>
                  <w:tcBorders>
                    <w:top w:val="single" w:color="auto" w:sz="4" w:space="0"/>
                    <w:left w:val="single" w:color="auto" w:sz="4" w:space="0"/>
                    <w:bottom w:val="single" w:color="auto" w:sz="4" w:space="0"/>
                    <w:right w:val="single" w:color="auto" w:sz="4" w:space="0"/>
                  </w:tcBorders>
                  <w:noWrap w:val="0"/>
                  <w:vAlign w:val="center"/>
                </w:tcPr>
                <w:p>
                  <w:pPr>
                    <w:pStyle w:val="39"/>
                    <w:spacing w:line="260" w:lineRule="exact"/>
                    <w:rPr>
                      <w:color w:val="auto"/>
                      <w:szCs w:val="21"/>
                    </w:rPr>
                  </w:pPr>
                  <w:r>
                    <w:rPr>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noWrap w:val="0"/>
                  <w:vAlign w:val="center"/>
                </w:tcPr>
                <w:p>
                  <w:pPr>
                    <w:pStyle w:val="39"/>
                    <w:spacing w:line="260" w:lineRule="exact"/>
                    <w:rPr>
                      <w:rFonts w:hint="eastAsia" w:ascii="Times New Roman" w:hAnsi="Times New Roman"/>
                      <w:color w:val="auto"/>
                      <w:szCs w:val="21"/>
                      <w:lang w:val="en-US" w:eastAsia="zh-CN"/>
                    </w:rPr>
                  </w:pPr>
                  <w:r>
                    <w:rPr>
                      <w:rFonts w:hint="eastAsia"/>
                      <w:color w:val="auto"/>
                      <w:szCs w:val="21"/>
                      <w:lang w:val="en-US" w:eastAsia="zh-CN"/>
                    </w:rPr>
                    <w:t>汞</w:t>
                  </w:r>
                </w:p>
              </w:tc>
              <w:tc>
                <w:tcPr>
                  <w:tcW w:w="540" w:type="pct"/>
                  <w:noWrap w:val="0"/>
                  <w:vAlign w:val="center"/>
                </w:tcPr>
                <w:p>
                  <w:pPr>
                    <w:pStyle w:val="39"/>
                    <w:spacing w:line="260" w:lineRule="exact"/>
                    <w:rPr>
                      <w:rFonts w:hint="default" w:ascii="Times New Roman" w:hAnsi="Times New Roman"/>
                      <w:color w:val="auto"/>
                      <w:szCs w:val="21"/>
                      <w:lang w:val="en-US" w:eastAsia="zh-CN"/>
                    </w:rPr>
                  </w:pPr>
                  <w:r>
                    <w:rPr>
                      <w:rFonts w:hint="eastAsia" w:ascii="Times New Roman" w:hAnsi="Times New Roman"/>
                      <w:color w:val="auto"/>
                      <w:szCs w:val="21"/>
                      <w:lang w:val="en-US" w:eastAsia="zh-CN"/>
                    </w:rPr>
                    <w:t>G1</w:t>
                  </w:r>
                </w:p>
              </w:tc>
              <w:tc>
                <w:tcPr>
                  <w:tcW w:w="788" w:type="pct"/>
                  <w:noWrap w:val="0"/>
                  <w:vAlign w:val="center"/>
                </w:tcPr>
                <w:p>
                  <w:pPr>
                    <w:pStyle w:val="39"/>
                    <w:spacing w:line="260" w:lineRule="exact"/>
                    <w:rPr>
                      <w:rFonts w:hint="eastAsia" w:ascii="Times New Roman" w:hAnsi="Times New Roman"/>
                      <w:color w:val="auto"/>
                      <w:szCs w:val="21"/>
                      <w:lang w:val="en-US" w:eastAsia="zh-CN"/>
                    </w:rPr>
                  </w:pPr>
                  <w:r>
                    <w:rPr>
                      <w:color w:val="auto"/>
                      <w:szCs w:val="21"/>
                    </w:rPr>
                    <w:t>/</w:t>
                  </w:r>
                </w:p>
              </w:tc>
              <w:tc>
                <w:tcPr>
                  <w:tcW w:w="923" w:type="pct"/>
                  <w:tcBorders>
                    <w:top w:val="single" w:color="auto" w:sz="4" w:space="0"/>
                    <w:left w:val="single" w:color="auto" w:sz="4" w:space="0"/>
                    <w:bottom w:val="single" w:color="auto" w:sz="4" w:space="0"/>
                    <w:right w:val="single" w:color="auto" w:sz="4" w:space="0"/>
                  </w:tcBorders>
                  <w:noWrap w:val="0"/>
                  <w:vAlign w:val="center"/>
                </w:tcPr>
                <w:p>
                  <w:pPr>
                    <w:pStyle w:val="39"/>
                    <w:spacing w:line="260" w:lineRule="exact"/>
                    <w:rPr>
                      <w:rFonts w:hint="default" w:ascii="Times New Roman" w:hAnsi="Times New Roman"/>
                      <w:color w:val="auto"/>
                      <w:szCs w:val="21"/>
                      <w:lang w:val="en-US" w:eastAsia="zh-CN"/>
                    </w:rPr>
                  </w:pPr>
                  <w:r>
                    <w:rPr>
                      <w:rFonts w:hint="eastAsia" w:ascii="Times New Roman" w:hAnsi="Times New Roman"/>
                      <w:color w:val="auto"/>
                      <w:szCs w:val="21"/>
                      <w:lang w:val="en-US" w:eastAsia="zh-CN"/>
                    </w:rPr>
                    <w:t>/</w:t>
                  </w:r>
                </w:p>
              </w:tc>
              <w:tc>
                <w:tcPr>
                  <w:tcW w:w="942" w:type="pct"/>
                  <w:noWrap w:val="0"/>
                  <w:vAlign w:val="center"/>
                </w:tcPr>
                <w:p>
                  <w:pPr>
                    <w:pStyle w:val="39"/>
                    <w:spacing w:line="260" w:lineRule="exact"/>
                    <w:rPr>
                      <w:rFonts w:hint="eastAsia" w:ascii="Times New Roman" w:hAnsi="Times New Roman"/>
                      <w:color w:val="auto"/>
                      <w:szCs w:val="21"/>
                      <w:lang w:val="en-US" w:eastAsia="zh-CN"/>
                    </w:rPr>
                  </w:pPr>
                  <w:r>
                    <w:rPr>
                      <w:rFonts w:hint="eastAsia"/>
                      <w:color w:val="auto"/>
                      <w:szCs w:val="21"/>
                      <w:lang w:val="en-US" w:eastAsia="zh-CN"/>
                    </w:rPr>
                    <w:t>未检出</w:t>
                  </w:r>
                </w:p>
              </w:tc>
              <w:tc>
                <w:tcPr>
                  <w:tcW w:w="779" w:type="pct"/>
                  <w:tcBorders>
                    <w:top w:val="single" w:color="auto" w:sz="4" w:space="0"/>
                    <w:left w:val="single" w:color="auto" w:sz="4" w:space="0"/>
                    <w:bottom w:val="single" w:color="auto" w:sz="4" w:space="0"/>
                    <w:right w:val="single" w:color="auto" w:sz="4" w:space="0"/>
                  </w:tcBorders>
                  <w:noWrap w:val="0"/>
                  <w:vAlign w:val="center"/>
                </w:tcPr>
                <w:p>
                  <w:pPr>
                    <w:pStyle w:val="39"/>
                    <w:spacing w:line="260" w:lineRule="exact"/>
                    <w:rPr>
                      <w:rFonts w:hint="eastAsia" w:ascii="Times New Roman" w:hAnsi="Times New Roman"/>
                      <w:color w:val="auto"/>
                      <w:szCs w:val="21"/>
                      <w:lang w:val="en-US" w:eastAsia="zh-CN"/>
                    </w:rPr>
                  </w:pPr>
                  <w:r>
                    <w:rPr>
                      <w:rFonts w:hint="eastAsia" w:ascii="Times New Roman" w:hAnsi="Times New Roman"/>
                      <w:color w:val="auto"/>
                      <w:szCs w:val="21"/>
                      <w:lang w:val="en-US" w:eastAsia="zh-CN"/>
                    </w:rPr>
                    <w:t>/</w:t>
                  </w:r>
                </w:p>
              </w:tc>
              <w:tc>
                <w:tcPr>
                  <w:tcW w:w="597" w:type="pct"/>
                  <w:tcBorders>
                    <w:top w:val="single" w:color="auto" w:sz="4" w:space="0"/>
                    <w:left w:val="single" w:color="auto" w:sz="4" w:space="0"/>
                    <w:bottom w:val="single" w:color="auto" w:sz="4" w:space="0"/>
                    <w:right w:val="single" w:color="auto" w:sz="4" w:space="0"/>
                  </w:tcBorders>
                  <w:noWrap w:val="0"/>
                  <w:vAlign w:val="center"/>
                </w:tcPr>
                <w:p>
                  <w:pPr>
                    <w:pStyle w:val="39"/>
                    <w:spacing w:line="260" w:lineRule="exact"/>
                    <w:rPr>
                      <w:rFonts w:hint="eastAsia" w:ascii="Times New Roman" w:hAnsi="Times New Roman"/>
                      <w:color w:val="auto"/>
                      <w:szCs w:val="21"/>
                      <w:lang w:val="en-US" w:eastAsia="zh-CN"/>
                    </w:rPr>
                  </w:pPr>
                  <w:r>
                    <w:rPr>
                      <w:rFonts w:hint="eastAsia" w:ascii="Times New Roman" w:hAnsi="Times New Roman"/>
                      <w:color w:val="auto"/>
                      <w:szCs w:val="21"/>
                      <w:lang w:val="en-US" w:eastAsia="zh-CN"/>
                    </w:rPr>
                    <w:t>0</w:t>
                  </w:r>
                </w:p>
              </w:tc>
            </w:tr>
          </w:tbl>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kern w:val="0"/>
                <w:sz w:val="24"/>
                <w:lang w:val="en-US" w:eastAsia="zh-CN"/>
              </w:rPr>
              <w:t>根据上述监测结果，项目区域监测点位监测的TSP日均值满足《环境空气质量标准》（GB3095-2012）中的二级标准及其修改单；</w:t>
            </w:r>
            <w:r>
              <w:rPr>
                <w:rFonts w:hint="eastAsia" w:ascii="Times New Roman" w:hAnsi="Times New Roman" w:cs="Times New Roman"/>
                <w:color w:val="auto"/>
                <w:kern w:val="0"/>
                <w:sz w:val="24"/>
                <w:lang w:val="en-US" w:eastAsia="zh-CN"/>
              </w:rPr>
              <w:t>汞满足</w:t>
            </w:r>
            <w:r>
              <w:rPr>
                <w:rFonts w:hint="default" w:ascii="Times New Roman" w:hAnsi="Times New Roman" w:cs="Times New Roman"/>
                <w:color w:val="auto"/>
                <w:kern w:val="0"/>
                <w:sz w:val="24"/>
                <w:lang w:val="en-US" w:eastAsia="zh-CN"/>
              </w:rPr>
              <w:t>《环境空气质量标准》（GB3095-2012）</w:t>
            </w:r>
            <w:r>
              <w:rPr>
                <w:rFonts w:hint="eastAsia" w:ascii="Times New Roman" w:hAnsi="Times New Roman" w:cs="Times New Roman"/>
                <w:color w:val="auto"/>
                <w:kern w:val="0"/>
                <w:sz w:val="24"/>
                <w:lang w:val="en-US" w:eastAsia="zh-CN"/>
              </w:rPr>
              <w:t>及修改单</w:t>
            </w:r>
            <w:r>
              <w:rPr>
                <w:rFonts w:hint="default" w:ascii="Times New Roman" w:hAnsi="Times New Roman" w:cs="Times New Roman"/>
                <w:color w:val="auto"/>
                <w:kern w:val="0"/>
                <w:sz w:val="24"/>
                <w:lang w:val="en-US" w:eastAsia="zh-CN"/>
              </w:rPr>
              <w:t>中</w:t>
            </w:r>
            <w:r>
              <w:rPr>
                <w:rFonts w:hint="eastAsia" w:ascii="Times New Roman" w:hAnsi="Times New Roman" w:cs="Times New Roman"/>
                <w:color w:val="auto"/>
                <w:kern w:val="0"/>
                <w:sz w:val="24"/>
                <w:lang w:val="en-US" w:eastAsia="zh-CN"/>
              </w:rPr>
              <w:t>附录A中标准要求。</w:t>
            </w:r>
          </w:p>
          <w:p>
            <w:pPr>
              <w:pStyle w:val="4"/>
              <w:spacing w:before="0" w:after="0" w:line="360" w:lineRule="auto"/>
              <w:ind w:firstLine="482" w:firstLineChars="200"/>
              <w:rPr>
                <w:rFonts w:ascii="Times New Roman" w:hAnsi="Times New Roman" w:cs="Times New Roman"/>
                <w:color w:val="auto"/>
                <w:sz w:val="24"/>
                <w:szCs w:val="24"/>
              </w:rPr>
            </w:pPr>
            <w:r>
              <w:rPr>
                <w:rFonts w:ascii="Times New Roman" w:hAnsi="Times New Roman" w:cs="Times New Roman"/>
                <w:color w:val="auto"/>
                <w:sz w:val="24"/>
                <w:szCs w:val="24"/>
              </w:rPr>
              <w:t>2、地表水环境</w:t>
            </w:r>
          </w:p>
          <w:p>
            <w:pPr>
              <w:pStyle w:val="36"/>
              <w:ind w:firstLine="480"/>
              <w:rPr>
                <w:rFonts w:ascii="Times New Roman" w:hAnsi="Times New Roman" w:cs="Times New Roman"/>
                <w:color w:val="auto"/>
                <w:sz w:val="24"/>
              </w:rPr>
            </w:pPr>
            <w:r>
              <w:rPr>
                <w:rFonts w:hint="default" w:ascii="Times New Roman" w:hAnsi="Times New Roman" w:cs="Times New Roman"/>
                <w:color w:val="auto"/>
                <w:sz w:val="24"/>
                <w:lang w:val="en-US" w:eastAsia="zh-CN"/>
              </w:rPr>
              <w:t>项目</w:t>
            </w:r>
            <w:r>
              <w:rPr>
                <w:rFonts w:hint="eastAsia" w:ascii="Times New Roman" w:hAnsi="Times New Roman" w:cs="Times New Roman"/>
                <w:color w:val="auto"/>
                <w:sz w:val="24"/>
                <w:lang w:val="en-US" w:eastAsia="zh-CN"/>
              </w:rPr>
              <w:t>南侧137m为伊逊河</w:t>
            </w: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根据</w:t>
            </w:r>
            <w:r>
              <w:rPr>
                <w:rFonts w:ascii="Times New Roman" w:hAnsi="Times New Roman" w:cs="Times New Roman"/>
                <w:color w:val="auto"/>
                <w:sz w:val="24"/>
              </w:rPr>
              <w:t>《2021年承德市生态环境状况公报》</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lang w:eastAsia="ja-JP"/>
              </w:rPr>
              <w:t>伊逊河系滦河支流。哈里哈乡的翠花宫为其主要发源地，流经棋盘山、龙头山、围场镇、四合永。由四道沟乡横河流入围场县。境内长度85.5公里。天然落差730米，流域面积为2485平方公里。平均水深0.2-0.3米，平均流量4.578立方米/秒，最大流量为830立方米/秒。平均理化蕴藏量38472.5千瓦，为常年河。结冰期自十月中旬至翌年三月下旬。沿河有庙宫水库和四个小水库，即：扣花营、黑山口、钓鱼台和二道川水库。</w:t>
            </w:r>
            <w:r>
              <w:rPr>
                <w:rFonts w:hint="eastAsia" w:ascii="Times New Roman" w:hAnsi="Times New Roman" w:cs="Times New Roman"/>
                <w:color w:val="auto"/>
                <w:sz w:val="24"/>
                <w:lang w:val="en-US" w:eastAsia="zh-CN"/>
              </w:rPr>
              <w:t>伊逊河共布设地表水常规监测断面2个，2021年唐三营、李台断面水质类别为III类。伊逊河流域总体水质状况为良好，与2020年相比水环境质量有所下降。</w:t>
            </w:r>
          </w:p>
          <w:p>
            <w:pPr>
              <w:pStyle w:val="59"/>
              <w:keepNext w:val="0"/>
              <w:keepLines w:val="0"/>
              <w:pageBreakBefore w:val="0"/>
              <w:widowControl w:val="0"/>
              <w:numPr>
                <w:ilvl w:val="0"/>
                <w:numId w:val="8"/>
              </w:numPr>
              <w:kinsoku/>
              <w:wordWrap/>
              <w:overflowPunct/>
              <w:topLinePunct w:val="0"/>
              <w:autoSpaceDE w:val="0"/>
              <w:autoSpaceDN w:val="0"/>
              <w:bidi w:val="0"/>
              <w:adjustRightInd w:val="0"/>
              <w:snapToGrid w:val="0"/>
              <w:spacing w:line="240" w:lineRule="auto"/>
              <w:ind w:left="0" w:firstLine="0" w:firstLineChars="0"/>
              <w:jc w:val="center"/>
              <w:textAlignment w:val="auto"/>
              <w:rPr>
                <w:rStyle w:val="24"/>
                <w:rFonts w:ascii="Times New Roman" w:hAnsi="Times New Roman" w:eastAsia="宋体"/>
                <w:color w:val="auto"/>
              </w:rPr>
            </w:pPr>
            <w:r>
              <w:rPr>
                <w:rStyle w:val="24"/>
                <w:rFonts w:hint="default" w:ascii="Times New Roman" w:hAnsi="Times New Roman" w:eastAsia="宋体"/>
                <w:color w:val="auto"/>
                <w:lang w:val="en-US" w:eastAsia="zh-CN"/>
              </w:rPr>
              <w:t>20</w:t>
            </w:r>
            <w:r>
              <w:rPr>
                <w:rStyle w:val="24"/>
                <w:rFonts w:hint="eastAsia" w:ascii="Times New Roman" w:hAnsi="Times New Roman" w:eastAsia="宋体"/>
                <w:color w:val="auto"/>
                <w:lang w:val="en-US" w:eastAsia="zh-CN"/>
              </w:rPr>
              <w:t>21年伊逊河监测评价表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71"/>
              <w:gridCol w:w="1072"/>
              <w:gridCol w:w="1204"/>
              <w:gridCol w:w="930"/>
              <w:gridCol w:w="1485"/>
              <w:gridCol w:w="1279"/>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1" w:after="0" w:afterAutospacing="1"/>
                    <w:ind w:left="0" w:right="0"/>
                    <w:jc w:val="center"/>
                    <w:rPr>
                      <w:color w:val="auto"/>
                    </w:rPr>
                  </w:pPr>
                  <w:r>
                    <w:rPr>
                      <w:rFonts w:hint="eastAsia" w:ascii="宋体" w:hAnsi="宋体" w:eastAsia="宋体" w:cs="宋体"/>
                      <w:b/>
                      <w:bCs w:val="0"/>
                      <w:color w:val="auto"/>
                      <w:kern w:val="2"/>
                      <w:sz w:val="21"/>
                      <w:szCs w:val="21"/>
                      <w:lang w:val="en-US" w:eastAsia="zh-CN" w:bidi="ar"/>
                    </w:rPr>
                    <w:t>河流名称</w:t>
                  </w:r>
                </w:p>
              </w:tc>
              <w:tc>
                <w:tcPr>
                  <w:tcW w:w="107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1" w:after="0" w:afterAutospacing="1"/>
                    <w:ind w:left="0" w:right="0"/>
                    <w:jc w:val="center"/>
                    <w:rPr>
                      <w:color w:val="auto"/>
                    </w:rPr>
                  </w:pPr>
                  <w:r>
                    <w:rPr>
                      <w:rFonts w:hint="eastAsia" w:ascii="宋体" w:hAnsi="宋体" w:eastAsia="宋体" w:cs="宋体"/>
                      <w:b/>
                      <w:bCs w:val="0"/>
                      <w:color w:val="auto"/>
                      <w:kern w:val="2"/>
                      <w:sz w:val="21"/>
                      <w:szCs w:val="21"/>
                      <w:lang w:val="en-US" w:eastAsia="zh-CN" w:bidi="ar"/>
                    </w:rPr>
                    <w:t>断面名称</w:t>
                  </w:r>
                </w:p>
              </w:tc>
              <w:tc>
                <w:tcPr>
                  <w:tcW w:w="489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1" w:after="0" w:afterAutospacing="1"/>
                    <w:ind w:left="0" w:right="0"/>
                    <w:jc w:val="center"/>
                    <w:rPr>
                      <w:color w:val="auto"/>
                    </w:rPr>
                  </w:pPr>
                  <w:r>
                    <w:rPr>
                      <w:rFonts w:hint="eastAsia" w:ascii="宋体" w:hAnsi="宋体" w:eastAsia="宋体" w:cs="宋体"/>
                      <w:b/>
                      <w:bCs w:val="0"/>
                      <w:color w:val="auto"/>
                      <w:kern w:val="2"/>
                      <w:sz w:val="21"/>
                      <w:szCs w:val="21"/>
                      <w:lang w:val="en-US" w:eastAsia="zh-CN" w:bidi="ar"/>
                    </w:rPr>
                    <w:t>各监测断面水质情况</w:t>
                  </w:r>
                </w:p>
              </w:tc>
              <w:tc>
                <w:tcPr>
                  <w:tcW w:w="148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1" w:after="0" w:afterAutospacing="1"/>
                    <w:ind w:left="0" w:right="0"/>
                    <w:jc w:val="center"/>
                    <w:rPr>
                      <w:color w:val="auto"/>
                    </w:rPr>
                  </w:pPr>
                  <w:r>
                    <w:rPr>
                      <w:rFonts w:hint="eastAsia" w:ascii="宋体" w:hAnsi="宋体" w:eastAsia="宋体" w:cs="宋体"/>
                      <w:b/>
                      <w:bCs w:val="0"/>
                      <w:color w:val="auto"/>
                      <w:kern w:val="2"/>
                      <w:sz w:val="21"/>
                      <w:szCs w:val="21"/>
                      <w:lang w:val="en-US" w:eastAsia="zh-CN" w:bidi="ar"/>
                    </w:rPr>
                    <w:t>河流水质状况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7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color w:val="auto"/>
                      <w:sz w:val="24"/>
                      <w:szCs w:val="24"/>
                    </w:rPr>
                  </w:pPr>
                </w:p>
              </w:tc>
              <w:tc>
                <w:tcPr>
                  <w:tcW w:w="10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color w:val="auto"/>
                      <w:sz w:val="24"/>
                      <w:szCs w:val="24"/>
                    </w:rPr>
                  </w:pPr>
                </w:p>
              </w:tc>
              <w:tc>
                <w:tcPr>
                  <w:tcW w:w="12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1" w:after="0" w:afterAutospacing="1"/>
                    <w:ind w:left="0" w:right="0"/>
                    <w:jc w:val="center"/>
                    <w:rPr>
                      <w:color w:val="auto"/>
                    </w:rPr>
                  </w:pPr>
                  <w:r>
                    <w:rPr>
                      <w:rFonts w:hint="default" w:ascii="Times New Roman" w:hAnsi="Times New Roman" w:eastAsia="宋体" w:cs="Times New Roman"/>
                      <w:b/>
                      <w:bCs w:val="0"/>
                      <w:color w:val="auto"/>
                      <w:kern w:val="2"/>
                      <w:sz w:val="21"/>
                      <w:szCs w:val="21"/>
                      <w:lang w:val="en-US" w:eastAsia="zh-CN" w:bidi="ar"/>
                    </w:rPr>
                    <w:t>20</w:t>
                  </w:r>
                  <w:r>
                    <w:rPr>
                      <w:rFonts w:hint="eastAsia" w:ascii="Times New Roman" w:hAnsi="Times New Roman" w:eastAsia="宋体" w:cs="Times New Roman"/>
                      <w:b/>
                      <w:bCs w:val="0"/>
                      <w:color w:val="auto"/>
                      <w:kern w:val="2"/>
                      <w:sz w:val="21"/>
                      <w:szCs w:val="21"/>
                      <w:lang w:val="en-US" w:eastAsia="zh-CN" w:bidi="ar"/>
                    </w:rPr>
                    <w:t>20</w:t>
                  </w:r>
                  <w:r>
                    <w:rPr>
                      <w:rFonts w:hint="eastAsia" w:ascii="宋体" w:hAnsi="宋体" w:eastAsia="宋体" w:cs="宋体"/>
                      <w:b/>
                      <w:bCs w:val="0"/>
                      <w:color w:val="auto"/>
                      <w:kern w:val="2"/>
                      <w:sz w:val="21"/>
                      <w:szCs w:val="21"/>
                      <w:lang w:val="en-US" w:eastAsia="zh-CN" w:bidi="ar"/>
                    </w:rPr>
                    <w:t>年</w:t>
                  </w:r>
                </w:p>
              </w:tc>
              <w:tc>
                <w:tcPr>
                  <w:tcW w:w="93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1" w:after="0" w:afterAutospacing="1"/>
                    <w:ind w:left="0" w:right="0"/>
                    <w:jc w:val="center"/>
                    <w:rPr>
                      <w:color w:val="auto"/>
                    </w:rPr>
                  </w:pPr>
                  <w:r>
                    <w:rPr>
                      <w:rFonts w:hint="default" w:ascii="Times New Roman" w:hAnsi="Times New Roman" w:eastAsia="宋体" w:cs="Times New Roman"/>
                      <w:b/>
                      <w:bCs w:val="0"/>
                      <w:color w:val="auto"/>
                      <w:kern w:val="2"/>
                      <w:sz w:val="21"/>
                      <w:szCs w:val="21"/>
                      <w:lang w:val="en-US" w:eastAsia="zh-CN" w:bidi="ar"/>
                    </w:rPr>
                    <w:t>20</w:t>
                  </w:r>
                  <w:r>
                    <w:rPr>
                      <w:rFonts w:hint="eastAsia" w:ascii="Times New Roman" w:hAnsi="Times New Roman" w:eastAsia="宋体" w:cs="Times New Roman"/>
                      <w:b/>
                      <w:bCs w:val="0"/>
                      <w:color w:val="auto"/>
                      <w:kern w:val="2"/>
                      <w:sz w:val="21"/>
                      <w:szCs w:val="21"/>
                      <w:lang w:val="en-US" w:eastAsia="zh-CN" w:bidi="ar"/>
                    </w:rPr>
                    <w:t>21</w:t>
                  </w:r>
                  <w:r>
                    <w:rPr>
                      <w:rFonts w:hint="eastAsia" w:ascii="宋体" w:hAnsi="宋体" w:eastAsia="宋体" w:cs="宋体"/>
                      <w:b/>
                      <w:bCs w:val="0"/>
                      <w:color w:val="auto"/>
                      <w:kern w:val="2"/>
                      <w:sz w:val="21"/>
                      <w:szCs w:val="21"/>
                      <w:lang w:val="en-US" w:eastAsia="zh-CN" w:bidi="ar"/>
                    </w:rPr>
                    <w:t>年</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1" w:after="0" w:afterAutospacing="1"/>
                    <w:ind w:left="0" w:right="0"/>
                    <w:jc w:val="center"/>
                    <w:rPr>
                      <w:color w:val="auto"/>
                    </w:rPr>
                  </w:pPr>
                  <w:r>
                    <w:rPr>
                      <w:rFonts w:hint="eastAsia" w:ascii="宋体" w:hAnsi="宋体" w:eastAsia="宋体" w:cs="宋体"/>
                      <w:b/>
                      <w:bCs w:val="0"/>
                      <w:color w:val="auto"/>
                      <w:kern w:val="2"/>
                      <w:sz w:val="21"/>
                      <w:szCs w:val="21"/>
                      <w:lang w:val="en-US" w:eastAsia="zh-CN" w:bidi="ar"/>
                    </w:rPr>
                    <w:t>水质达标情况</w:t>
                  </w:r>
                </w:p>
              </w:tc>
              <w:tc>
                <w:tcPr>
                  <w:tcW w:w="12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1" w:after="0" w:afterAutospacing="1"/>
                    <w:ind w:left="0" w:right="0"/>
                    <w:jc w:val="center"/>
                    <w:rPr>
                      <w:color w:val="auto"/>
                    </w:rPr>
                  </w:pPr>
                  <w:r>
                    <w:rPr>
                      <w:rFonts w:hint="eastAsia" w:ascii="宋体" w:hAnsi="宋体" w:eastAsia="宋体" w:cs="宋体"/>
                      <w:b/>
                      <w:bCs w:val="0"/>
                      <w:color w:val="auto"/>
                      <w:kern w:val="2"/>
                      <w:sz w:val="21"/>
                      <w:szCs w:val="21"/>
                      <w:lang w:val="en-US" w:eastAsia="zh-CN" w:bidi="ar"/>
                    </w:rPr>
                    <w:t>主要污染物</w:t>
                  </w:r>
                </w:p>
              </w:tc>
              <w:tc>
                <w:tcPr>
                  <w:tcW w:w="14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71" w:type="dxa"/>
                  <w:vMerge w:val="restart"/>
                  <w:tcBorders>
                    <w:top w:val="single" w:color="auto" w:sz="4" w:space="0"/>
                    <w:left w:val="single" w:color="auto" w:sz="4" w:space="0"/>
                    <w:right w:val="single" w:color="auto" w:sz="4" w:space="0"/>
                  </w:tcBorders>
                  <w:shd w:val="clear" w:color="auto" w:fill="auto"/>
                  <w:vAlign w:val="center"/>
                </w:tcPr>
                <w:p>
                  <w:pPr>
                    <w:keepNext w:val="0"/>
                    <w:keepLines w:val="0"/>
                    <w:widowControl/>
                    <w:suppressLineNumbers w:val="0"/>
                    <w:spacing w:before="0" w:beforeAutospacing="1" w:after="0" w:afterAutospacing="1"/>
                    <w:ind w:left="0" w:right="0"/>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lang w:val="en-US" w:eastAsia="zh-CN"/>
                    </w:rPr>
                    <w:t>伊逊河</w:t>
                  </w:r>
                </w:p>
              </w:tc>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adjustRightInd w:val="0"/>
                    <w:spacing w:before="0" w:beforeAutospacing="1" w:after="0" w:afterAutospacing="1"/>
                    <w:ind w:left="0" w:right="0"/>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lang w:val="en-US" w:eastAsia="zh-CN"/>
                    </w:rPr>
                    <w:t>唐三营</w:t>
                  </w:r>
                </w:p>
              </w:tc>
              <w:tc>
                <w:tcPr>
                  <w:tcW w:w="12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adjustRightInd w:val="0"/>
                    <w:spacing w:before="0" w:beforeAutospacing="1" w:after="0" w:afterAutospacing="1"/>
                    <w:ind w:left="0" w:right="0"/>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lang w:val="en-US" w:eastAsia="zh-CN"/>
                    </w:rPr>
                    <w:t>II</w:t>
                  </w:r>
                </w:p>
              </w:tc>
              <w:tc>
                <w:tcPr>
                  <w:tcW w:w="93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adjustRightInd w:val="0"/>
                    <w:spacing w:before="0" w:beforeAutospacing="1" w:after="0" w:afterAutospacing="1"/>
                    <w:ind w:left="0" w:right="0"/>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lang w:val="en-US" w:eastAsia="zh-CN"/>
                    </w:rPr>
                    <w:t>III</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1" w:after="0" w:afterAutospacing="1"/>
                    <w:ind w:left="0" w:right="0"/>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lang w:val="en-US" w:eastAsia="zh-CN"/>
                    </w:rPr>
                    <w:t>达标</w:t>
                  </w:r>
                </w:p>
              </w:tc>
              <w:tc>
                <w:tcPr>
                  <w:tcW w:w="12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1" w:after="0" w:afterAutospacing="1"/>
                    <w:ind w:left="0" w:right="0"/>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lang w:val="en-US" w:eastAsia="zh-CN"/>
                    </w:rPr>
                    <w:t>/</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1" w:after="0" w:afterAutospacing="1"/>
                    <w:ind w:left="0" w:right="0"/>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lang w:val="en-US" w:eastAsia="zh-CN"/>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1"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1" w:after="0" w:afterAutospacing="1"/>
                    <w:ind w:left="0" w:right="0"/>
                    <w:jc w:val="center"/>
                    <w:rPr>
                      <w:rFonts w:hint="default" w:ascii="Times New Roman" w:hAnsi="Times New Roman" w:eastAsia="宋体" w:cs="Times New Roman"/>
                      <w:color w:val="auto"/>
                      <w:kern w:val="2"/>
                      <w:sz w:val="21"/>
                      <w:szCs w:val="21"/>
                      <w:lang w:val="en-US" w:eastAsia="zh-CN" w:bidi="ar"/>
                    </w:rPr>
                  </w:pPr>
                </w:p>
              </w:tc>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adjustRightInd w:val="0"/>
                    <w:spacing w:before="0" w:beforeAutospacing="1" w:after="0" w:afterAutospacing="1"/>
                    <w:ind w:left="0" w:right="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李台</w:t>
                  </w:r>
                </w:p>
              </w:tc>
              <w:tc>
                <w:tcPr>
                  <w:tcW w:w="12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adjustRightInd w:val="0"/>
                    <w:spacing w:before="0" w:beforeAutospacing="1" w:after="0" w:afterAutospacing="1"/>
                    <w:ind w:left="0" w:right="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III</w:t>
                  </w:r>
                </w:p>
              </w:tc>
              <w:tc>
                <w:tcPr>
                  <w:tcW w:w="93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adjustRightInd w:val="0"/>
                    <w:spacing w:before="0" w:beforeAutospacing="1" w:after="0" w:afterAutospacing="1"/>
                    <w:ind w:left="0" w:right="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III</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1" w:after="0" w:afterAutospacing="1"/>
                    <w:ind w:left="0" w:right="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达标</w:t>
                  </w:r>
                </w:p>
              </w:tc>
              <w:tc>
                <w:tcPr>
                  <w:tcW w:w="12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1" w:after="0" w:afterAutospacing="1"/>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1" w:after="0" w:afterAutospacing="1"/>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cs="Times New Roman"/>
                      <w:color w:val="auto"/>
                      <w:lang w:val="en-US" w:eastAsia="zh-CN"/>
                    </w:rPr>
                    <w:t>良好</w:t>
                  </w:r>
                </w:p>
              </w:tc>
            </w:tr>
          </w:tbl>
          <w:p>
            <w:pPr>
              <w:adjustRightInd w:val="0"/>
              <w:snapToGrid w:val="0"/>
              <w:spacing w:before="156" w:beforeLines="50" w:line="360" w:lineRule="auto"/>
              <w:ind w:firstLine="482"/>
              <w:rPr>
                <w:rFonts w:ascii="Times New Roman" w:hAnsi="Times New Roman" w:cs="Times New Roman"/>
                <w:b/>
                <w:bCs/>
                <w:color w:val="auto"/>
                <w:sz w:val="24"/>
              </w:rPr>
            </w:pPr>
            <w:r>
              <w:rPr>
                <w:rFonts w:ascii="Times New Roman" w:hAnsi="Times New Roman" w:cs="Times New Roman"/>
                <w:b/>
                <w:bCs/>
                <w:color w:val="auto"/>
                <w:sz w:val="24"/>
              </w:rPr>
              <w:t>3、地下水环境</w:t>
            </w:r>
          </w:p>
          <w:p>
            <w:pPr>
              <w:adjustRightInd w:val="0"/>
              <w:snapToGrid w:val="0"/>
              <w:spacing w:line="360" w:lineRule="auto"/>
              <w:ind w:firstLine="482"/>
              <w:rPr>
                <w:rFonts w:ascii="Times New Roman" w:hAnsi="Times New Roman" w:cs="Times New Roman"/>
                <w:b/>
                <w:bCs/>
                <w:color w:val="auto"/>
                <w:sz w:val="24"/>
              </w:rPr>
            </w:pPr>
            <w:r>
              <w:rPr>
                <w:rFonts w:ascii="Times New Roman" w:hAnsi="Times New Roman" w:cs="Times New Roman"/>
                <w:snapToGrid w:val="0"/>
                <w:color w:val="auto"/>
                <w:kern w:val="0"/>
                <w:sz w:val="24"/>
              </w:rPr>
              <w:t>根据工程分析，本项目不涉及地下水污染源、</w:t>
            </w:r>
            <w:r>
              <w:rPr>
                <w:rFonts w:hint="eastAsia" w:ascii="Times New Roman" w:hAnsi="Times New Roman" w:cs="Times New Roman"/>
                <w:snapToGrid w:val="0"/>
                <w:color w:val="auto"/>
                <w:kern w:val="0"/>
                <w:sz w:val="24"/>
                <w:lang w:val="en-US" w:eastAsia="zh-CN"/>
              </w:rPr>
              <w:t>厂区地面均已硬化，不存在</w:t>
            </w:r>
            <w:r>
              <w:rPr>
                <w:rFonts w:ascii="Times New Roman" w:hAnsi="Times New Roman" w:cs="Times New Roman"/>
                <w:snapToGrid w:val="0"/>
                <w:color w:val="auto"/>
                <w:kern w:val="0"/>
                <w:sz w:val="24"/>
              </w:rPr>
              <w:t>地下水环境污染途径，不开展环境质量现状调查。</w:t>
            </w:r>
          </w:p>
          <w:p>
            <w:pPr>
              <w:adjustRightInd w:val="0"/>
              <w:snapToGrid w:val="0"/>
              <w:spacing w:line="360" w:lineRule="auto"/>
              <w:ind w:firstLine="482"/>
              <w:rPr>
                <w:rFonts w:ascii="Times New Roman" w:hAnsi="Times New Roman" w:cs="Times New Roman"/>
                <w:b/>
                <w:bCs/>
                <w:color w:val="auto"/>
                <w:sz w:val="24"/>
                <w:highlight w:val="none"/>
              </w:rPr>
            </w:pPr>
            <w:r>
              <w:rPr>
                <w:rFonts w:ascii="Times New Roman" w:hAnsi="Times New Roman" w:cs="Times New Roman"/>
                <w:b/>
                <w:bCs/>
                <w:color w:val="auto"/>
                <w:sz w:val="24"/>
                <w:highlight w:val="none"/>
              </w:rPr>
              <w:t>4、声环境</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厂界外周边50米范围内声环境保护目标</w:t>
            </w:r>
            <w:r>
              <w:rPr>
                <w:rFonts w:hint="eastAsia" w:ascii="Times New Roman" w:hAnsi="Times New Roman" w:cs="Times New Roman"/>
                <w:color w:val="auto"/>
                <w:sz w:val="24"/>
                <w:highlight w:val="none"/>
                <w:lang w:val="en-US" w:eastAsia="zh-CN"/>
              </w:rPr>
              <w:t>为二十三号村</w:t>
            </w:r>
            <w:r>
              <w:rPr>
                <w:rFonts w:ascii="Times New Roman" w:hAnsi="Times New Roman" w:cs="Times New Roman"/>
                <w:color w:val="auto"/>
                <w:sz w:val="24"/>
                <w:highlight w:val="none"/>
              </w:rPr>
              <w:t>。</w:t>
            </w:r>
          </w:p>
          <w:p>
            <w:pPr>
              <w:spacing w:line="360" w:lineRule="auto"/>
              <w:ind w:firstLine="482" w:firstLineChars="200"/>
              <w:rPr>
                <w:rFonts w:ascii="Times New Roman" w:hAnsi="Times New Roman" w:cs="Times New Roman"/>
                <w:b/>
                <w:bCs/>
                <w:color w:val="auto"/>
                <w:sz w:val="24"/>
              </w:rPr>
            </w:pPr>
            <w:r>
              <w:rPr>
                <w:rFonts w:ascii="Times New Roman" w:hAnsi="Times New Roman" w:cs="Times New Roman"/>
                <w:b/>
                <w:bCs/>
                <w:color w:val="auto"/>
                <w:sz w:val="24"/>
              </w:rPr>
              <w:t>5、土壤环境</w:t>
            </w:r>
          </w:p>
          <w:p>
            <w:pPr>
              <w:adjustRightInd w:val="0"/>
              <w:snapToGrid w:val="0"/>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本项目为大气污染影响特征明显的项目，所排放废气中颗粒物</w:t>
            </w:r>
            <w:r>
              <w:rPr>
                <w:rFonts w:hint="eastAsia" w:ascii="Times New Roman" w:hAnsi="Times New Roman" w:eastAsia="宋体" w:cs="Times New Roman"/>
                <w:b w:val="0"/>
                <w:bCs w:val="0"/>
                <w:color w:val="auto"/>
                <w:sz w:val="24"/>
                <w:szCs w:val="24"/>
                <w:lang w:val="en-US" w:eastAsia="zh-CN"/>
              </w:rPr>
              <w:t>、汞</w:t>
            </w:r>
            <w:r>
              <w:rPr>
                <w:rFonts w:hint="default" w:ascii="Times New Roman" w:hAnsi="Times New Roman" w:eastAsia="宋体" w:cs="Times New Roman"/>
                <w:b w:val="0"/>
                <w:bCs w:val="0"/>
                <w:color w:val="auto"/>
                <w:sz w:val="24"/>
                <w:szCs w:val="24"/>
                <w:lang w:val="en-US" w:eastAsia="zh-CN"/>
              </w:rPr>
              <w:t>会随着大气沉降影响土壤环境质量。</w:t>
            </w:r>
            <w:r>
              <w:rPr>
                <w:rFonts w:hint="eastAsia" w:ascii="Times New Roman" w:hAnsi="Times New Roman" w:eastAsia="宋体" w:cs="Times New Roman"/>
                <w:b w:val="0"/>
                <w:bCs w:val="0"/>
                <w:color w:val="auto"/>
                <w:sz w:val="24"/>
                <w:szCs w:val="24"/>
                <w:lang w:val="en-US" w:eastAsia="zh-CN"/>
              </w:rPr>
              <w:t>2023</w:t>
            </w:r>
            <w:r>
              <w:rPr>
                <w:rFonts w:hint="default" w:ascii="Times New Roman" w:hAnsi="Times New Roman" w:eastAsia="宋体" w:cs="Times New Roman"/>
                <w:b w:val="0"/>
                <w:bCs w:val="0"/>
                <w:color w:val="auto"/>
                <w:sz w:val="24"/>
                <w:szCs w:val="24"/>
                <w:lang w:val="en-US" w:eastAsia="zh-CN"/>
              </w:rPr>
              <w:t>年</w:t>
            </w:r>
            <w:r>
              <w:rPr>
                <w:rFonts w:hint="eastAsia" w:ascii="Times New Roman" w:hAnsi="Times New Roman" w:eastAsia="宋体"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lang w:val="en-US" w:eastAsia="zh-CN"/>
              </w:rPr>
              <w:t>月</w:t>
            </w:r>
            <w:r>
              <w:rPr>
                <w:rFonts w:hint="eastAsia"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lang w:val="en-US" w:eastAsia="zh-CN"/>
              </w:rPr>
              <w:t>日，为了解项目区域土壤环境质量现状，辽宁鹏宇环境监测有限公司对项目区域土壤环境质量进行了监测，并出具了</w:t>
            </w:r>
            <w:r>
              <w:rPr>
                <w:rFonts w:hint="eastAsia" w:ascii="Times New Roman" w:hAnsi="Times New Roman" w:cs="Times New Roman"/>
                <w:color w:val="auto"/>
                <w:sz w:val="24"/>
                <w:szCs w:val="24"/>
                <w:lang w:val="en-US" w:eastAsia="zh-CN"/>
              </w:rPr>
              <w:t>《围场满族蒙古族自治县腾兴供热有限公司城北热源厂（金字供热站）项目</w:t>
            </w:r>
            <w:r>
              <w:rPr>
                <w:rFonts w:hint="eastAsia" w:ascii="Times New Roman" w:hAnsi="Times New Roman" w:cs="Times New Roman"/>
                <w:color w:val="auto"/>
                <w:sz w:val="24"/>
                <w:szCs w:val="24"/>
              </w:rPr>
              <w:t>环境质量现状</w:t>
            </w:r>
            <w:r>
              <w:rPr>
                <w:rFonts w:hint="eastAsia" w:ascii="Times New Roman" w:hAnsi="Times New Roman" w:cs="Times New Roman"/>
                <w:color w:val="auto"/>
                <w:sz w:val="24"/>
                <w:szCs w:val="24"/>
                <w:lang w:eastAsia="zh-CN"/>
              </w:rPr>
              <w:t>检</w:t>
            </w:r>
            <w:r>
              <w:rPr>
                <w:rFonts w:hint="eastAsia" w:ascii="Times New Roman" w:hAnsi="Times New Roman" w:cs="Times New Roman"/>
                <w:color w:val="auto"/>
                <w:sz w:val="24"/>
                <w:szCs w:val="24"/>
              </w:rPr>
              <w:t>测</w:t>
            </w:r>
            <w:r>
              <w:rPr>
                <w:rFonts w:hint="eastAsia"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eastAsia="zh-CN"/>
              </w:rPr>
              <w:t>（辽鹏环测）字PY2302309-001号</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，详见附件：</w:t>
            </w:r>
          </w:p>
          <w:p>
            <w:pPr>
              <w:adjustRightInd w:val="0"/>
              <w:snapToGrid w:val="0"/>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监测点位布置：</w:t>
            </w:r>
          </w:p>
          <w:p>
            <w:pPr>
              <w:adjustRightInd w:val="0"/>
              <w:snapToGrid w:val="0"/>
              <w:spacing w:line="360" w:lineRule="auto"/>
              <w:ind w:firstLine="480" w:firstLineChars="200"/>
              <w:rPr>
                <w:rFonts w:hint="default" w:ascii="Times New Roman" w:hAnsi="Times New Roman" w:eastAsia="宋体" w:cs="Times New Roman"/>
                <w:b/>
                <w:color w:val="auto"/>
                <w:szCs w:val="21"/>
                <w:highlight w:val="none"/>
              </w:rPr>
            </w:pPr>
            <w:r>
              <w:rPr>
                <w:rFonts w:hint="default" w:ascii="Times New Roman" w:hAnsi="Times New Roman" w:cs="Times New Roman"/>
                <w:b w:val="0"/>
                <w:bCs/>
                <w:color w:val="auto"/>
                <w:sz w:val="24"/>
                <w:lang w:val="en-US" w:eastAsia="zh-CN"/>
              </w:rPr>
              <w:t>建设</w:t>
            </w:r>
            <w:r>
              <w:rPr>
                <w:rFonts w:hint="eastAsia" w:ascii="Times New Roman" w:hAnsi="Times New Roman" w:cs="Times New Roman"/>
                <w:b w:val="0"/>
                <w:bCs/>
                <w:color w:val="auto"/>
                <w:sz w:val="24"/>
                <w:lang w:val="en-US" w:eastAsia="zh-CN"/>
              </w:rPr>
              <w:t>项目排气筒下风向58m</w:t>
            </w:r>
            <w:r>
              <w:rPr>
                <w:rFonts w:hint="default" w:ascii="Times New Roman" w:hAnsi="Times New Roman" w:cs="Times New Roman"/>
                <w:b w:val="0"/>
                <w:bCs/>
                <w:color w:val="auto"/>
                <w:sz w:val="24"/>
                <w:lang w:val="en-US" w:eastAsia="zh-CN"/>
              </w:rPr>
              <w:t>设1个</w:t>
            </w:r>
            <w:r>
              <w:rPr>
                <w:rFonts w:hint="eastAsia" w:ascii="Times New Roman" w:hAnsi="Times New Roman" w:cs="Times New Roman"/>
                <w:b w:val="0"/>
                <w:bCs/>
                <w:color w:val="auto"/>
                <w:sz w:val="24"/>
                <w:lang w:val="en-US" w:eastAsia="zh-CN"/>
              </w:rPr>
              <w:t>表层样</w:t>
            </w:r>
            <w:r>
              <w:rPr>
                <w:rFonts w:hint="default" w:ascii="Times New Roman" w:hAnsi="Times New Roman" w:cs="Times New Roman"/>
                <w:b w:val="0"/>
                <w:bCs/>
                <w:color w:val="auto"/>
                <w:sz w:val="24"/>
                <w:lang w:val="en-US" w:eastAsia="zh-CN"/>
              </w:rPr>
              <w:t>采样点。</w:t>
            </w:r>
          </w:p>
          <w:p>
            <w:pPr>
              <w:adjustRightInd w:val="0"/>
              <w:snapToGrid w:val="0"/>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监测因子：</w:t>
            </w:r>
          </w:p>
          <w:p>
            <w:pPr>
              <w:adjustRightInd w:val="0"/>
              <w:snapToGrid w:val="0"/>
              <w:spacing w:line="360" w:lineRule="auto"/>
              <w:ind w:firstLine="482" w:firstLineChars="200"/>
              <w:rPr>
                <w:rFonts w:hint="default" w:ascii="Times New Roman" w:hAnsi="Times New Roman" w:cs="Times New Roman"/>
                <w:color w:val="auto"/>
                <w:sz w:val="24"/>
                <w:szCs w:val="24"/>
                <w:lang w:eastAsia="zh-CN"/>
              </w:rPr>
            </w:pPr>
            <w:r>
              <w:rPr>
                <w:rFonts w:hint="default" w:ascii="Times New Roman" w:hAnsi="Times New Roman" w:cs="Times New Roman"/>
                <w:b/>
                <w:bCs/>
                <w:color w:val="auto"/>
                <w:sz w:val="24"/>
                <w:lang w:val="en-US" w:eastAsia="zh-CN"/>
              </w:rPr>
              <w:t>占地范围内</w:t>
            </w:r>
            <w:r>
              <w:rPr>
                <w:rFonts w:hint="default" w:ascii="Times New Roman" w:hAnsi="Times New Roman" w:cs="Times New Roman"/>
                <w:b/>
                <w:bCs/>
                <w:color w:val="auto"/>
                <w:sz w:val="24"/>
                <w:lang w:eastAsia="zh-CN"/>
              </w:rPr>
              <w:t>《GB 36600-2018》</w:t>
            </w:r>
            <w:r>
              <w:rPr>
                <w:rFonts w:hint="default" w:ascii="Times New Roman" w:hAnsi="Times New Roman" w:cs="Times New Roman"/>
                <w:b/>
                <w:bCs/>
                <w:color w:val="auto"/>
                <w:sz w:val="24"/>
                <w:szCs w:val="24"/>
                <w:lang w:eastAsia="zh-CN"/>
              </w:rPr>
              <w:t>表</w:t>
            </w:r>
            <w:r>
              <w:rPr>
                <w:rFonts w:hint="default" w:ascii="Times New Roman" w:hAnsi="Times New Roman" w:cs="Times New Roman"/>
                <w:b/>
                <w:bCs/>
                <w:color w:val="auto"/>
                <w:sz w:val="24"/>
                <w:szCs w:val="24"/>
                <w:lang w:val="en-US" w:eastAsia="zh-CN"/>
              </w:rPr>
              <w:t>1中45项基本项目</w:t>
            </w:r>
            <w:r>
              <w:rPr>
                <w:rFonts w:hint="default" w:ascii="Times New Roman" w:hAnsi="Times New Roman" w:cs="Times New Roman"/>
                <w:b w:val="0"/>
                <w:bCs/>
                <w:color w:val="auto"/>
                <w:sz w:val="24"/>
                <w:szCs w:val="24"/>
                <w:lang w:val="en-US" w:eastAsia="zh-CN"/>
              </w:rPr>
              <w:t>：</w:t>
            </w:r>
            <w:r>
              <w:rPr>
                <w:rFonts w:hint="default" w:ascii="Times New Roman" w:hAnsi="Times New Roman" w:cs="Times New Roman"/>
                <w:color w:val="auto"/>
                <w:sz w:val="24"/>
              </w:rPr>
              <w:t>砷、镉、铬（六价）、铜、铅、汞、镍</w:t>
            </w:r>
            <w:r>
              <w:rPr>
                <w:rFonts w:hint="default" w:ascii="Times New Roman" w:hAnsi="Times New Roman" w:cs="Times New Roman"/>
                <w:color w:val="auto"/>
                <w:sz w:val="24"/>
                <w:szCs w:val="24"/>
              </w:rPr>
              <w:t>、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荧[k]蒽、䓛、二苯并[a,h]蒽、茚并[1,2,3-cd]芘、萘</w:t>
            </w:r>
            <w:r>
              <w:rPr>
                <w:rFonts w:hint="default" w:ascii="Times New Roman" w:hAnsi="Times New Roman" w:cs="Times New Roman"/>
                <w:color w:val="auto"/>
                <w:sz w:val="24"/>
                <w:szCs w:val="24"/>
                <w:lang w:eastAsia="zh-CN"/>
              </w:rPr>
              <w:t>。</w:t>
            </w:r>
          </w:p>
          <w:p>
            <w:pPr>
              <w:adjustRightInd w:val="0"/>
              <w:snapToGrid w:val="0"/>
              <w:spacing w:line="360" w:lineRule="auto"/>
              <w:ind w:firstLine="482" w:firstLineChars="200"/>
              <w:rPr>
                <w:rFonts w:hint="eastAsia" w:ascii="Times New Roman" w:hAnsi="Times New Roman" w:eastAsia="宋体" w:cs="Times New Roman"/>
                <w:b/>
                <w:bCs w:val="0"/>
                <w:color w:val="auto"/>
                <w:sz w:val="24"/>
                <w:lang w:val="en-US" w:eastAsia="zh-CN"/>
              </w:rPr>
            </w:pPr>
            <w:r>
              <w:rPr>
                <w:rFonts w:hint="eastAsia" w:ascii="Times New Roman" w:hAnsi="Times New Roman" w:eastAsia="宋体" w:cs="Times New Roman"/>
                <w:b/>
                <w:bCs w:val="0"/>
                <w:color w:val="auto"/>
                <w:sz w:val="24"/>
                <w:lang w:val="en-US" w:eastAsia="zh-CN"/>
              </w:rPr>
              <w:t>监测因子与评价标准：</w:t>
            </w:r>
          </w:p>
          <w:p>
            <w:pPr>
              <w:adjustRightInd w:val="0"/>
              <w:snapToGrid w:val="0"/>
              <w:spacing w:line="360" w:lineRule="auto"/>
              <w:ind w:firstLine="480" w:firstLineChars="200"/>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lang w:val="en-US" w:eastAsia="zh-CN"/>
              </w:rPr>
              <w:t>本次评价因子同监测因子，评价标准采用《土壤环境质量 建设用地土壤污染风险管控标准（试行）》（GB 36600-2018）表1中第二类用地的筛选值标准。</w:t>
            </w:r>
          </w:p>
          <w:p>
            <w:pPr>
              <w:adjustRightInd w:val="0"/>
              <w:snapToGrid w:val="0"/>
              <w:spacing w:line="360" w:lineRule="auto"/>
              <w:ind w:firstLine="482" w:firstLineChars="200"/>
              <w:rPr>
                <w:rFonts w:hint="eastAsia" w:ascii="Times New Roman" w:hAnsi="Times New Roman" w:eastAsia="宋体" w:cs="Times New Roman"/>
                <w:b/>
                <w:bCs w:val="0"/>
                <w:color w:val="auto"/>
                <w:sz w:val="24"/>
                <w:lang w:val="en-US" w:eastAsia="zh-CN"/>
              </w:rPr>
            </w:pPr>
            <w:r>
              <w:rPr>
                <w:rFonts w:hint="eastAsia" w:ascii="Times New Roman" w:hAnsi="Times New Roman" w:eastAsia="宋体" w:cs="Times New Roman"/>
                <w:b/>
                <w:bCs w:val="0"/>
                <w:color w:val="auto"/>
                <w:sz w:val="24"/>
                <w:lang w:val="en-US" w:eastAsia="zh-CN"/>
              </w:rPr>
              <w:t>监测结果分析：</w:t>
            </w:r>
          </w:p>
          <w:p>
            <w:pPr>
              <w:pStyle w:val="59"/>
              <w:keepNext w:val="0"/>
              <w:keepLines w:val="0"/>
              <w:pageBreakBefore w:val="0"/>
              <w:widowControl w:val="0"/>
              <w:numPr>
                <w:ilvl w:val="0"/>
                <w:numId w:val="8"/>
              </w:numPr>
              <w:kinsoku/>
              <w:wordWrap/>
              <w:overflowPunct/>
              <w:topLinePunct w:val="0"/>
              <w:autoSpaceDE w:val="0"/>
              <w:autoSpaceDN w:val="0"/>
              <w:bidi w:val="0"/>
              <w:adjustRightInd w:val="0"/>
              <w:snapToGrid w:val="0"/>
              <w:spacing w:line="240" w:lineRule="auto"/>
              <w:ind w:left="0" w:firstLine="0" w:firstLineChars="0"/>
              <w:jc w:val="center"/>
              <w:textAlignment w:val="auto"/>
              <w:rPr>
                <w:rStyle w:val="24"/>
                <w:rFonts w:hint="default" w:ascii="Times New Roman" w:hAnsi="Times New Roman" w:eastAsia="宋体" w:cs="Times New Roman"/>
                <w:color w:val="auto"/>
                <w:lang w:val="en-US" w:eastAsia="zh-CN"/>
              </w:rPr>
            </w:pPr>
            <w:r>
              <w:rPr>
                <w:rStyle w:val="24"/>
                <w:rFonts w:hint="default" w:ascii="Times New Roman" w:hAnsi="Times New Roman" w:eastAsia="宋体" w:cs="Times New Roman"/>
                <w:color w:val="auto"/>
                <w:lang w:val="en-US" w:eastAsia="zh-CN"/>
              </w:rPr>
              <w:t>土壤环境质量现状评价结果一览表</w:t>
            </w:r>
            <w:r>
              <w:rPr>
                <w:rStyle w:val="24"/>
                <w:rFonts w:hint="eastAsia" w:ascii="Times New Roman" w:hAnsi="Times New Roman" w:eastAsia="宋体" w:cs="Times New Roman"/>
                <w:color w:val="auto"/>
                <w:lang w:val="en-US" w:eastAsia="zh-CN"/>
              </w:rPr>
              <w:t>（厂地内）</w:t>
            </w:r>
            <w:r>
              <w:rPr>
                <w:rStyle w:val="24"/>
                <w:rFonts w:hint="default" w:ascii="Times New Roman" w:hAnsi="Times New Roman" w:eastAsia="宋体" w:cs="Times New Roman"/>
                <w:color w:val="auto"/>
                <w:lang w:val="en-US" w:eastAsia="zh-CN"/>
              </w:rPr>
              <w:t xml:space="preserve">  单位：mg/kg</w:t>
            </w:r>
          </w:p>
          <w:tbl>
            <w:tblPr>
              <w:tblStyle w:val="2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303"/>
              <w:gridCol w:w="1180"/>
              <w:gridCol w:w="1207"/>
              <w:gridCol w:w="2387"/>
              <w:gridCol w:w="1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1273" w:type="pct"/>
                  <w:vMerge w:val="restar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监测项目</w:t>
                  </w:r>
                </w:p>
              </w:tc>
              <w:tc>
                <w:tcPr>
                  <w:tcW w:w="652" w:type="pct"/>
                  <w:vMerge w:val="restar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标准值</w:t>
                  </w:r>
                </w:p>
              </w:tc>
              <w:tc>
                <w:tcPr>
                  <w:tcW w:w="667" w:type="pct"/>
                  <w:vMerge w:val="restar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单位</w:t>
                  </w:r>
                </w:p>
              </w:tc>
              <w:tc>
                <w:tcPr>
                  <w:tcW w:w="2406" w:type="pct"/>
                  <w:gridSpan w:val="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olor w:val="auto"/>
                      <w:lang w:val="en-US"/>
                    </w:rPr>
                  </w:pPr>
                  <w:r>
                    <w:rPr>
                      <w:rFonts w:hint="eastAsia" w:ascii="Times New Roman" w:hAnsi="Times New Roman" w:eastAsia="宋体" w:cs="Times New Roman"/>
                      <w:b/>
                      <w:i w:val="0"/>
                      <w:color w:val="auto"/>
                      <w:sz w:val="21"/>
                      <w:szCs w:val="21"/>
                      <w:highlight w:val="none"/>
                      <w:u w:val="none"/>
                      <w:lang w:val="en-US" w:eastAsia="zh-CN"/>
                    </w:rPr>
                    <w:t>Tr1#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1273" w:type="pct"/>
                  <w:vMerge w:val="continue"/>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i w:val="0"/>
                      <w:color w:val="auto"/>
                      <w:sz w:val="21"/>
                      <w:szCs w:val="21"/>
                      <w:highlight w:val="none"/>
                      <w:u w:val="none"/>
                    </w:rPr>
                  </w:pPr>
                </w:p>
              </w:tc>
              <w:tc>
                <w:tcPr>
                  <w:tcW w:w="652" w:type="pct"/>
                  <w:vMerge w:val="continue"/>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i w:val="0"/>
                      <w:color w:val="auto"/>
                      <w:sz w:val="21"/>
                      <w:szCs w:val="21"/>
                      <w:highlight w:val="none"/>
                      <w:u w:val="none"/>
                    </w:rPr>
                  </w:pPr>
                </w:p>
              </w:tc>
              <w:tc>
                <w:tcPr>
                  <w:tcW w:w="667" w:type="pct"/>
                  <w:vMerge w:val="continue"/>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i w:val="0"/>
                      <w:color w:val="auto"/>
                      <w:sz w:val="21"/>
                      <w:szCs w:val="21"/>
                      <w:highlight w:val="none"/>
                      <w:u w:val="none"/>
                    </w:rPr>
                  </w:pPr>
                </w:p>
              </w:tc>
              <w:tc>
                <w:tcPr>
                  <w:tcW w:w="2406" w:type="pct"/>
                  <w:gridSpan w:val="2"/>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i w:val="0"/>
                      <w:color w:val="auto"/>
                      <w:sz w:val="21"/>
                      <w:szCs w:val="21"/>
                      <w:highlight w:val="none"/>
                      <w:u w:val="none"/>
                      <w:lang w:val="en-US" w:eastAsia="zh-CN"/>
                    </w:rPr>
                  </w:pPr>
                  <w:r>
                    <w:rPr>
                      <w:rFonts w:hint="default" w:ascii="Times New Roman" w:hAnsi="Times New Roman" w:eastAsia="宋体" w:cs="Times New Roman"/>
                      <w:b/>
                      <w:i w:val="0"/>
                      <w:color w:val="auto"/>
                      <w:sz w:val="21"/>
                      <w:szCs w:val="21"/>
                      <w:highlight w:val="none"/>
                      <w:u w:val="none"/>
                      <w:lang w:val="en-US" w:eastAsia="zh-CN"/>
                    </w:rPr>
                    <w:t>0.2m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273" w:type="pct"/>
                  <w:vMerge w:val="continue"/>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i w:val="0"/>
                      <w:color w:val="auto"/>
                      <w:sz w:val="21"/>
                      <w:szCs w:val="21"/>
                      <w:highlight w:val="none"/>
                      <w:u w:val="none"/>
                    </w:rPr>
                  </w:pPr>
                </w:p>
              </w:tc>
              <w:tc>
                <w:tcPr>
                  <w:tcW w:w="652" w:type="pct"/>
                  <w:vMerge w:val="continue"/>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i w:val="0"/>
                      <w:color w:val="auto"/>
                      <w:sz w:val="21"/>
                      <w:szCs w:val="21"/>
                      <w:highlight w:val="none"/>
                      <w:u w:val="none"/>
                    </w:rPr>
                  </w:pPr>
                </w:p>
              </w:tc>
              <w:tc>
                <w:tcPr>
                  <w:tcW w:w="667" w:type="pct"/>
                  <w:vMerge w:val="continue"/>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i w:val="0"/>
                      <w:color w:val="auto"/>
                      <w:sz w:val="21"/>
                      <w:szCs w:val="21"/>
                      <w:highlight w:val="none"/>
                      <w:u w:val="none"/>
                    </w:rPr>
                  </w:pPr>
                </w:p>
              </w:tc>
              <w:tc>
                <w:tcPr>
                  <w:tcW w:w="1319"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监测值</w:t>
                  </w:r>
                </w:p>
              </w:tc>
              <w:tc>
                <w:tcPr>
                  <w:tcW w:w="1087"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标准指数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1273"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color w:val="auto"/>
                      <w:sz w:val="21"/>
                      <w:szCs w:val="21"/>
                      <w:highlight w:val="none"/>
                    </w:rPr>
                    <w:t>砷</w:t>
                  </w:r>
                </w:p>
              </w:tc>
              <w:tc>
                <w:tcPr>
                  <w:tcW w:w="652"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60</w:t>
                  </w:r>
                </w:p>
              </w:tc>
              <w:tc>
                <w:tcPr>
                  <w:tcW w:w="667"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color w:val="auto"/>
                      <w:sz w:val="21"/>
                      <w:szCs w:val="21"/>
                      <w:highlight w:val="none"/>
                    </w:rPr>
                    <w:t>mg/kg</w:t>
                  </w:r>
                </w:p>
              </w:tc>
              <w:tc>
                <w:tcPr>
                  <w:tcW w:w="1319"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3.01</w:t>
                  </w:r>
                </w:p>
              </w:tc>
              <w:tc>
                <w:tcPr>
                  <w:tcW w:w="108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auto"/>
                      <w:sz w:val="21"/>
                      <w:szCs w:val="21"/>
                      <w:highlight w:val="none"/>
                      <w:u w:val="none"/>
                      <w:lang w:val="en-US" w:eastAsia="zh-CN"/>
                    </w:rPr>
                  </w:pPr>
                  <w:r>
                    <w:rPr>
                      <w:rFonts w:hint="eastAsia" w:ascii="Times New Roman" w:hAnsi="Times New Roman" w:eastAsia="宋体" w:cs="Times New Roman"/>
                      <w:b w:val="0"/>
                      <w:bCs/>
                      <w:i w:val="0"/>
                      <w:color w:val="auto"/>
                      <w:sz w:val="21"/>
                      <w:szCs w:val="21"/>
                      <w:highlight w:val="none"/>
                      <w:u w:val="none"/>
                      <w:lang w:val="en-US" w:eastAsia="zh-CN"/>
                    </w:rPr>
                    <w:t>0.050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1273"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color w:val="auto"/>
                      <w:sz w:val="21"/>
                      <w:szCs w:val="21"/>
                      <w:highlight w:val="none"/>
                    </w:rPr>
                    <w:t>镉</w:t>
                  </w:r>
                </w:p>
              </w:tc>
              <w:tc>
                <w:tcPr>
                  <w:tcW w:w="652"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65</w:t>
                  </w:r>
                </w:p>
              </w:tc>
              <w:tc>
                <w:tcPr>
                  <w:tcW w:w="667"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color w:val="auto"/>
                      <w:sz w:val="21"/>
                      <w:szCs w:val="21"/>
                      <w:highlight w:val="none"/>
                    </w:rPr>
                    <w:t>mg/kg</w:t>
                  </w:r>
                </w:p>
              </w:tc>
              <w:tc>
                <w:tcPr>
                  <w:tcW w:w="1319"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0.13</w:t>
                  </w:r>
                </w:p>
              </w:tc>
              <w:tc>
                <w:tcPr>
                  <w:tcW w:w="108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1273"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color w:val="auto"/>
                      <w:sz w:val="21"/>
                      <w:szCs w:val="21"/>
                      <w:highlight w:val="none"/>
                    </w:rPr>
                    <w:t>铬（六价）</w:t>
                  </w:r>
                </w:p>
              </w:tc>
              <w:tc>
                <w:tcPr>
                  <w:tcW w:w="652"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5.7</w:t>
                  </w:r>
                </w:p>
              </w:tc>
              <w:tc>
                <w:tcPr>
                  <w:tcW w:w="667"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color w:val="auto"/>
                      <w:sz w:val="21"/>
                      <w:szCs w:val="21"/>
                      <w:highlight w:val="none"/>
                    </w:rPr>
                    <w:t>mg/kg</w:t>
                  </w:r>
                </w:p>
              </w:tc>
              <w:tc>
                <w:tcPr>
                  <w:tcW w:w="1319"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＜0.5</w:t>
                  </w:r>
                </w:p>
              </w:tc>
              <w:tc>
                <w:tcPr>
                  <w:tcW w:w="1087" w:type="pct"/>
                  <w:noWrap w:val="0"/>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1273"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color w:val="auto"/>
                      <w:sz w:val="21"/>
                      <w:szCs w:val="21"/>
                      <w:highlight w:val="none"/>
                    </w:rPr>
                    <w:t>铜</w:t>
                  </w:r>
                </w:p>
              </w:tc>
              <w:tc>
                <w:tcPr>
                  <w:tcW w:w="652"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18000</w:t>
                  </w:r>
                </w:p>
              </w:tc>
              <w:tc>
                <w:tcPr>
                  <w:tcW w:w="667"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color w:val="auto"/>
                      <w:sz w:val="21"/>
                      <w:szCs w:val="21"/>
                      <w:highlight w:val="none"/>
                    </w:rPr>
                    <w:t>mg/kg</w:t>
                  </w:r>
                </w:p>
              </w:tc>
              <w:tc>
                <w:tcPr>
                  <w:tcW w:w="1319"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38</w:t>
                  </w:r>
                </w:p>
              </w:tc>
              <w:tc>
                <w:tcPr>
                  <w:tcW w:w="108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5" w:hRule="atLeast"/>
              </w:trPr>
              <w:tc>
                <w:tcPr>
                  <w:tcW w:w="1273"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color w:val="auto"/>
                      <w:sz w:val="21"/>
                      <w:szCs w:val="21"/>
                      <w:highlight w:val="none"/>
                    </w:rPr>
                    <w:t>铅</w:t>
                  </w:r>
                </w:p>
              </w:tc>
              <w:tc>
                <w:tcPr>
                  <w:tcW w:w="652"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800</w:t>
                  </w:r>
                </w:p>
              </w:tc>
              <w:tc>
                <w:tcPr>
                  <w:tcW w:w="667"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color w:val="auto"/>
                      <w:sz w:val="21"/>
                      <w:szCs w:val="21"/>
                      <w:highlight w:val="none"/>
                    </w:rPr>
                    <w:t>mg/kg</w:t>
                  </w:r>
                </w:p>
              </w:tc>
              <w:tc>
                <w:tcPr>
                  <w:tcW w:w="1319"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30</w:t>
                  </w:r>
                </w:p>
              </w:tc>
              <w:tc>
                <w:tcPr>
                  <w:tcW w:w="108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1273"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color w:val="auto"/>
                      <w:sz w:val="21"/>
                      <w:szCs w:val="21"/>
                      <w:highlight w:val="none"/>
                    </w:rPr>
                    <w:t>汞</w:t>
                  </w:r>
                </w:p>
              </w:tc>
              <w:tc>
                <w:tcPr>
                  <w:tcW w:w="652"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38</w:t>
                  </w:r>
                </w:p>
              </w:tc>
              <w:tc>
                <w:tcPr>
                  <w:tcW w:w="667"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color w:val="auto"/>
                      <w:sz w:val="21"/>
                      <w:szCs w:val="21"/>
                      <w:highlight w:val="none"/>
                    </w:rPr>
                    <w:t>mg/kg</w:t>
                  </w:r>
                </w:p>
              </w:tc>
              <w:tc>
                <w:tcPr>
                  <w:tcW w:w="1319"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0.15</w:t>
                  </w:r>
                </w:p>
              </w:tc>
              <w:tc>
                <w:tcPr>
                  <w:tcW w:w="108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1273"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color w:val="auto"/>
                      <w:sz w:val="21"/>
                      <w:szCs w:val="21"/>
                      <w:highlight w:val="none"/>
                    </w:rPr>
                    <w:t>镍</w:t>
                  </w:r>
                </w:p>
              </w:tc>
              <w:tc>
                <w:tcPr>
                  <w:tcW w:w="652"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90</w:t>
                  </w:r>
                </w:p>
              </w:tc>
              <w:tc>
                <w:tcPr>
                  <w:tcW w:w="667"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color w:val="auto"/>
                      <w:sz w:val="21"/>
                      <w:szCs w:val="21"/>
                      <w:highlight w:val="none"/>
                    </w:rPr>
                    <w:t>mg/kg</w:t>
                  </w:r>
                </w:p>
              </w:tc>
              <w:tc>
                <w:tcPr>
                  <w:tcW w:w="1319"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32</w:t>
                  </w:r>
                </w:p>
              </w:tc>
              <w:tc>
                <w:tcPr>
                  <w:tcW w:w="108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0.356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1273" w:type="pct"/>
                  <w:noWrap w:val="0"/>
                  <w:tcMar>
                    <w:top w:w="15" w:type="dxa"/>
                    <w:left w:w="15" w:type="dxa"/>
                    <w:right w:w="15" w:type="dxa"/>
                  </w:tcMar>
                  <w:vAlign w:val="center"/>
                </w:tcPr>
                <w:p>
                  <w:pPr>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pacing w:val="-5"/>
                      <w:kern w:val="0"/>
                      <w:sz w:val="21"/>
                      <w:szCs w:val="21"/>
                      <w:highlight w:val="none"/>
                      <w:u w:val="none"/>
                      <w:lang w:val="en-US" w:eastAsia="zh-CN" w:bidi="ar"/>
                    </w:rPr>
                    <w:t>氯乙烯</w:t>
                  </w:r>
                </w:p>
              </w:tc>
              <w:tc>
                <w:tcPr>
                  <w:tcW w:w="652"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0.43</w:t>
                  </w:r>
                </w:p>
              </w:tc>
              <w:tc>
                <w:tcPr>
                  <w:tcW w:w="667"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color w:val="auto"/>
                      <w:sz w:val="21"/>
                      <w:szCs w:val="21"/>
                      <w:highlight w:val="none"/>
                    </w:rPr>
                    <w:t>mg/kg</w:t>
                  </w:r>
                </w:p>
              </w:tc>
              <w:tc>
                <w:tcPr>
                  <w:tcW w:w="1319"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＜1.0</w:t>
                  </w:r>
                </w:p>
              </w:tc>
              <w:tc>
                <w:tcPr>
                  <w:tcW w:w="108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1273" w:type="pct"/>
                  <w:noWrap w:val="0"/>
                  <w:tcMar>
                    <w:top w:w="15" w:type="dxa"/>
                    <w:left w:w="15" w:type="dxa"/>
                    <w:right w:w="15" w:type="dxa"/>
                  </w:tcMar>
                  <w:vAlign w:val="center"/>
                </w:tcPr>
                <w:p>
                  <w:pPr>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pacing w:val="-5"/>
                      <w:kern w:val="0"/>
                      <w:sz w:val="21"/>
                      <w:szCs w:val="21"/>
                      <w:highlight w:val="none"/>
                      <w:u w:val="none"/>
                      <w:lang w:val="en-US" w:eastAsia="zh-CN" w:bidi="ar"/>
                    </w:rPr>
                    <w:t>氯甲烷</w:t>
                  </w:r>
                </w:p>
              </w:tc>
              <w:tc>
                <w:tcPr>
                  <w:tcW w:w="652"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37</w:t>
                  </w:r>
                </w:p>
              </w:tc>
              <w:tc>
                <w:tcPr>
                  <w:tcW w:w="667"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color w:val="auto"/>
                      <w:sz w:val="21"/>
                      <w:szCs w:val="21"/>
                      <w:highlight w:val="none"/>
                    </w:rPr>
                    <w:t>mg/kg</w:t>
                  </w:r>
                </w:p>
              </w:tc>
              <w:tc>
                <w:tcPr>
                  <w:tcW w:w="1319"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＜1.0</w:t>
                  </w:r>
                </w:p>
              </w:tc>
              <w:tc>
                <w:tcPr>
                  <w:tcW w:w="108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1273"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pacing w:val="-5"/>
                      <w:kern w:val="0"/>
                      <w:sz w:val="21"/>
                      <w:szCs w:val="21"/>
                      <w:highlight w:val="none"/>
                      <w:u w:val="none"/>
                      <w:lang w:val="en-US" w:eastAsia="zh-CN" w:bidi="ar"/>
                    </w:rPr>
                    <w:t>1,1-二氯乙烯</w:t>
                  </w:r>
                </w:p>
              </w:tc>
              <w:tc>
                <w:tcPr>
                  <w:tcW w:w="652"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66</w:t>
                  </w:r>
                </w:p>
              </w:tc>
              <w:tc>
                <w:tcPr>
                  <w:tcW w:w="667"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color w:val="auto"/>
                      <w:sz w:val="21"/>
                      <w:szCs w:val="21"/>
                      <w:highlight w:val="none"/>
                    </w:rPr>
                    <w:t>mg/kg</w:t>
                  </w:r>
                </w:p>
              </w:tc>
              <w:tc>
                <w:tcPr>
                  <w:tcW w:w="1319"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＜1.0</w:t>
                  </w:r>
                </w:p>
              </w:tc>
              <w:tc>
                <w:tcPr>
                  <w:tcW w:w="108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1273"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pacing w:val="-5"/>
                      <w:kern w:val="0"/>
                      <w:sz w:val="21"/>
                      <w:szCs w:val="21"/>
                      <w:highlight w:val="none"/>
                      <w:u w:val="none"/>
                      <w:lang w:val="en-US" w:eastAsia="zh-CN" w:bidi="ar"/>
                    </w:rPr>
                    <w:t>二氯甲烷</w:t>
                  </w:r>
                </w:p>
              </w:tc>
              <w:tc>
                <w:tcPr>
                  <w:tcW w:w="652"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616</w:t>
                  </w:r>
                </w:p>
              </w:tc>
              <w:tc>
                <w:tcPr>
                  <w:tcW w:w="667"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color w:val="auto"/>
                      <w:sz w:val="21"/>
                      <w:szCs w:val="21"/>
                      <w:highlight w:val="none"/>
                    </w:rPr>
                    <w:t>mg/kg</w:t>
                  </w:r>
                </w:p>
              </w:tc>
              <w:tc>
                <w:tcPr>
                  <w:tcW w:w="1319"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＜1.5</w:t>
                  </w:r>
                </w:p>
              </w:tc>
              <w:tc>
                <w:tcPr>
                  <w:tcW w:w="108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1273"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pacing w:val="-5"/>
                      <w:kern w:val="0"/>
                      <w:sz w:val="21"/>
                      <w:szCs w:val="21"/>
                      <w:highlight w:val="none"/>
                      <w:u w:val="none"/>
                      <w:lang w:val="en-US" w:eastAsia="zh-CN" w:bidi="ar"/>
                    </w:rPr>
                    <w:t>顺1,2-二氯乙烯</w:t>
                  </w:r>
                </w:p>
              </w:tc>
              <w:tc>
                <w:tcPr>
                  <w:tcW w:w="652"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596</w:t>
                  </w:r>
                </w:p>
              </w:tc>
              <w:tc>
                <w:tcPr>
                  <w:tcW w:w="667"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color w:val="auto"/>
                      <w:sz w:val="21"/>
                      <w:szCs w:val="21"/>
                      <w:highlight w:val="none"/>
                    </w:rPr>
                    <w:t>mg/kg</w:t>
                  </w:r>
                </w:p>
              </w:tc>
              <w:tc>
                <w:tcPr>
                  <w:tcW w:w="1319"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＜1.3</w:t>
                  </w:r>
                </w:p>
              </w:tc>
              <w:tc>
                <w:tcPr>
                  <w:tcW w:w="108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1273"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pacing w:val="-5"/>
                      <w:kern w:val="0"/>
                      <w:sz w:val="21"/>
                      <w:szCs w:val="21"/>
                      <w:highlight w:val="none"/>
                      <w:u w:val="none"/>
                      <w:lang w:val="en-US" w:eastAsia="zh-CN" w:bidi="ar"/>
                    </w:rPr>
                    <w:t>1,1-二氯乙烷</w:t>
                  </w:r>
                </w:p>
              </w:tc>
              <w:tc>
                <w:tcPr>
                  <w:tcW w:w="652"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9</w:t>
                  </w:r>
                </w:p>
              </w:tc>
              <w:tc>
                <w:tcPr>
                  <w:tcW w:w="667"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color w:val="auto"/>
                      <w:sz w:val="21"/>
                      <w:szCs w:val="21"/>
                      <w:highlight w:val="none"/>
                    </w:rPr>
                    <w:t>mg/kg</w:t>
                  </w:r>
                </w:p>
              </w:tc>
              <w:tc>
                <w:tcPr>
                  <w:tcW w:w="1319"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＜1.2</w:t>
                  </w:r>
                </w:p>
              </w:tc>
              <w:tc>
                <w:tcPr>
                  <w:tcW w:w="108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1273"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pacing w:val="-5"/>
                      <w:kern w:val="0"/>
                      <w:sz w:val="21"/>
                      <w:szCs w:val="21"/>
                      <w:highlight w:val="none"/>
                      <w:u w:val="none"/>
                      <w:lang w:val="en-US" w:eastAsia="zh-CN" w:bidi="ar"/>
                    </w:rPr>
                    <w:t>反1,2-二氯乙烯</w:t>
                  </w:r>
                </w:p>
              </w:tc>
              <w:tc>
                <w:tcPr>
                  <w:tcW w:w="652"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54</w:t>
                  </w:r>
                </w:p>
              </w:tc>
              <w:tc>
                <w:tcPr>
                  <w:tcW w:w="667"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color w:val="auto"/>
                      <w:sz w:val="21"/>
                      <w:szCs w:val="21"/>
                      <w:highlight w:val="none"/>
                    </w:rPr>
                    <w:t>mg/kg</w:t>
                  </w:r>
                </w:p>
              </w:tc>
              <w:tc>
                <w:tcPr>
                  <w:tcW w:w="1319"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＜1.4</w:t>
                  </w:r>
                </w:p>
              </w:tc>
              <w:tc>
                <w:tcPr>
                  <w:tcW w:w="108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1273" w:type="pct"/>
                  <w:noWrap w:val="0"/>
                  <w:tcMar>
                    <w:top w:w="15" w:type="dxa"/>
                    <w:left w:w="15" w:type="dxa"/>
                    <w:right w:w="15" w:type="dxa"/>
                  </w:tcMar>
                  <w:vAlign w:val="center"/>
                </w:tcPr>
                <w:p>
                  <w:pPr>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bCs/>
                      <w:color w:val="auto"/>
                      <w:sz w:val="21"/>
                      <w:szCs w:val="21"/>
                      <w:highlight w:val="none"/>
                      <w:lang w:val="en-US" w:eastAsia="zh-CN"/>
                    </w:rPr>
                    <w:t>氯仿</w:t>
                  </w:r>
                </w:p>
              </w:tc>
              <w:tc>
                <w:tcPr>
                  <w:tcW w:w="652"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0.9</w:t>
                  </w:r>
                </w:p>
              </w:tc>
              <w:tc>
                <w:tcPr>
                  <w:tcW w:w="667"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color w:val="auto"/>
                      <w:sz w:val="21"/>
                      <w:szCs w:val="21"/>
                      <w:highlight w:val="none"/>
                    </w:rPr>
                    <w:t>mg/kg</w:t>
                  </w:r>
                </w:p>
              </w:tc>
              <w:tc>
                <w:tcPr>
                  <w:tcW w:w="1319"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＜1.1</w:t>
                  </w:r>
                </w:p>
              </w:tc>
              <w:tc>
                <w:tcPr>
                  <w:tcW w:w="108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1273" w:type="pct"/>
                  <w:noWrap w:val="0"/>
                  <w:tcMar>
                    <w:top w:w="15" w:type="dxa"/>
                    <w:left w:w="15" w:type="dxa"/>
                    <w:right w:w="15" w:type="dxa"/>
                  </w:tcMar>
                  <w:vAlign w:val="center"/>
                </w:tcPr>
                <w:p>
                  <w:pPr>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pacing w:val="-5"/>
                      <w:kern w:val="0"/>
                      <w:sz w:val="21"/>
                      <w:szCs w:val="21"/>
                      <w:highlight w:val="none"/>
                      <w:u w:val="none"/>
                      <w:lang w:val="en-US" w:eastAsia="zh-CN" w:bidi="ar"/>
                    </w:rPr>
                    <w:t>1,1,1-三氯乙烷</w:t>
                  </w:r>
                </w:p>
              </w:tc>
              <w:tc>
                <w:tcPr>
                  <w:tcW w:w="652"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840</w:t>
                  </w:r>
                </w:p>
              </w:tc>
              <w:tc>
                <w:tcPr>
                  <w:tcW w:w="667"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color w:val="auto"/>
                      <w:sz w:val="21"/>
                      <w:szCs w:val="21"/>
                      <w:highlight w:val="none"/>
                    </w:rPr>
                    <w:t>mg/kg</w:t>
                  </w:r>
                </w:p>
              </w:tc>
              <w:tc>
                <w:tcPr>
                  <w:tcW w:w="1319"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＜1.3</w:t>
                  </w:r>
                </w:p>
              </w:tc>
              <w:tc>
                <w:tcPr>
                  <w:tcW w:w="108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trPr>
              <w:tc>
                <w:tcPr>
                  <w:tcW w:w="1273" w:type="pct"/>
                  <w:noWrap w:val="0"/>
                  <w:tcMar>
                    <w:top w:w="15" w:type="dxa"/>
                    <w:left w:w="15" w:type="dxa"/>
                    <w:right w:w="15" w:type="dxa"/>
                  </w:tcMar>
                  <w:vAlign w:val="center"/>
                </w:tcPr>
                <w:p>
                  <w:pPr>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pacing w:val="-5"/>
                      <w:kern w:val="0"/>
                      <w:sz w:val="21"/>
                      <w:szCs w:val="21"/>
                      <w:highlight w:val="none"/>
                      <w:u w:val="none"/>
                      <w:lang w:val="en-US" w:eastAsia="zh-CN" w:bidi="ar"/>
                    </w:rPr>
                    <w:t>1,2-二氯乙烷</w:t>
                  </w:r>
                </w:p>
              </w:tc>
              <w:tc>
                <w:tcPr>
                  <w:tcW w:w="652"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5</w:t>
                  </w:r>
                </w:p>
              </w:tc>
              <w:tc>
                <w:tcPr>
                  <w:tcW w:w="667"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color w:val="auto"/>
                      <w:sz w:val="21"/>
                      <w:szCs w:val="21"/>
                      <w:highlight w:val="none"/>
                    </w:rPr>
                    <w:t>mg/kg</w:t>
                  </w:r>
                </w:p>
              </w:tc>
              <w:tc>
                <w:tcPr>
                  <w:tcW w:w="1319"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＜1.3</w:t>
                  </w:r>
                </w:p>
              </w:tc>
              <w:tc>
                <w:tcPr>
                  <w:tcW w:w="108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1273" w:type="pct"/>
                  <w:noWrap w:val="0"/>
                  <w:tcMar>
                    <w:top w:w="15" w:type="dxa"/>
                    <w:left w:w="15" w:type="dxa"/>
                    <w:right w:w="15" w:type="dxa"/>
                  </w:tcMar>
                  <w:vAlign w:val="center"/>
                </w:tcPr>
                <w:p>
                  <w:pPr>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pacing w:val="-5"/>
                      <w:kern w:val="0"/>
                      <w:sz w:val="21"/>
                      <w:szCs w:val="21"/>
                      <w:highlight w:val="none"/>
                      <w:u w:val="none"/>
                      <w:lang w:val="en-US" w:eastAsia="zh-CN" w:bidi="ar"/>
                    </w:rPr>
                    <w:t>苯</w:t>
                  </w:r>
                </w:p>
              </w:tc>
              <w:tc>
                <w:tcPr>
                  <w:tcW w:w="652"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4</w:t>
                  </w:r>
                </w:p>
              </w:tc>
              <w:tc>
                <w:tcPr>
                  <w:tcW w:w="667"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color w:val="auto"/>
                      <w:sz w:val="21"/>
                      <w:szCs w:val="21"/>
                      <w:highlight w:val="none"/>
                    </w:rPr>
                    <w:t>mg/kg</w:t>
                  </w:r>
                </w:p>
              </w:tc>
              <w:tc>
                <w:tcPr>
                  <w:tcW w:w="1319"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＜1.9</w:t>
                  </w:r>
                </w:p>
              </w:tc>
              <w:tc>
                <w:tcPr>
                  <w:tcW w:w="108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1273" w:type="pct"/>
                  <w:noWrap w:val="0"/>
                  <w:tcMar>
                    <w:top w:w="15" w:type="dxa"/>
                    <w:left w:w="15" w:type="dxa"/>
                    <w:right w:w="15" w:type="dxa"/>
                  </w:tcMar>
                  <w:vAlign w:val="center"/>
                </w:tcPr>
                <w:p>
                  <w:pPr>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pacing w:val="-5"/>
                      <w:kern w:val="0"/>
                      <w:sz w:val="21"/>
                      <w:szCs w:val="21"/>
                      <w:highlight w:val="none"/>
                      <w:u w:val="none"/>
                      <w:lang w:val="en-US" w:eastAsia="zh-CN" w:bidi="ar"/>
                    </w:rPr>
                    <w:t>四氯化碳</w:t>
                  </w:r>
                </w:p>
              </w:tc>
              <w:tc>
                <w:tcPr>
                  <w:tcW w:w="652"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2.8</w:t>
                  </w:r>
                </w:p>
              </w:tc>
              <w:tc>
                <w:tcPr>
                  <w:tcW w:w="667"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color w:val="auto"/>
                      <w:sz w:val="21"/>
                      <w:szCs w:val="21"/>
                      <w:highlight w:val="none"/>
                    </w:rPr>
                    <w:t>mg/kg</w:t>
                  </w:r>
                </w:p>
              </w:tc>
              <w:tc>
                <w:tcPr>
                  <w:tcW w:w="1319"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＜1.3</w:t>
                  </w:r>
                </w:p>
              </w:tc>
              <w:tc>
                <w:tcPr>
                  <w:tcW w:w="108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1273" w:type="pct"/>
                  <w:noWrap w:val="0"/>
                  <w:tcMar>
                    <w:top w:w="15" w:type="dxa"/>
                    <w:left w:w="15" w:type="dxa"/>
                    <w:right w:w="15" w:type="dxa"/>
                  </w:tcMar>
                  <w:vAlign w:val="center"/>
                </w:tcPr>
                <w:p>
                  <w:pPr>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pacing w:val="-5"/>
                      <w:kern w:val="0"/>
                      <w:sz w:val="21"/>
                      <w:szCs w:val="21"/>
                      <w:highlight w:val="none"/>
                      <w:u w:val="none"/>
                      <w:lang w:val="en-US" w:eastAsia="zh-CN" w:bidi="ar"/>
                    </w:rPr>
                    <w:t>三氯乙烯</w:t>
                  </w:r>
                </w:p>
              </w:tc>
              <w:tc>
                <w:tcPr>
                  <w:tcW w:w="652"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28</w:t>
                  </w:r>
                </w:p>
              </w:tc>
              <w:tc>
                <w:tcPr>
                  <w:tcW w:w="667"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color w:val="auto"/>
                      <w:sz w:val="21"/>
                      <w:szCs w:val="21"/>
                      <w:highlight w:val="none"/>
                    </w:rPr>
                    <w:t>mg/kg</w:t>
                  </w:r>
                </w:p>
              </w:tc>
              <w:tc>
                <w:tcPr>
                  <w:tcW w:w="1319"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＜1.2</w:t>
                  </w:r>
                </w:p>
              </w:tc>
              <w:tc>
                <w:tcPr>
                  <w:tcW w:w="108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1273" w:type="pct"/>
                  <w:noWrap w:val="0"/>
                  <w:tcMar>
                    <w:top w:w="15" w:type="dxa"/>
                    <w:left w:w="15" w:type="dxa"/>
                    <w:right w:w="15" w:type="dxa"/>
                  </w:tcMar>
                  <w:vAlign w:val="center"/>
                </w:tcPr>
                <w:p>
                  <w:pPr>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pacing w:val="-5"/>
                      <w:kern w:val="0"/>
                      <w:sz w:val="21"/>
                      <w:szCs w:val="21"/>
                      <w:highlight w:val="none"/>
                      <w:u w:val="none"/>
                      <w:lang w:val="en-US" w:eastAsia="zh-CN" w:bidi="ar"/>
                    </w:rPr>
                    <w:t>1,2-二氯丙烷</w:t>
                  </w:r>
                </w:p>
              </w:tc>
              <w:tc>
                <w:tcPr>
                  <w:tcW w:w="652"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5</w:t>
                  </w:r>
                </w:p>
              </w:tc>
              <w:tc>
                <w:tcPr>
                  <w:tcW w:w="667"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color w:val="auto"/>
                      <w:sz w:val="21"/>
                      <w:szCs w:val="21"/>
                      <w:highlight w:val="none"/>
                    </w:rPr>
                    <w:t>mg/kg</w:t>
                  </w:r>
                </w:p>
              </w:tc>
              <w:tc>
                <w:tcPr>
                  <w:tcW w:w="1319"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＜1.1</w:t>
                  </w:r>
                </w:p>
              </w:tc>
              <w:tc>
                <w:tcPr>
                  <w:tcW w:w="108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1273" w:type="pct"/>
                  <w:noWrap w:val="0"/>
                  <w:tcMar>
                    <w:top w:w="15" w:type="dxa"/>
                    <w:left w:w="15" w:type="dxa"/>
                    <w:right w:w="15" w:type="dxa"/>
                  </w:tcMar>
                  <w:vAlign w:val="center"/>
                </w:tcPr>
                <w:p>
                  <w:pPr>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pacing w:val="-5"/>
                      <w:kern w:val="0"/>
                      <w:sz w:val="21"/>
                      <w:szCs w:val="21"/>
                      <w:highlight w:val="none"/>
                      <w:u w:val="none"/>
                      <w:lang w:val="en-US" w:eastAsia="zh-CN" w:bidi="ar"/>
                    </w:rPr>
                    <w:t>甲苯</w:t>
                  </w:r>
                </w:p>
              </w:tc>
              <w:tc>
                <w:tcPr>
                  <w:tcW w:w="652"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1200</w:t>
                  </w:r>
                </w:p>
              </w:tc>
              <w:tc>
                <w:tcPr>
                  <w:tcW w:w="667"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color w:val="auto"/>
                      <w:sz w:val="21"/>
                      <w:szCs w:val="21"/>
                      <w:highlight w:val="none"/>
                    </w:rPr>
                    <w:t>mg/kg</w:t>
                  </w:r>
                </w:p>
              </w:tc>
              <w:tc>
                <w:tcPr>
                  <w:tcW w:w="1319"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＜1.3</w:t>
                  </w:r>
                </w:p>
              </w:tc>
              <w:tc>
                <w:tcPr>
                  <w:tcW w:w="108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1273" w:type="pct"/>
                  <w:noWrap w:val="0"/>
                  <w:tcMar>
                    <w:top w:w="15" w:type="dxa"/>
                    <w:left w:w="15" w:type="dxa"/>
                    <w:right w:w="15" w:type="dxa"/>
                  </w:tcMar>
                  <w:vAlign w:val="center"/>
                </w:tcPr>
                <w:p>
                  <w:pPr>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pacing w:val="-5"/>
                      <w:kern w:val="0"/>
                      <w:sz w:val="21"/>
                      <w:szCs w:val="21"/>
                      <w:highlight w:val="none"/>
                      <w:u w:val="none"/>
                      <w:lang w:val="en-US" w:eastAsia="zh-CN" w:bidi="ar"/>
                    </w:rPr>
                    <w:t>1,1,2-三氯乙烷</w:t>
                  </w:r>
                </w:p>
              </w:tc>
              <w:tc>
                <w:tcPr>
                  <w:tcW w:w="652"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2.8</w:t>
                  </w:r>
                </w:p>
              </w:tc>
              <w:tc>
                <w:tcPr>
                  <w:tcW w:w="667"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color w:val="auto"/>
                      <w:sz w:val="21"/>
                      <w:szCs w:val="21"/>
                      <w:highlight w:val="none"/>
                    </w:rPr>
                    <w:t>mg/kg</w:t>
                  </w:r>
                </w:p>
              </w:tc>
              <w:tc>
                <w:tcPr>
                  <w:tcW w:w="1319"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＜1.2</w:t>
                  </w:r>
                </w:p>
              </w:tc>
              <w:tc>
                <w:tcPr>
                  <w:tcW w:w="108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1273" w:type="pct"/>
                  <w:noWrap w:val="0"/>
                  <w:tcMar>
                    <w:top w:w="15" w:type="dxa"/>
                    <w:left w:w="15" w:type="dxa"/>
                    <w:right w:w="15" w:type="dxa"/>
                  </w:tcMar>
                  <w:vAlign w:val="center"/>
                </w:tcPr>
                <w:p>
                  <w:pPr>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pacing w:val="-5"/>
                      <w:kern w:val="0"/>
                      <w:sz w:val="21"/>
                      <w:szCs w:val="21"/>
                      <w:highlight w:val="none"/>
                      <w:u w:val="none"/>
                      <w:lang w:val="en-US" w:eastAsia="zh-CN" w:bidi="ar"/>
                    </w:rPr>
                    <w:t>四氯乙烯</w:t>
                  </w:r>
                </w:p>
              </w:tc>
              <w:tc>
                <w:tcPr>
                  <w:tcW w:w="652"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53</w:t>
                  </w:r>
                </w:p>
              </w:tc>
              <w:tc>
                <w:tcPr>
                  <w:tcW w:w="667"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color w:val="auto"/>
                      <w:sz w:val="21"/>
                      <w:szCs w:val="21"/>
                      <w:highlight w:val="none"/>
                    </w:rPr>
                    <w:t>mg/kg</w:t>
                  </w:r>
                </w:p>
              </w:tc>
              <w:tc>
                <w:tcPr>
                  <w:tcW w:w="1319"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＜1.4</w:t>
                  </w:r>
                </w:p>
              </w:tc>
              <w:tc>
                <w:tcPr>
                  <w:tcW w:w="108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1273" w:type="pct"/>
                  <w:noWrap w:val="0"/>
                  <w:tcMar>
                    <w:top w:w="15" w:type="dxa"/>
                    <w:left w:w="15" w:type="dxa"/>
                    <w:right w:w="15" w:type="dxa"/>
                  </w:tcMar>
                  <w:vAlign w:val="center"/>
                </w:tcPr>
                <w:p>
                  <w:pPr>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pacing w:val="-5"/>
                      <w:kern w:val="0"/>
                      <w:sz w:val="21"/>
                      <w:szCs w:val="21"/>
                      <w:highlight w:val="none"/>
                      <w:u w:val="none"/>
                      <w:lang w:val="en-US" w:eastAsia="zh-CN" w:bidi="ar"/>
                    </w:rPr>
                    <w:t>氯苯</w:t>
                  </w:r>
                </w:p>
              </w:tc>
              <w:tc>
                <w:tcPr>
                  <w:tcW w:w="652"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270</w:t>
                  </w:r>
                </w:p>
              </w:tc>
              <w:tc>
                <w:tcPr>
                  <w:tcW w:w="667"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color w:val="auto"/>
                      <w:sz w:val="21"/>
                      <w:szCs w:val="21"/>
                      <w:highlight w:val="none"/>
                    </w:rPr>
                    <w:t>mg/kg</w:t>
                  </w:r>
                </w:p>
              </w:tc>
              <w:tc>
                <w:tcPr>
                  <w:tcW w:w="1319"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＜1.2</w:t>
                  </w:r>
                </w:p>
              </w:tc>
              <w:tc>
                <w:tcPr>
                  <w:tcW w:w="108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1273" w:type="pct"/>
                  <w:noWrap w:val="0"/>
                  <w:tcMar>
                    <w:top w:w="15" w:type="dxa"/>
                    <w:left w:w="15" w:type="dxa"/>
                    <w:right w:w="15" w:type="dxa"/>
                  </w:tcMar>
                  <w:vAlign w:val="center"/>
                </w:tcPr>
                <w:p>
                  <w:pPr>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pacing w:val="-5"/>
                      <w:kern w:val="0"/>
                      <w:sz w:val="21"/>
                      <w:szCs w:val="21"/>
                      <w:highlight w:val="none"/>
                      <w:u w:val="none"/>
                      <w:lang w:val="en-US" w:eastAsia="zh-CN" w:bidi="ar"/>
                    </w:rPr>
                    <w:t>1,1,1,2-四氯乙烷</w:t>
                  </w:r>
                </w:p>
              </w:tc>
              <w:tc>
                <w:tcPr>
                  <w:tcW w:w="652"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10</w:t>
                  </w:r>
                </w:p>
              </w:tc>
              <w:tc>
                <w:tcPr>
                  <w:tcW w:w="667"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color w:val="auto"/>
                      <w:sz w:val="21"/>
                      <w:szCs w:val="21"/>
                      <w:highlight w:val="none"/>
                    </w:rPr>
                    <w:t>mg/kg</w:t>
                  </w:r>
                </w:p>
              </w:tc>
              <w:tc>
                <w:tcPr>
                  <w:tcW w:w="1319"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＜1.2</w:t>
                  </w:r>
                </w:p>
              </w:tc>
              <w:tc>
                <w:tcPr>
                  <w:tcW w:w="108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1273" w:type="pct"/>
                  <w:noWrap w:val="0"/>
                  <w:tcMar>
                    <w:top w:w="15" w:type="dxa"/>
                    <w:left w:w="15" w:type="dxa"/>
                    <w:right w:w="15" w:type="dxa"/>
                  </w:tcMar>
                  <w:vAlign w:val="center"/>
                </w:tcPr>
                <w:p>
                  <w:pPr>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pacing w:val="-5"/>
                      <w:kern w:val="0"/>
                      <w:sz w:val="21"/>
                      <w:szCs w:val="21"/>
                      <w:highlight w:val="none"/>
                      <w:u w:val="none"/>
                      <w:lang w:val="en-US" w:eastAsia="zh-CN" w:bidi="ar"/>
                    </w:rPr>
                    <w:t>乙苯</w:t>
                  </w:r>
                </w:p>
              </w:tc>
              <w:tc>
                <w:tcPr>
                  <w:tcW w:w="652"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28</w:t>
                  </w:r>
                </w:p>
              </w:tc>
              <w:tc>
                <w:tcPr>
                  <w:tcW w:w="667"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color w:val="auto"/>
                      <w:sz w:val="21"/>
                      <w:szCs w:val="21"/>
                      <w:highlight w:val="none"/>
                    </w:rPr>
                    <w:t>mg/kg</w:t>
                  </w:r>
                </w:p>
              </w:tc>
              <w:tc>
                <w:tcPr>
                  <w:tcW w:w="1319"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＜1.2</w:t>
                  </w:r>
                </w:p>
              </w:tc>
              <w:tc>
                <w:tcPr>
                  <w:tcW w:w="108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5" w:hRule="atLeast"/>
              </w:trPr>
              <w:tc>
                <w:tcPr>
                  <w:tcW w:w="1273" w:type="pct"/>
                  <w:noWrap w:val="0"/>
                  <w:tcMar>
                    <w:top w:w="15" w:type="dxa"/>
                    <w:left w:w="15" w:type="dxa"/>
                    <w:right w:w="15" w:type="dxa"/>
                  </w:tcMar>
                  <w:vAlign w:val="center"/>
                </w:tcPr>
                <w:p>
                  <w:pPr>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pacing w:val="-5"/>
                      <w:kern w:val="0"/>
                      <w:sz w:val="21"/>
                      <w:szCs w:val="21"/>
                      <w:highlight w:val="none"/>
                      <w:u w:val="none"/>
                      <w:lang w:val="en-US" w:eastAsia="zh-CN" w:bidi="ar"/>
                    </w:rPr>
                    <w:t>间二甲苯+对二甲苯</w:t>
                  </w:r>
                </w:p>
              </w:tc>
              <w:tc>
                <w:tcPr>
                  <w:tcW w:w="652"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570</w:t>
                  </w:r>
                </w:p>
              </w:tc>
              <w:tc>
                <w:tcPr>
                  <w:tcW w:w="667"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color w:val="auto"/>
                      <w:sz w:val="21"/>
                      <w:szCs w:val="21"/>
                      <w:highlight w:val="none"/>
                    </w:rPr>
                    <w:t>mg/kg</w:t>
                  </w:r>
                </w:p>
              </w:tc>
              <w:tc>
                <w:tcPr>
                  <w:tcW w:w="1319"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＜1.2</w:t>
                  </w:r>
                </w:p>
              </w:tc>
              <w:tc>
                <w:tcPr>
                  <w:tcW w:w="108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1273" w:type="pct"/>
                  <w:noWrap w:val="0"/>
                  <w:tcMar>
                    <w:top w:w="15" w:type="dxa"/>
                    <w:left w:w="15" w:type="dxa"/>
                    <w:right w:w="15" w:type="dxa"/>
                  </w:tcMar>
                  <w:vAlign w:val="center"/>
                </w:tcPr>
                <w:p>
                  <w:pPr>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pacing w:val="-5"/>
                      <w:kern w:val="0"/>
                      <w:sz w:val="21"/>
                      <w:szCs w:val="21"/>
                      <w:highlight w:val="none"/>
                      <w:u w:val="none"/>
                      <w:lang w:val="en-US" w:eastAsia="zh-CN" w:bidi="ar"/>
                    </w:rPr>
                    <w:t>苯乙烯</w:t>
                  </w:r>
                </w:p>
              </w:tc>
              <w:tc>
                <w:tcPr>
                  <w:tcW w:w="652"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1290</w:t>
                  </w:r>
                </w:p>
              </w:tc>
              <w:tc>
                <w:tcPr>
                  <w:tcW w:w="667"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color w:val="auto"/>
                      <w:sz w:val="21"/>
                      <w:szCs w:val="21"/>
                      <w:highlight w:val="none"/>
                    </w:rPr>
                    <w:t>mg/kg</w:t>
                  </w:r>
                </w:p>
              </w:tc>
              <w:tc>
                <w:tcPr>
                  <w:tcW w:w="1319"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＜1.1</w:t>
                  </w:r>
                </w:p>
              </w:tc>
              <w:tc>
                <w:tcPr>
                  <w:tcW w:w="108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1273" w:type="pct"/>
                  <w:noWrap w:val="0"/>
                  <w:tcMar>
                    <w:top w:w="15" w:type="dxa"/>
                    <w:left w:w="15" w:type="dxa"/>
                    <w:right w:w="15" w:type="dxa"/>
                  </w:tcMar>
                  <w:vAlign w:val="center"/>
                </w:tcPr>
                <w:p>
                  <w:pPr>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pacing w:val="-5"/>
                      <w:kern w:val="0"/>
                      <w:sz w:val="21"/>
                      <w:szCs w:val="21"/>
                      <w:highlight w:val="none"/>
                      <w:u w:val="none"/>
                      <w:lang w:val="en-US" w:eastAsia="zh-CN" w:bidi="ar"/>
                    </w:rPr>
                    <w:t>邻二甲苯</w:t>
                  </w:r>
                </w:p>
              </w:tc>
              <w:tc>
                <w:tcPr>
                  <w:tcW w:w="652"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640</w:t>
                  </w:r>
                </w:p>
              </w:tc>
              <w:tc>
                <w:tcPr>
                  <w:tcW w:w="667"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color w:val="auto"/>
                      <w:sz w:val="21"/>
                      <w:szCs w:val="21"/>
                      <w:highlight w:val="none"/>
                    </w:rPr>
                    <w:t>mg/kg</w:t>
                  </w:r>
                </w:p>
              </w:tc>
              <w:tc>
                <w:tcPr>
                  <w:tcW w:w="1319" w:type="pct"/>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＜1.2</w:t>
                  </w:r>
                </w:p>
              </w:tc>
              <w:tc>
                <w:tcPr>
                  <w:tcW w:w="108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1273" w:type="pct"/>
                  <w:noWrap w:val="0"/>
                  <w:tcMar>
                    <w:top w:w="15" w:type="dxa"/>
                    <w:left w:w="15" w:type="dxa"/>
                    <w:right w:w="15" w:type="dxa"/>
                  </w:tcMar>
                  <w:vAlign w:val="center"/>
                </w:tcPr>
                <w:p>
                  <w:pPr>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spacing w:val="-5"/>
                      <w:kern w:val="0"/>
                      <w:sz w:val="21"/>
                      <w:szCs w:val="21"/>
                      <w:highlight w:val="none"/>
                      <w:u w:val="none"/>
                      <w:lang w:val="en-US" w:eastAsia="zh-CN" w:bidi="ar"/>
                    </w:rPr>
                    <w:t>1,1,2,2-四氯乙烷</w:t>
                  </w:r>
                </w:p>
              </w:tc>
              <w:tc>
                <w:tcPr>
                  <w:tcW w:w="652"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6.8</w:t>
                  </w:r>
                </w:p>
              </w:tc>
              <w:tc>
                <w:tcPr>
                  <w:tcW w:w="667"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rPr>
                    <w:t>g/kg</w:t>
                  </w:r>
                </w:p>
              </w:tc>
              <w:tc>
                <w:tcPr>
                  <w:tcW w:w="1319" w:type="pct"/>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＜1.2</w:t>
                  </w:r>
                </w:p>
              </w:tc>
              <w:tc>
                <w:tcPr>
                  <w:tcW w:w="108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1273" w:type="pct"/>
                  <w:noWrap w:val="0"/>
                  <w:tcMar>
                    <w:top w:w="15" w:type="dxa"/>
                    <w:left w:w="15" w:type="dxa"/>
                    <w:right w:w="15" w:type="dxa"/>
                  </w:tcMar>
                  <w:vAlign w:val="center"/>
                </w:tcPr>
                <w:p>
                  <w:pPr>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spacing w:val="-5"/>
                      <w:kern w:val="0"/>
                      <w:sz w:val="21"/>
                      <w:szCs w:val="21"/>
                      <w:highlight w:val="none"/>
                      <w:u w:val="none"/>
                      <w:lang w:val="en-US" w:eastAsia="zh-CN" w:bidi="ar"/>
                    </w:rPr>
                    <w:t>1,2,3-三氯丙烷</w:t>
                  </w:r>
                </w:p>
              </w:tc>
              <w:tc>
                <w:tcPr>
                  <w:tcW w:w="652"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0.5</w:t>
                  </w:r>
                </w:p>
              </w:tc>
              <w:tc>
                <w:tcPr>
                  <w:tcW w:w="667"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1319" w:type="pct"/>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＜1.2</w:t>
                  </w:r>
                </w:p>
              </w:tc>
              <w:tc>
                <w:tcPr>
                  <w:tcW w:w="108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1273" w:type="pct"/>
                  <w:noWrap w:val="0"/>
                  <w:tcMar>
                    <w:top w:w="15" w:type="dxa"/>
                    <w:left w:w="15" w:type="dxa"/>
                    <w:right w:w="15" w:type="dxa"/>
                  </w:tcMar>
                  <w:vAlign w:val="center"/>
                </w:tcPr>
                <w:p>
                  <w:pPr>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spacing w:val="-5"/>
                      <w:kern w:val="0"/>
                      <w:sz w:val="21"/>
                      <w:szCs w:val="21"/>
                      <w:highlight w:val="none"/>
                      <w:u w:val="none"/>
                      <w:lang w:val="en-US" w:eastAsia="zh-CN" w:bidi="ar"/>
                    </w:rPr>
                    <w:t>1,4-二氯苯</w:t>
                  </w:r>
                </w:p>
              </w:tc>
              <w:tc>
                <w:tcPr>
                  <w:tcW w:w="652"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667"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1319" w:type="pct"/>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＜1.5</w:t>
                  </w:r>
                </w:p>
              </w:tc>
              <w:tc>
                <w:tcPr>
                  <w:tcW w:w="108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1273" w:type="pct"/>
                  <w:noWrap w:val="0"/>
                  <w:tcMar>
                    <w:top w:w="15" w:type="dxa"/>
                    <w:left w:w="15" w:type="dxa"/>
                    <w:right w:w="15" w:type="dxa"/>
                  </w:tcMar>
                  <w:vAlign w:val="center"/>
                </w:tcPr>
                <w:p>
                  <w:pPr>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spacing w:val="-5"/>
                      <w:kern w:val="0"/>
                      <w:sz w:val="21"/>
                      <w:szCs w:val="21"/>
                      <w:highlight w:val="none"/>
                      <w:u w:val="none"/>
                      <w:lang w:val="en-US" w:eastAsia="zh-CN" w:bidi="ar"/>
                    </w:rPr>
                    <w:t>1,2-二氯苯</w:t>
                  </w:r>
                </w:p>
              </w:tc>
              <w:tc>
                <w:tcPr>
                  <w:tcW w:w="652"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560</w:t>
                  </w:r>
                </w:p>
              </w:tc>
              <w:tc>
                <w:tcPr>
                  <w:tcW w:w="667"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1319" w:type="pct"/>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＜1.5</w:t>
                  </w:r>
                </w:p>
              </w:tc>
              <w:tc>
                <w:tcPr>
                  <w:tcW w:w="108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1273"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spacing w:val="-5"/>
                      <w:kern w:val="0"/>
                      <w:sz w:val="21"/>
                      <w:szCs w:val="21"/>
                      <w:highlight w:val="none"/>
                      <w:u w:val="none"/>
                      <w:lang w:val="en-US" w:eastAsia="zh-CN" w:bidi="ar"/>
                    </w:rPr>
                    <w:t>2-氯酚</w:t>
                  </w:r>
                </w:p>
              </w:tc>
              <w:tc>
                <w:tcPr>
                  <w:tcW w:w="652"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2256</w:t>
                  </w:r>
                </w:p>
              </w:tc>
              <w:tc>
                <w:tcPr>
                  <w:tcW w:w="667"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sz w:val="21"/>
                      <w:szCs w:val="21"/>
                      <w:highlight w:val="none"/>
                      <w:lang w:val="en-US" w:eastAsia="zh-CN"/>
                    </w:rPr>
                    <w:t>mg/kg</w:t>
                  </w:r>
                </w:p>
              </w:tc>
              <w:tc>
                <w:tcPr>
                  <w:tcW w:w="1319" w:type="pct"/>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＜0.06</w:t>
                  </w:r>
                </w:p>
              </w:tc>
              <w:tc>
                <w:tcPr>
                  <w:tcW w:w="108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1273"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spacing w:val="-5"/>
                      <w:kern w:val="0"/>
                      <w:sz w:val="21"/>
                      <w:szCs w:val="21"/>
                      <w:highlight w:val="none"/>
                      <w:u w:val="none"/>
                      <w:lang w:val="en-US" w:eastAsia="zh-CN" w:bidi="ar"/>
                    </w:rPr>
                    <w:t>硝基苯</w:t>
                  </w:r>
                </w:p>
              </w:tc>
              <w:tc>
                <w:tcPr>
                  <w:tcW w:w="652"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76</w:t>
                  </w:r>
                </w:p>
              </w:tc>
              <w:tc>
                <w:tcPr>
                  <w:tcW w:w="667"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sz w:val="21"/>
                      <w:szCs w:val="21"/>
                      <w:highlight w:val="none"/>
                      <w:lang w:val="en-US" w:eastAsia="zh-CN"/>
                    </w:rPr>
                    <w:t>mg/kg</w:t>
                  </w:r>
                </w:p>
              </w:tc>
              <w:tc>
                <w:tcPr>
                  <w:tcW w:w="1319" w:type="pct"/>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＜0.09</w:t>
                  </w:r>
                </w:p>
              </w:tc>
              <w:tc>
                <w:tcPr>
                  <w:tcW w:w="108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1273"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spacing w:val="-5"/>
                      <w:kern w:val="0"/>
                      <w:sz w:val="21"/>
                      <w:szCs w:val="21"/>
                      <w:highlight w:val="none"/>
                      <w:u w:val="none"/>
                      <w:lang w:val="en-US" w:eastAsia="zh-CN" w:bidi="ar"/>
                    </w:rPr>
                    <w:t>萘</w:t>
                  </w:r>
                </w:p>
              </w:tc>
              <w:tc>
                <w:tcPr>
                  <w:tcW w:w="652"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70</w:t>
                  </w:r>
                </w:p>
              </w:tc>
              <w:tc>
                <w:tcPr>
                  <w:tcW w:w="667"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sz w:val="21"/>
                      <w:szCs w:val="21"/>
                      <w:highlight w:val="none"/>
                      <w:lang w:val="en-US" w:eastAsia="zh-CN"/>
                    </w:rPr>
                    <w:t>mg/kg</w:t>
                  </w:r>
                </w:p>
              </w:tc>
              <w:tc>
                <w:tcPr>
                  <w:tcW w:w="1319" w:type="pct"/>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＜0.09</w:t>
                  </w:r>
                </w:p>
              </w:tc>
              <w:tc>
                <w:tcPr>
                  <w:tcW w:w="108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1273"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spacing w:val="-5"/>
                      <w:kern w:val="0"/>
                      <w:sz w:val="21"/>
                      <w:szCs w:val="21"/>
                      <w:highlight w:val="none"/>
                      <w:u w:val="none"/>
                      <w:lang w:val="en-US" w:eastAsia="zh-CN" w:bidi="ar"/>
                    </w:rPr>
                    <w:t>苯并［a］蒽</w:t>
                  </w:r>
                </w:p>
              </w:tc>
              <w:tc>
                <w:tcPr>
                  <w:tcW w:w="652"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15</w:t>
                  </w:r>
                </w:p>
              </w:tc>
              <w:tc>
                <w:tcPr>
                  <w:tcW w:w="667"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sz w:val="21"/>
                      <w:szCs w:val="21"/>
                      <w:highlight w:val="none"/>
                      <w:lang w:val="en-US" w:eastAsia="zh-CN"/>
                    </w:rPr>
                    <w:t>mg/kg</w:t>
                  </w:r>
                </w:p>
              </w:tc>
              <w:tc>
                <w:tcPr>
                  <w:tcW w:w="1319" w:type="pct"/>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＜0.1</w:t>
                  </w:r>
                </w:p>
              </w:tc>
              <w:tc>
                <w:tcPr>
                  <w:tcW w:w="108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1273"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center"/>
                    <w:outlineLvl w:val="9"/>
                    <w:rPr>
                      <w:rFonts w:hint="default" w:ascii="Times New Roman" w:hAnsi="Times New Roman" w:eastAsia="宋体" w:cs="Times New Roman"/>
                      <w:i w:val="0"/>
                      <w:color w:val="auto"/>
                      <w:spacing w:val="-5"/>
                      <w:kern w:val="0"/>
                      <w:sz w:val="21"/>
                      <w:szCs w:val="21"/>
                      <w:highlight w:val="none"/>
                      <w:u w:val="none"/>
                      <w:lang w:val="en-US" w:eastAsia="zh-CN" w:bidi="ar"/>
                    </w:rPr>
                  </w:pPr>
                  <w:r>
                    <w:rPr>
                      <w:rFonts w:hint="default" w:ascii="Times New Roman" w:hAnsi="Times New Roman" w:eastAsia="宋体" w:cs="Times New Roman"/>
                      <w:i w:val="0"/>
                      <w:color w:val="auto"/>
                      <w:spacing w:val="-5"/>
                      <w:kern w:val="0"/>
                      <w:sz w:val="21"/>
                      <w:szCs w:val="21"/>
                      <w:highlight w:val="none"/>
                      <w:u w:val="none"/>
                      <w:lang w:val="en-US" w:eastAsia="zh-CN" w:bidi="ar"/>
                    </w:rPr>
                    <w:t>䓛</w:t>
                  </w:r>
                </w:p>
              </w:tc>
              <w:tc>
                <w:tcPr>
                  <w:tcW w:w="652"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1293</w:t>
                  </w:r>
                </w:p>
              </w:tc>
              <w:tc>
                <w:tcPr>
                  <w:tcW w:w="667"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sz w:val="21"/>
                      <w:szCs w:val="21"/>
                      <w:highlight w:val="none"/>
                      <w:lang w:val="en-US" w:eastAsia="zh-CN"/>
                    </w:rPr>
                    <w:t>mg/kg</w:t>
                  </w:r>
                </w:p>
              </w:tc>
              <w:tc>
                <w:tcPr>
                  <w:tcW w:w="1319" w:type="pct"/>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＜0.1</w:t>
                  </w:r>
                </w:p>
              </w:tc>
              <w:tc>
                <w:tcPr>
                  <w:tcW w:w="108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1273"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center"/>
                    <w:outlineLvl w:val="9"/>
                    <w:rPr>
                      <w:rFonts w:hint="default" w:ascii="Times New Roman" w:hAnsi="Times New Roman" w:eastAsia="宋体" w:cs="Times New Roman"/>
                      <w:i w:val="0"/>
                      <w:color w:val="auto"/>
                      <w:spacing w:val="-5"/>
                      <w:kern w:val="0"/>
                      <w:sz w:val="21"/>
                      <w:szCs w:val="21"/>
                      <w:highlight w:val="none"/>
                      <w:u w:val="none"/>
                      <w:lang w:val="en-US" w:eastAsia="zh-CN" w:bidi="ar"/>
                    </w:rPr>
                  </w:pPr>
                  <w:r>
                    <w:rPr>
                      <w:rFonts w:hint="default" w:ascii="Times New Roman" w:hAnsi="Times New Roman" w:eastAsia="宋体" w:cs="Times New Roman"/>
                      <w:i w:val="0"/>
                      <w:color w:val="auto"/>
                      <w:spacing w:val="-5"/>
                      <w:kern w:val="0"/>
                      <w:sz w:val="21"/>
                      <w:szCs w:val="21"/>
                      <w:highlight w:val="none"/>
                      <w:u w:val="none"/>
                      <w:lang w:val="en-US" w:eastAsia="zh-CN" w:bidi="ar"/>
                    </w:rPr>
                    <w:t>苯并［b］荧蒽</w:t>
                  </w:r>
                </w:p>
              </w:tc>
              <w:tc>
                <w:tcPr>
                  <w:tcW w:w="652"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15</w:t>
                  </w:r>
                </w:p>
              </w:tc>
              <w:tc>
                <w:tcPr>
                  <w:tcW w:w="667"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sz w:val="21"/>
                      <w:szCs w:val="21"/>
                      <w:highlight w:val="none"/>
                      <w:lang w:val="en-US" w:eastAsia="zh-CN"/>
                    </w:rPr>
                    <w:t>mg/kg</w:t>
                  </w:r>
                </w:p>
              </w:tc>
              <w:tc>
                <w:tcPr>
                  <w:tcW w:w="1319" w:type="pct"/>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＜0.2</w:t>
                  </w:r>
                </w:p>
              </w:tc>
              <w:tc>
                <w:tcPr>
                  <w:tcW w:w="108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1273"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center"/>
                    <w:outlineLvl w:val="9"/>
                    <w:rPr>
                      <w:rFonts w:hint="default" w:ascii="Times New Roman" w:hAnsi="Times New Roman" w:eastAsia="宋体" w:cs="Times New Roman"/>
                      <w:i w:val="0"/>
                      <w:color w:val="auto"/>
                      <w:spacing w:val="-5"/>
                      <w:kern w:val="0"/>
                      <w:sz w:val="21"/>
                      <w:szCs w:val="21"/>
                      <w:highlight w:val="none"/>
                      <w:u w:val="none"/>
                      <w:lang w:val="en-US" w:eastAsia="zh-CN" w:bidi="ar"/>
                    </w:rPr>
                  </w:pPr>
                  <w:r>
                    <w:rPr>
                      <w:rFonts w:hint="default" w:ascii="Times New Roman" w:hAnsi="Times New Roman" w:eastAsia="宋体" w:cs="Times New Roman"/>
                      <w:i w:val="0"/>
                      <w:color w:val="auto"/>
                      <w:spacing w:val="-5"/>
                      <w:kern w:val="0"/>
                      <w:sz w:val="21"/>
                      <w:szCs w:val="21"/>
                      <w:highlight w:val="none"/>
                      <w:u w:val="none"/>
                      <w:lang w:val="en-US" w:eastAsia="zh-CN" w:bidi="ar"/>
                    </w:rPr>
                    <w:t>苯并［k］荧蒽</w:t>
                  </w:r>
                </w:p>
              </w:tc>
              <w:tc>
                <w:tcPr>
                  <w:tcW w:w="652"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151</w:t>
                  </w:r>
                </w:p>
              </w:tc>
              <w:tc>
                <w:tcPr>
                  <w:tcW w:w="667"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sz w:val="21"/>
                      <w:szCs w:val="21"/>
                      <w:highlight w:val="none"/>
                      <w:lang w:val="en-US" w:eastAsia="zh-CN"/>
                    </w:rPr>
                    <w:t>mg/kg</w:t>
                  </w:r>
                </w:p>
              </w:tc>
              <w:tc>
                <w:tcPr>
                  <w:tcW w:w="1319" w:type="pct"/>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＜0.1</w:t>
                  </w:r>
                </w:p>
              </w:tc>
              <w:tc>
                <w:tcPr>
                  <w:tcW w:w="108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1273"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center"/>
                    <w:outlineLvl w:val="9"/>
                    <w:rPr>
                      <w:rFonts w:hint="default" w:ascii="Times New Roman" w:hAnsi="Times New Roman" w:eastAsia="宋体" w:cs="Times New Roman"/>
                      <w:i w:val="0"/>
                      <w:color w:val="auto"/>
                      <w:spacing w:val="-5"/>
                      <w:kern w:val="0"/>
                      <w:sz w:val="21"/>
                      <w:szCs w:val="21"/>
                      <w:highlight w:val="none"/>
                      <w:u w:val="none"/>
                      <w:lang w:val="en-US" w:eastAsia="zh-CN" w:bidi="ar"/>
                    </w:rPr>
                  </w:pPr>
                  <w:r>
                    <w:rPr>
                      <w:rFonts w:hint="default" w:ascii="Times New Roman" w:hAnsi="Times New Roman" w:eastAsia="宋体" w:cs="Times New Roman"/>
                      <w:i w:val="0"/>
                      <w:color w:val="auto"/>
                      <w:spacing w:val="-5"/>
                      <w:kern w:val="0"/>
                      <w:sz w:val="21"/>
                      <w:szCs w:val="21"/>
                      <w:highlight w:val="none"/>
                      <w:u w:val="none"/>
                      <w:lang w:val="en-US" w:eastAsia="zh-CN" w:bidi="ar"/>
                    </w:rPr>
                    <w:t>苯并［a］芘</w:t>
                  </w:r>
                </w:p>
              </w:tc>
              <w:tc>
                <w:tcPr>
                  <w:tcW w:w="652"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1.5</w:t>
                  </w:r>
                </w:p>
              </w:tc>
              <w:tc>
                <w:tcPr>
                  <w:tcW w:w="667"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sz w:val="21"/>
                      <w:szCs w:val="21"/>
                      <w:highlight w:val="none"/>
                      <w:lang w:val="en-US" w:eastAsia="zh-CN"/>
                    </w:rPr>
                    <w:t>mg/kg</w:t>
                  </w:r>
                </w:p>
              </w:tc>
              <w:tc>
                <w:tcPr>
                  <w:tcW w:w="1319" w:type="pct"/>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＜0.1</w:t>
                  </w:r>
                </w:p>
              </w:tc>
              <w:tc>
                <w:tcPr>
                  <w:tcW w:w="108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1273"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center"/>
                    <w:outlineLvl w:val="9"/>
                    <w:rPr>
                      <w:rFonts w:hint="default" w:ascii="Times New Roman" w:hAnsi="Times New Roman" w:eastAsia="宋体" w:cs="Times New Roman"/>
                      <w:i w:val="0"/>
                      <w:color w:val="auto"/>
                      <w:spacing w:val="-5"/>
                      <w:kern w:val="0"/>
                      <w:sz w:val="21"/>
                      <w:szCs w:val="21"/>
                      <w:highlight w:val="none"/>
                      <w:u w:val="none"/>
                      <w:lang w:val="en-US" w:eastAsia="zh-CN" w:bidi="ar"/>
                    </w:rPr>
                  </w:pPr>
                  <w:r>
                    <w:rPr>
                      <w:rFonts w:hint="default" w:ascii="Times New Roman" w:hAnsi="Times New Roman" w:eastAsia="宋体" w:cs="Times New Roman"/>
                      <w:i w:val="0"/>
                      <w:color w:val="auto"/>
                      <w:spacing w:val="-5"/>
                      <w:kern w:val="0"/>
                      <w:sz w:val="21"/>
                      <w:szCs w:val="21"/>
                      <w:highlight w:val="none"/>
                      <w:u w:val="none"/>
                      <w:lang w:val="en-US" w:eastAsia="zh-CN" w:bidi="ar"/>
                    </w:rPr>
                    <w:t>茚并［1,2,3-cd］芘</w:t>
                  </w:r>
                </w:p>
              </w:tc>
              <w:tc>
                <w:tcPr>
                  <w:tcW w:w="652"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15</w:t>
                  </w:r>
                </w:p>
              </w:tc>
              <w:tc>
                <w:tcPr>
                  <w:tcW w:w="667"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sz w:val="21"/>
                      <w:szCs w:val="21"/>
                      <w:highlight w:val="none"/>
                      <w:lang w:val="en-US" w:eastAsia="zh-CN"/>
                    </w:rPr>
                    <w:t>mg/kg</w:t>
                  </w:r>
                </w:p>
              </w:tc>
              <w:tc>
                <w:tcPr>
                  <w:tcW w:w="1319" w:type="pct"/>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＜0.1</w:t>
                  </w:r>
                </w:p>
              </w:tc>
              <w:tc>
                <w:tcPr>
                  <w:tcW w:w="108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1273"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center"/>
                    <w:outlineLvl w:val="9"/>
                    <w:rPr>
                      <w:rFonts w:hint="default" w:ascii="Times New Roman" w:hAnsi="Times New Roman" w:eastAsia="宋体" w:cs="Times New Roman"/>
                      <w:i w:val="0"/>
                      <w:color w:val="auto"/>
                      <w:spacing w:val="-5"/>
                      <w:kern w:val="0"/>
                      <w:sz w:val="21"/>
                      <w:szCs w:val="21"/>
                      <w:highlight w:val="none"/>
                      <w:u w:val="none"/>
                      <w:lang w:val="en-US" w:eastAsia="zh-CN" w:bidi="ar"/>
                    </w:rPr>
                  </w:pPr>
                  <w:r>
                    <w:rPr>
                      <w:rFonts w:hint="default" w:ascii="Times New Roman" w:hAnsi="Times New Roman" w:eastAsia="宋体" w:cs="Times New Roman"/>
                      <w:i w:val="0"/>
                      <w:color w:val="auto"/>
                      <w:spacing w:val="-5"/>
                      <w:kern w:val="0"/>
                      <w:sz w:val="21"/>
                      <w:szCs w:val="21"/>
                      <w:highlight w:val="none"/>
                      <w:u w:val="none"/>
                      <w:lang w:val="en-US" w:eastAsia="zh-CN" w:bidi="ar"/>
                    </w:rPr>
                    <w:t>二苯并［a,h］蒽</w:t>
                  </w:r>
                </w:p>
              </w:tc>
              <w:tc>
                <w:tcPr>
                  <w:tcW w:w="652"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1.5</w:t>
                  </w:r>
                </w:p>
              </w:tc>
              <w:tc>
                <w:tcPr>
                  <w:tcW w:w="667"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sz w:val="21"/>
                      <w:szCs w:val="21"/>
                      <w:highlight w:val="none"/>
                      <w:lang w:val="en-US" w:eastAsia="zh-CN"/>
                    </w:rPr>
                    <w:t>mg/kg</w:t>
                  </w:r>
                </w:p>
              </w:tc>
              <w:tc>
                <w:tcPr>
                  <w:tcW w:w="1319" w:type="pct"/>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＜0.1</w:t>
                  </w:r>
                </w:p>
              </w:tc>
              <w:tc>
                <w:tcPr>
                  <w:tcW w:w="108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1273"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center"/>
                    <w:outlineLvl w:val="9"/>
                    <w:rPr>
                      <w:rFonts w:hint="default" w:ascii="Times New Roman" w:hAnsi="Times New Roman" w:eastAsia="宋体" w:cs="Times New Roman"/>
                      <w:i w:val="0"/>
                      <w:color w:val="auto"/>
                      <w:spacing w:val="-5"/>
                      <w:kern w:val="0"/>
                      <w:sz w:val="21"/>
                      <w:szCs w:val="21"/>
                      <w:highlight w:val="none"/>
                      <w:u w:val="none"/>
                      <w:lang w:val="en-US" w:eastAsia="zh-CN" w:bidi="ar"/>
                    </w:rPr>
                  </w:pPr>
                  <w:r>
                    <w:rPr>
                      <w:rFonts w:hint="default" w:ascii="Times New Roman" w:hAnsi="Times New Roman" w:eastAsia="宋体" w:cs="Times New Roman"/>
                      <w:b w:val="0"/>
                      <w:bCs w:val="0"/>
                      <w:color w:val="auto"/>
                      <w:sz w:val="21"/>
                      <w:szCs w:val="21"/>
                      <w:highlight w:val="none"/>
                      <w:lang w:val="en-US" w:eastAsia="zh-CN"/>
                    </w:rPr>
                    <w:t>苯胺</w:t>
                  </w:r>
                </w:p>
              </w:tc>
              <w:tc>
                <w:tcPr>
                  <w:tcW w:w="652" w:type="pct"/>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260</w:t>
                  </w:r>
                </w:p>
              </w:tc>
              <w:tc>
                <w:tcPr>
                  <w:tcW w:w="667" w:type="pct"/>
                  <w:noWrap w:val="0"/>
                  <w:tcMar>
                    <w:top w:w="15" w:type="dxa"/>
                    <w:left w:w="15" w:type="dxa"/>
                    <w:right w:w="15" w:type="dxa"/>
                  </w:tcMar>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sz w:val="21"/>
                      <w:szCs w:val="21"/>
                      <w:highlight w:val="none"/>
                      <w:lang w:val="en-US" w:eastAsia="zh-CN"/>
                    </w:rPr>
                    <w:t>mg/kg</w:t>
                  </w:r>
                </w:p>
              </w:tc>
              <w:tc>
                <w:tcPr>
                  <w:tcW w:w="1319" w:type="pct"/>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＜0.09</w:t>
                  </w:r>
                </w:p>
              </w:tc>
              <w:tc>
                <w:tcPr>
                  <w:tcW w:w="108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sz w:val="21"/>
                      <w:szCs w:val="21"/>
                      <w:highlight w:val="none"/>
                      <w:u w:val="none"/>
                      <w:lang w:val="en-US" w:eastAsia="zh-CN"/>
                    </w:rPr>
                    <w:t>/</w:t>
                  </w:r>
                </w:p>
              </w:tc>
            </w:tr>
          </w:tbl>
          <w:p>
            <w:pPr>
              <w:pageBreakBefore w:val="0"/>
              <w:kinsoku/>
              <w:wordWrap/>
              <w:overflowPunct/>
              <w:topLinePunct w:val="0"/>
              <w:autoSpaceDE/>
              <w:autoSpaceDN/>
              <w:bidi w:val="0"/>
              <w:spacing w:line="240" w:lineRule="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注：1、“&lt;+数值”代表小于检出限</w:t>
            </w:r>
          </w:p>
          <w:p>
            <w:pPr>
              <w:pStyle w:val="66"/>
              <w:ind w:left="0" w:leftChars="0" w:firstLine="480" w:firstLineChars="200"/>
              <w:jc w:val="both"/>
              <w:rPr>
                <w:rFonts w:hint="eastAsia" w:cs="Times New Roman"/>
                <w:color w:val="auto"/>
                <w:szCs w:val="24"/>
                <w:highlight w:val="none"/>
                <w:lang w:val="en-US" w:eastAsia="zh-CN"/>
              </w:rPr>
            </w:pPr>
            <w:r>
              <w:rPr>
                <w:rFonts w:hint="default" w:ascii="Times New Roman" w:hAnsi="Times New Roman" w:cs="Times New Roman"/>
                <w:color w:val="auto"/>
                <w:szCs w:val="24"/>
                <w:highlight w:val="none"/>
              </w:rPr>
              <w:t>土壤理化特性调查见</w:t>
            </w:r>
            <w:r>
              <w:rPr>
                <w:rFonts w:hint="eastAsia" w:cs="Times New Roman"/>
                <w:color w:val="auto"/>
                <w:szCs w:val="24"/>
                <w:highlight w:val="none"/>
                <w:lang w:val="en-US" w:eastAsia="zh-CN"/>
              </w:rPr>
              <w:t>表3-6</w:t>
            </w:r>
            <w:r>
              <w:rPr>
                <w:rFonts w:hint="eastAsia" w:cs="Times New Roman"/>
                <w:color w:val="auto"/>
                <w:szCs w:val="24"/>
                <w:highlight w:val="none"/>
                <w:lang w:eastAsia="zh-CN"/>
              </w:rPr>
              <w:t>：</w:t>
            </w:r>
          </w:p>
          <w:p>
            <w:pPr>
              <w:pStyle w:val="59"/>
              <w:keepNext w:val="0"/>
              <w:keepLines w:val="0"/>
              <w:pageBreakBefore w:val="0"/>
              <w:widowControl w:val="0"/>
              <w:numPr>
                <w:ilvl w:val="0"/>
                <w:numId w:val="8"/>
              </w:numPr>
              <w:kinsoku/>
              <w:wordWrap/>
              <w:overflowPunct/>
              <w:topLinePunct w:val="0"/>
              <w:autoSpaceDE w:val="0"/>
              <w:autoSpaceDN w:val="0"/>
              <w:bidi w:val="0"/>
              <w:adjustRightInd w:val="0"/>
              <w:snapToGrid w:val="0"/>
              <w:spacing w:line="240" w:lineRule="auto"/>
              <w:ind w:left="0" w:firstLine="0" w:firstLineChars="0"/>
              <w:jc w:val="center"/>
              <w:textAlignment w:val="auto"/>
              <w:rPr>
                <w:rStyle w:val="24"/>
                <w:rFonts w:hint="default" w:ascii="Times New Roman" w:hAnsi="Times New Roman" w:eastAsia="宋体" w:cs="Times New Roman"/>
                <w:color w:val="auto"/>
                <w:lang w:val="en-US" w:eastAsia="zh-CN"/>
              </w:rPr>
            </w:pPr>
            <w:r>
              <w:rPr>
                <w:rStyle w:val="24"/>
                <w:rFonts w:hint="default" w:ascii="Times New Roman" w:hAnsi="Times New Roman" w:eastAsia="宋体" w:cs="Times New Roman"/>
                <w:color w:val="auto"/>
                <w:lang w:val="en-US" w:eastAsia="zh-CN"/>
              </w:rPr>
              <w:t>土壤理化特性调查表</w:t>
            </w:r>
          </w:p>
          <w:tbl>
            <w:tblPr>
              <w:tblStyle w:val="22"/>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10"/>
              <w:gridCol w:w="46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34" w:type="pct"/>
                  <w:tcBorders>
                    <w:top w:val="single" w:color="auto" w:sz="6" w:space="0"/>
                    <w:left w:val="single" w:color="auto" w:sz="0" w:space="0"/>
                    <w:bottom w:val="single" w:color="auto" w:sz="6" w:space="0"/>
                    <w:right w:val="single" w:color="auto" w:sz="6" w:space="0"/>
                  </w:tcBorders>
                  <w:noWrap w:val="0"/>
                  <w:vAlign w:val="center"/>
                </w:tcPr>
                <w:p>
                  <w:pPr>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lang w:val="en-US" w:eastAsia="zh-CN"/>
                    </w:rPr>
                    <w:t>检测点位名称</w:t>
                  </w:r>
                </w:p>
              </w:tc>
              <w:tc>
                <w:tcPr>
                  <w:tcW w:w="2565" w:type="pct"/>
                  <w:tcBorders>
                    <w:top w:val="single" w:color="auto" w:sz="6" w:space="0"/>
                    <w:left w:val="single" w:color="auto" w:sz="6" w:space="0"/>
                    <w:bottom w:val="single" w:color="auto" w:sz="6" w:space="0"/>
                    <w:right w:val="single" w:color="auto" w:sz="6" w:space="0"/>
                  </w:tcBorders>
                  <w:noWrap w:val="0"/>
                  <w:vAlign w:val="center"/>
                </w:tcPr>
                <w:p>
                  <w:pPr>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lang w:val="en-US" w:eastAsia="zh-CN"/>
                    </w:rPr>
                    <w:t>Tr1#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5"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vertAlign w:val="baseline"/>
                      <w:lang w:eastAsia="zh-CN"/>
                    </w:rPr>
                    <w:t>层次（</w:t>
                  </w:r>
                  <w:r>
                    <w:rPr>
                      <w:rFonts w:hint="default" w:ascii="Times New Roman" w:hAnsi="Times New Roman" w:eastAsia="宋体" w:cs="Times New Roman"/>
                      <w:b w:val="0"/>
                      <w:bCs w:val="0"/>
                      <w:color w:val="auto"/>
                      <w:sz w:val="21"/>
                      <w:szCs w:val="21"/>
                      <w:vertAlign w:val="baseline"/>
                      <w:lang w:val="en-US" w:eastAsia="zh-CN"/>
                    </w:rPr>
                    <w:t>m</w:t>
                  </w:r>
                  <w:r>
                    <w:rPr>
                      <w:rFonts w:hint="default" w:ascii="Times New Roman" w:hAnsi="Times New Roman" w:eastAsia="宋体" w:cs="Times New Roman"/>
                      <w:b w:val="0"/>
                      <w:bCs w:val="0"/>
                      <w:color w:val="auto"/>
                      <w:sz w:val="21"/>
                      <w:szCs w:val="21"/>
                      <w:vertAlign w:val="baseline"/>
                      <w:lang w:eastAsia="zh-CN"/>
                    </w:rPr>
                    <w:t>）</w:t>
                  </w:r>
                </w:p>
              </w:tc>
              <w:tc>
                <w:tcPr>
                  <w:tcW w:w="4379"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5"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vertAlign w:val="baseline"/>
                      <w:lang w:eastAsia="zh-CN"/>
                    </w:rPr>
                    <w:t>颜色</w:t>
                  </w:r>
                </w:p>
              </w:tc>
              <w:tc>
                <w:tcPr>
                  <w:tcW w:w="4379"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黄棕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5"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vertAlign w:val="baseline"/>
                      <w:lang w:eastAsia="zh-CN"/>
                    </w:rPr>
                    <w:t>结构</w:t>
                  </w:r>
                </w:p>
              </w:tc>
              <w:tc>
                <w:tcPr>
                  <w:tcW w:w="4379"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vertAlign w:val="baseline"/>
                      <w:lang w:eastAsia="zh-CN"/>
                    </w:rPr>
                    <w:t>团粒结构体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5"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vertAlign w:val="baseline"/>
                      <w:lang w:eastAsia="zh-CN"/>
                    </w:rPr>
                    <w:t>质地</w:t>
                  </w:r>
                </w:p>
              </w:tc>
              <w:tc>
                <w:tcPr>
                  <w:tcW w:w="4379"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vertAlign w:val="baseline"/>
                      <w:lang w:eastAsia="zh-CN"/>
                    </w:rPr>
                    <w:t>轻壤土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5"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lang w:val="en-US" w:eastAsia="zh-CN"/>
                    </w:rPr>
                    <w:t>机械组成（砂粒含量）</w:t>
                  </w:r>
                  <w:r>
                    <w:rPr>
                      <w:rFonts w:hint="default" w:ascii="Times New Roman" w:hAnsi="Times New Roman" w:eastAsia="宋体"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eastAsia="zh-CN"/>
                    </w:rPr>
                    <w:t>）</w:t>
                  </w:r>
                </w:p>
              </w:tc>
              <w:tc>
                <w:tcPr>
                  <w:tcW w:w="4379"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5"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vertAlign w:val="baseline"/>
                      <w:lang w:eastAsia="zh-CN"/>
                    </w:rPr>
                    <w:t>其他异物</w:t>
                  </w:r>
                </w:p>
              </w:tc>
              <w:tc>
                <w:tcPr>
                  <w:tcW w:w="4379"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5"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pH</w:t>
                  </w:r>
                </w:p>
              </w:tc>
              <w:tc>
                <w:tcPr>
                  <w:tcW w:w="4379"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8.23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5"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阳离子交换量（</w:t>
                  </w:r>
                  <w:r>
                    <w:rPr>
                      <w:rFonts w:hint="default" w:ascii="Times New Roman" w:hAnsi="Times New Roman" w:eastAsia="宋体" w:cs="Times New Roman"/>
                      <w:b w:val="0"/>
                      <w:bCs w:val="0"/>
                      <w:color w:val="auto"/>
                      <w:sz w:val="21"/>
                      <w:szCs w:val="21"/>
                      <w:lang w:val="en-US" w:eastAsia="zh-CN"/>
                    </w:rPr>
                    <w:t>cmol</w:t>
                  </w:r>
                  <w:r>
                    <w:rPr>
                      <w:rFonts w:hint="default" w:ascii="Times New Roman" w:hAnsi="Times New Roman" w:eastAsia="宋体" w:cs="Times New Roman"/>
                      <w:b w:val="0"/>
                      <w:bCs w:val="0"/>
                      <w:color w:val="auto"/>
                      <w:sz w:val="21"/>
                      <w:szCs w:val="21"/>
                      <w:vertAlign w:val="superscript"/>
                      <w:lang w:val="en-US" w:eastAsia="zh-CN"/>
                    </w:rPr>
                    <w:t>+</w:t>
                  </w:r>
                  <w:r>
                    <w:rPr>
                      <w:rFonts w:hint="default"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lang w:val="en-US" w:eastAsia="zh-CN"/>
                    </w:rPr>
                    <w:t>kg</w:t>
                  </w:r>
                  <w:r>
                    <w:rPr>
                      <w:rFonts w:hint="default" w:ascii="Times New Roman" w:hAnsi="Times New Roman" w:eastAsia="宋体" w:cs="Times New Roman"/>
                      <w:b w:val="0"/>
                      <w:bCs w:val="0"/>
                      <w:color w:val="auto"/>
                      <w:sz w:val="21"/>
                      <w:szCs w:val="21"/>
                      <w:vertAlign w:val="baseline"/>
                      <w:lang w:eastAsia="zh-CN"/>
                    </w:rPr>
                    <w:t>）</w:t>
                  </w:r>
                </w:p>
              </w:tc>
              <w:tc>
                <w:tcPr>
                  <w:tcW w:w="4379"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5"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vertAlign w:val="baseline"/>
                      <w:lang w:eastAsia="zh-CN"/>
                    </w:rPr>
                    <w:t>氧化还原电位（</w:t>
                  </w:r>
                  <w:r>
                    <w:rPr>
                      <w:rFonts w:hint="default" w:ascii="Times New Roman" w:hAnsi="Times New Roman" w:eastAsia="宋体" w:cs="Times New Roman"/>
                      <w:b w:val="0"/>
                      <w:bCs w:val="0"/>
                      <w:color w:val="auto"/>
                      <w:sz w:val="21"/>
                      <w:szCs w:val="21"/>
                      <w:lang w:val="en-US" w:eastAsia="zh-CN"/>
                    </w:rPr>
                    <w:t>mV</w:t>
                  </w:r>
                  <w:r>
                    <w:rPr>
                      <w:rFonts w:hint="default" w:ascii="Times New Roman" w:hAnsi="Times New Roman" w:eastAsia="宋体" w:cs="Times New Roman"/>
                      <w:b w:val="0"/>
                      <w:bCs w:val="0"/>
                      <w:color w:val="auto"/>
                      <w:sz w:val="21"/>
                      <w:szCs w:val="21"/>
                      <w:vertAlign w:val="baseline"/>
                      <w:lang w:eastAsia="zh-CN"/>
                    </w:rPr>
                    <w:t>）</w:t>
                  </w:r>
                </w:p>
              </w:tc>
              <w:tc>
                <w:tcPr>
                  <w:tcW w:w="4379"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5"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vertAlign w:val="baseline"/>
                      <w:lang w:eastAsia="zh-CN"/>
                    </w:rPr>
                    <w:t>渗透率（</w:t>
                  </w:r>
                  <w:r>
                    <w:rPr>
                      <w:rFonts w:hint="default" w:ascii="Times New Roman" w:hAnsi="Times New Roman" w:eastAsia="宋体" w:cs="Times New Roman"/>
                      <w:b w:val="0"/>
                      <w:bCs w:val="0"/>
                      <w:i w:val="0"/>
                      <w:iCs w:val="0"/>
                      <w:color w:val="auto"/>
                      <w:sz w:val="21"/>
                      <w:szCs w:val="21"/>
                      <w:highlight w:val="none"/>
                      <w:lang w:val="en-US" w:eastAsia="zh-CN"/>
                    </w:rPr>
                    <w:t>cm/s</w:t>
                  </w:r>
                  <w:r>
                    <w:rPr>
                      <w:rFonts w:hint="default" w:ascii="Times New Roman" w:hAnsi="Times New Roman" w:eastAsia="宋体" w:cs="Times New Roman"/>
                      <w:b w:val="0"/>
                      <w:bCs w:val="0"/>
                      <w:color w:val="auto"/>
                      <w:sz w:val="21"/>
                      <w:szCs w:val="21"/>
                      <w:vertAlign w:val="baseline"/>
                      <w:lang w:eastAsia="zh-CN"/>
                    </w:rPr>
                    <w:t>）</w:t>
                  </w:r>
                </w:p>
              </w:tc>
              <w:tc>
                <w:tcPr>
                  <w:tcW w:w="4379"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9.77×10</w:t>
                  </w:r>
                  <w:r>
                    <w:rPr>
                      <w:rFonts w:hint="default" w:ascii="Times New Roman" w:hAnsi="Times New Roman" w:eastAsia="宋体" w:cs="Times New Roman"/>
                      <w:b w:val="0"/>
                      <w:bCs w:val="0"/>
                      <w:color w:val="auto"/>
                      <w:sz w:val="21"/>
                      <w:szCs w:val="21"/>
                      <w:vertAlign w:val="superscript"/>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5"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vertAlign w:val="baseline"/>
                      <w:lang w:eastAsia="zh-CN"/>
                    </w:rPr>
                    <w:t>容重（</w:t>
                  </w:r>
                  <w:r>
                    <w:rPr>
                      <w:rFonts w:hint="default" w:ascii="Times New Roman" w:hAnsi="Times New Roman" w:eastAsia="宋体" w:cs="Times New Roman"/>
                      <w:b w:val="0"/>
                      <w:bCs w:val="0"/>
                      <w:color w:val="auto"/>
                      <w:sz w:val="21"/>
                      <w:szCs w:val="21"/>
                      <w:vertAlign w:val="baseline"/>
                      <w:lang w:val="en-US" w:eastAsia="zh-CN"/>
                    </w:rPr>
                    <w:t>g/cm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vertAlign w:val="baseline"/>
                      <w:lang w:eastAsia="zh-CN"/>
                    </w:rPr>
                    <w:t>）</w:t>
                  </w:r>
                </w:p>
              </w:tc>
              <w:tc>
                <w:tcPr>
                  <w:tcW w:w="4379"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5"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vertAlign w:val="baseline"/>
                      <w:lang w:eastAsia="zh-CN"/>
                    </w:rPr>
                    <w:t>孔隙度（</w:t>
                  </w:r>
                  <w:r>
                    <w:rPr>
                      <w:rFonts w:hint="default"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eastAsia="zh-CN"/>
                    </w:rPr>
                    <w:t>）</w:t>
                  </w:r>
                </w:p>
              </w:tc>
              <w:tc>
                <w:tcPr>
                  <w:tcW w:w="4379"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48</w:t>
                  </w:r>
                </w:p>
              </w:tc>
            </w:tr>
          </w:tbl>
          <w:p>
            <w:pPr>
              <w:spacing w:line="360" w:lineRule="auto"/>
              <w:ind w:firstLine="480" w:firstLineChars="200"/>
              <w:rPr>
                <w:rFonts w:ascii="Times New Roman" w:hAnsi="Times New Roman" w:cs="Times New Roman"/>
                <w:snapToGrid w:val="0"/>
                <w:color w:val="auto"/>
                <w:kern w:val="0"/>
                <w:sz w:val="24"/>
              </w:rPr>
            </w:pPr>
            <w:r>
              <w:rPr>
                <w:rFonts w:hint="default" w:ascii="Times New Roman" w:hAnsi="Times New Roman" w:eastAsia="宋体" w:cs="Times New Roman"/>
                <w:b w:val="0"/>
                <w:bCs/>
                <w:color w:val="auto"/>
                <w:sz w:val="24"/>
                <w:lang w:val="en-US" w:eastAsia="zh-CN"/>
              </w:rPr>
              <w:t>通过对各监测点位的土壤质量分析可知，各项监测因子均满足《土壤环境质量 建设用地土壤污染风险管控标准（试行）》（GB 36600-2018）表1中第二类用地的筛选值标准。</w:t>
            </w:r>
          </w:p>
          <w:p>
            <w:pPr>
              <w:spacing w:line="360" w:lineRule="auto"/>
              <w:ind w:firstLine="482" w:firstLineChars="200"/>
              <w:rPr>
                <w:rFonts w:ascii="Times New Roman" w:hAnsi="Times New Roman" w:cs="Times New Roman"/>
                <w:b/>
                <w:bCs/>
                <w:color w:val="auto"/>
                <w:kern w:val="0"/>
                <w:sz w:val="24"/>
              </w:rPr>
            </w:pPr>
            <w:r>
              <w:rPr>
                <w:rFonts w:ascii="Times New Roman" w:hAnsi="Times New Roman" w:cs="Times New Roman"/>
                <w:b/>
                <w:bCs/>
                <w:color w:val="auto"/>
                <w:kern w:val="0"/>
                <w:sz w:val="24"/>
              </w:rPr>
              <w:t>6、生态环境</w:t>
            </w:r>
          </w:p>
          <w:p>
            <w:pPr>
              <w:spacing w:line="360" w:lineRule="auto"/>
              <w:ind w:firstLine="480" w:firstLineChars="200"/>
              <w:rPr>
                <w:rFonts w:hint="eastAsia" w:ascii="Times New Roman" w:hAnsi="Times New Roman" w:cs="Times New Roman"/>
                <w:color w:val="auto"/>
                <w:kern w:val="0"/>
                <w:sz w:val="24"/>
                <w:lang w:eastAsia="zh-CN"/>
              </w:rPr>
            </w:pPr>
            <w:r>
              <w:rPr>
                <w:rFonts w:ascii="Times New Roman" w:hAnsi="Times New Roman" w:eastAsia="宋体" w:cs="Times New Roman"/>
                <w:color w:val="auto"/>
                <w:sz w:val="24"/>
                <w:szCs w:val="24"/>
              </w:rPr>
              <w:t>本项目所在区域内不存在自然保护区、世界文化和自然遗产地等特殊生态敏感区，也不存在风景名胜区、森林公园、地质公园、重要湿地、原始天然林、珍稀濒危野生动植物天然集中分布区、重要水生生物的自然产卵场及索饵场、越冬场和洄游通道、天然渔场等重要生态敏感区，</w:t>
            </w:r>
            <w:r>
              <w:rPr>
                <w:rFonts w:ascii="Times New Roman" w:hAnsi="Times New Roman" w:cs="Times New Roman"/>
                <w:color w:val="auto"/>
                <w:kern w:val="0"/>
                <w:sz w:val="24"/>
              </w:rPr>
              <w:t>不开展生态现状调查</w:t>
            </w:r>
            <w:r>
              <w:rPr>
                <w:rFonts w:hint="eastAsia" w:ascii="Times New Roman" w:hAnsi="Times New Roman" w:cs="Times New Roman"/>
                <w:color w:val="auto"/>
                <w:kern w:val="0"/>
                <w:sz w:val="24"/>
                <w:lang w:eastAsia="zh-CN"/>
              </w:rPr>
              <w:t>。</w:t>
            </w:r>
          </w:p>
          <w:p>
            <w:pPr>
              <w:spacing w:line="360" w:lineRule="auto"/>
              <w:ind w:firstLine="480" w:firstLineChars="200"/>
              <w:rPr>
                <w:rFonts w:hint="eastAsia" w:ascii="Times New Roman" w:hAnsi="Times New Roman" w:cs="Times New Roman"/>
                <w:color w:val="auto"/>
                <w:kern w:val="0"/>
                <w:sz w:val="24"/>
                <w:lang w:eastAsia="zh-CN"/>
              </w:rPr>
            </w:pPr>
          </w:p>
          <w:p>
            <w:pPr>
              <w:spacing w:line="360" w:lineRule="auto"/>
              <w:ind w:firstLine="480" w:firstLineChars="200"/>
              <w:rPr>
                <w:rFonts w:ascii="Times New Roman" w:hAnsi="Times New Roman" w:cs="Times New Roman"/>
                <w:color w:val="auto"/>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18" w:hRule="atLeast"/>
          <w:jc w:val="center"/>
        </w:trPr>
        <w:tc>
          <w:tcPr>
            <w:tcW w:w="456" w:type="dxa"/>
            <w:tcBorders>
              <w:top w:val="single" w:color="auto" w:sz="4" w:space="0"/>
              <w:left w:val="single" w:color="auto" w:sz="8"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环境</w:t>
            </w:r>
          </w:p>
          <w:p>
            <w:pPr>
              <w:adjustRightInd w:val="0"/>
              <w:snapToGrid w:val="0"/>
              <w:jc w:val="center"/>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保护</w:t>
            </w:r>
          </w:p>
          <w:p>
            <w:pPr>
              <w:adjustRightInd w:val="0"/>
              <w:snapToGrid w:val="0"/>
              <w:jc w:val="center"/>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目标</w:t>
            </w:r>
          </w:p>
        </w:tc>
        <w:tc>
          <w:tcPr>
            <w:tcW w:w="8752" w:type="dxa"/>
            <w:tcBorders>
              <w:top w:val="single" w:color="auto" w:sz="4" w:space="0"/>
              <w:left w:val="single" w:color="auto" w:sz="4" w:space="0"/>
              <w:bottom w:val="single" w:color="auto" w:sz="4" w:space="0"/>
              <w:right w:val="single" w:color="auto" w:sz="8" w:space="0"/>
            </w:tcBorders>
            <w:shd w:val="clear" w:color="auto" w:fill="auto"/>
            <w:vAlign w:val="center"/>
          </w:tcPr>
          <w:p>
            <w:pPr>
              <w:snapToGrid w:val="0"/>
              <w:spacing w:before="156" w:beforeLines="50" w:line="360" w:lineRule="auto"/>
              <w:rPr>
                <w:rFonts w:ascii="Times New Roman" w:hAnsi="Times New Roman" w:eastAsia="宋体" w:cs="Times New Roman"/>
                <w:b/>
                <w:bCs/>
                <w:color w:val="auto"/>
                <w:kern w:val="0"/>
                <w:sz w:val="24"/>
              </w:rPr>
            </w:pPr>
            <w:r>
              <w:rPr>
                <w:rFonts w:ascii="Times New Roman" w:hAnsi="Times New Roman" w:eastAsia="宋体" w:cs="Times New Roman"/>
                <w:b/>
                <w:bCs/>
                <w:color w:val="auto"/>
                <w:kern w:val="0"/>
                <w:sz w:val="24"/>
              </w:rPr>
              <w:t>主要环境保护目标</w:t>
            </w:r>
          </w:p>
          <w:p>
            <w:pPr>
              <w:widowControl/>
              <w:adjustRightInd w:val="0"/>
              <w:snapToGrid w:val="0"/>
              <w:spacing w:line="360" w:lineRule="auto"/>
              <w:ind w:firstLine="480" w:firstLineChars="200"/>
              <w:rPr>
                <w:rFonts w:hint="eastAsia" w:ascii="Times New Roman" w:hAnsi="Times New Roman" w:cs="Times New Roman"/>
                <w:color w:val="auto"/>
                <w:sz w:val="24"/>
              </w:rPr>
            </w:pPr>
            <w:r>
              <w:rPr>
                <w:rFonts w:ascii="Times New Roman" w:hAnsi="Times New Roman" w:cs="Times New Roman"/>
                <w:color w:val="auto"/>
                <w:sz w:val="24"/>
              </w:rPr>
              <w:t>项目</w:t>
            </w:r>
            <w:r>
              <w:rPr>
                <w:rFonts w:hint="eastAsia" w:ascii="Times New Roman" w:hAnsi="Times New Roman" w:cs="Times New Roman"/>
                <w:color w:val="auto"/>
                <w:sz w:val="24"/>
              </w:rPr>
              <w:t>厂界外</w:t>
            </w:r>
            <w:r>
              <w:rPr>
                <w:rFonts w:ascii="Times New Roman" w:hAnsi="Times New Roman" w:cs="Times New Roman"/>
                <w:color w:val="auto"/>
                <w:sz w:val="24"/>
              </w:rPr>
              <w:t>500m范围内无自然保护区、风景名胜区、文化区</w:t>
            </w:r>
            <w:r>
              <w:rPr>
                <w:rFonts w:hint="eastAsia" w:ascii="Times New Roman" w:hAnsi="Times New Roman" w:cs="Times New Roman"/>
                <w:color w:val="auto"/>
                <w:sz w:val="24"/>
              </w:rPr>
              <w:t>及居民区</w:t>
            </w:r>
            <w:r>
              <w:rPr>
                <w:rFonts w:ascii="Times New Roman" w:hAnsi="Times New Roman" w:cs="Times New Roman"/>
                <w:color w:val="auto"/>
                <w:sz w:val="24"/>
              </w:rPr>
              <w:t>；</w:t>
            </w:r>
            <w:r>
              <w:rPr>
                <w:rFonts w:hint="eastAsia" w:ascii="Times New Roman" w:hAnsi="Times New Roman" w:cs="Times New Roman"/>
                <w:color w:val="auto"/>
                <w:sz w:val="24"/>
                <w:lang w:val="en-US" w:eastAsia="zh-CN"/>
              </w:rPr>
              <w:t>厂区距离最近的居民为北侧25m二十三号村</w:t>
            </w:r>
            <w:r>
              <w:rPr>
                <w:rFonts w:hint="default" w:ascii="Times New Roman" w:hAnsi="Times New Roman" w:cs="Times New Roman"/>
                <w:color w:val="auto"/>
                <w:sz w:val="24"/>
              </w:rPr>
              <w:t>；</w:t>
            </w:r>
            <w:r>
              <w:rPr>
                <w:rFonts w:ascii="Times New Roman" w:hAnsi="Times New Roman" w:cs="Times New Roman"/>
                <w:color w:val="auto"/>
                <w:sz w:val="24"/>
              </w:rPr>
              <w:t>项目</w:t>
            </w:r>
            <w:r>
              <w:rPr>
                <w:rFonts w:hint="eastAsia" w:ascii="Times New Roman" w:hAnsi="Times New Roman" w:cs="Times New Roman"/>
                <w:color w:val="auto"/>
                <w:sz w:val="24"/>
              </w:rPr>
              <w:t>厂界外</w:t>
            </w:r>
            <w:r>
              <w:rPr>
                <w:rFonts w:ascii="Times New Roman" w:hAnsi="Times New Roman" w:cs="Times New Roman"/>
                <w:color w:val="auto"/>
                <w:sz w:val="24"/>
              </w:rPr>
              <w:t>500m范围内</w:t>
            </w:r>
            <w:r>
              <w:rPr>
                <w:rFonts w:hint="eastAsia" w:ascii="Times New Roman" w:hAnsi="Times New Roman" w:cs="Times New Roman"/>
                <w:color w:val="auto"/>
                <w:sz w:val="24"/>
              </w:rPr>
              <w:t>无地下水集中式饮用水水源和热水、矿泉水、温泉等特殊地下水资源；项目用地范围内不含特殊生态敏感区、重要生态敏感区</w:t>
            </w:r>
          </w:p>
          <w:p>
            <w:pPr>
              <w:pStyle w:val="59"/>
              <w:keepNext w:val="0"/>
              <w:keepLines w:val="0"/>
              <w:pageBreakBefore w:val="0"/>
              <w:widowControl w:val="0"/>
              <w:numPr>
                <w:ilvl w:val="0"/>
                <w:numId w:val="8"/>
              </w:numPr>
              <w:kinsoku/>
              <w:wordWrap/>
              <w:overflowPunct/>
              <w:topLinePunct w:val="0"/>
              <w:autoSpaceDE w:val="0"/>
              <w:autoSpaceDN w:val="0"/>
              <w:bidi w:val="0"/>
              <w:adjustRightInd w:val="0"/>
              <w:snapToGrid w:val="0"/>
              <w:spacing w:line="240" w:lineRule="auto"/>
              <w:ind w:left="0" w:firstLine="0" w:firstLineChars="0"/>
              <w:jc w:val="center"/>
              <w:textAlignment w:val="auto"/>
              <w:rPr>
                <w:rStyle w:val="24"/>
                <w:rFonts w:hint="default" w:ascii="Times New Roman" w:hAnsi="Times New Roman" w:eastAsia="宋体" w:cs="Times New Roman"/>
                <w:color w:val="auto"/>
                <w:lang w:val="en-US" w:eastAsia="zh-CN"/>
              </w:rPr>
            </w:pPr>
            <w:r>
              <w:rPr>
                <w:rStyle w:val="24"/>
                <w:rFonts w:hint="default" w:ascii="Times New Roman" w:hAnsi="Times New Roman" w:eastAsia="宋体" w:cs="Times New Roman"/>
                <w:color w:val="auto"/>
                <w:lang w:val="en-US" w:eastAsia="zh-CN"/>
              </w:rPr>
              <w:t>环境保护目标</w:t>
            </w:r>
          </w:p>
          <w:tbl>
            <w:tblPr>
              <w:tblStyle w:val="21"/>
              <w:tblW w:w="9039"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590"/>
              <w:gridCol w:w="1529"/>
              <w:gridCol w:w="1424"/>
              <w:gridCol w:w="883"/>
              <w:gridCol w:w="537"/>
              <w:gridCol w:w="606"/>
              <w:gridCol w:w="649"/>
              <w:gridCol w:w="690"/>
              <w:gridCol w:w="213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590"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00" w:lineRule="atLeast"/>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环境要素</w:t>
                  </w:r>
                </w:p>
              </w:tc>
              <w:tc>
                <w:tcPr>
                  <w:tcW w:w="2953" w:type="dxa"/>
                  <w:gridSpan w:val="2"/>
                  <w:tcBorders>
                    <w:right w:val="single" w:color="auto" w:sz="4" w:space="0"/>
                  </w:tcBorders>
                  <w:noWrap w:val="0"/>
                  <w:vAlign w:val="center"/>
                </w:tcPr>
                <w:p>
                  <w:pPr>
                    <w:keepNext w:val="0"/>
                    <w:keepLines w:val="0"/>
                    <w:pageBreakBefore w:val="0"/>
                    <w:kinsoku/>
                    <w:wordWrap/>
                    <w:overflowPunct/>
                    <w:topLinePunct/>
                    <w:autoSpaceDE/>
                    <w:autoSpaceDN/>
                    <w:bidi w:val="0"/>
                    <w:spacing w:line="200" w:lineRule="atLeast"/>
                    <w:ind w:firstLine="0" w:firstLineChars="0"/>
                    <w:jc w:val="center"/>
                    <w:textAlignment w:val="center"/>
                    <w:rPr>
                      <w:rFonts w:hint="default" w:ascii="Times New Roman" w:hAnsi="Times New Roman" w:cs="Times New Roman"/>
                      <w:b/>
                      <w:color w:val="auto"/>
                      <w:sz w:val="21"/>
                      <w:szCs w:val="21"/>
                      <w:highlight w:val="none"/>
                    </w:rPr>
                  </w:pPr>
                  <w:r>
                    <w:rPr>
                      <w:rFonts w:hint="default" w:ascii="Times New Roman" w:hAnsi="Times New Roman" w:cs="Times New Roman"/>
                      <w:b/>
                      <w:bCs/>
                      <w:color w:val="auto"/>
                      <w:sz w:val="21"/>
                      <w:szCs w:val="21"/>
                      <w:highlight w:val="none"/>
                      <w:lang w:eastAsia="zh-CN"/>
                    </w:rPr>
                    <w:t>位置坐标</w:t>
                  </w:r>
                </w:p>
              </w:tc>
              <w:tc>
                <w:tcPr>
                  <w:tcW w:w="883" w:type="dxa"/>
                  <w:vMerge w:val="restar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00" w:lineRule="atLeast"/>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保护对象</w:t>
                  </w:r>
                </w:p>
              </w:tc>
              <w:tc>
                <w:tcPr>
                  <w:tcW w:w="537" w:type="dxa"/>
                  <w:vMerge w:val="restar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00" w:lineRule="atLeast"/>
                    <w:jc w:val="center"/>
                    <w:textAlignment w:val="auto"/>
                    <w:rPr>
                      <w:rFonts w:hint="default" w:ascii="Times New Roman" w:hAnsi="Times New Roman" w:eastAsia="宋体" w:cs="Times New Roman"/>
                      <w:b/>
                      <w:color w:val="auto"/>
                      <w:sz w:val="21"/>
                      <w:szCs w:val="21"/>
                      <w:highlight w:val="none"/>
                      <w:lang w:eastAsia="zh-CN"/>
                    </w:rPr>
                  </w:pPr>
                  <w:r>
                    <w:rPr>
                      <w:rFonts w:hint="default" w:ascii="Times New Roman" w:hAnsi="Times New Roman" w:cs="Times New Roman"/>
                      <w:b/>
                      <w:color w:val="auto"/>
                      <w:sz w:val="21"/>
                      <w:szCs w:val="21"/>
                      <w:highlight w:val="none"/>
                      <w:lang w:eastAsia="zh-CN"/>
                    </w:rPr>
                    <w:t>保护内容</w:t>
                  </w:r>
                </w:p>
              </w:tc>
              <w:tc>
                <w:tcPr>
                  <w:tcW w:w="606" w:type="dxa"/>
                  <w:vMerge w:val="restart"/>
                  <w:tcBorders>
                    <w:left w:val="single" w:color="auto" w:sz="4" w:space="0"/>
                    <w:right w:val="single" w:color="auto" w:sz="4" w:space="0"/>
                  </w:tcBorders>
                  <w:noWrap w:val="0"/>
                  <w:vAlign w:val="center"/>
                </w:tcPr>
                <w:p>
                  <w:pPr>
                    <w:keepNext w:val="0"/>
                    <w:keepLines w:val="0"/>
                    <w:pageBreakBefore w:val="0"/>
                    <w:kinsoku/>
                    <w:wordWrap/>
                    <w:overflowPunct/>
                    <w:topLinePunct/>
                    <w:autoSpaceDE/>
                    <w:autoSpaceDN/>
                    <w:bidi w:val="0"/>
                    <w:spacing w:line="200" w:lineRule="atLeast"/>
                    <w:ind w:firstLine="0" w:firstLineChars="0"/>
                    <w:jc w:val="center"/>
                    <w:textAlignment w:val="center"/>
                    <w:rPr>
                      <w:rFonts w:hint="default" w:ascii="Times New Roman" w:hAnsi="Times New Roman" w:cs="Times New Roman"/>
                      <w:b/>
                      <w:color w:val="auto"/>
                      <w:sz w:val="21"/>
                      <w:szCs w:val="21"/>
                      <w:highlight w:val="none"/>
                      <w:lang w:eastAsia="zh-CN"/>
                    </w:rPr>
                  </w:pPr>
                  <w:r>
                    <w:rPr>
                      <w:rFonts w:hint="default" w:ascii="Times New Roman" w:hAnsi="Times New Roman" w:cs="Times New Roman"/>
                      <w:b/>
                      <w:bCs/>
                      <w:color w:val="auto"/>
                      <w:sz w:val="21"/>
                      <w:szCs w:val="21"/>
                      <w:highlight w:val="none"/>
                      <w:lang w:val="en-US" w:eastAsia="zh-CN"/>
                    </w:rPr>
                    <w:t>环境功能区划</w:t>
                  </w:r>
                </w:p>
              </w:tc>
              <w:tc>
                <w:tcPr>
                  <w:tcW w:w="649" w:type="dxa"/>
                  <w:vMerge w:val="restar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00" w:lineRule="atLeast"/>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相对方位</w:t>
                  </w:r>
                </w:p>
              </w:tc>
              <w:tc>
                <w:tcPr>
                  <w:tcW w:w="690"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00" w:lineRule="atLeast"/>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相对距离(m)</w:t>
                  </w:r>
                </w:p>
              </w:tc>
              <w:tc>
                <w:tcPr>
                  <w:tcW w:w="2131"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00" w:lineRule="atLeast"/>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snapToGrid w:val="0"/>
                      <w:color w:val="auto"/>
                      <w:kern w:val="0"/>
                      <w:sz w:val="21"/>
                      <w:szCs w:val="21"/>
                      <w:highlight w:val="none"/>
                    </w:rPr>
                    <w:t>环境质量标准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590" w:type="dxa"/>
                  <w:vMerge w:val="continue"/>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00" w:lineRule="atLeast"/>
                    <w:jc w:val="center"/>
                    <w:textAlignment w:val="auto"/>
                    <w:rPr>
                      <w:rFonts w:hint="default" w:ascii="Times New Roman" w:hAnsi="Times New Roman" w:cs="Times New Roman"/>
                      <w:b/>
                      <w:color w:val="auto"/>
                      <w:sz w:val="21"/>
                      <w:szCs w:val="21"/>
                      <w:highlight w:val="none"/>
                    </w:rPr>
                  </w:pPr>
                </w:p>
              </w:tc>
              <w:tc>
                <w:tcPr>
                  <w:tcW w:w="1529" w:type="dxa"/>
                  <w:tcBorders>
                    <w:bottom w:val="single" w:color="auto" w:sz="4" w:space="0"/>
                    <w:right w:val="single" w:color="auto" w:sz="4" w:space="0"/>
                  </w:tcBorders>
                  <w:noWrap w:val="0"/>
                  <w:vAlign w:val="center"/>
                </w:tcPr>
                <w:p>
                  <w:pPr>
                    <w:keepNext w:val="0"/>
                    <w:keepLines w:val="0"/>
                    <w:pageBreakBefore w:val="0"/>
                    <w:kinsoku/>
                    <w:wordWrap/>
                    <w:overflowPunct/>
                    <w:topLinePunct/>
                    <w:autoSpaceDE/>
                    <w:autoSpaceDN/>
                    <w:bidi w:val="0"/>
                    <w:spacing w:line="200" w:lineRule="atLeast"/>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lang w:val="en-US" w:eastAsia="zh-CN"/>
                    </w:rPr>
                    <w:t>E</w:t>
                  </w:r>
                </w:p>
              </w:tc>
              <w:tc>
                <w:tcPr>
                  <w:tcW w:w="1424" w:type="dxa"/>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autoSpaceDE/>
                    <w:autoSpaceDN/>
                    <w:bidi w:val="0"/>
                    <w:spacing w:line="200" w:lineRule="atLeast"/>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lang w:val="en-US" w:eastAsia="zh-CN"/>
                    </w:rPr>
                    <w:t>N</w:t>
                  </w:r>
                </w:p>
              </w:tc>
              <w:tc>
                <w:tcPr>
                  <w:tcW w:w="883" w:type="dxa"/>
                  <w:vMerge w:val="continue"/>
                  <w:tcBorders>
                    <w:left w:val="single" w:color="auto" w:sz="4" w:space="0"/>
                    <w:bottom w:val="single" w:color="auto" w:sz="8" w:space="0"/>
                  </w:tcBorders>
                  <w:noWrap w:val="0"/>
                  <w:vAlign w:val="center"/>
                </w:tcPr>
                <w:p>
                  <w:pPr>
                    <w:pStyle w:val="67"/>
                    <w:keepNext w:val="0"/>
                    <w:keepLines w:val="0"/>
                    <w:pageBreakBefore w:val="0"/>
                    <w:kinsoku/>
                    <w:wordWrap/>
                    <w:overflowPunct/>
                    <w:topLinePunct w:val="0"/>
                    <w:autoSpaceDE/>
                    <w:autoSpaceDN/>
                    <w:bidi w:val="0"/>
                    <w:spacing w:line="200" w:lineRule="atLeast"/>
                    <w:textAlignment w:val="auto"/>
                    <w:rPr>
                      <w:rFonts w:hint="default" w:ascii="Times New Roman" w:hAnsi="Times New Roman" w:cs="Times New Roman"/>
                      <w:color w:val="auto"/>
                      <w:sz w:val="21"/>
                      <w:szCs w:val="21"/>
                      <w:highlight w:val="none"/>
                    </w:rPr>
                  </w:pPr>
                </w:p>
              </w:tc>
              <w:tc>
                <w:tcPr>
                  <w:tcW w:w="537" w:type="dxa"/>
                  <w:vMerge w:val="continue"/>
                  <w:tcBorders>
                    <w:bottom w:val="single" w:color="auto" w:sz="8" w:space="0"/>
                    <w:right w:val="single" w:color="auto" w:sz="4" w:space="0"/>
                  </w:tcBorders>
                  <w:noWrap w:val="0"/>
                  <w:vAlign w:val="center"/>
                </w:tcPr>
                <w:p>
                  <w:pPr>
                    <w:pStyle w:val="67"/>
                    <w:keepNext w:val="0"/>
                    <w:keepLines w:val="0"/>
                    <w:pageBreakBefore w:val="0"/>
                    <w:kinsoku/>
                    <w:wordWrap/>
                    <w:overflowPunct/>
                    <w:topLinePunct w:val="0"/>
                    <w:autoSpaceDE/>
                    <w:autoSpaceDN/>
                    <w:bidi w:val="0"/>
                    <w:spacing w:line="200" w:lineRule="atLeast"/>
                    <w:textAlignment w:val="auto"/>
                    <w:rPr>
                      <w:rFonts w:hint="default" w:ascii="Times New Roman" w:hAnsi="Times New Roman" w:eastAsia="宋体" w:cs="Times New Roman"/>
                      <w:color w:val="auto"/>
                      <w:sz w:val="21"/>
                      <w:szCs w:val="21"/>
                      <w:highlight w:val="none"/>
                      <w:lang w:eastAsia="zh-CN"/>
                    </w:rPr>
                  </w:pPr>
                </w:p>
              </w:tc>
              <w:tc>
                <w:tcPr>
                  <w:tcW w:w="606" w:type="dxa"/>
                  <w:vMerge w:val="continue"/>
                  <w:tcBorders>
                    <w:left w:val="single" w:color="auto" w:sz="4" w:space="0"/>
                    <w:bottom w:val="single" w:color="auto" w:sz="8" w:space="0"/>
                    <w:right w:val="single" w:color="auto" w:sz="4" w:space="0"/>
                  </w:tcBorders>
                  <w:noWrap w:val="0"/>
                  <w:vAlign w:val="center"/>
                </w:tcPr>
                <w:p>
                  <w:pPr>
                    <w:pStyle w:val="67"/>
                    <w:keepNext w:val="0"/>
                    <w:keepLines w:val="0"/>
                    <w:pageBreakBefore w:val="0"/>
                    <w:kinsoku/>
                    <w:wordWrap/>
                    <w:overflowPunct/>
                    <w:topLinePunct w:val="0"/>
                    <w:autoSpaceDE/>
                    <w:autoSpaceDN/>
                    <w:bidi w:val="0"/>
                    <w:spacing w:line="200" w:lineRule="atLeast"/>
                    <w:textAlignment w:val="auto"/>
                    <w:rPr>
                      <w:rFonts w:hint="default" w:ascii="Times New Roman" w:hAnsi="Times New Roman" w:eastAsia="宋体" w:cs="Times New Roman"/>
                      <w:color w:val="auto"/>
                      <w:sz w:val="21"/>
                      <w:szCs w:val="21"/>
                      <w:highlight w:val="none"/>
                      <w:lang w:eastAsia="zh-CN"/>
                    </w:rPr>
                  </w:pPr>
                </w:p>
              </w:tc>
              <w:tc>
                <w:tcPr>
                  <w:tcW w:w="649" w:type="dxa"/>
                  <w:vMerge w:val="continue"/>
                  <w:tcBorders>
                    <w:left w:val="single" w:color="auto" w:sz="4" w:space="0"/>
                    <w:bottom w:val="single" w:color="auto" w:sz="8" w:space="0"/>
                  </w:tcBorders>
                  <w:noWrap w:val="0"/>
                  <w:vAlign w:val="center"/>
                </w:tcPr>
                <w:p>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cs="Times New Roman"/>
                      <w:color w:val="auto"/>
                      <w:sz w:val="21"/>
                      <w:szCs w:val="21"/>
                      <w:highlight w:val="none"/>
                    </w:rPr>
                  </w:pPr>
                </w:p>
              </w:tc>
              <w:tc>
                <w:tcPr>
                  <w:tcW w:w="690" w:type="dxa"/>
                  <w:vMerge w:val="continue"/>
                  <w:tcBorders>
                    <w:bottom w:val="single" w:color="auto" w:sz="8" w:space="0"/>
                  </w:tcBorders>
                  <w:noWrap w:val="0"/>
                  <w:vAlign w:val="center"/>
                </w:tcPr>
                <w:p>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cs="Times New Roman"/>
                      <w:color w:val="auto"/>
                      <w:sz w:val="21"/>
                      <w:szCs w:val="21"/>
                      <w:highlight w:val="none"/>
                    </w:rPr>
                  </w:pPr>
                </w:p>
              </w:tc>
              <w:tc>
                <w:tcPr>
                  <w:tcW w:w="2131" w:type="dxa"/>
                  <w:vMerge w:val="continue"/>
                  <w:tcBorders>
                    <w:bottom w:val="single" w:color="auto" w:sz="4" w:space="0"/>
                  </w:tcBorders>
                  <w:noWrap w:val="0"/>
                  <w:vAlign w:val="center"/>
                </w:tcPr>
                <w:p>
                  <w:pPr>
                    <w:pStyle w:val="67"/>
                    <w:keepNext w:val="0"/>
                    <w:keepLines w:val="0"/>
                    <w:pageBreakBefore w:val="0"/>
                    <w:kinsoku/>
                    <w:wordWrap/>
                    <w:overflowPunct/>
                    <w:topLinePunct w:val="0"/>
                    <w:autoSpaceDE/>
                    <w:autoSpaceDN/>
                    <w:bidi w:val="0"/>
                    <w:spacing w:line="200" w:lineRule="atLeast"/>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590" w:type="dxa"/>
                  <w:vMerge w:val="restart"/>
                  <w:tcBorders>
                    <w:top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00" w:lineRule="atLeast"/>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环境</w:t>
                  </w:r>
                </w:p>
                <w:p>
                  <w:pPr>
                    <w:keepNext w:val="0"/>
                    <w:keepLines w:val="0"/>
                    <w:pageBreakBefore w:val="0"/>
                    <w:kinsoku/>
                    <w:wordWrap/>
                    <w:overflowPunct/>
                    <w:topLinePunct w:val="0"/>
                    <w:autoSpaceDE/>
                    <w:autoSpaceDN/>
                    <w:bidi w:val="0"/>
                    <w:adjustRightInd w:val="0"/>
                    <w:snapToGrid w:val="0"/>
                    <w:spacing w:line="200" w:lineRule="atLeast"/>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空气</w:t>
                  </w:r>
                </w:p>
              </w:tc>
              <w:tc>
                <w:tcPr>
                  <w:tcW w:w="1529" w:type="dxa"/>
                  <w:tcBorders>
                    <w:top w:val="single" w:color="auto" w:sz="4" w:space="0"/>
                    <w:bottom w:val="single" w:color="auto" w:sz="8" w:space="0"/>
                  </w:tcBorders>
                  <w:noWrap w:val="0"/>
                  <w:vAlign w:val="center"/>
                </w:tcPr>
                <w:p>
                  <w:pPr>
                    <w:keepNext w:val="0"/>
                    <w:keepLines w:val="0"/>
                    <w:pageBreakBefore w:val="0"/>
                    <w:widowControl/>
                    <w:suppressLineNumbers w:val="0"/>
                    <w:kinsoku/>
                    <w:wordWrap/>
                    <w:overflowPunct/>
                    <w:autoSpaceDE/>
                    <w:autoSpaceDN/>
                    <w:bidi w:val="0"/>
                    <w:spacing w:line="200" w:lineRule="atLeast"/>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117.707744364</w:t>
                  </w:r>
                </w:p>
              </w:tc>
              <w:tc>
                <w:tcPr>
                  <w:tcW w:w="1424" w:type="dxa"/>
                  <w:tcBorders>
                    <w:top w:val="single" w:color="auto" w:sz="4" w:space="0"/>
                    <w:bottom w:val="single" w:color="auto" w:sz="8" w:space="0"/>
                  </w:tcBorders>
                  <w:noWrap w:val="0"/>
                  <w:vAlign w:val="center"/>
                </w:tcPr>
                <w:p>
                  <w:pPr>
                    <w:keepNext w:val="0"/>
                    <w:keepLines w:val="0"/>
                    <w:pageBreakBefore w:val="0"/>
                    <w:widowControl/>
                    <w:suppressLineNumbers w:val="0"/>
                    <w:kinsoku/>
                    <w:wordWrap/>
                    <w:overflowPunct/>
                    <w:autoSpaceDE/>
                    <w:autoSpaceDN/>
                    <w:bidi w:val="0"/>
                    <w:spacing w:line="200" w:lineRule="atLeast"/>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41.985070331</w:t>
                  </w:r>
                </w:p>
              </w:tc>
              <w:tc>
                <w:tcPr>
                  <w:tcW w:w="883" w:type="dxa"/>
                  <w:tcBorders>
                    <w:top w:val="single" w:color="auto" w:sz="4" w:space="0"/>
                    <w:bottom w:val="single" w:color="auto" w:sz="8" w:space="0"/>
                  </w:tcBorders>
                  <w:noWrap w:val="0"/>
                  <w:vAlign w:val="center"/>
                </w:tcPr>
                <w:p>
                  <w:pPr>
                    <w:topLinePunct/>
                    <w:snapToGrid w:val="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bCs/>
                      <w:highlight w:val="none"/>
                      <w:lang w:val="en-US" w:eastAsia="zh-CN"/>
                    </w:rPr>
                    <w:t>二十三号</w:t>
                  </w:r>
                </w:p>
              </w:tc>
              <w:tc>
                <w:tcPr>
                  <w:tcW w:w="537" w:type="dxa"/>
                  <w:tcBorders>
                    <w:top w:val="single" w:color="auto" w:sz="4" w:space="0"/>
                    <w:bottom w:val="single" w:color="auto" w:sz="8" w:space="0"/>
                  </w:tcBorders>
                  <w:noWrap w:val="0"/>
                  <w:vAlign w:val="center"/>
                </w:tcPr>
                <w:p>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居民</w:t>
                  </w:r>
                </w:p>
              </w:tc>
              <w:tc>
                <w:tcPr>
                  <w:tcW w:w="606" w:type="dxa"/>
                  <w:tcBorders>
                    <w:top w:val="single" w:color="auto" w:sz="4" w:space="0"/>
                    <w:bottom w:val="single" w:color="auto" w:sz="8" w:space="0"/>
                  </w:tcBorders>
                  <w:noWrap w:val="0"/>
                  <w:vAlign w:val="center"/>
                </w:tcPr>
                <w:p>
                  <w:pPr>
                    <w:keepNext w:val="0"/>
                    <w:keepLines w:val="0"/>
                    <w:pageBreakBefore w:val="0"/>
                    <w:kinsoku/>
                    <w:wordWrap/>
                    <w:overflowPunct/>
                    <w:autoSpaceDE/>
                    <w:autoSpaceDN/>
                    <w:bidi w:val="0"/>
                    <w:spacing w:line="200" w:lineRule="atLeast"/>
                    <w:ind w:firstLine="0" w:firstLine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二类区</w:t>
                  </w:r>
                </w:p>
              </w:tc>
              <w:tc>
                <w:tcPr>
                  <w:tcW w:w="649" w:type="dxa"/>
                  <w:tcBorders>
                    <w:top w:val="single" w:color="auto" w:sz="4" w:space="0"/>
                    <w:bottom w:val="single" w:color="auto" w:sz="8" w:space="0"/>
                  </w:tcBorders>
                  <w:noWrap w:val="0"/>
                  <w:vAlign w:val="center"/>
                </w:tcPr>
                <w:p>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bCs/>
                      <w:highlight w:val="none"/>
                      <w:lang w:val="en-US" w:eastAsia="zh-CN"/>
                    </w:rPr>
                    <w:t>N</w:t>
                  </w:r>
                </w:p>
              </w:tc>
              <w:tc>
                <w:tcPr>
                  <w:tcW w:w="690" w:type="dxa"/>
                  <w:tcBorders>
                    <w:top w:val="single" w:color="auto" w:sz="4" w:space="0"/>
                    <w:bottom w:val="single" w:color="auto" w:sz="8" w:space="0"/>
                  </w:tcBorders>
                  <w:noWrap w:val="0"/>
                  <w:vAlign w:val="center"/>
                </w:tcPr>
                <w:p>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bCs/>
                      <w:color w:val="000000"/>
                      <w:szCs w:val="21"/>
                      <w:highlight w:val="none"/>
                      <w:lang w:val="en-US" w:eastAsia="zh-CN"/>
                    </w:rPr>
                    <w:t>25</w:t>
                  </w:r>
                </w:p>
              </w:tc>
              <w:tc>
                <w:tcPr>
                  <w:tcW w:w="2131" w:type="dxa"/>
                  <w:vMerge w:val="restart"/>
                  <w:tcBorders>
                    <w:top w:val="single" w:color="auto" w:sz="4" w:space="0"/>
                  </w:tcBorders>
                  <w:noWrap w:val="0"/>
                  <w:vAlign w:val="center"/>
                </w:tcPr>
                <w:p>
                  <w:pPr>
                    <w:pStyle w:val="67"/>
                    <w:keepNext w:val="0"/>
                    <w:keepLines w:val="0"/>
                    <w:pageBreakBefore w:val="0"/>
                    <w:kinsoku/>
                    <w:wordWrap/>
                    <w:overflowPunct/>
                    <w:topLinePunct w:val="0"/>
                    <w:autoSpaceDE/>
                    <w:autoSpaceDN/>
                    <w:bidi w:val="0"/>
                    <w:spacing w:line="200" w:lineRule="atLeas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《环境空气质量标准》（GB3095-2012）</w:t>
                  </w:r>
                  <w:r>
                    <w:rPr>
                      <w:rFonts w:hint="default" w:ascii="Times New Roman" w:hAnsi="Times New Roman" w:cs="Times New Roman"/>
                      <w:color w:val="auto"/>
                      <w:sz w:val="21"/>
                      <w:szCs w:val="21"/>
                      <w:highlight w:val="none"/>
                      <w:lang w:val="en-US" w:eastAsia="zh-CN"/>
                    </w:rPr>
                    <w:t>及其修改单中的</w:t>
                  </w:r>
                  <w:r>
                    <w:rPr>
                      <w:rFonts w:hint="default" w:ascii="Times New Roman" w:hAnsi="Times New Roman" w:cs="Times New Roman"/>
                      <w:color w:val="auto"/>
                      <w:sz w:val="21"/>
                      <w:szCs w:val="21"/>
                      <w:highlight w:val="none"/>
                    </w:rPr>
                    <w:t>二级</w:t>
                  </w:r>
                  <w:r>
                    <w:rPr>
                      <w:rFonts w:hint="default" w:ascii="Times New Roman" w:hAnsi="Times New Roman" w:cs="Times New Roman"/>
                      <w:color w:val="auto"/>
                      <w:sz w:val="21"/>
                      <w:szCs w:val="21"/>
                      <w:highlight w:val="none"/>
                      <w:lang w:val="en-US" w:eastAsia="zh-CN"/>
                    </w:rPr>
                    <w:t>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59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00" w:lineRule="atLeast"/>
                    <w:jc w:val="center"/>
                    <w:textAlignment w:val="auto"/>
                    <w:rPr>
                      <w:rFonts w:hint="default" w:ascii="Times New Roman" w:hAnsi="Times New Roman" w:cs="Times New Roman"/>
                      <w:b/>
                      <w:color w:val="auto"/>
                      <w:sz w:val="21"/>
                      <w:szCs w:val="21"/>
                      <w:highlight w:val="none"/>
                    </w:rPr>
                  </w:pPr>
                </w:p>
              </w:tc>
              <w:tc>
                <w:tcPr>
                  <w:tcW w:w="1529" w:type="dxa"/>
                  <w:tcBorders>
                    <w:top w:val="single" w:color="auto" w:sz="4" w:space="0"/>
                    <w:bottom w:val="single" w:color="auto" w:sz="8" w:space="0"/>
                    <w:right w:val="single" w:color="auto" w:sz="4" w:space="0"/>
                  </w:tcBorders>
                  <w:noWrap w:val="0"/>
                  <w:vAlign w:val="center"/>
                </w:tcPr>
                <w:p>
                  <w:pPr>
                    <w:keepNext w:val="0"/>
                    <w:keepLines w:val="0"/>
                    <w:pageBreakBefore w:val="0"/>
                    <w:widowControl/>
                    <w:suppressLineNumbers w:val="0"/>
                    <w:kinsoku/>
                    <w:wordWrap/>
                    <w:overflowPunct/>
                    <w:autoSpaceDE/>
                    <w:autoSpaceDN/>
                    <w:bidi w:val="0"/>
                    <w:spacing w:line="200" w:lineRule="atLeast"/>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117.719867947</w:t>
                  </w:r>
                </w:p>
              </w:tc>
              <w:tc>
                <w:tcPr>
                  <w:tcW w:w="1424" w:type="dxa"/>
                  <w:tcBorders>
                    <w:top w:val="single" w:color="auto" w:sz="4" w:space="0"/>
                    <w:left w:val="single" w:color="auto" w:sz="4" w:space="0"/>
                    <w:bottom w:val="single" w:color="auto" w:sz="8" w:space="0"/>
                    <w:right w:val="single" w:color="auto" w:sz="4" w:space="0"/>
                  </w:tcBorders>
                  <w:noWrap w:val="0"/>
                  <w:vAlign w:val="center"/>
                </w:tcPr>
                <w:p>
                  <w:pPr>
                    <w:keepNext w:val="0"/>
                    <w:keepLines w:val="0"/>
                    <w:pageBreakBefore w:val="0"/>
                    <w:widowControl/>
                    <w:suppressLineNumbers w:val="0"/>
                    <w:kinsoku/>
                    <w:wordWrap/>
                    <w:overflowPunct/>
                    <w:autoSpaceDE/>
                    <w:autoSpaceDN/>
                    <w:bidi w:val="0"/>
                    <w:spacing w:line="200" w:lineRule="atLeast"/>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41.982602700</w:t>
                  </w:r>
                </w:p>
              </w:tc>
              <w:tc>
                <w:tcPr>
                  <w:tcW w:w="883" w:type="dxa"/>
                  <w:tcBorders>
                    <w:left w:val="single" w:color="auto" w:sz="4" w:space="0"/>
                    <w:bottom w:val="single" w:color="auto" w:sz="8" w:space="0"/>
                  </w:tcBorders>
                  <w:noWrap w:val="0"/>
                  <w:vAlign w:val="center"/>
                </w:tcPr>
                <w:p>
                  <w:pPr>
                    <w:topLinePunct/>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bCs/>
                      <w:highlight w:val="none"/>
                      <w:lang w:val="en-US" w:eastAsia="zh-CN"/>
                    </w:rPr>
                    <w:t>杨树沟门</w:t>
                  </w:r>
                </w:p>
              </w:tc>
              <w:tc>
                <w:tcPr>
                  <w:tcW w:w="537" w:type="dxa"/>
                  <w:tcBorders>
                    <w:bottom w:val="single" w:color="auto" w:sz="8" w:space="0"/>
                    <w:right w:val="single" w:color="auto" w:sz="4" w:space="0"/>
                  </w:tcBorders>
                  <w:noWrap w:val="0"/>
                  <w:vAlign w:val="center"/>
                </w:tcPr>
                <w:p>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居民</w:t>
                  </w:r>
                </w:p>
              </w:tc>
              <w:tc>
                <w:tcPr>
                  <w:tcW w:w="606" w:type="dxa"/>
                  <w:tcBorders>
                    <w:left w:val="single" w:color="auto" w:sz="4" w:space="0"/>
                    <w:bottom w:val="single" w:color="auto" w:sz="8" w:space="0"/>
                    <w:right w:val="single" w:color="auto" w:sz="4" w:space="0"/>
                  </w:tcBorders>
                  <w:noWrap w:val="0"/>
                  <w:vAlign w:val="center"/>
                </w:tcPr>
                <w:p>
                  <w:pPr>
                    <w:keepNext w:val="0"/>
                    <w:keepLines w:val="0"/>
                    <w:pageBreakBefore w:val="0"/>
                    <w:kinsoku/>
                    <w:wordWrap/>
                    <w:overflowPunct/>
                    <w:autoSpaceDE/>
                    <w:autoSpaceDN/>
                    <w:bidi w:val="0"/>
                    <w:spacing w:line="20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二类区</w:t>
                  </w:r>
                </w:p>
              </w:tc>
              <w:tc>
                <w:tcPr>
                  <w:tcW w:w="649" w:type="dxa"/>
                  <w:tcBorders>
                    <w:left w:val="single" w:color="auto" w:sz="4" w:space="0"/>
                    <w:bottom w:val="single" w:color="auto" w:sz="8" w:space="0"/>
                  </w:tcBorders>
                  <w:noWrap w:val="0"/>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bCs/>
                      <w:highlight w:val="none"/>
                      <w:lang w:val="en-US" w:eastAsia="zh-CN"/>
                    </w:rPr>
                    <w:t>NE</w:t>
                  </w:r>
                </w:p>
              </w:tc>
              <w:tc>
                <w:tcPr>
                  <w:tcW w:w="690" w:type="dxa"/>
                  <w:tcBorders>
                    <w:bottom w:val="single" w:color="auto" w:sz="8" w:space="0"/>
                  </w:tcBorders>
                  <w:noWrap w:val="0"/>
                  <w:vAlign w:val="center"/>
                </w:tcPr>
                <w:p>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szCs w:val="21"/>
                      <w:highlight w:val="none"/>
                      <w:lang w:val="en-US" w:eastAsia="zh-CN"/>
                    </w:rPr>
                    <w:t>843</w:t>
                  </w:r>
                </w:p>
              </w:tc>
              <w:tc>
                <w:tcPr>
                  <w:tcW w:w="2131" w:type="dxa"/>
                  <w:vMerge w:val="continue"/>
                  <w:noWrap w:val="0"/>
                  <w:vAlign w:val="center"/>
                </w:tcPr>
                <w:p>
                  <w:pPr>
                    <w:pStyle w:val="67"/>
                    <w:keepNext w:val="0"/>
                    <w:keepLines w:val="0"/>
                    <w:pageBreakBefore w:val="0"/>
                    <w:kinsoku/>
                    <w:wordWrap/>
                    <w:overflowPunct/>
                    <w:topLinePunct w:val="0"/>
                    <w:autoSpaceDE/>
                    <w:autoSpaceDN/>
                    <w:bidi w:val="0"/>
                    <w:spacing w:line="200" w:lineRule="atLeast"/>
                    <w:textAlignment w:val="auto"/>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59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00" w:lineRule="atLeast"/>
                    <w:jc w:val="center"/>
                    <w:textAlignment w:val="auto"/>
                    <w:rPr>
                      <w:rFonts w:hint="default" w:ascii="Times New Roman" w:hAnsi="Times New Roman" w:cs="Times New Roman"/>
                      <w:b/>
                      <w:color w:val="auto"/>
                      <w:sz w:val="21"/>
                      <w:szCs w:val="21"/>
                      <w:highlight w:val="none"/>
                    </w:rPr>
                  </w:pPr>
                </w:p>
              </w:tc>
              <w:tc>
                <w:tcPr>
                  <w:tcW w:w="1529" w:type="dxa"/>
                  <w:tcBorders>
                    <w:top w:val="single" w:color="auto" w:sz="4" w:space="0"/>
                    <w:bottom w:val="single" w:color="auto" w:sz="8" w:space="0"/>
                    <w:right w:val="single" w:color="auto" w:sz="4" w:space="0"/>
                  </w:tcBorders>
                  <w:noWrap w:val="0"/>
                  <w:vAlign w:val="center"/>
                </w:tcPr>
                <w:p>
                  <w:pPr>
                    <w:keepNext w:val="0"/>
                    <w:keepLines w:val="0"/>
                    <w:pageBreakBefore w:val="0"/>
                    <w:widowControl/>
                    <w:suppressLineNumbers w:val="0"/>
                    <w:kinsoku/>
                    <w:wordWrap/>
                    <w:overflowPunct/>
                    <w:autoSpaceDE/>
                    <w:autoSpaceDN/>
                    <w:bidi w:val="0"/>
                    <w:spacing w:line="200" w:lineRule="atLeast"/>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117.703045133</w:t>
                  </w:r>
                </w:p>
              </w:tc>
              <w:tc>
                <w:tcPr>
                  <w:tcW w:w="1424" w:type="dxa"/>
                  <w:tcBorders>
                    <w:top w:val="single" w:color="auto" w:sz="4" w:space="0"/>
                    <w:left w:val="single" w:color="auto" w:sz="4" w:space="0"/>
                    <w:bottom w:val="single" w:color="auto" w:sz="8" w:space="0"/>
                    <w:right w:val="single" w:color="auto" w:sz="4" w:space="0"/>
                  </w:tcBorders>
                  <w:noWrap w:val="0"/>
                  <w:vAlign w:val="center"/>
                </w:tcPr>
                <w:p>
                  <w:pPr>
                    <w:keepNext w:val="0"/>
                    <w:keepLines w:val="0"/>
                    <w:pageBreakBefore w:val="0"/>
                    <w:widowControl/>
                    <w:suppressLineNumbers w:val="0"/>
                    <w:kinsoku/>
                    <w:wordWrap/>
                    <w:overflowPunct/>
                    <w:autoSpaceDE/>
                    <w:autoSpaceDN/>
                    <w:bidi w:val="0"/>
                    <w:spacing w:line="200" w:lineRule="atLeast"/>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41.978332622</w:t>
                  </w:r>
                </w:p>
              </w:tc>
              <w:tc>
                <w:tcPr>
                  <w:tcW w:w="883" w:type="dxa"/>
                  <w:tcBorders>
                    <w:left w:val="single" w:color="auto" w:sz="4" w:space="0"/>
                    <w:bottom w:val="single" w:color="auto" w:sz="8" w:space="0"/>
                  </w:tcBorders>
                  <w:noWrap w:val="0"/>
                  <w:vAlign w:val="center"/>
                </w:tcPr>
                <w:p>
                  <w:pPr>
                    <w:topLinePunct/>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szCs w:val="21"/>
                      <w:highlight w:val="none"/>
                      <w:lang w:val="en-US" w:eastAsia="zh-CN"/>
                    </w:rPr>
                    <w:t>头板沟门</w:t>
                  </w:r>
                </w:p>
              </w:tc>
              <w:tc>
                <w:tcPr>
                  <w:tcW w:w="537" w:type="dxa"/>
                  <w:tcBorders>
                    <w:bottom w:val="single" w:color="auto" w:sz="8" w:space="0"/>
                    <w:right w:val="single" w:color="auto" w:sz="4" w:space="0"/>
                  </w:tcBorders>
                  <w:noWrap w:val="0"/>
                  <w:vAlign w:val="center"/>
                </w:tcPr>
                <w:p>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居民</w:t>
                  </w:r>
                </w:p>
              </w:tc>
              <w:tc>
                <w:tcPr>
                  <w:tcW w:w="606" w:type="dxa"/>
                  <w:tcBorders>
                    <w:left w:val="single" w:color="auto" w:sz="4" w:space="0"/>
                    <w:bottom w:val="single" w:color="auto" w:sz="8" w:space="0"/>
                    <w:right w:val="single" w:color="auto" w:sz="4" w:space="0"/>
                  </w:tcBorders>
                  <w:noWrap w:val="0"/>
                  <w:vAlign w:val="center"/>
                </w:tcPr>
                <w:p>
                  <w:pPr>
                    <w:keepNext w:val="0"/>
                    <w:keepLines w:val="0"/>
                    <w:pageBreakBefore w:val="0"/>
                    <w:kinsoku/>
                    <w:wordWrap/>
                    <w:overflowPunct/>
                    <w:autoSpaceDE/>
                    <w:autoSpaceDN/>
                    <w:bidi w:val="0"/>
                    <w:spacing w:line="20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二类区</w:t>
                  </w:r>
                </w:p>
              </w:tc>
              <w:tc>
                <w:tcPr>
                  <w:tcW w:w="649" w:type="dxa"/>
                  <w:tcBorders>
                    <w:left w:val="single" w:color="auto" w:sz="4" w:space="0"/>
                    <w:bottom w:val="single" w:color="auto" w:sz="8" w:space="0"/>
                  </w:tcBorders>
                  <w:noWrap w:val="0"/>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szCs w:val="21"/>
                      <w:highlight w:val="none"/>
                      <w:lang w:val="en-US" w:eastAsia="zh-CN"/>
                    </w:rPr>
                    <w:t>S</w:t>
                  </w:r>
                </w:p>
              </w:tc>
              <w:tc>
                <w:tcPr>
                  <w:tcW w:w="690" w:type="dxa"/>
                  <w:tcBorders>
                    <w:bottom w:val="single" w:color="auto" w:sz="8" w:space="0"/>
                  </w:tcBorders>
                  <w:noWrap w:val="0"/>
                  <w:vAlign w:val="center"/>
                </w:tcPr>
                <w:p>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szCs w:val="21"/>
                      <w:highlight w:val="none"/>
                      <w:lang w:val="en-US" w:eastAsia="zh-CN"/>
                    </w:rPr>
                    <w:t>452</w:t>
                  </w:r>
                </w:p>
              </w:tc>
              <w:tc>
                <w:tcPr>
                  <w:tcW w:w="2131" w:type="dxa"/>
                  <w:vMerge w:val="continue"/>
                  <w:noWrap w:val="0"/>
                  <w:vAlign w:val="center"/>
                </w:tcPr>
                <w:p>
                  <w:pPr>
                    <w:pStyle w:val="67"/>
                    <w:keepNext w:val="0"/>
                    <w:keepLines w:val="0"/>
                    <w:pageBreakBefore w:val="0"/>
                    <w:kinsoku/>
                    <w:wordWrap/>
                    <w:overflowPunct/>
                    <w:topLinePunct w:val="0"/>
                    <w:autoSpaceDE/>
                    <w:autoSpaceDN/>
                    <w:bidi w:val="0"/>
                    <w:spacing w:line="200" w:lineRule="atLeast"/>
                    <w:textAlignment w:val="auto"/>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59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00" w:lineRule="atLeast"/>
                    <w:jc w:val="center"/>
                    <w:textAlignment w:val="auto"/>
                    <w:rPr>
                      <w:rFonts w:hint="default" w:ascii="Times New Roman" w:hAnsi="Times New Roman" w:cs="Times New Roman"/>
                      <w:b/>
                      <w:color w:val="auto"/>
                      <w:sz w:val="21"/>
                      <w:szCs w:val="21"/>
                      <w:highlight w:val="none"/>
                    </w:rPr>
                  </w:pPr>
                </w:p>
              </w:tc>
              <w:tc>
                <w:tcPr>
                  <w:tcW w:w="1529" w:type="dxa"/>
                  <w:tcBorders>
                    <w:top w:val="single" w:color="auto" w:sz="4" w:space="0"/>
                    <w:bottom w:val="single" w:color="auto" w:sz="8" w:space="0"/>
                    <w:right w:val="single" w:color="auto" w:sz="4" w:space="0"/>
                  </w:tcBorders>
                  <w:noWrap w:val="0"/>
                  <w:vAlign w:val="center"/>
                </w:tcPr>
                <w:p>
                  <w:pPr>
                    <w:keepNext w:val="0"/>
                    <w:keepLines w:val="0"/>
                    <w:pageBreakBefore w:val="0"/>
                    <w:widowControl/>
                    <w:suppressLineNumbers w:val="0"/>
                    <w:kinsoku/>
                    <w:wordWrap/>
                    <w:overflowPunct/>
                    <w:autoSpaceDE/>
                    <w:autoSpaceDN/>
                    <w:bidi w:val="0"/>
                    <w:spacing w:line="200" w:lineRule="atLeast"/>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117.700684789</w:t>
                  </w:r>
                </w:p>
              </w:tc>
              <w:tc>
                <w:tcPr>
                  <w:tcW w:w="1424" w:type="dxa"/>
                  <w:tcBorders>
                    <w:top w:val="single" w:color="auto" w:sz="4" w:space="0"/>
                    <w:left w:val="single" w:color="auto" w:sz="4" w:space="0"/>
                    <w:bottom w:val="single" w:color="auto" w:sz="8" w:space="0"/>
                    <w:right w:val="single" w:color="auto" w:sz="4" w:space="0"/>
                  </w:tcBorders>
                  <w:noWrap w:val="0"/>
                  <w:vAlign w:val="center"/>
                </w:tcPr>
                <w:p>
                  <w:pPr>
                    <w:keepNext w:val="0"/>
                    <w:keepLines w:val="0"/>
                    <w:pageBreakBefore w:val="0"/>
                    <w:widowControl/>
                    <w:suppressLineNumbers w:val="0"/>
                    <w:kinsoku/>
                    <w:wordWrap/>
                    <w:overflowPunct/>
                    <w:autoSpaceDE/>
                    <w:autoSpaceDN/>
                    <w:bidi w:val="0"/>
                    <w:spacing w:line="200" w:lineRule="atLeast"/>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41.974384411</w:t>
                  </w:r>
                </w:p>
              </w:tc>
              <w:tc>
                <w:tcPr>
                  <w:tcW w:w="883" w:type="dxa"/>
                  <w:tcBorders>
                    <w:left w:val="single" w:color="auto" w:sz="4" w:space="0"/>
                    <w:bottom w:val="single" w:color="auto" w:sz="8" w:space="0"/>
                  </w:tcBorders>
                  <w:noWrap w:val="0"/>
                  <w:vAlign w:val="center"/>
                </w:tcPr>
                <w:p>
                  <w:pPr>
                    <w:topLinePunct/>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szCs w:val="21"/>
                      <w:highlight w:val="none"/>
                      <w:lang w:val="en-US" w:eastAsia="zh-CN"/>
                    </w:rPr>
                    <w:t>头号</w:t>
                  </w:r>
                </w:p>
              </w:tc>
              <w:tc>
                <w:tcPr>
                  <w:tcW w:w="537" w:type="dxa"/>
                  <w:tcBorders>
                    <w:bottom w:val="single" w:color="auto" w:sz="8" w:space="0"/>
                    <w:right w:val="single" w:color="auto" w:sz="4" w:space="0"/>
                  </w:tcBorders>
                  <w:noWrap w:val="0"/>
                  <w:vAlign w:val="center"/>
                </w:tcPr>
                <w:p>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居民</w:t>
                  </w:r>
                </w:p>
              </w:tc>
              <w:tc>
                <w:tcPr>
                  <w:tcW w:w="606" w:type="dxa"/>
                  <w:tcBorders>
                    <w:left w:val="single" w:color="auto" w:sz="4" w:space="0"/>
                    <w:bottom w:val="single" w:color="auto" w:sz="8" w:space="0"/>
                    <w:right w:val="single" w:color="auto" w:sz="4" w:space="0"/>
                  </w:tcBorders>
                  <w:noWrap w:val="0"/>
                  <w:vAlign w:val="center"/>
                </w:tcPr>
                <w:p>
                  <w:pPr>
                    <w:keepNext w:val="0"/>
                    <w:keepLines w:val="0"/>
                    <w:pageBreakBefore w:val="0"/>
                    <w:kinsoku/>
                    <w:wordWrap/>
                    <w:overflowPunct/>
                    <w:autoSpaceDE/>
                    <w:autoSpaceDN/>
                    <w:bidi w:val="0"/>
                    <w:spacing w:line="20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二类区</w:t>
                  </w:r>
                </w:p>
              </w:tc>
              <w:tc>
                <w:tcPr>
                  <w:tcW w:w="649" w:type="dxa"/>
                  <w:tcBorders>
                    <w:left w:val="single" w:color="auto" w:sz="4" w:space="0"/>
                    <w:bottom w:val="single" w:color="auto" w:sz="8" w:space="0"/>
                  </w:tcBorders>
                  <w:noWrap w:val="0"/>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szCs w:val="21"/>
                      <w:highlight w:val="none"/>
                      <w:lang w:val="en-US" w:eastAsia="zh-CN"/>
                    </w:rPr>
                    <w:t>S</w:t>
                  </w:r>
                </w:p>
              </w:tc>
              <w:tc>
                <w:tcPr>
                  <w:tcW w:w="690" w:type="dxa"/>
                  <w:tcBorders>
                    <w:bottom w:val="single" w:color="auto" w:sz="8" w:space="0"/>
                  </w:tcBorders>
                  <w:noWrap w:val="0"/>
                  <w:vAlign w:val="center"/>
                </w:tcPr>
                <w:p>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szCs w:val="21"/>
                      <w:highlight w:val="none"/>
                      <w:lang w:val="en-US" w:eastAsia="zh-CN"/>
                    </w:rPr>
                    <w:t>920</w:t>
                  </w:r>
                </w:p>
              </w:tc>
              <w:tc>
                <w:tcPr>
                  <w:tcW w:w="2131" w:type="dxa"/>
                  <w:vMerge w:val="continue"/>
                  <w:noWrap w:val="0"/>
                  <w:vAlign w:val="center"/>
                </w:tcPr>
                <w:p>
                  <w:pPr>
                    <w:pStyle w:val="67"/>
                    <w:keepNext w:val="0"/>
                    <w:keepLines w:val="0"/>
                    <w:pageBreakBefore w:val="0"/>
                    <w:kinsoku/>
                    <w:wordWrap/>
                    <w:overflowPunct/>
                    <w:topLinePunct w:val="0"/>
                    <w:autoSpaceDE/>
                    <w:autoSpaceDN/>
                    <w:bidi w:val="0"/>
                    <w:spacing w:line="200" w:lineRule="atLeast"/>
                    <w:textAlignment w:val="auto"/>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59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00" w:lineRule="atLeast"/>
                    <w:jc w:val="center"/>
                    <w:textAlignment w:val="auto"/>
                    <w:rPr>
                      <w:rFonts w:hint="default" w:ascii="Times New Roman" w:hAnsi="Times New Roman" w:cs="Times New Roman"/>
                      <w:b/>
                      <w:color w:val="auto"/>
                      <w:sz w:val="21"/>
                      <w:szCs w:val="21"/>
                      <w:highlight w:val="none"/>
                    </w:rPr>
                  </w:pPr>
                </w:p>
              </w:tc>
              <w:tc>
                <w:tcPr>
                  <w:tcW w:w="1529" w:type="dxa"/>
                  <w:tcBorders>
                    <w:top w:val="single" w:color="auto" w:sz="4" w:space="0"/>
                    <w:bottom w:val="single" w:color="auto" w:sz="8" w:space="0"/>
                    <w:right w:val="single" w:color="auto" w:sz="4" w:space="0"/>
                  </w:tcBorders>
                  <w:noWrap w:val="0"/>
                  <w:vAlign w:val="center"/>
                </w:tcPr>
                <w:p>
                  <w:pPr>
                    <w:keepNext w:val="0"/>
                    <w:keepLines w:val="0"/>
                    <w:pageBreakBefore w:val="0"/>
                    <w:widowControl/>
                    <w:suppressLineNumbers w:val="0"/>
                    <w:kinsoku/>
                    <w:wordWrap/>
                    <w:overflowPunct/>
                    <w:autoSpaceDE/>
                    <w:autoSpaceDN/>
                    <w:bidi w:val="0"/>
                    <w:spacing w:line="200" w:lineRule="atLeast"/>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117.697830919</w:t>
                  </w:r>
                </w:p>
              </w:tc>
              <w:tc>
                <w:tcPr>
                  <w:tcW w:w="1424" w:type="dxa"/>
                  <w:tcBorders>
                    <w:top w:val="single" w:color="auto" w:sz="4" w:space="0"/>
                    <w:left w:val="single" w:color="auto" w:sz="4" w:space="0"/>
                    <w:bottom w:val="single" w:color="auto" w:sz="8" w:space="0"/>
                    <w:right w:val="single" w:color="auto" w:sz="4" w:space="0"/>
                  </w:tcBorders>
                  <w:noWrap w:val="0"/>
                  <w:vAlign w:val="center"/>
                </w:tcPr>
                <w:p>
                  <w:pPr>
                    <w:keepNext w:val="0"/>
                    <w:keepLines w:val="0"/>
                    <w:pageBreakBefore w:val="0"/>
                    <w:widowControl/>
                    <w:suppressLineNumbers w:val="0"/>
                    <w:kinsoku/>
                    <w:wordWrap/>
                    <w:overflowPunct/>
                    <w:autoSpaceDE/>
                    <w:autoSpaceDN/>
                    <w:bidi w:val="0"/>
                    <w:spacing w:line="200" w:lineRule="atLeast"/>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41.962990386</w:t>
                  </w:r>
                </w:p>
              </w:tc>
              <w:tc>
                <w:tcPr>
                  <w:tcW w:w="883" w:type="dxa"/>
                  <w:tcBorders>
                    <w:left w:val="single" w:color="auto" w:sz="4" w:space="0"/>
                    <w:bottom w:val="single" w:color="auto" w:sz="8" w:space="0"/>
                  </w:tcBorders>
                  <w:noWrap w:val="0"/>
                  <w:vAlign w:val="center"/>
                </w:tcPr>
                <w:p>
                  <w:pPr>
                    <w:topLinePunct/>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szCs w:val="21"/>
                      <w:highlight w:val="none"/>
                      <w:lang w:val="en-US" w:eastAsia="zh-CN"/>
                    </w:rPr>
                    <w:t>太阳沟</w:t>
                  </w:r>
                </w:p>
              </w:tc>
              <w:tc>
                <w:tcPr>
                  <w:tcW w:w="537" w:type="dxa"/>
                  <w:tcBorders>
                    <w:bottom w:val="single" w:color="auto" w:sz="8" w:space="0"/>
                    <w:right w:val="single" w:color="auto" w:sz="4" w:space="0"/>
                  </w:tcBorders>
                  <w:noWrap w:val="0"/>
                  <w:vAlign w:val="center"/>
                </w:tcPr>
                <w:p>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居民</w:t>
                  </w:r>
                </w:p>
              </w:tc>
              <w:tc>
                <w:tcPr>
                  <w:tcW w:w="606" w:type="dxa"/>
                  <w:tcBorders>
                    <w:left w:val="single" w:color="auto" w:sz="4" w:space="0"/>
                    <w:bottom w:val="single" w:color="auto" w:sz="8" w:space="0"/>
                    <w:right w:val="single" w:color="auto" w:sz="4" w:space="0"/>
                  </w:tcBorders>
                  <w:noWrap w:val="0"/>
                  <w:vAlign w:val="center"/>
                </w:tcPr>
                <w:p>
                  <w:pPr>
                    <w:keepNext w:val="0"/>
                    <w:keepLines w:val="0"/>
                    <w:pageBreakBefore w:val="0"/>
                    <w:kinsoku/>
                    <w:wordWrap/>
                    <w:overflowPunct/>
                    <w:autoSpaceDE/>
                    <w:autoSpaceDN/>
                    <w:bidi w:val="0"/>
                    <w:spacing w:line="20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二类区</w:t>
                  </w:r>
                </w:p>
              </w:tc>
              <w:tc>
                <w:tcPr>
                  <w:tcW w:w="649" w:type="dxa"/>
                  <w:tcBorders>
                    <w:left w:val="single" w:color="auto" w:sz="4" w:space="0"/>
                    <w:bottom w:val="single" w:color="auto" w:sz="8" w:space="0"/>
                  </w:tcBorders>
                  <w:noWrap w:val="0"/>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szCs w:val="21"/>
                      <w:highlight w:val="none"/>
                      <w:lang w:val="en-US" w:eastAsia="zh-CN"/>
                    </w:rPr>
                    <w:t>S</w:t>
                  </w:r>
                </w:p>
              </w:tc>
              <w:tc>
                <w:tcPr>
                  <w:tcW w:w="690" w:type="dxa"/>
                  <w:tcBorders>
                    <w:bottom w:val="single" w:color="auto" w:sz="8" w:space="0"/>
                  </w:tcBorders>
                  <w:noWrap w:val="0"/>
                  <w:vAlign w:val="center"/>
                </w:tcPr>
                <w:p>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szCs w:val="21"/>
                      <w:highlight w:val="none"/>
                      <w:lang w:val="en-US" w:eastAsia="zh-CN"/>
                    </w:rPr>
                    <w:t>2124</w:t>
                  </w:r>
                </w:p>
              </w:tc>
              <w:tc>
                <w:tcPr>
                  <w:tcW w:w="2131" w:type="dxa"/>
                  <w:vMerge w:val="continue"/>
                  <w:noWrap w:val="0"/>
                  <w:vAlign w:val="center"/>
                </w:tcPr>
                <w:p>
                  <w:pPr>
                    <w:pStyle w:val="67"/>
                    <w:keepNext w:val="0"/>
                    <w:keepLines w:val="0"/>
                    <w:pageBreakBefore w:val="0"/>
                    <w:kinsoku/>
                    <w:wordWrap/>
                    <w:overflowPunct/>
                    <w:topLinePunct w:val="0"/>
                    <w:autoSpaceDE/>
                    <w:autoSpaceDN/>
                    <w:bidi w:val="0"/>
                    <w:spacing w:line="200" w:lineRule="atLeast"/>
                    <w:textAlignment w:val="auto"/>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59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00" w:lineRule="atLeast"/>
                    <w:jc w:val="center"/>
                    <w:textAlignment w:val="auto"/>
                    <w:rPr>
                      <w:rFonts w:hint="default" w:ascii="Times New Roman" w:hAnsi="Times New Roman" w:cs="Times New Roman"/>
                      <w:b/>
                      <w:color w:val="auto"/>
                      <w:sz w:val="21"/>
                      <w:szCs w:val="21"/>
                      <w:highlight w:val="none"/>
                    </w:rPr>
                  </w:pPr>
                </w:p>
              </w:tc>
              <w:tc>
                <w:tcPr>
                  <w:tcW w:w="1529" w:type="dxa"/>
                  <w:tcBorders>
                    <w:top w:val="single" w:color="auto" w:sz="4" w:space="0"/>
                    <w:bottom w:val="single" w:color="auto" w:sz="8" w:space="0"/>
                    <w:right w:val="single" w:color="auto" w:sz="4" w:space="0"/>
                  </w:tcBorders>
                  <w:noWrap w:val="0"/>
                  <w:vAlign w:val="center"/>
                </w:tcPr>
                <w:p>
                  <w:pPr>
                    <w:keepNext w:val="0"/>
                    <w:keepLines w:val="0"/>
                    <w:pageBreakBefore w:val="0"/>
                    <w:widowControl/>
                    <w:suppressLineNumbers w:val="0"/>
                    <w:kinsoku/>
                    <w:wordWrap/>
                    <w:overflowPunct/>
                    <w:autoSpaceDE/>
                    <w:autoSpaceDN/>
                    <w:bidi w:val="0"/>
                    <w:spacing w:line="200" w:lineRule="atLeast"/>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117.692874197</w:t>
                  </w:r>
                </w:p>
              </w:tc>
              <w:tc>
                <w:tcPr>
                  <w:tcW w:w="1424" w:type="dxa"/>
                  <w:tcBorders>
                    <w:top w:val="single" w:color="auto" w:sz="4" w:space="0"/>
                    <w:left w:val="single" w:color="auto" w:sz="4" w:space="0"/>
                    <w:bottom w:val="single" w:color="auto" w:sz="8" w:space="0"/>
                    <w:right w:val="single" w:color="auto" w:sz="4" w:space="0"/>
                  </w:tcBorders>
                  <w:noWrap w:val="0"/>
                  <w:vAlign w:val="center"/>
                </w:tcPr>
                <w:p>
                  <w:pPr>
                    <w:keepNext w:val="0"/>
                    <w:keepLines w:val="0"/>
                    <w:pageBreakBefore w:val="0"/>
                    <w:widowControl/>
                    <w:suppressLineNumbers w:val="0"/>
                    <w:kinsoku/>
                    <w:wordWrap/>
                    <w:overflowPunct/>
                    <w:autoSpaceDE/>
                    <w:autoSpaceDN/>
                    <w:bidi w:val="0"/>
                    <w:spacing w:line="200" w:lineRule="atLeast"/>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41.983396633</w:t>
                  </w:r>
                </w:p>
              </w:tc>
              <w:tc>
                <w:tcPr>
                  <w:tcW w:w="883" w:type="dxa"/>
                  <w:tcBorders>
                    <w:left w:val="single" w:color="auto" w:sz="4" w:space="0"/>
                    <w:bottom w:val="single" w:color="auto" w:sz="8" w:space="0"/>
                  </w:tcBorders>
                  <w:noWrap w:val="0"/>
                  <w:vAlign w:val="center"/>
                </w:tcPr>
                <w:p>
                  <w:pPr>
                    <w:topLinePunct/>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szCs w:val="21"/>
                      <w:highlight w:val="none"/>
                      <w:lang w:val="en-US" w:eastAsia="zh-CN"/>
                    </w:rPr>
                    <w:t>龙头山村</w:t>
                  </w:r>
                </w:p>
              </w:tc>
              <w:tc>
                <w:tcPr>
                  <w:tcW w:w="537" w:type="dxa"/>
                  <w:tcBorders>
                    <w:bottom w:val="single" w:color="auto" w:sz="8" w:space="0"/>
                    <w:right w:val="single" w:color="auto" w:sz="4" w:space="0"/>
                  </w:tcBorders>
                  <w:noWrap w:val="0"/>
                  <w:vAlign w:val="center"/>
                </w:tcPr>
                <w:p>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居民</w:t>
                  </w:r>
                </w:p>
              </w:tc>
              <w:tc>
                <w:tcPr>
                  <w:tcW w:w="606" w:type="dxa"/>
                  <w:tcBorders>
                    <w:left w:val="single" w:color="auto" w:sz="4" w:space="0"/>
                    <w:bottom w:val="single" w:color="auto" w:sz="8" w:space="0"/>
                    <w:right w:val="single" w:color="auto" w:sz="4" w:space="0"/>
                  </w:tcBorders>
                  <w:noWrap w:val="0"/>
                  <w:vAlign w:val="center"/>
                </w:tcPr>
                <w:p>
                  <w:pPr>
                    <w:keepNext w:val="0"/>
                    <w:keepLines w:val="0"/>
                    <w:pageBreakBefore w:val="0"/>
                    <w:kinsoku/>
                    <w:wordWrap/>
                    <w:overflowPunct/>
                    <w:autoSpaceDE/>
                    <w:autoSpaceDN/>
                    <w:bidi w:val="0"/>
                    <w:spacing w:line="20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二类区</w:t>
                  </w:r>
                </w:p>
              </w:tc>
              <w:tc>
                <w:tcPr>
                  <w:tcW w:w="649" w:type="dxa"/>
                  <w:tcBorders>
                    <w:left w:val="single" w:color="auto" w:sz="4" w:space="0"/>
                    <w:bottom w:val="single" w:color="auto" w:sz="8" w:space="0"/>
                  </w:tcBorders>
                  <w:noWrap w:val="0"/>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szCs w:val="21"/>
                      <w:highlight w:val="none"/>
                      <w:lang w:val="en-US" w:eastAsia="zh-CN"/>
                    </w:rPr>
                    <w:t>SW</w:t>
                  </w:r>
                </w:p>
              </w:tc>
              <w:tc>
                <w:tcPr>
                  <w:tcW w:w="690" w:type="dxa"/>
                  <w:tcBorders>
                    <w:bottom w:val="single" w:color="auto" w:sz="8" w:space="0"/>
                  </w:tcBorders>
                  <w:noWrap w:val="0"/>
                  <w:vAlign w:val="center"/>
                </w:tcPr>
                <w:p>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szCs w:val="21"/>
                      <w:highlight w:val="none"/>
                      <w:lang w:val="en-US" w:eastAsia="zh-CN"/>
                    </w:rPr>
                    <w:t>874</w:t>
                  </w:r>
                </w:p>
              </w:tc>
              <w:tc>
                <w:tcPr>
                  <w:tcW w:w="2131" w:type="dxa"/>
                  <w:vMerge w:val="continue"/>
                  <w:noWrap w:val="0"/>
                  <w:vAlign w:val="center"/>
                </w:tcPr>
                <w:p>
                  <w:pPr>
                    <w:pStyle w:val="67"/>
                    <w:keepNext w:val="0"/>
                    <w:keepLines w:val="0"/>
                    <w:pageBreakBefore w:val="0"/>
                    <w:kinsoku/>
                    <w:wordWrap/>
                    <w:overflowPunct/>
                    <w:topLinePunct w:val="0"/>
                    <w:autoSpaceDE/>
                    <w:autoSpaceDN/>
                    <w:bidi w:val="0"/>
                    <w:spacing w:line="200" w:lineRule="atLeast"/>
                    <w:textAlignment w:val="auto"/>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59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00" w:lineRule="atLeast"/>
                    <w:jc w:val="center"/>
                    <w:textAlignment w:val="auto"/>
                    <w:rPr>
                      <w:rFonts w:hint="default" w:ascii="Times New Roman" w:hAnsi="Times New Roman" w:cs="Times New Roman"/>
                      <w:b/>
                      <w:color w:val="auto"/>
                      <w:sz w:val="21"/>
                      <w:szCs w:val="21"/>
                      <w:highlight w:val="none"/>
                    </w:rPr>
                  </w:pPr>
                </w:p>
              </w:tc>
              <w:tc>
                <w:tcPr>
                  <w:tcW w:w="1529" w:type="dxa"/>
                  <w:tcBorders>
                    <w:top w:val="single" w:color="auto" w:sz="4" w:space="0"/>
                    <w:bottom w:val="single" w:color="auto" w:sz="8" w:space="0"/>
                    <w:right w:val="single" w:color="auto" w:sz="4" w:space="0"/>
                  </w:tcBorders>
                  <w:noWrap w:val="0"/>
                  <w:vAlign w:val="center"/>
                </w:tcPr>
                <w:p>
                  <w:pPr>
                    <w:keepNext w:val="0"/>
                    <w:keepLines w:val="0"/>
                    <w:pageBreakBefore w:val="0"/>
                    <w:widowControl/>
                    <w:suppressLineNumbers w:val="0"/>
                    <w:kinsoku/>
                    <w:wordWrap/>
                    <w:overflowPunct/>
                    <w:autoSpaceDE/>
                    <w:autoSpaceDN/>
                    <w:bidi w:val="0"/>
                    <w:spacing w:line="200" w:lineRule="atLeast"/>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117.693410636</w:t>
                  </w:r>
                </w:p>
              </w:tc>
              <w:tc>
                <w:tcPr>
                  <w:tcW w:w="1424" w:type="dxa"/>
                  <w:tcBorders>
                    <w:top w:val="single" w:color="auto" w:sz="4" w:space="0"/>
                    <w:left w:val="single" w:color="auto" w:sz="4" w:space="0"/>
                    <w:bottom w:val="single" w:color="auto" w:sz="8" w:space="0"/>
                    <w:right w:val="single" w:color="auto" w:sz="4" w:space="0"/>
                  </w:tcBorders>
                  <w:noWrap w:val="0"/>
                  <w:vAlign w:val="center"/>
                </w:tcPr>
                <w:p>
                  <w:pPr>
                    <w:keepNext w:val="0"/>
                    <w:keepLines w:val="0"/>
                    <w:pageBreakBefore w:val="0"/>
                    <w:widowControl/>
                    <w:suppressLineNumbers w:val="0"/>
                    <w:kinsoku/>
                    <w:wordWrap/>
                    <w:overflowPunct/>
                    <w:autoSpaceDE/>
                    <w:autoSpaceDN/>
                    <w:bidi w:val="0"/>
                    <w:spacing w:line="200" w:lineRule="atLeast"/>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41.977527961</w:t>
                  </w:r>
                </w:p>
              </w:tc>
              <w:tc>
                <w:tcPr>
                  <w:tcW w:w="883" w:type="dxa"/>
                  <w:tcBorders>
                    <w:left w:val="single" w:color="auto" w:sz="4" w:space="0"/>
                    <w:bottom w:val="single" w:color="auto" w:sz="8" w:space="0"/>
                  </w:tcBorders>
                  <w:noWrap w:val="0"/>
                  <w:vAlign w:val="center"/>
                </w:tcPr>
                <w:p>
                  <w:pPr>
                    <w:topLinePunct/>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szCs w:val="21"/>
                      <w:highlight w:val="none"/>
                      <w:lang w:val="en-US" w:eastAsia="zh-CN"/>
                    </w:rPr>
                    <w:t>下头号</w:t>
                  </w:r>
                </w:p>
              </w:tc>
              <w:tc>
                <w:tcPr>
                  <w:tcW w:w="537" w:type="dxa"/>
                  <w:tcBorders>
                    <w:bottom w:val="single" w:color="auto" w:sz="8" w:space="0"/>
                    <w:right w:val="single" w:color="auto" w:sz="4" w:space="0"/>
                  </w:tcBorders>
                  <w:noWrap w:val="0"/>
                  <w:vAlign w:val="center"/>
                </w:tcPr>
                <w:p>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居民</w:t>
                  </w:r>
                </w:p>
              </w:tc>
              <w:tc>
                <w:tcPr>
                  <w:tcW w:w="606" w:type="dxa"/>
                  <w:tcBorders>
                    <w:left w:val="single" w:color="auto" w:sz="4" w:space="0"/>
                    <w:bottom w:val="single" w:color="auto" w:sz="8" w:space="0"/>
                    <w:right w:val="single" w:color="auto" w:sz="4" w:space="0"/>
                  </w:tcBorders>
                  <w:noWrap w:val="0"/>
                  <w:vAlign w:val="center"/>
                </w:tcPr>
                <w:p>
                  <w:pPr>
                    <w:keepNext w:val="0"/>
                    <w:keepLines w:val="0"/>
                    <w:pageBreakBefore w:val="0"/>
                    <w:kinsoku/>
                    <w:wordWrap/>
                    <w:overflowPunct/>
                    <w:autoSpaceDE/>
                    <w:autoSpaceDN/>
                    <w:bidi w:val="0"/>
                    <w:spacing w:line="20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二类区</w:t>
                  </w:r>
                </w:p>
              </w:tc>
              <w:tc>
                <w:tcPr>
                  <w:tcW w:w="649" w:type="dxa"/>
                  <w:tcBorders>
                    <w:left w:val="single" w:color="auto" w:sz="4" w:space="0"/>
                    <w:bottom w:val="single" w:color="auto" w:sz="8" w:space="0"/>
                  </w:tcBorders>
                  <w:noWrap w:val="0"/>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szCs w:val="21"/>
                      <w:highlight w:val="none"/>
                      <w:lang w:val="en-US" w:eastAsia="zh-CN"/>
                    </w:rPr>
                    <w:t>SW</w:t>
                  </w:r>
                </w:p>
              </w:tc>
              <w:tc>
                <w:tcPr>
                  <w:tcW w:w="690" w:type="dxa"/>
                  <w:tcBorders>
                    <w:bottom w:val="single" w:color="auto" w:sz="8" w:space="0"/>
                  </w:tcBorders>
                  <w:noWrap w:val="0"/>
                  <w:vAlign w:val="center"/>
                </w:tcPr>
                <w:p>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szCs w:val="21"/>
                      <w:highlight w:val="none"/>
                      <w:lang w:val="en-US" w:eastAsia="zh-CN"/>
                    </w:rPr>
                    <w:t>1038</w:t>
                  </w:r>
                </w:p>
              </w:tc>
              <w:tc>
                <w:tcPr>
                  <w:tcW w:w="2131" w:type="dxa"/>
                  <w:vMerge w:val="continue"/>
                  <w:noWrap w:val="0"/>
                  <w:vAlign w:val="center"/>
                </w:tcPr>
                <w:p>
                  <w:pPr>
                    <w:pStyle w:val="67"/>
                    <w:keepNext w:val="0"/>
                    <w:keepLines w:val="0"/>
                    <w:pageBreakBefore w:val="0"/>
                    <w:kinsoku/>
                    <w:wordWrap/>
                    <w:overflowPunct/>
                    <w:topLinePunct w:val="0"/>
                    <w:autoSpaceDE/>
                    <w:autoSpaceDN/>
                    <w:bidi w:val="0"/>
                    <w:spacing w:line="200" w:lineRule="atLeast"/>
                    <w:textAlignment w:val="auto"/>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59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00" w:lineRule="atLeast"/>
                    <w:jc w:val="center"/>
                    <w:textAlignment w:val="auto"/>
                    <w:rPr>
                      <w:rFonts w:hint="default" w:ascii="Times New Roman" w:hAnsi="Times New Roman" w:cs="Times New Roman"/>
                      <w:b/>
                      <w:color w:val="auto"/>
                      <w:sz w:val="21"/>
                      <w:szCs w:val="21"/>
                      <w:highlight w:val="none"/>
                    </w:rPr>
                  </w:pPr>
                </w:p>
              </w:tc>
              <w:tc>
                <w:tcPr>
                  <w:tcW w:w="1529" w:type="dxa"/>
                  <w:tcBorders>
                    <w:top w:val="single" w:color="auto" w:sz="4" w:space="0"/>
                    <w:bottom w:val="single" w:color="auto" w:sz="8" w:space="0"/>
                    <w:right w:val="single" w:color="auto" w:sz="4" w:space="0"/>
                  </w:tcBorders>
                  <w:noWrap w:val="0"/>
                  <w:vAlign w:val="center"/>
                </w:tcPr>
                <w:p>
                  <w:pPr>
                    <w:keepNext w:val="0"/>
                    <w:keepLines w:val="0"/>
                    <w:pageBreakBefore w:val="0"/>
                    <w:widowControl/>
                    <w:suppressLineNumbers w:val="0"/>
                    <w:kinsoku/>
                    <w:wordWrap/>
                    <w:overflowPunct/>
                    <w:autoSpaceDE/>
                    <w:autoSpaceDN/>
                    <w:bidi w:val="0"/>
                    <w:spacing w:line="200" w:lineRule="atLeast"/>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117.688346628</w:t>
                  </w:r>
                </w:p>
              </w:tc>
              <w:tc>
                <w:tcPr>
                  <w:tcW w:w="1424" w:type="dxa"/>
                  <w:tcBorders>
                    <w:top w:val="single" w:color="auto" w:sz="4" w:space="0"/>
                    <w:left w:val="single" w:color="auto" w:sz="4" w:space="0"/>
                    <w:bottom w:val="single" w:color="auto" w:sz="8" w:space="0"/>
                    <w:right w:val="single" w:color="auto" w:sz="4" w:space="0"/>
                  </w:tcBorders>
                  <w:noWrap w:val="0"/>
                  <w:vAlign w:val="center"/>
                </w:tcPr>
                <w:p>
                  <w:pPr>
                    <w:keepNext w:val="0"/>
                    <w:keepLines w:val="0"/>
                    <w:pageBreakBefore w:val="0"/>
                    <w:widowControl/>
                    <w:suppressLineNumbers w:val="0"/>
                    <w:kinsoku/>
                    <w:wordWrap/>
                    <w:overflowPunct/>
                    <w:autoSpaceDE/>
                    <w:autoSpaceDN/>
                    <w:bidi w:val="0"/>
                    <w:spacing w:line="200" w:lineRule="atLeast"/>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41.975596769</w:t>
                  </w:r>
                </w:p>
              </w:tc>
              <w:tc>
                <w:tcPr>
                  <w:tcW w:w="883" w:type="dxa"/>
                  <w:tcBorders>
                    <w:left w:val="single" w:color="auto" w:sz="4" w:space="0"/>
                    <w:bottom w:val="single" w:color="auto" w:sz="8" w:space="0"/>
                  </w:tcBorders>
                  <w:noWrap w:val="0"/>
                  <w:vAlign w:val="center"/>
                </w:tcPr>
                <w:p>
                  <w:pPr>
                    <w:topLinePunct/>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szCs w:val="21"/>
                      <w:highlight w:val="none"/>
                      <w:lang w:val="en-US" w:eastAsia="zh-CN"/>
                    </w:rPr>
                    <w:t>上头号</w:t>
                  </w:r>
                </w:p>
              </w:tc>
              <w:tc>
                <w:tcPr>
                  <w:tcW w:w="537" w:type="dxa"/>
                  <w:tcBorders>
                    <w:bottom w:val="single" w:color="auto" w:sz="8" w:space="0"/>
                    <w:right w:val="single" w:color="auto" w:sz="4" w:space="0"/>
                  </w:tcBorders>
                  <w:noWrap w:val="0"/>
                  <w:vAlign w:val="center"/>
                </w:tcPr>
                <w:p>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居民</w:t>
                  </w:r>
                </w:p>
              </w:tc>
              <w:tc>
                <w:tcPr>
                  <w:tcW w:w="606" w:type="dxa"/>
                  <w:tcBorders>
                    <w:left w:val="single" w:color="auto" w:sz="4" w:space="0"/>
                    <w:bottom w:val="single" w:color="auto" w:sz="8" w:space="0"/>
                    <w:right w:val="single" w:color="auto" w:sz="4" w:space="0"/>
                  </w:tcBorders>
                  <w:noWrap w:val="0"/>
                  <w:vAlign w:val="center"/>
                </w:tcPr>
                <w:p>
                  <w:pPr>
                    <w:keepNext w:val="0"/>
                    <w:keepLines w:val="0"/>
                    <w:pageBreakBefore w:val="0"/>
                    <w:kinsoku/>
                    <w:wordWrap/>
                    <w:overflowPunct/>
                    <w:autoSpaceDE/>
                    <w:autoSpaceDN/>
                    <w:bidi w:val="0"/>
                    <w:spacing w:line="20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二类区</w:t>
                  </w:r>
                </w:p>
              </w:tc>
              <w:tc>
                <w:tcPr>
                  <w:tcW w:w="649" w:type="dxa"/>
                  <w:tcBorders>
                    <w:left w:val="single" w:color="auto" w:sz="4" w:space="0"/>
                    <w:bottom w:val="single" w:color="auto" w:sz="8" w:space="0"/>
                  </w:tcBorders>
                  <w:noWrap w:val="0"/>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szCs w:val="21"/>
                      <w:highlight w:val="none"/>
                      <w:lang w:val="en-US" w:eastAsia="zh-CN"/>
                    </w:rPr>
                    <w:t>SW</w:t>
                  </w:r>
                </w:p>
              </w:tc>
              <w:tc>
                <w:tcPr>
                  <w:tcW w:w="690" w:type="dxa"/>
                  <w:tcBorders>
                    <w:bottom w:val="single" w:color="auto" w:sz="8" w:space="0"/>
                  </w:tcBorders>
                  <w:noWrap w:val="0"/>
                  <w:vAlign w:val="center"/>
                </w:tcPr>
                <w:p>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szCs w:val="21"/>
                      <w:highlight w:val="none"/>
                      <w:lang w:val="en-US" w:eastAsia="zh-CN"/>
                    </w:rPr>
                    <w:t>1428</w:t>
                  </w:r>
                </w:p>
              </w:tc>
              <w:tc>
                <w:tcPr>
                  <w:tcW w:w="2131" w:type="dxa"/>
                  <w:vMerge w:val="continue"/>
                  <w:noWrap w:val="0"/>
                  <w:vAlign w:val="center"/>
                </w:tcPr>
                <w:p>
                  <w:pPr>
                    <w:pStyle w:val="67"/>
                    <w:keepNext w:val="0"/>
                    <w:keepLines w:val="0"/>
                    <w:pageBreakBefore w:val="0"/>
                    <w:kinsoku/>
                    <w:wordWrap/>
                    <w:overflowPunct/>
                    <w:topLinePunct w:val="0"/>
                    <w:autoSpaceDE/>
                    <w:autoSpaceDN/>
                    <w:bidi w:val="0"/>
                    <w:spacing w:line="200" w:lineRule="atLeast"/>
                    <w:textAlignment w:val="auto"/>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59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00" w:lineRule="atLeast"/>
                    <w:jc w:val="center"/>
                    <w:textAlignment w:val="auto"/>
                    <w:rPr>
                      <w:rFonts w:hint="default" w:ascii="Times New Roman" w:hAnsi="Times New Roman" w:cs="Times New Roman"/>
                      <w:b/>
                      <w:color w:val="auto"/>
                      <w:sz w:val="21"/>
                      <w:szCs w:val="21"/>
                      <w:highlight w:val="none"/>
                    </w:rPr>
                  </w:pPr>
                </w:p>
              </w:tc>
              <w:tc>
                <w:tcPr>
                  <w:tcW w:w="1529" w:type="dxa"/>
                  <w:tcBorders>
                    <w:top w:val="single" w:color="auto" w:sz="4" w:space="0"/>
                    <w:bottom w:val="single" w:color="auto" w:sz="8" w:space="0"/>
                    <w:right w:val="single" w:color="auto" w:sz="4" w:space="0"/>
                  </w:tcBorders>
                  <w:noWrap w:val="0"/>
                  <w:vAlign w:val="center"/>
                </w:tcPr>
                <w:p>
                  <w:pPr>
                    <w:keepNext w:val="0"/>
                    <w:keepLines w:val="0"/>
                    <w:pageBreakBefore w:val="0"/>
                    <w:widowControl/>
                    <w:suppressLineNumbers w:val="0"/>
                    <w:kinsoku/>
                    <w:wordWrap/>
                    <w:overflowPunct/>
                    <w:autoSpaceDE/>
                    <w:autoSpaceDN/>
                    <w:bidi w:val="0"/>
                    <w:spacing w:line="200" w:lineRule="atLeast"/>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117.684334042</w:t>
                  </w:r>
                </w:p>
              </w:tc>
              <w:tc>
                <w:tcPr>
                  <w:tcW w:w="1424" w:type="dxa"/>
                  <w:tcBorders>
                    <w:top w:val="single" w:color="auto" w:sz="4" w:space="0"/>
                    <w:left w:val="single" w:color="auto" w:sz="4" w:space="0"/>
                    <w:bottom w:val="single" w:color="auto" w:sz="8" w:space="0"/>
                    <w:right w:val="single" w:color="auto" w:sz="4" w:space="0"/>
                  </w:tcBorders>
                  <w:noWrap w:val="0"/>
                  <w:vAlign w:val="center"/>
                </w:tcPr>
                <w:p>
                  <w:pPr>
                    <w:keepNext w:val="0"/>
                    <w:keepLines w:val="0"/>
                    <w:pageBreakBefore w:val="0"/>
                    <w:widowControl/>
                    <w:suppressLineNumbers w:val="0"/>
                    <w:kinsoku/>
                    <w:wordWrap/>
                    <w:overflowPunct/>
                    <w:autoSpaceDE/>
                    <w:autoSpaceDN/>
                    <w:bidi w:val="0"/>
                    <w:spacing w:line="200" w:lineRule="atLeast"/>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41.986829861</w:t>
                  </w:r>
                </w:p>
              </w:tc>
              <w:tc>
                <w:tcPr>
                  <w:tcW w:w="883" w:type="dxa"/>
                  <w:tcBorders>
                    <w:left w:val="single" w:color="auto" w:sz="4" w:space="0"/>
                    <w:bottom w:val="single" w:color="auto" w:sz="8" w:space="0"/>
                  </w:tcBorders>
                  <w:noWrap w:val="0"/>
                  <w:vAlign w:val="center"/>
                </w:tcPr>
                <w:p>
                  <w:pPr>
                    <w:topLinePunct/>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szCs w:val="21"/>
                      <w:highlight w:val="none"/>
                      <w:lang w:val="en-US" w:eastAsia="zh-CN"/>
                    </w:rPr>
                    <w:t>龙头山镇</w:t>
                  </w:r>
                </w:p>
              </w:tc>
              <w:tc>
                <w:tcPr>
                  <w:tcW w:w="537" w:type="dxa"/>
                  <w:tcBorders>
                    <w:bottom w:val="single" w:color="auto" w:sz="8" w:space="0"/>
                    <w:right w:val="single" w:color="auto" w:sz="4" w:space="0"/>
                  </w:tcBorders>
                  <w:noWrap w:val="0"/>
                  <w:vAlign w:val="center"/>
                </w:tcPr>
                <w:p>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居民</w:t>
                  </w:r>
                </w:p>
              </w:tc>
              <w:tc>
                <w:tcPr>
                  <w:tcW w:w="606" w:type="dxa"/>
                  <w:tcBorders>
                    <w:left w:val="single" w:color="auto" w:sz="4" w:space="0"/>
                    <w:bottom w:val="single" w:color="auto" w:sz="8" w:space="0"/>
                    <w:right w:val="single" w:color="auto" w:sz="4" w:space="0"/>
                  </w:tcBorders>
                  <w:noWrap w:val="0"/>
                  <w:vAlign w:val="center"/>
                </w:tcPr>
                <w:p>
                  <w:pPr>
                    <w:keepNext w:val="0"/>
                    <w:keepLines w:val="0"/>
                    <w:pageBreakBefore w:val="0"/>
                    <w:kinsoku/>
                    <w:wordWrap/>
                    <w:overflowPunct/>
                    <w:autoSpaceDE/>
                    <w:autoSpaceDN/>
                    <w:bidi w:val="0"/>
                    <w:spacing w:line="20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二类区</w:t>
                  </w:r>
                </w:p>
              </w:tc>
              <w:tc>
                <w:tcPr>
                  <w:tcW w:w="649" w:type="dxa"/>
                  <w:tcBorders>
                    <w:left w:val="single" w:color="auto" w:sz="4" w:space="0"/>
                    <w:bottom w:val="single" w:color="auto" w:sz="8" w:space="0"/>
                  </w:tcBorders>
                  <w:noWrap w:val="0"/>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szCs w:val="21"/>
                      <w:highlight w:val="none"/>
                      <w:lang w:val="en-US" w:eastAsia="zh-CN"/>
                    </w:rPr>
                    <w:t>SW</w:t>
                  </w:r>
                </w:p>
              </w:tc>
              <w:tc>
                <w:tcPr>
                  <w:tcW w:w="690" w:type="dxa"/>
                  <w:tcBorders>
                    <w:bottom w:val="single" w:color="auto" w:sz="8" w:space="0"/>
                  </w:tcBorders>
                  <w:noWrap w:val="0"/>
                  <w:vAlign w:val="center"/>
                </w:tcPr>
                <w:p>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szCs w:val="21"/>
                      <w:highlight w:val="none"/>
                      <w:lang w:val="en-US" w:eastAsia="zh-CN"/>
                    </w:rPr>
                    <w:t>1476</w:t>
                  </w:r>
                </w:p>
              </w:tc>
              <w:tc>
                <w:tcPr>
                  <w:tcW w:w="2131" w:type="dxa"/>
                  <w:vMerge w:val="continue"/>
                  <w:noWrap w:val="0"/>
                  <w:vAlign w:val="center"/>
                </w:tcPr>
                <w:p>
                  <w:pPr>
                    <w:pStyle w:val="67"/>
                    <w:keepNext w:val="0"/>
                    <w:keepLines w:val="0"/>
                    <w:pageBreakBefore w:val="0"/>
                    <w:kinsoku/>
                    <w:wordWrap/>
                    <w:overflowPunct/>
                    <w:topLinePunct w:val="0"/>
                    <w:autoSpaceDE/>
                    <w:autoSpaceDN/>
                    <w:bidi w:val="0"/>
                    <w:spacing w:line="200" w:lineRule="atLeast"/>
                    <w:textAlignment w:val="auto"/>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59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00" w:lineRule="atLeast"/>
                    <w:jc w:val="center"/>
                    <w:textAlignment w:val="auto"/>
                    <w:rPr>
                      <w:rFonts w:hint="default" w:ascii="Times New Roman" w:hAnsi="Times New Roman" w:cs="Times New Roman"/>
                      <w:b/>
                      <w:color w:val="auto"/>
                      <w:sz w:val="21"/>
                      <w:szCs w:val="21"/>
                      <w:highlight w:val="none"/>
                    </w:rPr>
                  </w:pPr>
                </w:p>
              </w:tc>
              <w:tc>
                <w:tcPr>
                  <w:tcW w:w="1529" w:type="dxa"/>
                  <w:tcBorders>
                    <w:top w:val="single" w:color="auto" w:sz="4" w:space="0"/>
                    <w:bottom w:val="single" w:color="auto" w:sz="8" w:space="0"/>
                    <w:right w:val="single" w:color="auto" w:sz="4" w:space="0"/>
                  </w:tcBorders>
                  <w:noWrap w:val="0"/>
                  <w:vAlign w:val="center"/>
                </w:tcPr>
                <w:p>
                  <w:pPr>
                    <w:keepNext w:val="0"/>
                    <w:keepLines w:val="0"/>
                    <w:pageBreakBefore w:val="0"/>
                    <w:widowControl/>
                    <w:suppressLineNumbers w:val="0"/>
                    <w:kinsoku/>
                    <w:wordWrap/>
                    <w:overflowPunct/>
                    <w:autoSpaceDE/>
                    <w:autoSpaceDN/>
                    <w:bidi w:val="0"/>
                    <w:spacing w:line="200" w:lineRule="atLeast"/>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117.688711408</w:t>
                  </w:r>
                </w:p>
              </w:tc>
              <w:tc>
                <w:tcPr>
                  <w:tcW w:w="1424" w:type="dxa"/>
                  <w:tcBorders>
                    <w:top w:val="single" w:color="auto" w:sz="4" w:space="0"/>
                    <w:left w:val="single" w:color="auto" w:sz="4" w:space="0"/>
                    <w:bottom w:val="single" w:color="auto" w:sz="8" w:space="0"/>
                    <w:right w:val="single" w:color="auto" w:sz="4" w:space="0"/>
                  </w:tcBorders>
                  <w:noWrap w:val="0"/>
                  <w:vAlign w:val="center"/>
                </w:tcPr>
                <w:p>
                  <w:pPr>
                    <w:keepNext w:val="0"/>
                    <w:keepLines w:val="0"/>
                    <w:pageBreakBefore w:val="0"/>
                    <w:widowControl/>
                    <w:suppressLineNumbers w:val="0"/>
                    <w:kinsoku/>
                    <w:wordWrap/>
                    <w:overflowPunct/>
                    <w:autoSpaceDE/>
                    <w:autoSpaceDN/>
                    <w:bidi w:val="0"/>
                    <w:spacing w:line="200" w:lineRule="atLeast"/>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41.990606411</w:t>
                  </w:r>
                </w:p>
              </w:tc>
              <w:tc>
                <w:tcPr>
                  <w:tcW w:w="883" w:type="dxa"/>
                  <w:tcBorders>
                    <w:left w:val="single" w:color="auto" w:sz="4" w:space="0"/>
                    <w:bottom w:val="single" w:color="auto" w:sz="8" w:space="0"/>
                  </w:tcBorders>
                  <w:noWrap w:val="0"/>
                  <w:vAlign w:val="center"/>
                </w:tcPr>
                <w:p>
                  <w:pPr>
                    <w:topLinePunct/>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szCs w:val="21"/>
                      <w:highlight w:val="none"/>
                      <w:lang w:val="en-US" w:eastAsia="zh-CN"/>
                    </w:rPr>
                    <w:t>拉拉古营子</w:t>
                  </w:r>
                </w:p>
              </w:tc>
              <w:tc>
                <w:tcPr>
                  <w:tcW w:w="537" w:type="dxa"/>
                  <w:tcBorders>
                    <w:bottom w:val="single" w:color="auto" w:sz="8" w:space="0"/>
                    <w:right w:val="single" w:color="auto" w:sz="4" w:space="0"/>
                  </w:tcBorders>
                  <w:noWrap w:val="0"/>
                  <w:vAlign w:val="center"/>
                </w:tcPr>
                <w:p>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居民</w:t>
                  </w:r>
                </w:p>
              </w:tc>
              <w:tc>
                <w:tcPr>
                  <w:tcW w:w="606" w:type="dxa"/>
                  <w:tcBorders>
                    <w:left w:val="single" w:color="auto" w:sz="4" w:space="0"/>
                    <w:bottom w:val="single" w:color="auto" w:sz="8" w:space="0"/>
                    <w:right w:val="single" w:color="auto" w:sz="4" w:space="0"/>
                  </w:tcBorders>
                  <w:noWrap w:val="0"/>
                  <w:vAlign w:val="center"/>
                </w:tcPr>
                <w:p>
                  <w:pPr>
                    <w:keepNext w:val="0"/>
                    <w:keepLines w:val="0"/>
                    <w:pageBreakBefore w:val="0"/>
                    <w:kinsoku/>
                    <w:wordWrap/>
                    <w:overflowPunct/>
                    <w:autoSpaceDE/>
                    <w:autoSpaceDN/>
                    <w:bidi w:val="0"/>
                    <w:spacing w:line="20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二类区</w:t>
                  </w:r>
                </w:p>
              </w:tc>
              <w:tc>
                <w:tcPr>
                  <w:tcW w:w="649" w:type="dxa"/>
                  <w:tcBorders>
                    <w:left w:val="single" w:color="auto" w:sz="4" w:space="0"/>
                    <w:bottom w:val="single" w:color="auto" w:sz="8" w:space="0"/>
                  </w:tcBorders>
                  <w:noWrap w:val="0"/>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szCs w:val="21"/>
                      <w:highlight w:val="none"/>
                      <w:lang w:val="en-US" w:eastAsia="zh-CN"/>
                    </w:rPr>
                    <w:t>NW</w:t>
                  </w:r>
                </w:p>
              </w:tc>
              <w:tc>
                <w:tcPr>
                  <w:tcW w:w="690" w:type="dxa"/>
                  <w:tcBorders>
                    <w:bottom w:val="single" w:color="auto" w:sz="8" w:space="0"/>
                  </w:tcBorders>
                  <w:noWrap w:val="0"/>
                  <w:vAlign w:val="center"/>
                </w:tcPr>
                <w:p>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szCs w:val="21"/>
                      <w:highlight w:val="none"/>
                      <w:lang w:val="en-US" w:eastAsia="zh-CN"/>
                    </w:rPr>
                    <w:t>1396</w:t>
                  </w:r>
                </w:p>
              </w:tc>
              <w:tc>
                <w:tcPr>
                  <w:tcW w:w="2131" w:type="dxa"/>
                  <w:vMerge w:val="continue"/>
                  <w:noWrap w:val="0"/>
                  <w:vAlign w:val="center"/>
                </w:tcPr>
                <w:p>
                  <w:pPr>
                    <w:pStyle w:val="67"/>
                    <w:keepNext w:val="0"/>
                    <w:keepLines w:val="0"/>
                    <w:pageBreakBefore w:val="0"/>
                    <w:kinsoku/>
                    <w:wordWrap/>
                    <w:overflowPunct/>
                    <w:topLinePunct w:val="0"/>
                    <w:autoSpaceDE/>
                    <w:autoSpaceDN/>
                    <w:bidi w:val="0"/>
                    <w:spacing w:line="200" w:lineRule="atLeast"/>
                    <w:textAlignment w:val="auto"/>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590" w:type="dxa"/>
                  <w:noWrap w:val="0"/>
                  <w:vAlign w:val="center"/>
                </w:tcPr>
                <w:p>
                  <w:pPr>
                    <w:keepNext w:val="0"/>
                    <w:keepLines w:val="0"/>
                    <w:pageBreakBefore w:val="0"/>
                    <w:kinsoku/>
                    <w:wordWrap/>
                    <w:overflowPunct/>
                    <w:topLinePunct w:val="0"/>
                    <w:autoSpaceDE/>
                    <w:autoSpaceDN/>
                    <w:bidi w:val="0"/>
                    <w:adjustRightInd w:val="0"/>
                    <w:snapToGrid w:val="0"/>
                    <w:spacing w:line="200" w:lineRule="atLeast"/>
                    <w:jc w:val="center"/>
                    <w:textAlignment w:val="auto"/>
                    <w:rPr>
                      <w:rFonts w:hint="default" w:ascii="Times New Roman" w:hAnsi="Times New Roman" w:eastAsia="宋体" w:cs="Times New Roman"/>
                      <w:b/>
                      <w:color w:val="auto"/>
                      <w:sz w:val="21"/>
                      <w:szCs w:val="21"/>
                      <w:highlight w:val="none"/>
                      <w:lang w:eastAsia="zh-CN"/>
                    </w:rPr>
                  </w:pPr>
                  <w:r>
                    <w:rPr>
                      <w:rFonts w:hint="default" w:ascii="Times New Roman" w:hAnsi="Times New Roman" w:cs="Times New Roman"/>
                      <w:b/>
                      <w:color w:val="auto"/>
                      <w:sz w:val="21"/>
                      <w:szCs w:val="21"/>
                      <w:highlight w:val="none"/>
                      <w:lang w:eastAsia="zh-CN"/>
                    </w:rPr>
                    <w:t>地表水</w:t>
                  </w:r>
                </w:p>
              </w:tc>
              <w:tc>
                <w:tcPr>
                  <w:tcW w:w="2953" w:type="dxa"/>
                  <w:gridSpan w:val="2"/>
                  <w:tcBorders>
                    <w:right w:val="single" w:color="auto" w:sz="4" w:space="0"/>
                  </w:tcBorders>
                  <w:noWrap w:val="0"/>
                  <w:vAlign w:val="center"/>
                </w:tcPr>
                <w:p>
                  <w:pPr>
                    <w:pStyle w:val="67"/>
                    <w:keepNext w:val="0"/>
                    <w:keepLines w:val="0"/>
                    <w:pageBreakBefore w:val="0"/>
                    <w:widowControl w:val="0"/>
                    <w:kinsoku/>
                    <w:wordWrap/>
                    <w:overflowPunct/>
                    <w:topLinePunct w:val="0"/>
                    <w:autoSpaceDE/>
                    <w:autoSpaceDN/>
                    <w:bidi w:val="0"/>
                    <w:adjustRightInd/>
                    <w:spacing w:line="200" w:lineRule="atLeas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伊逊河</w:t>
                  </w:r>
                </w:p>
              </w:tc>
              <w:tc>
                <w:tcPr>
                  <w:tcW w:w="883" w:type="dxa"/>
                  <w:tcBorders>
                    <w:left w:val="single" w:color="auto" w:sz="4" w:space="0"/>
                  </w:tcBorders>
                  <w:noWrap w:val="0"/>
                  <w:vAlign w:val="center"/>
                </w:tcPr>
                <w:p>
                  <w:pPr>
                    <w:pStyle w:val="67"/>
                    <w:keepNext w:val="0"/>
                    <w:keepLines w:val="0"/>
                    <w:pageBreakBefore w:val="0"/>
                    <w:widowControl w:val="0"/>
                    <w:kinsoku/>
                    <w:wordWrap/>
                    <w:overflowPunct/>
                    <w:topLinePunct w:val="0"/>
                    <w:autoSpaceDE/>
                    <w:autoSpaceDN/>
                    <w:bidi w:val="0"/>
                    <w:adjustRightInd/>
                    <w:spacing w:line="200" w:lineRule="atLeas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537" w:type="dxa"/>
                  <w:tcBorders>
                    <w:right w:val="single" w:color="auto" w:sz="4" w:space="0"/>
                  </w:tcBorders>
                  <w:noWrap w:val="0"/>
                  <w:vAlign w:val="center"/>
                </w:tcPr>
                <w:p>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河流</w:t>
                  </w:r>
                </w:p>
              </w:tc>
              <w:tc>
                <w:tcPr>
                  <w:tcW w:w="606" w:type="dxa"/>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649" w:type="dxa"/>
                  <w:tcBorders>
                    <w:left w:val="single" w:color="auto" w:sz="4" w:space="0"/>
                  </w:tcBorders>
                  <w:noWrap w:val="0"/>
                  <w:vAlign w:val="center"/>
                </w:tcPr>
                <w:p>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S</w:t>
                  </w:r>
                </w:p>
              </w:tc>
              <w:tc>
                <w:tcPr>
                  <w:tcW w:w="690" w:type="dxa"/>
                  <w:noWrap w:val="0"/>
                  <w:vAlign w:val="center"/>
                </w:tcPr>
                <w:p>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137</w:t>
                  </w:r>
                </w:p>
              </w:tc>
              <w:tc>
                <w:tcPr>
                  <w:tcW w:w="2131" w:type="dxa"/>
                  <w:noWrap w:val="0"/>
                  <w:vAlign w:val="center"/>
                </w:tcPr>
                <w:p>
                  <w:pPr>
                    <w:pStyle w:val="67"/>
                    <w:keepNext w:val="0"/>
                    <w:keepLines w:val="0"/>
                    <w:pageBreakBefore w:val="0"/>
                    <w:kinsoku/>
                    <w:wordWrap/>
                    <w:overflowPunct/>
                    <w:topLinePunct w:val="0"/>
                    <w:autoSpaceDE/>
                    <w:autoSpaceDN/>
                    <w:bidi w:val="0"/>
                    <w:spacing w:line="200" w:lineRule="atLeas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000000" w:themeColor="text1"/>
                      <w:szCs w:val="21"/>
                      <w:highlight w:val="none"/>
                    </w:rPr>
                    <w:t>《地表水环境质量标准》</w:t>
                  </w:r>
                  <w:r>
                    <w:rPr>
                      <w:rFonts w:hint="default" w:ascii="Times New Roman" w:hAnsi="Times New Roman" w:cs="Times New Roman"/>
                      <w:color w:val="000000" w:themeColor="text1"/>
                      <w:szCs w:val="21"/>
                      <w:highlight w:val="none"/>
                      <w:lang w:eastAsia="zh-CN"/>
                    </w:rPr>
                    <w:t>（</w:t>
                  </w:r>
                  <w:r>
                    <w:rPr>
                      <w:rFonts w:hint="default" w:ascii="Times New Roman" w:hAnsi="Times New Roman" w:cs="Times New Roman"/>
                      <w:color w:val="000000" w:themeColor="text1"/>
                      <w:szCs w:val="21"/>
                      <w:highlight w:val="none"/>
                    </w:rPr>
                    <w:t>GB3838-2002</w:t>
                  </w:r>
                  <w:r>
                    <w:rPr>
                      <w:rFonts w:hint="default" w:ascii="Times New Roman" w:hAnsi="Times New Roman" w:cs="Times New Roman"/>
                      <w:color w:val="000000" w:themeColor="text1"/>
                      <w:szCs w:val="21"/>
                      <w:highlight w:val="none"/>
                      <w:lang w:eastAsia="zh-CN"/>
                    </w:rPr>
                    <w:t>）</w:t>
                  </w:r>
                  <w:r>
                    <w:rPr>
                      <w:rFonts w:hint="default" w:ascii="Times New Roman" w:hAnsi="Times New Roman" w:cs="Times New Roman"/>
                      <w:color w:val="000000" w:themeColor="text1"/>
                      <w:szCs w:val="21"/>
                      <w:highlight w:val="none"/>
                    </w:rPr>
                    <w:t>Ⅲ类标准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590" w:type="dxa"/>
                  <w:noWrap w:val="0"/>
                  <w:vAlign w:val="center"/>
                </w:tcPr>
                <w:p>
                  <w:pPr>
                    <w:keepNext w:val="0"/>
                    <w:keepLines w:val="0"/>
                    <w:pageBreakBefore w:val="0"/>
                    <w:kinsoku/>
                    <w:wordWrap/>
                    <w:overflowPunct/>
                    <w:topLinePunct w:val="0"/>
                    <w:autoSpaceDE/>
                    <w:autoSpaceDN/>
                    <w:bidi w:val="0"/>
                    <w:adjustRightInd w:val="0"/>
                    <w:snapToGrid w:val="0"/>
                    <w:spacing w:line="200" w:lineRule="atLeast"/>
                    <w:jc w:val="center"/>
                    <w:textAlignment w:val="auto"/>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cs="Times New Roman"/>
                      <w:b/>
                      <w:color w:val="auto"/>
                      <w:sz w:val="21"/>
                      <w:szCs w:val="21"/>
                      <w:highlight w:val="none"/>
                    </w:rPr>
                    <w:t>地下水</w:t>
                  </w:r>
                </w:p>
              </w:tc>
              <w:tc>
                <w:tcPr>
                  <w:tcW w:w="2953" w:type="dxa"/>
                  <w:gridSpan w:val="2"/>
                  <w:tcBorders>
                    <w:right w:val="single" w:color="auto" w:sz="4" w:space="0"/>
                  </w:tcBorders>
                  <w:noWrap w:val="0"/>
                  <w:vAlign w:val="center"/>
                </w:tcPr>
                <w:p>
                  <w:pPr>
                    <w:pStyle w:val="67"/>
                    <w:keepNext w:val="0"/>
                    <w:keepLines w:val="0"/>
                    <w:pageBreakBefore w:val="0"/>
                    <w:widowControl w:val="0"/>
                    <w:kinsoku/>
                    <w:wordWrap/>
                    <w:overflowPunct/>
                    <w:topLinePunct w:val="0"/>
                    <w:autoSpaceDE/>
                    <w:autoSpaceDN/>
                    <w:bidi w:val="0"/>
                    <w:adjustRightInd/>
                    <w:spacing w:line="200" w:lineRule="atLeas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883" w:type="dxa"/>
                  <w:tcBorders>
                    <w:left w:val="single" w:color="auto" w:sz="4" w:space="0"/>
                  </w:tcBorders>
                  <w:noWrap w:val="0"/>
                  <w:vAlign w:val="center"/>
                </w:tcPr>
                <w:p>
                  <w:pPr>
                    <w:pStyle w:val="67"/>
                    <w:keepNext w:val="0"/>
                    <w:keepLines w:val="0"/>
                    <w:pageBreakBefore w:val="0"/>
                    <w:widowControl w:val="0"/>
                    <w:kinsoku/>
                    <w:wordWrap/>
                    <w:overflowPunct/>
                    <w:topLinePunct w:val="0"/>
                    <w:autoSpaceDE/>
                    <w:autoSpaceDN/>
                    <w:bidi w:val="0"/>
                    <w:adjustRightInd/>
                    <w:spacing w:line="200" w:lineRule="atLeas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000000" w:themeColor="text1"/>
                      <w:szCs w:val="21"/>
                      <w:highlight w:val="none"/>
                    </w:rPr>
                    <w:t>区域地下水环境</w:t>
                  </w:r>
                </w:p>
              </w:tc>
              <w:tc>
                <w:tcPr>
                  <w:tcW w:w="537" w:type="dxa"/>
                  <w:tcBorders>
                    <w:right w:val="single" w:color="auto" w:sz="4" w:space="0"/>
                  </w:tcBorders>
                  <w:noWrap w:val="0"/>
                  <w:vAlign w:val="center"/>
                </w:tcPr>
                <w:p>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000000"/>
                      <w:sz w:val="21"/>
                      <w:szCs w:val="21"/>
                      <w:highlight w:val="none"/>
                      <w:lang w:val="en-US" w:eastAsia="zh-CN"/>
                    </w:rPr>
                    <w:t>/</w:t>
                  </w:r>
                </w:p>
              </w:tc>
              <w:tc>
                <w:tcPr>
                  <w:tcW w:w="606" w:type="dxa"/>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649" w:type="dxa"/>
                  <w:tcBorders>
                    <w:left w:val="single" w:color="auto" w:sz="4" w:space="0"/>
                  </w:tcBorders>
                  <w:noWrap w:val="0"/>
                  <w:vAlign w:val="center"/>
                </w:tcPr>
                <w:p>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690" w:type="dxa"/>
                  <w:noWrap w:val="0"/>
                  <w:vAlign w:val="center"/>
                </w:tcPr>
                <w:p>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2131" w:type="dxa"/>
                  <w:noWrap w:val="0"/>
                  <w:vAlign w:val="center"/>
                </w:tcPr>
                <w:p>
                  <w:pPr>
                    <w:pStyle w:val="67"/>
                    <w:keepNext w:val="0"/>
                    <w:keepLines w:val="0"/>
                    <w:pageBreakBefore w:val="0"/>
                    <w:kinsoku/>
                    <w:wordWrap/>
                    <w:overflowPunct/>
                    <w:topLinePunct w:val="0"/>
                    <w:autoSpaceDE/>
                    <w:autoSpaceDN/>
                    <w:bidi w:val="0"/>
                    <w:spacing w:line="200" w:lineRule="atLeas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000000" w:themeColor="text1"/>
                      <w:szCs w:val="21"/>
                      <w:highlight w:val="none"/>
                    </w:rPr>
                    <w:t>《地下水质量标准》</w:t>
                  </w:r>
                  <w:r>
                    <w:rPr>
                      <w:rFonts w:hint="default" w:ascii="Times New Roman" w:hAnsi="Times New Roman" w:cs="Times New Roman"/>
                      <w:color w:val="000000" w:themeColor="text1"/>
                      <w:szCs w:val="21"/>
                      <w:highlight w:val="none"/>
                      <w:lang w:eastAsia="zh-CN"/>
                    </w:rPr>
                    <w:t>（</w:t>
                  </w:r>
                  <w:r>
                    <w:rPr>
                      <w:rFonts w:hint="default" w:ascii="Times New Roman" w:hAnsi="Times New Roman" w:cs="Times New Roman"/>
                      <w:color w:val="000000" w:themeColor="text1"/>
                      <w:szCs w:val="21"/>
                      <w:highlight w:val="none"/>
                    </w:rPr>
                    <w:t>GB/T14848-2017</w:t>
                  </w:r>
                  <w:r>
                    <w:rPr>
                      <w:rFonts w:hint="default" w:ascii="Times New Roman" w:hAnsi="Times New Roman" w:cs="Times New Roman"/>
                      <w:color w:val="000000" w:themeColor="text1"/>
                      <w:szCs w:val="21"/>
                      <w:highlight w:val="none"/>
                      <w:lang w:eastAsia="zh-CN"/>
                    </w:rPr>
                    <w:t>）</w:t>
                  </w:r>
                  <w:r>
                    <w:rPr>
                      <w:rFonts w:hint="default" w:ascii="Times New Roman" w:hAnsi="Times New Roman" w:cs="Times New Roman"/>
                      <w:color w:val="000000" w:themeColor="text1"/>
                      <w:szCs w:val="21"/>
                      <w:highlight w:val="none"/>
                    </w:rPr>
                    <w:t>Ⅲ类标准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590"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00" w:lineRule="atLeast"/>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声环境</w:t>
                  </w:r>
                </w:p>
              </w:tc>
              <w:tc>
                <w:tcPr>
                  <w:tcW w:w="2953" w:type="dxa"/>
                  <w:gridSpan w:val="2"/>
                  <w:tcBorders>
                    <w:right w:val="single" w:color="auto" w:sz="4" w:space="0"/>
                  </w:tcBorders>
                  <w:noWrap w:val="0"/>
                  <w:vAlign w:val="center"/>
                </w:tcPr>
                <w:p>
                  <w:pPr>
                    <w:pStyle w:val="67"/>
                    <w:keepNext w:val="0"/>
                    <w:keepLines w:val="0"/>
                    <w:pageBreakBefore w:val="0"/>
                    <w:widowControl w:val="0"/>
                    <w:kinsoku/>
                    <w:wordWrap/>
                    <w:overflowPunct/>
                    <w:topLinePunct w:val="0"/>
                    <w:autoSpaceDE/>
                    <w:autoSpaceDN/>
                    <w:bidi w:val="0"/>
                    <w:adjustRightInd/>
                    <w:spacing w:line="200" w:lineRule="atLeas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883" w:type="dxa"/>
                  <w:tcBorders>
                    <w:left w:val="single" w:color="auto" w:sz="4" w:space="0"/>
                  </w:tcBorders>
                  <w:noWrap w:val="0"/>
                  <w:vAlign w:val="center"/>
                </w:tcPr>
                <w:p>
                  <w:pPr>
                    <w:pStyle w:val="67"/>
                    <w:keepNext w:val="0"/>
                    <w:keepLines w:val="0"/>
                    <w:pageBreakBefore w:val="0"/>
                    <w:widowControl w:val="0"/>
                    <w:kinsoku/>
                    <w:wordWrap/>
                    <w:overflowPunct/>
                    <w:topLinePunct w:val="0"/>
                    <w:autoSpaceDE/>
                    <w:autoSpaceDN/>
                    <w:bidi w:val="0"/>
                    <w:adjustRightInd/>
                    <w:spacing w:line="200" w:lineRule="atLeas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区域声环境</w:t>
                  </w:r>
                </w:p>
              </w:tc>
              <w:tc>
                <w:tcPr>
                  <w:tcW w:w="537" w:type="dxa"/>
                  <w:tcBorders>
                    <w:right w:val="single" w:color="auto" w:sz="4" w:space="0"/>
                  </w:tcBorders>
                  <w:noWrap w:val="0"/>
                  <w:vAlign w:val="center"/>
                </w:tcPr>
                <w:p>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606" w:type="dxa"/>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2类区</w:t>
                  </w:r>
                </w:p>
              </w:tc>
              <w:tc>
                <w:tcPr>
                  <w:tcW w:w="1339" w:type="dxa"/>
                  <w:gridSpan w:val="2"/>
                  <w:tcBorders>
                    <w:left w:val="single" w:color="auto" w:sz="4" w:space="0"/>
                  </w:tcBorders>
                  <w:noWrap w:val="0"/>
                  <w:vAlign w:val="center"/>
                </w:tcPr>
                <w:p>
                  <w:pPr>
                    <w:pStyle w:val="67"/>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厂界外</w:t>
                  </w:r>
                  <w:r>
                    <w:rPr>
                      <w:rFonts w:hint="default" w:ascii="Times New Roman" w:hAnsi="Times New Roman" w:cs="Times New Roman"/>
                      <w:color w:val="auto"/>
                      <w:sz w:val="21"/>
                      <w:szCs w:val="21"/>
                      <w:highlight w:val="none"/>
                      <w:lang w:val="en-US" w:eastAsia="zh-CN"/>
                    </w:rPr>
                    <w:t>200</w:t>
                  </w:r>
                  <w:r>
                    <w:rPr>
                      <w:rFonts w:hint="default" w:ascii="Times New Roman" w:hAnsi="Times New Roman" w:cs="Times New Roman"/>
                      <w:color w:val="auto"/>
                      <w:sz w:val="21"/>
                      <w:szCs w:val="21"/>
                      <w:highlight w:val="none"/>
                    </w:rPr>
                    <w:t>m</w:t>
                  </w:r>
                </w:p>
              </w:tc>
              <w:tc>
                <w:tcPr>
                  <w:tcW w:w="2131" w:type="dxa"/>
                  <w:vMerge w:val="restart"/>
                  <w:noWrap w:val="0"/>
                  <w:vAlign w:val="center"/>
                </w:tcPr>
                <w:p>
                  <w:pPr>
                    <w:pStyle w:val="67"/>
                    <w:keepNext w:val="0"/>
                    <w:keepLines w:val="0"/>
                    <w:pageBreakBefore w:val="0"/>
                    <w:kinsoku/>
                    <w:wordWrap/>
                    <w:overflowPunct/>
                    <w:topLinePunct w:val="0"/>
                    <w:autoSpaceDE/>
                    <w:autoSpaceDN/>
                    <w:bidi w:val="0"/>
                    <w:spacing w:line="200" w:lineRule="atLeas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《声环境质量标准》</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GB3096-2008</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2类区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59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00" w:lineRule="atLeast"/>
                    <w:jc w:val="center"/>
                    <w:textAlignment w:val="auto"/>
                    <w:rPr>
                      <w:rFonts w:hint="default" w:ascii="Times New Roman" w:hAnsi="Times New Roman" w:cs="Times New Roman"/>
                      <w:b/>
                      <w:color w:val="auto"/>
                      <w:sz w:val="21"/>
                      <w:szCs w:val="21"/>
                      <w:highlight w:val="none"/>
                    </w:rPr>
                  </w:pPr>
                </w:p>
              </w:tc>
              <w:tc>
                <w:tcPr>
                  <w:tcW w:w="1529" w:type="dxa"/>
                  <w:tcBorders>
                    <w:right w:val="single" w:color="auto" w:sz="4" w:space="0"/>
                  </w:tcBorders>
                  <w:noWrap w:val="0"/>
                  <w:vAlign w:val="center"/>
                </w:tcPr>
                <w:p>
                  <w:pPr>
                    <w:keepNext w:val="0"/>
                    <w:keepLines w:val="0"/>
                    <w:pageBreakBefore w:val="0"/>
                    <w:widowControl/>
                    <w:suppressLineNumbers w:val="0"/>
                    <w:kinsoku/>
                    <w:wordWrap/>
                    <w:overflowPunct/>
                    <w:autoSpaceDE/>
                    <w:autoSpaceDN/>
                    <w:bidi w:val="0"/>
                    <w:spacing w:line="200" w:lineRule="atLeast"/>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117.707744364</w:t>
                  </w:r>
                </w:p>
              </w:tc>
              <w:tc>
                <w:tcPr>
                  <w:tcW w:w="1424" w:type="dxa"/>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autoSpaceDE/>
                    <w:autoSpaceDN/>
                    <w:bidi w:val="0"/>
                    <w:spacing w:line="200" w:lineRule="atLeast"/>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41.985070331</w:t>
                  </w:r>
                </w:p>
              </w:tc>
              <w:tc>
                <w:tcPr>
                  <w:tcW w:w="883" w:type="dxa"/>
                  <w:tcBorders>
                    <w:left w:val="single" w:color="auto" w:sz="4" w:space="0"/>
                  </w:tcBorders>
                  <w:noWrap w:val="0"/>
                  <w:vAlign w:val="center"/>
                </w:tcPr>
                <w:p>
                  <w:pPr>
                    <w:topLinePunct/>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Cs/>
                      <w:highlight w:val="none"/>
                      <w:lang w:val="en-US" w:eastAsia="zh-CN"/>
                    </w:rPr>
                    <w:t>二十三号</w:t>
                  </w:r>
                </w:p>
              </w:tc>
              <w:tc>
                <w:tcPr>
                  <w:tcW w:w="537" w:type="dxa"/>
                  <w:tcBorders>
                    <w:right w:val="single" w:color="auto" w:sz="4" w:space="0"/>
                  </w:tcBorders>
                  <w:noWrap w:val="0"/>
                  <w:vAlign w:val="center"/>
                </w:tcPr>
                <w:p>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居民</w:t>
                  </w:r>
                </w:p>
              </w:tc>
              <w:tc>
                <w:tcPr>
                  <w:tcW w:w="606" w:type="dxa"/>
                  <w:tcBorders>
                    <w:left w:val="single" w:color="auto" w:sz="4" w:space="0"/>
                    <w:right w:val="single" w:color="auto" w:sz="4" w:space="0"/>
                  </w:tcBorders>
                  <w:noWrap w:val="0"/>
                  <w:vAlign w:val="center"/>
                </w:tcPr>
                <w:p>
                  <w:pPr>
                    <w:keepNext w:val="0"/>
                    <w:keepLines w:val="0"/>
                    <w:pageBreakBefore w:val="0"/>
                    <w:kinsoku/>
                    <w:wordWrap/>
                    <w:overflowPunct/>
                    <w:autoSpaceDE/>
                    <w:autoSpaceDN/>
                    <w:bidi w:val="0"/>
                    <w:spacing w:line="200" w:lineRule="atLeast"/>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二类区</w:t>
                  </w:r>
                </w:p>
              </w:tc>
              <w:tc>
                <w:tcPr>
                  <w:tcW w:w="649" w:type="dxa"/>
                  <w:tcBorders>
                    <w:left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bCs/>
                      <w:highlight w:val="none"/>
                      <w:lang w:val="en-US" w:eastAsia="zh-CN"/>
                    </w:rPr>
                    <w:t>N</w:t>
                  </w:r>
                </w:p>
              </w:tc>
              <w:tc>
                <w:tcPr>
                  <w:tcW w:w="690" w:type="dxa"/>
                  <w:tcBorders>
                    <w:left w:val="single" w:color="auto" w:sz="4" w:space="0"/>
                  </w:tcBorders>
                  <w:noWrap w:val="0"/>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Cs/>
                      <w:color w:val="000000"/>
                      <w:szCs w:val="21"/>
                      <w:highlight w:val="none"/>
                      <w:lang w:val="en-US" w:eastAsia="zh-CN"/>
                    </w:rPr>
                    <w:t>25</w:t>
                  </w:r>
                </w:p>
              </w:tc>
              <w:tc>
                <w:tcPr>
                  <w:tcW w:w="2131" w:type="dxa"/>
                  <w:vMerge w:val="continue"/>
                  <w:noWrap w:val="0"/>
                  <w:vAlign w:val="center"/>
                </w:tcPr>
                <w:p>
                  <w:pPr>
                    <w:pStyle w:val="67"/>
                    <w:keepNext w:val="0"/>
                    <w:keepLines w:val="0"/>
                    <w:pageBreakBefore w:val="0"/>
                    <w:kinsoku/>
                    <w:wordWrap/>
                    <w:overflowPunct/>
                    <w:topLinePunct w:val="0"/>
                    <w:autoSpaceDE/>
                    <w:autoSpaceDN/>
                    <w:bidi w:val="0"/>
                    <w:spacing w:line="200" w:lineRule="atLeast"/>
                    <w:textAlignment w:val="auto"/>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590" w:type="dxa"/>
                  <w:noWrap w:val="0"/>
                  <w:vAlign w:val="center"/>
                </w:tcPr>
                <w:p>
                  <w:pPr>
                    <w:keepNext w:val="0"/>
                    <w:keepLines w:val="0"/>
                    <w:pageBreakBefore w:val="0"/>
                    <w:kinsoku/>
                    <w:wordWrap/>
                    <w:overflowPunct/>
                    <w:topLinePunct w:val="0"/>
                    <w:autoSpaceDE/>
                    <w:autoSpaceDN/>
                    <w:bidi w:val="0"/>
                    <w:adjustRightInd w:val="0"/>
                    <w:snapToGrid w:val="0"/>
                    <w:spacing w:line="200" w:lineRule="atLeast"/>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生态环境</w:t>
                  </w:r>
                </w:p>
              </w:tc>
              <w:tc>
                <w:tcPr>
                  <w:tcW w:w="2953" w:type="dxa"/>
                  <w:gridSpan w:val="2"/>
                  <w:tcBorders>
                    <w:right w:val="single" w:color="auto" w:sz="4" w:space="0"/>
                  </w:tcBorders>
                  <w:noWrap w:val="0"/>
                  <w:vAlign w:val="center"/>
                </w:tcPr>
                <w:p>
                  <w:pPr>
                    <w:pStyle w:val="67"/>
                    <w:keepNext w:val="0"/>
                    <w:keepLines w:val="0"/>
                    <w:pageBreakBefore w:val="0"/>
                    <w:widowControl w:val="0"/>
                    <w:kinsoku/>
                    <w:wordWrap/>
                    <w:overflowPunct/>
                    <w:topLinePunct w:val="0"/>
                    <w:autoSpaceDE/>
                    <w:autoSpaceDN/>
                    <w:bidi w:val="0"/>
                    <w:adjustRightInd/>
                    <w:spacing w:line="200" w:lineRule="atLeast"/>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883" w:type="dxa"/>
                  <w:tcBorders>
                    <w:left w:val="single" w:color="auto" w:sz="4" w:space="0"/>
                  </w:tcBorders>
                  <w:noWrap w:val="0"/>
                  <w:vAlign w:val="center"/>
                </w:tcPr>
                <w:p>
                  <w:pPr>
                    <w:pStyle w:val="67"/>
                    <w:keepNext w:val="0"/>
                    <w:keepLines w:val="0"/>
                    <w:pageBreakBefore w:val="0"/>
                    <w:widowControl w:val="0"/>
                    <w:kinsoku/>
                    <w:wordWrap/>
                    <w:overflowPunct/>
                    <w:topLinePunct w:val="0"/>
                    <w:autoSpaceDE/>
                    <w:autoSpaceDN/>
                    <w:bidi w:val="0"/>
                    <w:adjustRightInd/>
                    <w:spacing w:line="200" w:lineRule="atLeas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区域生态环境</w:t>
                  </w:r>
                </w:p>
              </w:tc>
              <w:tc>
                <w:tcPr>
                  <w:tcW w:w="1143" w:type="dxa"/>
                  <w:gridSpan w:val="2"/>
                  <w:tcBorders>
                    <w:right w:val="single" w:color="auto" w:sz="4" w:space="0"/>
                  </w:tcBorders>
                  <w:noWrap w:val="0"/>
                  <w:vAlign w:val="center"/>
                </w:tcPr>
                <w:p>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649" w:type="dxa"/>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690" w:type="dxa"/>
                  <w:tcBorders>
                    <w:left w:val="single" w:color="auto" w:sz="4" w:space="0"/>
                  </w:tcBorders>
                  <w:noWrap w:val="0"/>
                  <w:vAlign w:val="center"/>
                </w:tcPr>
                <w:p>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2131" w:type="dxa"/>
                  <w:noWrap w:val="0"/>
                  <w:vAlign w:val="center"/>
                </w:tcPr>
                <w:p>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r>
          </w:tbl>
          <w:p>
            <w:pPr>
              <w:pStyle w:val="3"/>
              <w:rPr>
                <w:rFonts w:hint="eastAsia" w:ascii="Times New Roman" w:hAnsi="Times New Roman" w:cs="Times New Roman"/>
                <w:color w:val="auto"/>
                <w:sz w:val="24"/>
              </w:rPr>
            </w:pPr>
          </w:p>
          <w:p>
            <w:pPr>
              <w:rPr>
                <w:rFonts w:hint="eastAsia" w:ascii="Times New Roman" w:hAnsi="Times New Roman" w:cs="Times New Roman"/>
                <w:color w:val="auto"/>
                <w:sz w:val="24"/>
              </w:rPr>
            </w:pPr>
          </w:p>
          <w:p>
            <w:pPr>
              <w:pStyle w:val="3"/>
              <w:rPr>
                <w:rFonts w:hint="eastAsia" w:ascii="Times New Roman" w:hAnsi="Times New Roman" w:cs="Times New Roman"/>
                <w:color w:val="auto"/>
                <w:sz w:val="24"/>
              </w:rPr>
            </w:pPr>
          </w:p>
          <w:p>
            <w:pPr>
              <w:rPr>
                <w:rFonts w:hint="eastAsia" w:ascii="Times New Roman" w:hAnsi="Times New Roman" w:cs="Times New Roman"/>
                <w:color w:val="auto"/>
                <w:sz w:val="24"/>
              </w:rPr>
            </w:pPr>
          </w:p>
          <w:p>
            <w:pPr>
              <w:pStyle w:val="3"/>
              <w:rPr>
                <w:rFonts w:hint="eastAsia" w:ascii="Times New Roman" w:hAnsi="Times New Roman" w:cs="Times New Roman"/>
                <w:color w:val="auto"/>
                <w:sz w:val="24"/>
              </w:rPr>
            </w:pPr>
          </w:p>
          <w:p>
            <w:pPr>
              <w:rPr>
                <w:rFonts w:hint="eastAsia" w:ascii="Times New Roman" w:hAnsi="Times New Roman" w:cs="Times New Roman"/>
                <w:color w:val="auto"/>
                <w:sz w:val="24"/>
              </w:rPr>
            </w:pPr>
          </w:p>
          <w:p>
            <w:pPr>
              <w:pStyle w:val="3"/>
              <w:rPr>
                <w:rFonts w:hint="eastAsia" w:ascii="Times New Roman" w:hAnsi="Times New Roman" w:cs="Times New Roman"/>
                <w:color w:val="auto"/>
                <w:sz w:val="24"/>
              </w:rPr>
            </w:pPr>
          </w:p>
          <w:p>
            <w:pPr>
              <w:rPr>
                <w:rFonts w:hint="eastAsia" w:ascii="Times New Roman" w:hAnsi="Times New Roman" w:cs="Times New Roman"/>
                <w:color w:val="auto"/>
                <w:sz w:val="24"/>
              </w:rPr>
            </w:pPr>
          </w:p>
          <w:p>
            <w:pPr>
              <w:pStyle w:val="3"/>
              <w:rPr>
                <w:rFonts w:hint="eastAsia" w:ascii="Times New Roman" w:hAnsi="Times New Roman" w:cs="Times New Roman"/>
                <w:color w:val="auto"/>
                <w:sz w:val="24"/>
              </w:rPr>
            </w:pPr>
          </w:p>
          <w:p>
            <w:pPr>
              <w:rPr>
                <w:rFonts w:hint="eastAsia" w:ascii="Times New Roman" w:hAnsi="Times New Roman" w:cs="Times New Roman"/>
                <w:color w:val="auto"/>
                <w:sz w:val="24"/>
              </w:rPr>
            </w:pPr>
          </w:p>
          <w:p>
            <w:pPr>
              <w:pStyle w:val="3"/>
              <w:rPr>
                <w:rFonts w:hint="eastAsia" w:ascii="Times New Roman" w:hAnsi="Times New Roman" w:cs="Times New Roman"/>
                <w:color w:val="auto"/>
                <w:sz w:val="24"/>
              </w:rPr>
            </w:pPr>
          </w:p>
          <w:p>
            <w:pPr>
              <w:rPr>
                <w:rFonts w:hint="eastAsia"/>
                <w:color w:val="auto"/>
              </w:rPr>
            </w:pPr>
          </w:p>
          <w:p>
            <w:pPr>
              <w:rPr>
                <w:rFonts w:hint="eastAsia" w:ascii="Times New Roman" w:hAnsi="Times New Roman" w:cs="Times New Roman"/>
                <w:color w:val="auto"/>
                <w:sz w:val="24"/>
              </w:rPr>
            </w:pPr>
          </w:p>
          <w:p>
            <w:pPr>
              <w:pStyle w:val="3"/>
              <w:rPr>
                <w:rFonts w:hint="eastAsia" w:ascii="Times New Roman" w:hAnsi="Times New Roman" w:cs="Times New Roman"/>
                <w:color w:val="auto"/>
                <w:sz w:val="24"/>
              </w:rPr>
            </w:pPr>
          </w:p>
          <w:p>
            <w:pPr>
              <w:rPr>
                <w:rFonts w:hint="eastAsia" w:ascii="Times New Roman" w:hAnsi="Times New Roman" w:cs="Times New Roman"/>
                <w:color w:val="auto"/>
                <w:sz w:val="24"/>
              </w:rPr>
            </w:pPr>
          </w:p>
          <w:p>
            <w:pPr>
              <w:pStyle w:val="3"/>
              <w:rPr>
                <w:rFonts w:hint="eastAsia" w:ascii="Times New Roman" w:hAnsi="Times New Roman" w:cs="Times New Roman"/>
                <w:color w:val="auto"/>
                <w:sz w:val="24"/>
              </w:rPr>
            </w:pPr>
          </w:p>
          <w:p>
            <w:pPr>
              <w:rPr>
                <w:rFonts w:hint="eastAsia" w:ascii="Times New Roman" w:hAnsi="Times New Roman" w:cs="Times New Roman"/>
                <w:color w:val="auto"/>
                <w:sz w:val="24"/>
              </w:rPr>
            </w:pPr>
          </w:p>
          <w:p>
            <w:pPr>
              <w:pStyle w:val="3"/>
              <w:rPr>
                <w:rFonts w:hint="eastAsia" w:ascii="Times New Roman" w:hAnsi="Times New Roman" w:cs="Times New Roman"/>
                <w:color w:val="auto"/>
                <w:sz w:val="24"/>
              </w:rPr>
            </w:pPr>
          </w:p>
          <w:p>
            <w:pPr>
              <w:rPr>
                <w:rFonts w:hint="eastAsia" w:ascii="Times New Roman" w:hAnsi="Times New Roman" w:cs="Times New Roman"/>
                <w:color w:val="auto"/>
                <w:sz w:val="24"/>
              </w:rPr>
            </w:pPr>
          </w:p>
          <w:p>
            <w:pPr>
              <w:pStyle w:val="3"/>
              <w:rPr>
                <w:rFonts w:hint="eastAsia" w:ascii="Times New Roman" w:hAnsi="Times New Roman" w:cs="Times New Roman"/>
                <w:color w:val="auto"/>
                <w:sz w:val="24"/>
              </w:rPr>
            </w:pPr>
          </w:p>
          <w:p>
            <w:pPr>
              <w:rPr>
                <w:rFonts w:hint="eastAsia"/>
                <w:color w:val="auto"/>
              </w:rPr>
            </w:pPr>
          </w:p>
          <w:p>
            <w:pPr>
              <w:widowControl/>
              <w:adjustRightInd w:val="0"/>
              <w:snapToGrid w:val="0"/>
              <w:spacing w:line="360" w:lineRule="auto"/>
              <w:ind w:firstLine="420" w:firstLineChars="200"/>
              <w:rPr>
                <w:rFonts w:ascii="Times New Roman" w:hAnsi="Times New Roman" w:cs="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81" w:hRule="atLeast"/>
          <w:jc w:val="center"/>
        </w:trPr>
        <w:tc>
          <w:tcPr>
            <w:tcW w:w="456" w:type="dxa"/>
            <w:tcBorders>
              <w:top w:val="single" w:color="auto" w:sz="4" w:space="0"/>
              <w:left w:val="single" w:color="auto" w:sz="8" w:space="0"/>
              <w:bottom w:val="single" w:color="auto" w:sz="4" w:space="0"/>
              <w:right w:val="single" w:color="auto" w:sz="4" w:space="0"/>
            </w:tcBorders>
            <w:shd w:val="clear" w:color="auto" w:fill="auto"/>
            <w:tcMar>
              <w:left w:w="28" w:type="dxa"/>
              <w:right w:w="28" w:type="dxa"/>
            </w:tcMar>
            <w:vAlign w:val="center"/>
          </w:tcPr>
          <w:p>
            <w:pPr>
              <w:adjustRightInd w:val="0"/>
              <w:snapToGrid w:val="0"/>
              <w:jc w:val="center"/>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污染</w:t>
            </w:r>
          </w:p>
          <w:p>
            <w:pPr>
              <w:adjustRightInd w:val="0"/>
              <w:snapToGrid w:val="0"/>
              <w:jc w:val="center"/>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物排</w:t>
            </w:r>
          </w:p>
          <w:p>
            <w:pPr>
              <w:adjustRightInd w:val="0"/>
              <w:snapToGrid w:val="0"/>
              <w:jc w:val="center"/>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放控</w:t>
            </w:r>
          </w:p>
          <w:p>
            <w:pPr>
              <w:adjustRightInd w:val="0"/>
              <w:snapToGrid w:val="0"/>
              <w:jc w:val="center"/>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制标</w:t>
            </w:r>
          </w:p>
          <w:p>
            <w:pPr>
              <w:adjustRightInd w:val="0"/>
              <w:snapToGrid w:val="0"/>
              <w:jc w:val="center"/>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准</w:t>
            </w:r>
          </w:p>
        </w:tc>
        <w:tc>
          <w:tcPr>
            <w:tcW w:w="8752" w:type="dxa"/>
            <w:tcBorders>
              <w:top w:val="single" w:color="auto" w:sz="4" w:space="0"/>
              <w:left w:val="single" w:color="auto" w:sz="4" w:space="0"/>
              <w:bottom w:val="single" w:color="auto" w:sz="4" w:space="0"/>
              <w:right w:val="single" w:color="auto" w:sz="8" w:space="0"/>
            </w:tcBorders>
            <w:shd w:val="clear" w:color="auto" w:fill="auto"/>
            <w:vAlign w:val="center"/>
          </w:tcPr>
          <w:p>
            <w:pPr>
              <w:numPr>
                <w:ilvl w:val="0"/>
                <w:numId w:val="9"/>
              </w:numPr>
              <w:snapToGrid w:val="0"/>
              <w:spacing w:before="156" w:beforeLines="50" w:line="360" w:lineRule="auto"/>
              <w:ind w:firstLine="482" w:firstLineChars="200"/>
              <w:outlineLvl w:val="0"/>
              <w:rPr>
                <w:rFonts w:ascii="Times New Roman" w:hAnsi="Times New Roman" w:cs="Times New Roman"/>
                <w:b/>
                <w:color w:val="auto"/>
                <w:sz w:val="24"/>
              </w:rPr>
            </w:pPr>
            <w:r>
              <w:rPr>
                <w:rFonts w:ascii="Times New Roman" w:hAnsi="Times New Roman" w:cs="Times New Roman"/>
                <w:b/>
                <w:color w:val="auto"/>
                <w:sz w:val="24"/>
              </w:rPr>
              <w:t>大气污染物排放标准</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kern w:val="0"/>
                <w:sz w:val="24"/>
              </w:rPr>
              <w:t>施工期</w:t>
            </w:r>
            <w:r>
              <w:rPr>
                <w:rFonts w:hint="default" w:ascii="Times New Roman" w:hAnsi="Times New Roman" w:cs="Times New Roman"/>
                <w:color w:val="auto"/>
                <w:sz w:val="24"/>
              </w:rPr>
              <w:t>大气污染物中PM</w:t>
            </w:r>
            <w:r>
              <w:rPr>
                <w:rFonts w:hint="default" w:ascii="Times New Roman" w:hAnsi="Times New Roman" w:cs="Times New Roman"/>
                <w:color w:val="auto"/>
                <w:sz w:val="24"/>
                <w:vertAlign w:val="subscript"/>
              </w:rPr>
              <w:t>10</w:t>
            </w:r>
            <w:r>
              <w:rPr>
                <w:rFonts w:hint="default" w:ascii="Times New Roman" w:hAnsi="Times New Roman" w:cs="Times New Roman"/>
                <w:color w:val="auto"/>
                <w:sz w:val="24"/>
              </w:rPr>
              <w:t>执行《施工场地扬尘排放标准》(DB13/2934-2019)表1中的扬尘排放浓度限值</w:t>
            </w:r>
            <w:r>
              <w:rPr>
                <w:rFonts w:hint="default" w:ascii="Times New Roman" w:hAnsi="Times New Roman" w:cs="Times New Roman"/>
                <w:color w:val="auto"/>
                <w:kern w:val="0"/>
                <w:sz w:val="24"/>
              </w:rPr>
              <w:t>；</w:t>
            </w:r>
            <w:r>
              <w:rPr>
                <w:rFonts w:hint="default" w:ascii="Times New Roman" w:hAnsi="Times New Roman" w:cs="Times New Roman"/>
                <w:color w:val="auto"/>
                <w:sz w:val="24"/>
                <w:szCs w:val="24"/>
                <w:lang w:eastAsia="zh-CN"/>
              </w:rPr>
              <w:t>生产运行阶段</w:t>
            </w:r>
            <w:r>
              <w:rPr>
                <w:rFonts w:hint="default" w:ascii="Times New Roman" w:hAnsi="Times New Roman" w:cs="Times New Roman"/>
                <w:color w:val="auto"/>
                <w:sz w:val="24"/>
                <w:szCs w:val="24"/>
              </w:rPr>
              <w:t>锅炉废气</w:t>
            </w:r>
            <w:r>
              <w:rPr>
                <w:rFonts w:hint="default" w:ascii="Times New Roman" w:hAnsi="Times New Roman" w:cs="Times New Roman"/>
                <w:color w:val="auto"/>
                <w:sz w:val="24"/>
                <w:szCs w:val="24"/>
                <w:lang w:eastAsia="zh-CN"/>
              </w:rPr>
              <w:t>排放浓度</w:t>
            </w:r>
            <w:r>
              <w:rPr>
                <w:rFonts w:hint="default" w:ascii="Times New Roman" w:hAnsi="Times New Roman" w:cs="Times New Roman"/>
                <w:color w:val="auto"/>
                <w:sz w:val="24"/>
                <w:szCs w:val="24"/>
                <w:lang w:val="en-US" w:eastAsia="zh-CN"/>
              </w:rPr>
              <w:t>执行</w:t>
            </w:r>
            <w:r>
              <w:rPr>
                <w:rFonts w:hint="default" w:ascii="Times New Roman" w:hAnsi="Times New Roman" w:cs="Times New Roman"/>
                <w:color w:val="auto"/>
                <w:sz w:val="24"/>
                <w:szCs w:val="24"/>
              </w:rPr>
              <w:t>《锅炉大气污染物排放标准》（</w:t>
            </w:r>
            <w:r>
              <w:rPr>
                <w:rFonts w:hint="default" w:ascii="Times New Roman" w:hAnsi="Times New Roman" w:cs="Times New Roman"/>
                <w:color w:val="auto"/>
                <w:sz w:val="24"/>
                <w:szCs w:val="24"/>
                <w:lang w:val="en-US" w:eastAsia="zh-CN"/>
              </w:rPr>
              <w:t>DB13/5161-2020</w:t>
            </w:r>
            <w:r>
              <w:rPr>
                <w:rFonts w:hint="default" w:ascii="Times New Roman" w:hAnsi="Times New Roman" w:cs="Times New Roman"/>
                <w:color w:val="auto"/>
                <w:sz w:val="24"/>
                <w:szCs w:val="24"/>
              </w:rPr>
              <w:t>）中表</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中限值要求</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lang w:val="en-US" w:eastAsia="zh-CN"/>
              </w:rPr>
              <w:t>食堂油烟执行《饮食业油烟排放标准（试行）》（GB18483－2001）中型规模要求；无组织颗粒物执行</w:t>
            </w:r>
            <w:r>
              <w:rPr>
                <w:rFonts w:hint="default" w:ascii="Times New Roman" w:hAnsi="Times New Roman" w:cs="Times New Roman"/>
                <w:color w:val="auto"/>
                <w:sz w:val="24"/>
              </w:rPr>
              <w:t>《大气污染物综合排放标准》（GB16297-1996）表2中</w:t>
            </w:r>
            <w:r>
              <w:rPr>
                <w:rFonts w:hint="default" w:ascii="Times New Roman" w:hAnsi="Times New Roman" w:cs="Times New Roman"/>
                <w:color w:val="auto"/>
                <w:sz w:val="24"/>
                <w:lang w:val="en-US" w:eastAsia="zh-CN"/>
              </w:rPr>
              <w:t>无组织排放监控限值</w:t>
            </w:r>
            <w:r>
              <w:rPr>
                <w:rFonts w:hint="default" w:ascii="Times New Roman" w:hAnsi="Times New Roman" w:cs="Times New Roman"/>
                <w:color w:val="auto"/>
                <w:sz w:val="24"/>
              </w:rPr>
              <w:t>。具体标准限值详见下表：</w:t>
            </w:r>
          </w:p>
          <w:p>
            <w:pPr>
              <w:pStyle w:val="59"/>
              <w:keepNext w:val="0"/>
              <w:keepLines w:val="0"/>
              <w:pageBreakBefore w:val="0"/>
              <w:widowControl w:val="0"/>
              <w:numPr>
                <w:ilvl w:val="0"/>
                <w:numId w:val="8"/>
              </w:numPr>
              <w:kinsoku/>
              <w:wordWrap/>
              <w:overflowPunct/>
              <w:topLinePunct w:val="0"/>
              <w:autoSpaceDE w:val="0"/>
              <w:autoSpaceDN w:val="0"/>
              <w:bidi w:val="0"/>
              <w:adjustRightInd w:val="0"/>
              <w:snapToGrid w:val="0"/>
              <w:spacing w:line="240" w:lineRule="auto"/>
              <w:ind w:left="0" w:firstLine="0" w:firstLineChars="0"/>
              <w:jc w:val="center"/>
              <w:textAlignment w:val="auto"/>
              <w:rPr>
                <w:rStyle w:val="24"/>
                <w:rFonts w:hint="default" w:ascii="Times New Roman" w:hAnsi="Times New Roman" w:eastAsia="宋体"/>
                <w:color w:val="auto"/>
                <w:lang w:val="en-US" w:eastAsia="zh-CN"/>
              </w:rPr>
            </w:pPr>
            <w:r>
              <w:rPr>
                <w:rStyle w:val="24"/>
                <w:rFonts w:hint="default" w:ascii="Times New Roman" w:hAnsi="Times New Roman" w:eastAsia="宋体"/>
                <w:color w:val="auto"/>
                <w:lang w:val="en-US" w:eastAsia="zh-CN"/>
              </w:rPr>
              <w:t>大气污染物排放标准</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2"/>
              <w:gridCol w:w="1290"/>
              <w:gridCol w:w="1522"/>
              <w:gridCol w:w="4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5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eastAsia="宋体" w:cs="Times New Roman"/>
                      <w:b w:val="0"/>
                      <w:bCs/>
                      <w:color w:val="auto"/>
                      <w:sz w:val="21"/>
                      <w:szCs w:val="21"/>
                    </w:rPr>
                    <w:t>污染物</w:t>
                  </w:r>
                </w:p>
              </w:tc>
              <w:tc>
                <w:tcPr>
                  <w:tcW w:w="71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eastAsia="宋体" w:cs="Times New Roman"/>
                      <w:b w:val="0"/>
                      <w:bCs/>
                      <w:color w:val="auto"/>
                      <w:sz w:val="21"/>
                      <w:szCs w:val="21"/>
                    </w:rPr>
                    <w:t>标准值</w:t>
                  </w:r>
                </w:p>
              </w:tc>
              <w:tc>
                <w:tcPr>
                  <w:tcW w:w="84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eastAsia="宋体" w:cs="Times New Roman"/>
                      <w:b w:val="0"/>
                      <w:bCs/>
                      <w:color w:val="auto"/>
                      <w:sz w:val="21"/>
                      <w:szCs w:val="21"/>
                    </w:rPr>
                    <w:t>单位</w:t>
                  </w:r>
                </w:p>
              </w:tc>
              <w:tc>
                <w:tcPr>
                  <w:tcW w:w="239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eastAsia="宋体" w:cs="Times New Roman"/>
                      <w:b w:val="0"/>
                      <w:bCs/>
                      <w:color w:val="auto"/>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051"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10</w:t>
                  </w:r>
                  <w:r>
                    <w:rPr>
                      <w:rFonts w:hint="default" w:ascii="Times New Roman" w:hAnsi="Times New Roman" w:cs="Times New Roman"/>
                      <w:b/>
                      <w:bCs/>
                      <w:color w:val="auto"/>
                      <w:sz w:val="21"/>
                      <w:szCs w:val="21"/>
                      <w:vertAlign w:val="baseline"/>
                      <w:lang w:val="en-US" w:eastAsia="zh-CN"/>
                    </w:rPr>
                    <w:t>*</w:t>
                  </w:r>
                </w:p>
              </w:tc>
              <w:tc>
                <w:tcPr>
                  <w:tcW w:w="713" w:type="pct"/>
                  <w:vAlign w:val="center"/>
                </w:tcPr>
                <w:p>
                  <w:pPr>
                    <w:topLinePunct/>
                    <w:adjustRightInd w:val="0"/>
                    <w:spacing w:line="0" w:lineRule="atLeast"/>
                    <w:jc w:val="center"/>
                    <w:textAlignment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color w:val="auto"/>
                      <w:szCs w:val="21"/>
                    </w:rPr>
                    <w:t>80</w:t>
                  </w:r>
                </w:p>
              </w:tc>
              <w:tc>
                <w:tcPr>
                  <w:tcW w:w="841" w:type="pct"/>
                  <w:vAlign w:val="center"/>
                </w:tcPr>
                <w:p>
                  <w:pPr>
                    <w:topLinePunct/>
                    <w:adjustRightInd w:val="0"/>
                    <w:spacing w:line="0" w:lineRule="atLeast"/>
                    <w:jc w:val="center"/>
                    <w:textAlignment w:val="center"/>
                    <w:rPr>
                      <w:rFonts w:hint="default" w:ascii="Times New Roman" w:hAnsi="Times New Roman" w:cs="Times New Roman"/>
                      <w:b w:val="0"/>
                      <w:bCs/>
                      <w:color w:val="auto"/>
                      <w:sz w:val="21"/>
                      <w:szCs w:val="21"/>
                    </w:rPr>
                  </w:pPr>
                  <w:r>
                    <w:rPr>
                      <w:rFonts w:hint="default" w:ascii="Times New Roman" w:hAnsi="Times New Roman" w:cs="Times New Roman"/>
                      <w:color w:val="auto"/>
                      <w:szCs w:val="21"/>
                    </w:rPr>
                    <w:t>μg/m³</w:t>
                  </w:r>
                </w:p>
              </w:tc>
              <w:tc>
                <w:tcPr>
                  <w:tcW w:w="4081" w:type="dxa"/>
                  <w:vMerge w:val="restart"/>
                  <w:vAlign w:val="center"/>
                </w:tcPr>
                <w:p>
                  <w:pPr>
                    <w:topLinePunct/>
                    <w:adjustRightInd w:val="0"/>
                    <w:spacing w:line="0" w:lineRule="atLeast"/>
                    <w:jc w:val="center"/>
                    <w:textAlignment w:val="center"/>
                    <w:rPr>
                      <w:rFonts w:hint="default" w:ascii="Times New Roman" w:hAnsi="Times New Roman" w:cs="Times New Roman"/>
                      <w:b w:val="0"/>
                      <w:bCs/>
                      <w:color w:val="auto"/>
                      <w:sz w:val="21"/>
                      <w:szCs w:val="21"/>
                    </w:rPr>
                  </w:pPr>
                  <w:r>
                    <w:rPr>
                      <w:rFonts w:hint="default" w:ascii="Times New Roman" w:hAnsi="Times New Roman" w:cs="Times New Roman"/>
                      <w:color w:val="auto"/>
                      <w:sz w:val="21"/>
                      <w:szCs w:val="21"/>
                    </w:rPr>
                    <w:t>《施工场地扬尘排放标准》(DB13/2934-2019)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05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lang w:val="en-US" w:eastAsia="zh-CN"/>
                    </w:rPr>
                  </w:pPr>
                </w:p>
              </w:tc>
              <w:tc>
                <w:tcPr>
                  <w:tcW w:w="713" w:type="pct"/>
                  <w:vAlign w:val="center"/>
                </w:tcPr>
                <w:p>
                  <w:pPr>
                    <w:topLinePunct/>
                    <w:adjustRightInd w:val="0"/>
                    <w:spacing w:line="0" w:lineRule="atLeast"/>
                    <w:jc w:val="center"/>
                    <w:textAlignment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color w:val="auto"/>
                      <w:szCs w:val="21"/>
                      <w:lang w:val="en-US" w:eastAsia="zh-CN"/>
                    </w:rPr>
                    <w:t>≤2</w:t>
                  </w:r>
                </w:p>
              </w:tc>
              <w:tc>
                <w:tcPr>
                  <w:tcW w:w="841" w:type="pct"/>
                  <w:vAlign w:val="center"/>
                </w:tcPr>
                <w:p>
                  <w:pPr>
                    <w:topLinePunct/>
                    <w:adjustRightInd w:val="0"/>
                    <w:spacing w:line="0" w:lineRule="atLeast"/>
                    <w:jc w:val="center"/>
                    <w:textAlignment w:val="center"/>
                    <w:rPr>
                      <w:rFonts w:hint="default" w:ascii="Times New Roman" w:hAnsi="Times New Roman" w:cs="Times New Roman"/>
                      <w:b w:val="0"/>
                      <w:bCs/>
                      <w:color w:val="auto"/>
                      <w:sz w:val="21"/>
                      <w:szCs w:val="21"/>
                    </w:rPr>
                  </w:pPr>
                  <w:r>
                    <w:rPr>
                      <w:rFonts w:hint="default" w:ascii="Times New Roman" w:hAnsi="Times New Roman" w:cs="Times New Roman"/>
                      <w:color w:val="auto"/>
                      <w:szCs w:val="21"/>
                      <w:lang w:val="en-US" w:eastAsia="zh-CN"/>
                    </w:rPr>
                    <w:t>次/天</w:t>
                  </w:r>
                </w:p>
              </w:tc>
              <w:tc>
                <w:tcPr>
                  <w:tcW w:w="239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05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颗粒物</w:t>
                  </w:r>
                </w:p>
              </w:tc>
              <w:tc>
                <w:tcPr>
                  <w:tcW w:w="71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pacing w:val="-2"/>
                      <w:sz w:val="21"/>
                      <w:szCs w:val="21"/>
                      <w:lang w:val="en-US" w:eastAsia="zh-CN"/>
                    </w:rPr>
                  </w:pPr>
                  <w:r>
                    <w:rPr>
                      <w:rFonts w:hint="default" w:ascii="Times New Roman" w:hAnsi="Times New Roman" w:cs="Times New Roman"/>
                      <w:b w:val="0"/>
                      <w:bCs/>
                      <w:color w:val="auto"/>
                      <w:sz w:val="21"/>
                      <w:szCs w:val="21"/>
                      <w:lang w:val="en-US" w:eastAsia="zh-CN"/>
                    </w:rPr>
                    <w:t>10</w:t>
                  </w:r>
                </w:p>
              </w:tc>
              <w:tc>
                <w:tcPr>
                  <w:tcW w:w="84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mg/</w:t>
                  </w:r>
                  <w:r>
                    <w:rPr>
                      <w:rFonts w:hint="default" w:ascii="Times New Roman" w:hAnsi="Times New Roman" w:cs="Times New Roman"/>
                      <w:b w:val="0"/>
                      <w:bCs/>
                      <w:strike w:val="0"/>
                      <w:dstrike w:val="0"/>
                      <w:color w:val="auto"/>
                      <w:sz w:val="21"/>
                      <w:szCs w:val="21"/>
                      <w:vertAlign w:val="baseline"/>
                      <w:lang w:eastAsia="zh-CN"/>
                    </w:rPr>
                    <w:t>m</w:t>
                  </w:r>
                  <w:r>
                    <w:rPr>
                      <w:rFonts w:hint="default" w:ascii="Times New Roman" w:hAnsi="Times New Roman" w:cs="Times New Roman"/>
                      <w:b w:val="0"/>
                      <w:bCs/>
                      <w:strike w:val="0"/>
                      <w:dstrike w:val="0"/>
                      <w:color w:val="auto"/>
                      <w:sz w:val="21"/>
                      <w:szCs w:val="21"/>
                      <w:vertAlign w:val="superscript"/>
                      <w:lang w:eastAsia="zh-CN"/>
                    </w:rPr>
                    <w:t>3</w:t>
                  </w:r>
                </w:p>
              </w:tc>
              <w:tc>
                <w:tcPr>
                  <w:tcW w:w="2393"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《锅炉大气污染物排放标准》（</w:t>
                  </w:r>
                  <w:r>
                    <w:rPr>
                      <w:rFonts w:hint="default" w:ascii="Times New Roman" w:hAnsi="Times New Roman" w:cs="Times New Roman"/>
                      <w:b w:val="0"/>
                      <w:bCs/>
                      <w:color w:val="auto"/>
                      <w:sz w:val="21"/>
                      <w:szCs w:val="21"/>
                      <w:lang w:val="en-US" w:eastAsia="zh-CN"/>
                    </w:rPr>
                    <w:t>DB13/5161-2020</w:t>
                  </w:r>
                  <w:r>
                    <w:rPr>
                      <w:rFonts w:hint="default" w:ascii="Times New Roman" w:hAnsi="Times New Roman" w:cs="Times New Roman"/>
                      <w:b w:val="0"/>
                      <w:bCs/>
                      <w:color w:val="auto"/>
                      <w:sz w:val="21"/>
                      <w:szCs w:val="21"/>
                    </w:rPr>
                    <w:t>）中表</w:t>
                  </w:r>
                  <w:r>
                    <w:rPr>
                      <w:rFonts w:hint="default" w:ascii="Times New Roman" w:hAnsi="Times New Roman" w:cs="Times New Roman"/>
                      <w:b w:val="0"/>
                      <w:bCs/>
                      <w:color w:val="auto"/>
                      <w:sz w:val="21"/>
                      <w:szCs w:val="21"/>
                      <w:lang w:val="en-US" w:eastAsia="zh-CN"/>
                    </w:rPr>
                    <w:t>1</w:t>
                  </w:r>
                  <w:r>
                    <w:rPr>
                      <w:rFonts w:hint="default" w:ascii="Times New Roman" w:hAnsi="Times New Roman" w:cs="Times New Roman"/>
                      <w:b w:val="0"/>
                      <w:bCs/>
                      <w:color w:val="auto"/>
                      <w:sz w:val="21"/>
                      <w:szCs w:val="21"/>
                    </w:rPr>
                    <w:t>中限值要求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105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SO</w:t>
                  </w:r>
                  <w:r>
                    <w:rPr>
                      <w:rFonts w:hint="default" w:ascii="Times New Roman" w:hAnsi="Times New Roman" w:cs="Times New Roman"/>
                      <w:b w:val="0"/>
                      <w:bCs/>
                      <w:color w:val="auto"/>
                      <w:sz w:val="21"/>
                      <w:szCs w:val="21"/>
                      <w:vertAlign w:val="subscript"/>
                      <w:lang w:val="en-US" w:eastAsia="zh-CN"/>
                    </w:rPr>
                    <w:t>2</w:t>
                  </w:r>
                </w:p>
              </w:tc>
              <w:tc>
                <w:tcPr>
                  <w:tcW w:w="71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pacing w:val="-2"/>
                      <w:sz w:val="21"/>
                      <w:szCs w:val="21"/>
                      <w:lang w:val="en-US" w:eastAsia="zh-CN"/>
                    </w:rPr>
                  </w:pPr>
                  <w:r>
                    <w:rPr>
                      <w:rFonts w:hint="default" w:ascii="Times New Roman" w:hAnsi="Times New Roman" w:cs="Times New Roman"/>
                      <w:b w:val="0"/>
                      <w:bCs/>
                      <w:color w:val="auto"/>
                      <w:spacing w:val="-2"/>
                      <w:sz w:val="21"/>
                      <w:szCs w:val="21"/>
                      <w:lang w:val="en-US" w:eastAsia="zh-CN"/>
                    </w:rPr>
                    <w:t>35</w:t>
                  </w:r>
                </w:p>
              </w:tc>
              <w:tc>
                <w:tcPr>
                  <w:tcW w:w="84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mg/</w:t>
                  </w:r>
                  <w:r>
                    <w:rPr>
                      <w:rFonts w:hint="default" w:ascii="Times New Roman" w:hAnsi="Times New Roman" w:cs="Times New Roman"/>
                      <w:b w:val="0"/>
                      <w:bCs/>
                      <w:strike w:val="0"/>
                      <w:dstrike w:val="0"/>
                      <w:color w:val="auto"/>
                      <w:sz w:val="21"/>
                      <w:szCs w:val="21"/>
                      <w:vertAlign w:val="baseline"/>
                      <w:lang w:eastAsia="zh-CN"/>
                    </w:rPr>
                    <w:t>m</w:t>
                  </w:r>
                  <w:r>
                    <w:rPr>
                      <w:rFonts w:hint="default" w:ascii="Times New Roman" w:hAnsi="Times New Roman" w:cs="Times New Roman"/>
                      <w:b w:val="0"/>
                      <w:bCs/>
                      <w:strike w:val="0"/>
                      <w:dstrike w:val="0"/>
                      <w:color w:val="auto"/>
                      <w:sz w:val="21"/>
                      <w:szCs w:val="21"/>
                      <w:vertAlign w:val="superscript"/>
                      <w:lang w:eastAsia="zh-CN"/>
                    </w:rPr>
                    <w:t>3</w:t>
                  </w:r>
                </w:p>
              </w:tc>
              <w:tc>
                <w:tcPr>
                  <w:tcW w:w="239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5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NOx</w:t>
                  </w:r>
                </w:p>
              </w:tc>
              <w:tc>
                <w:tcPr>
                  <w:tcW w:w="71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pacing w:val="-2"/>
                      <w:sz w:val="21"/>
                      <w:szCs w:val="21"/>
                      <w:lang w:val="en-US" w:eastAsia="zh-CN"/>
                    </w:rPr>
                  </w:pPr>
                  <w:r>
                    <w:rPr>
                      <w:rFonts w:hint="default" w:ascii="Times New Roman" w:hAnsi="Times New Roman" w:cs="Times New Roman"/>
                      <w:b w:val="0"/>
                      <w:bCs/>
                      <w:color w:val="auto"/>
                      <w:spacing w:val="-2"/>
                      <w:sz w:val="21"/>
                      <w:szCs w:val="21"/>
                      <w:lang w:val="en-US" w:eastAsia="zh-CN"/>
                    </w:rPr>
                    <w:t>50</w:t>
                  </w:r>
                </w:p>
              </w:tc>
              <w:tc>
                <w:tcPr>
                  <w:tcW w:w="84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mg/</w:t>
                  </w:r>
                  <w:r>
                    <w:rPr>
                      <w:rFonts w:hint="default" w:ascii="Times New Roman" w:hAnsi="Times New Roman" w:cs="Times New Roman"/>
                      <w:b w:val="0"/>
                      <w:bCs/>
                      <w:strike w:val="0"/>
                      <w:dstrike w:val="0"/>
                      <w:color w:val="auto"/>
                      <w:sz w:val="21"/>
                      <w:szCs w:val="21"/>
                      <w:vertAlign w:val="baseline"/>
                      <w:lang w:eastAsia="zh-CN"/>
                    </w:rPr>
                    <w:t>m</w:t>
                  </w:r>
                  <w:r>
                    <w:rPr>
                      <w:rFonts w:hint="default" w:ascii="Times New Roman" w:hAnsi="Times New Roman" w:cs="Times New Roman"/>
                      <w:b w:val="0"/>
                      <w:bCs/>
                      <w:strike w:val="0"/>
                      <w:dstrike w:val="0"/>
                      <w:color w:val="auto"/>
                      <w:sz w:val="21"/>
                      <w:szCs w:val="21"/>
                      <w:vertAlign w:val="superscript"/>
                      <w:lang w:eastAsia="zh-CN"/>
                    </w:rPr>
                    <w:t>3</w:t>
                  </w:r>
                </w:p>
              </w:tc>
              <w:tc>
                <w:tcPr>
                  <w:tcW w:w="239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5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烟气黑度</w:t>
                  </w:r>
                </w:p>
              </w:tc>
              <w:tc>
                <w:tcPr>
                  <w:tcW w:w="71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pacing w:val="-2"/>
                      <w:sz w:val="21"/>
                      <w:szCs w:val="21"/>
                      <w:lang w:val="en-US" w:eastAsia="zh-CN"/>
                    </w:rPr>
                  </w:pPr>
                  <w:r>
                    <w:rPr>
                      <w:rFonts w:hint="default" w:ascii="Times New Roman" w:hAnsi="Times New Roman" w:cs="Times New Roman"/>
                      <w:b w:val="0"/>
                      <w:bCs/>
                      <w:color w:val="auto"/>
                      <w:spacing w:val="-2"/>
                      <w:sz w:val="21"/>
                      <w:szCs w:val="21"/>
                      <w:lang w:val="en-US" w:eastAsia="zh-CN"/>
                    </w:rPr>
                    <w:t>1</w:t>
                  </w:r>
                </w:p>
              </w:tc>
              <w:tc>
                <w:tcPr>
                  <w:tcW w:w="84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级</w:t>
                  </w:r>
                </w:p>
              </w:tc>
              <w:tc>
                <w:tcPr>
                  <w:tcW w:w="239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5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汞及其化合物</w:t>
                  </w:r>
                </w:p>
              </w:tc>
              <w:tc>
                <w:tcPr>
                  <w:tcW w:w="71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pacing w:val="-2"/>
                      <w:sz w:val="21"/>
                      <w:szCs w:val="21"/>
                      <w:lang w:val="en-US" w:eastAsia="zh-CN"/>
                    </w:rPr>
                  </w:pPr>
                  <w:r>
                    <w:rPr>
                      <w:rFonts w:hint="default" w:ascii="Times New Roman" w:hAnsi="Times New Roman" w:cs="Times New Roman"/>
                      <w:b w:val="0"/>
                      <w:bCs/>
                      <w:color w:val="auto"/>
                      <w:spacing w:val="-2"/>
                      <w:sz w:val="21"/>
                      <w:szCs w:val="21"/>
                      <w:lang w:val="en-US" w:eastAsia="zh-CN"/>
                    </w:rPr>
                    <w:t>0.03</w:t>
                  </w:r>
                </w:p>
              </w:tc>
              <w:tc>
                <w:tcPr>
                  <w:tcW w:w="84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mg/</w:t>
                  </w:r>
                  <w:r>
                    <w:rPr>
                      <w:rFonts w:hint="default" w:ascii="Times New Roman" w:hAnsi="Times New Roman" w:cs="Times New Roman"/>
                      <w:b w:val="0"/>
                      <w:bCs/>
                      <w:strike w:val="0"/>
                      <w:dstrike w:val="0"/>
                      <w:color w:val="auto"/>
                      <w:sz w:val="21"/>
                      <w:szCs w:val="21"/>
                      <w:vertAlign w:val="baseline"/>
                      <w:lang w:eastAsia="zh-CN"/>
                    </w:rPr>
                    <w:t>m</w:t>
                  </w:r>
                  <w:r>
                    <w:rPr>
                      <w:rFonts w:hint="default" w:ascii="Times New Roman" w:hAnsi="Times New Roman" w:cs="Times New Roman"/>
                      <w:b w:val="0"/>
                      <w:bCs/>
                      <w:strike w:val="0"/>
                      <w:dstrike w:val="0"/>
                      <w:color w:val="auto"/>
                      <w:sz w:val="21"/>
                      <w:szCs w:val="21"/>
                      <w:vertAlign w:val="superscript"/>
                      <w:lang w:eastAsia="zh-CN"/>
                    </w:rPr>
                    <w:t>3</w:t>
                  </w:r>
                </w:p>
              </w:tc>
              <w:tc>
                <w:tcPr>
                  <w:tcW w:w="239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5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pacing w:val="-2"/>
                      <w:sz w:val="21"/>
                      <w:szCs w:val="21"/>
                      <w:lang w:val="en-US" w:eastAsia="zh-CN"/>
                    </w:rPr>
                  </w:pPr>
                  <w:r>
                    <w:rPr>
                      <w:rFonts w:hint="default" w:ascii="Times New Roman" w:hAnsi="Times New Roman" w:eastAsia="宋体" w:cs="Times New Roman"/>
                      <w:b w:val="0"/>
                      <w:bCs/>
                      <w:color w:val="auto"/>
                      <w:spacing w:val="-2"/>
                      <w:sz w:val="21"/>
                      <w:szCs w:val="21"/>
                      <w:lang w:val="en-US" w:eastAsia="zh-CN"/>
                    </w:rPr>
                    <w:t>氨逃逸</w:t>
                  </w:r>
                </w:p>
              </w:tc>
              <w:tc>
                <w:tcPr>
                  <w:tcW w:w="71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pacing w:val="-2"/>
                      <w:sz w:val="21"/>
                      <w:szCs w:val="21"/>
                      <w:lang w:val="en-US" w:eastAsia="zh-CN"/>
                    </w:rPr>
                  </w:pPr>
                  <w:r>
                    <w:rPr>
                      <w:rFonts w:hint="default" w:ascii="Times New Roman" w:hAnsi="Times New Roman" w:eastAsia="宋体" w:cs="Times New Roman"/>
                      <w:b w:val="0"/>
                      <w:bCs/>
                      <w:color w:val="auto"/>
                      <w:spacing w:val="-2"/>
                      <w:sz w:val="21"/>
                      <w:szCs w:val="21"/>
                      <w:lang w:val="en-US" w:eastAsia="zh-CN"/>
                    </w:rPr>
                    <w:t>2.3（采用SCR脱硝工艺或SNCR-SCR联合脱硝工艺）</w:t>
                  </w:r>
                </w:p>
              </w:tc>
              <w:tc>
                <w:tcPr>
                  <w:tcW w:w="84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mg/</w:t>
                  </w:r>
                  <w:r>
                    <w:rPr>
                      <w:rFonts w:hint="default" w:ascii="Times New Roman" w:hAnsi="Times New Roman" w:cs="Times New Roman"/>
                      <w:b w:val="0"/>
                      <w:bCs/>
                      <w:strike w:val="0"/>
                      <w:dstrike w:val="0"/>
                      <w:color w:val="auto"/>
                      <w:sz w:val="21"/>
                      <w:szCs w:val="21"/>
                      <w:vertAlign w:val="baseline"/>
                      <w:lang w:eastAsia="zh-CN"/>
                    </w:rPr>
                    <w:t>m</w:t>
                  </w:r>
                  <w:r>
                    <w:rPr>
                      <w:rFonts w:hint="default" w:ascii="Times New Roman" w:hAnsi="Times New Roman" w:cs="Times New Roman"/>
                      <w:b w:val="0"/>
                      <w:bCs/>
                      <w:strike w:val="0"/>
                      <w:dstrike w:val="0"/>
                      <w:color w:val="auto"/>
                      <w:sz w:val="21"/>
                      <w:szCs w:val="21"/>
                      <w:vertAlign w:val="superscript"/>
                      <w:lang w:eastAsia="zh-CN"/>
                    </w:rPr>
                    <w:t>3</w:t>
                  </w:r>
                </w:p>
              </w:tc>
              <w:tc>
                <w:tcPr>
                  <w:tcW w:w="239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5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无组织颗粒物</w:t>
                  </w:r>
                </w:p>
              </w:tc>
              <w:tc>
                <w:tcPr>
                  <w:tcW w:w="71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pacing w:val="-2"/>
                      <w:sz w:val="21"/>
                      <w:szCs w:val="21"/>
                      <w:lang w:val="en-US" w:eastAsia="zh-CN"/>
                    </w:rPr>
                  </w:pPr>
                  <w:r>
                    <w:rPr>
                      <w:rFonts w:hint="default" w:ascii="Times New Roman" w:hAnsi="Times New Roman" w:cs="Times New Roman"/>
                      <w:b w:val="0"/>
                      <w:bCs/>
                      <w:color w:val="auto"/>
                      <w:spacing w:val="-2"/>
                      <w:sz w:val="21"/>
                      <w:szCs w:val="21"/>
                      <w:lang w:val="en-US" w:eastAsia="zh-CN"/>
                    </w:rPr>
                    <w:t>1.0</w:t>
                  </w:r>
                </w:p>
              </w:tc>
              <w:tc>
                <w:tcPr>
                  <w:tcW w:w="84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mg/</w:t>
                  </w:r>
                  <w:r>
                    <w:rPr>
                      <w:rFonts w:hint="default" w:ascii="Times New Roman" w:hAnsi="Times New Roman" w:cs="Times New Roman"/>
                      <w:b w:val="0"/>
                      <w:bCs/>
                      <w:strike w:val="0"/>
                      <w:dstrike w:val="0"/>
                      <w:color w:val="auto"/>
                      <w:sz w:val="21"/>
                      <w:szCs w:val="21"/>
                      <w:vertAlign w:val="baseline"/>
                      <w:lang w:eastAsia="zh-CN"/>
                    </w:rPr>
                    <w:t>m</w:t>
                  </w:r>
                  <w:r>
                    <w:rPr>
                      <w:rFonts w:hint="default" w:ascii="Times New Roman" w:hAnsi="Times New Roman" w:cs="Times New Roman"/>
                      <w:b w:val="0"/>
                      <w:bCs/>
                      <w:strike w:val="0"/>
                      <w:dstrike w:val="0"/>
                      <w:color w:val="auto"/>
                      <w:sz w:val="21"/>
                      <w:szCs w:val="21"/>
                      <w:vertAlign w:val="superscript"/>
                      <w:lang w:eastAsia="zh-CN"/>
                    </w:rPr>
                    <w:t>3</w:t>
                  </w:r>
                </w:p>
              </w:tc>
              <w:tc>
                <w:tcPr>
                  <w:tcW w:w="239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《大气污染物综合排放标准》（GB16297-1996）表2中无组织排放监控浓度限值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51"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食堂油烟</w:t>
                  </w:r>
                </w:p>
              </w:tc>
              <w:tc>
                <w:tcPr>
                  <w:tcW w:w="71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pacing w:val="-2"/>
                      <w:sz w:val="21"/>
                      <w:szCs w:val="21"/>
                      <w:lang w:val="en-US" w:eastAsia="zh-CN"/>
                    </w:rPr>
                  </w:pPr>
                  <w:r>
                    <w:rPr>
                      <w:rFonts w:hint="default" w:ascii="Times New Roman" w:hAnsi="Times New Roman" w:cs="Times New Roman"/>
                      <w:b w:val="0"/>
                      <w:bCs/>
                      <w:color w:val="auto"/>
                      <w:spacing w:val="-2"/>
                      <w:sz w:val="21"/>
                      <w:szCs w:val="21"/>
                      <w:lang w:val="en-US" w:eastAsia="zh-CN"/>
                    </w:rPr>
                    <w:t>2.0</w:t>
                  </w:r>
                </w:p>
              </w:tc>
              <w:tc>
                <w:tcPr>
                  <w:tcW w:w="84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mg/</w:t>
                  </w:r>
                  <w:r>
                    <w:rPr>
                      <w:rFonts w:hint="default" w:ascii="Times New Roman" w:hAnsi="Times New Roman" w:cs="Times New Roman"/>
                      <w:b w:val="0"/>
                      <w:bCs/>
                      <w:strike w:val="0"/>
                      <w:dstrike w:val="0"/>
                      <w:color w:val="auto"/>
                      <w:sz w:val="21"/>
                      <w:szCs w:val="21"/>
                      <w:vertAlign w:val="baseline"/>
                      <w:lang w:eastAsia="zh-CN"/>
                    </w:rPr>
                    <w:t>m</w:t>
                  </w:r>
                  <w:r>
                    <w:rPr>
                      <w:rFonts w:hint="default" w:ascii="Times New Roman" w:hAnsi="Times New Roman" w:cs="Times New Roman"/>
                      <w:b w:val="0"/>
                      <w:bCs/>
                      <w:strike w:val="0"/>
                      <w:dstrike w:val="0"/>
                      <w:color w:val="auto"/>
                      <w:sz w:val="21"/>
                      <w:szCs w:val="21"/>
                      <w:vertAlign w:val="superscript"/>
                      <w:lang w:eastAsia="zh-CN"/>
                    </w:rPr>
                    <w:t>3</w:t>
                  </w:r>
                </w:p>
              </w:tc>
              <w:tc>
                <w:tcPr>
                  <w:tcW w:w="2393"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val="en-US" w:eastAsia="zh-CN"/>
                    </w:rPr>
                    <w:t>《饮食业油烟排放标准（试行）》（GB18483－2001）中型规模要求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5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lang w:val="en-US" w:eastAsia="zh-CN"/>
                    </w:rPr>
                  </w:pPr>
                </w:p>
              </w:tc>
              <w:tc>
                <w:tcPr>
                  <w:tcW w:w="71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pacing w:val="-2"/>
                      <w:sz w:val="21"/>
                      <w:szCs w:val="21"/>
                      <w:lang w:val="en-US" w:eastAsia="zh-CN"/>
                    </w:rPr>
                  </w:pPr>
                  <w:r>
                    <w:rPr>
                      <w:rFonts w:hint="default" w:ascii="Times New Roman" w:hAnsi="Times New Roman" w:cs="Times New Roman"/>
                      <w:b w:val="0"/>
                      <w:bCs/>
                      <w:color w:val="auto"/>
                      <w:spacing w:val="-2"/>
                      <w:sz w:val="21"/>
                      <w:szCs w:val="21"/>
                      <w:lang w:val="en-US" w:eastAsia="zh-CN"/>
                    </w:rPr>
                    <w:t>75</w:t>
                  </w:r>
                </w:p>
              </w:tc>
              <w:tc>
                <w:tcPr>
                  <w:tcW w:w="84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w:t>
                  </w:r>
                  <w:r>
                    <w:rPr>
                      <w:rFonts w:hint="default" w:ascii="Times New Roman" w:hAnsi="Times New Roman" w:cs="Times New Roman"/>
                      <w:b w:val="0"/>
                      <w:bCs/>
                      <w:color w:val="auto"/>
                      <w:spacing w:val="-2"/>
                      <w:sz w:val="21"/>
                      <w:szCs w:val="21"/>
                      <w:lang w:val="en-US" w:eastAsia="zh-CN"/>
                    </w:rPr>
                    <w:t>（处理效率）</w:t>
                  </w:r>
                </w:p>
              </w:tc>
              <w:tc>
                <w:tcPr>
                  <w:tcW w:w="239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lang w:val="en-US" w:eastAsia="zh-CN"/>
                    </w:rPr>
                  </w:pPr>
                </w:p>
              </w:tc>
            </w:tr>
          </w:tbl>
          <w:p>
            <w:pPr>
              <w:numPr>
                <w:ilvl w:val="0"/>
                <w:numId w:val="0"/>
              </w:numPr>
              <w:snapToGrid w:val="0"/>
              <w:spacing w:before="156" w:beforeLines="50" w:line="240" w:lineRule="auto"/>
              <w:outlineLvl w:val="0"/>
              <w:rPr>
                <w:rFonts w:hint="eastAsia" w:ascii="Times New Roman" w:hAnsi="Times New Roman" w:cs="Times New Roman"/>
                <w:b/>
                <w:color w:val="auto"/>
                <w:sz w:val="24"/>
                <w:lang w:val="en-US" w:eastAsia="zh-CN"/>
              </w:rPr>
            </w:pPr>
            <w:r>
              <w:rPr>
                <w:rFonts w:ascii="Times New Roman" w:hAnsi="Times New Roman" w:cs="Times New Roman"/>
                <w:b/>
                <w:color w:val="auto"/>
                <w:kern w:val="44"/>
                <w:sz w:val="20"/>
                <w:szCs w:val="21"/>
              </w:rPr>
              <w:t>备注：PM</w:t>
            </w:r>
            <w:r>
              <w:rPr>
                <w:rFonts w:ascii="Times New Roman" w:hAnsi="Times New Roman" w:cs="Times New Roman"/>
                <w:b/>
                <w:color w:val="auto"/>
                <w:kern w:val="44"/>
                <w:sz w:val="20"/>
                <w:szCs w:val="21"/>
                <w:vertAlign w:val="subscript"/>
              </w:rPr>
              <w:t>10</w:t>
            </w:r>
            <w:r>
              <w:rPr>
                <w:rFonts w:ascii="Times New Roman" w:hAnsi="Times New Roman" w:cs="Times New Roman"/>
                <w:b/>
                <w:color w:val="auto"/>
                <w:kern w:val="44"/>
                <w:sz w:val="20"/>
                <w:szCs w:val="21"/>
              </w:rPr>
              <w:t>排放</w:t>
            </w:r>
            <w:r>
              <w:rPr>
                <w:rFonts w:ascii="Times New Roman" w:hAnsi="Times New Roman" w:cs="Times New Roman"/>
                <w:b/>
                <w:color w:val="auto"/>
                <w:szCs w:val="21"/>
              </w:rPr>
              <w:t>标准为</w:t>
            </w:r>
            <w:r>
              <w:rPr>
                <w:rFonts w:ascii="Times New Roman" w:hAnsi="Times New Roman" w:cs="Times New Roman"/>
                <w:b/>
                <w:color w:val="auto"/>
                <w:kern w:val="44"/>
                <w:sz w:val="20"/>
                <w:szCs w:val="21"/>
              </w:rPr>
              <w:t>监测点浓度限值，指监测点PM</w:t>
            </w:r>
            <w:r>
              <w:rPr>
                <w:rFonts w:ascii="Times New Roman" w:hAnsi="Times New Roman" w:cs="Times New Roman"/>
                <w:b/>
                <w:color w:val="auto"/>
                <w:kern w:val="44"/>
                <w:sz w:val="20"/>
                <w:szCs w:val="21"/>
                <w:vertAlign w:val="subscript"/>
              </w:rPr>
              <w:t>10</w:t>
            </w:r>
            <w:r>
              <w:rPr>
                <w:rFonts w:ascii="Times New Roman" w:hAnsi="Times New Roman" w:cs="Times New Roman"/>
                <w:b/>
                <w:color w:val="auto"/>
                <w:kern w:val="44"/>
                <w:sz w:val="20"/>
                <w:szCs w:val="21"/>
              </w:rPr>
              <w:t>小时平均浓度实测值与同时段所属县（市、区）PM</w:t>
            </w:r>
            <w:r>
              <w:rPr>
                <w:rFonts w:ascii="Times New Roman" w:hAnsi="Times New Roman" w:cs="Times New Roman"/>
                <w:b/>
                <w:color w:val="auto"/>
                <w:kern w:val="44"/>
                <w:sz w:val="20"/>
                <w:szCs w:val="21"/>
                <w:vertAlign w:val="subscript"/>
              </w:rPr>
              <w:t>10</w:t>
            </w:r>
            <w:r>
              <w:rPr>
                <w:rFonts w:ascii="Times New Roman" w:hAnsi="Times New Roman" w:cs="Times New Roman"/>
                <w:b/>
                <w:color w:val="auto"/>
                <w:kern w:val="44"/>
                <w:sz w:val="20"/>
                <w:szCs w:val="21"/>
              </w:rPr>
              <w:t>小时平均浓度的差值。当县（市、区）PM</w:t>
            </w:r>
            <w:r>
              <w:rPr>
                <w:rFonts w:ascii="Times New Roman" w:hAnsi="Times New Roman" w:cs="Times New Roman"/>
                <w:b/>
                <w:color w:val="auto"/>
                <w:kern w:val="44"/>
                <w:sz w:val="20"/>
                <w:szCs w:val="21"/>
                <w:vertAlign w:val="subscript"/>
              </w:rPr>
              <w:t>10</w:t>
            </w:r>
            <w:r>
              <w:rPr>
                <w:rFonts w:ascii="Times New Roman" w:hAnsi="Times New Roman" w:cs="Times New Roman"/>
                <w:b/>
                <w:color w:val="auto"/>
                <w:kern w:val="44"/>
                <w:sz w:val="20"/>
                <w:szCs w:val="21"/>
              </w:rPr>
              <w:t>小时平均浓度值大于150μg/m³时，以150μg/m³计</w:t>
            </w:r>
            <w:r>
              <w:rPr>
                <w:rFonts w:hint="eastAsia" w:ascii="Times New Roman" w:hAnsi="Times New Roman" w:cs="Times New Roman"/>
                <w:b/>
                <w:color w:val="auto"/>
                <w:kern w:val="44"/>
                <w:sz w:val="20"/>
                <w:szCs w:val="21"/>
              </w:rPr>
              <w:t>；实验室废气排气筒高度不能满足高出周围2</w:t>
            </w:r>
            <w:r>
              <w:rPr>
                <w:rFonts w:ascii="Times New Roman" w:hAnsi="Times New Roman" w:cs="Times New Roman"/>
                <w:b/>
                <w:color w:val="auto"/>
                <w:kern w:val="44"/>
                <w:sz w:val="20"/>
                <w:szCs w:val="21"/>
              </w:rPr>
              <w:t>00</w:t>
            </w:r>
            <w:r>
              <w:rPr>
                <w:rFonts w:hint="eastAsia" w:ascii="Times New Roman" w:hAnsi="Times New Roman" w:cs="Times New Roman"/>
                <w:b/>
                <w:color w:val="auto"/>
                <w:kern w:val="44"/>
                <w:sz w:val="20"/>
                <w:szCs w:val="21"/>
              </w:rPr>
              <w:t>m半径范围的建筑5</w:t>
            </w:r>
            <w:r>
              <w:rPr>
                <w:rFonts w:ascii="Times New Roman" w:hAnsi="Times New Roman" w:cs="Times New Roman"/>
                <w:b/>
                <w:color w:val="auto"/>
                <w:kern w:val="44"/>
                <w:sz w:val="20"/>
                <w:szCs w:val="21"/>
              </w:rPr>
              <w:t>m</w:t>
            </w:r>
            <w:r>
              <w:rPr>
                <w:rFonts w:hint="eastAsia" w:ascii="Times New Roman" w:hAnsi="Times New Roman" w:cs="Times New Roman"/>
                <w:b/>
                <w:color w:val="auto"/>
                <w:kern w:val="44"/>
                <w:sz w:val="20"/>
                <w:szCs w:val="21"/>
              </w:rPr>
              <w:t>以上，所以排放速率减半执行。</w:t>
            </w:r>
          </w:p>
          <w:p>
            <w:pPr>
              <w:numPr>
                <w:ilvl w:val="0"/>
                <w:numId w:val="9"/>
              </w:numPr>
              <w:snapToGrid w:val="0"/>
              <w:spacing w:before="156" w:beforeLines="50" w:line="360" w:lineRule="auto"/>
              <w:ind w:left="0" w:leftChars="0" w:firstLine="482" w:firstLineChars="200"/>
              <w:outlineLvl w:val="0"/>
              <w:rPr>
                <w:rFonts w:hint="eastAsia" w:ascii="Times New Roman" w:hAnsi="Times New Roman" w:cs="Times New Roman"/>
                <w:b/>
                <w:color w:val="auto"/>
                <w:sz w:val="24"/>
                <w:lang w:val="en-US" w:eastAsia="zh-CN"/>
              </w:rPr>
            </w:pPr>
            <w:r>
              <w:rPr>
                <w:rFonts w:hint="eastAsia" w:ascii="Times New Roman" w:hAnsi="Times New Roman" w:cs="Times New Roman"/>
                <w:b/>
                <w:color w:val="auto"/>
                <w:sz w:val="24"/>
                <w:lang w:val="en-US" w:eastAsia="zh-CN"/>
              </w:rPr>
              <w:t>废水排放标准</w:t>
            </w:r>
          </w:p>
          <w:p>
            <w:pPr>
              <w:spacing w:line="360" w:lineRule="auto"/>
              <w:ind w:firstLine="480" w:firstLineChars="200"/>
              <w:rPr>
                <w:rFonts w:hint="eastAsia"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废水执行</w:t>
            </w:r>
            <w:r>
              <w:rPr>
                <w:rFonts w:hint="default" w:ascii="Times New Roman" w:hAnsi="Times New Roman" w:cs="Times New Roman"/>
                <w:color w:val="auto"/>
                <w:kern w:val="0"/>
                <w:sz w:val="24"/>
              </w:rPr>
              <w:t>《污水综合排放标准》（GB2978-1996）表4中三级标准</w:t>
            </w:r>
            <w:r>
              <w:rPr>
                <w:rFonts w:hint="eastAsia" w:ascii="Times New Roman" w:hAnsi="Times New Roman" w:cs="Times New Roman"/>
                <w:color w:val="auto"/>
                <w:kern w:val="0"/>
                <w:sz w:val="24"/>
                <w:lang w:val="en-US" w:eastAsia="zh-CN"/>
              </w:rPr>
              <w:t>及</w:t>
            </w:r>
            <w:r>
              <w:rPr>
                <w:rFonts w:hint="default" w:ascii="Times New Roman" w:hAnsi="Times New Roman" w:cs="Times New Roman"/>
                <w:color w:val="auto"/>
                <w:kern w:val="0"/>
                <w:sz w:val="24"/>
                <w:lang w:val="en-US" w:eastAsia="zh-CN"/>
              </w:rPr>
              <w:t>围场县污水处理厂进水水质标准</w:t>
            </w:r>
            <w:r>
              <w:rPr>
                <w:rFonts w:hint="eastAsia" w:ascii="Times New Roman" w:hAnsi="Times New Roman" w:cs="Times New Roman"/>
                <w:color w:val="auto"/>
                <w:kern w:val="0"/>
                <w:sz w:val="24"/>
                <w:lang w:val="en-US" w:eastAsia="zh-CN"/>
              </w:rPr>
              <w:t>；</w:t>
            </w:r>
          </w:p>
          <w:p>
            <w:pPr>
              <w:pStyle w:val="2"/>
              <w:rPr>
                <w:rFonts w:hint="eastAsia" w:ascii="Times New Roman" w:hAnsi="Times New Roman" w:cs="Times New Roman"/>
                <w:color w:val="auto"/>
                <w:kern w:val="0"/>
                <w:sz w:val="24"/>
                <w:lang w:val="en-US" w:eastAsia="zh-CN"/>
              </w:rPr>
            </w:pPr>
          </w:p>
          <w:p>
            <w:pPr>
              <w:pStyle w:val="2"/>
              <w:rPr>
                <w:rFonts w:hint="eastAsia" w:ascii="Times New Roman" w:hAnsi="Times New Roman" w:cs="Times New Roman"/>
                <w:color w:val="auto"/>
                <w:kern w:val="0"/>
                <w:sz w:val="24"/>
                <w:lang w:val="en-US" w:eastAsia="zh-CN"/>
              </w:rPr>
            </w:pPr>
          </w:p>
          <w:p>
            <w:pPr>
              <w:pStyle w:val="2"/>
              <w:rPr>
                <w:rFonts w:hint="eastAsia" w:ascii="Times New Roman" w:hAnsi="Times New Roman" w:cs="Times New Roman"/>
                <w:color w:val="auto"/>
                <w:kern w:val="0"/>
                <w:sz w:val="24"/>
                <w:lang w:val="en-US" w:eastAsia="zh-CN"/>
              </w:rPr>
            </w:pPr>
          </w:p>
          <w:p>
            <w:pPr>
              <w:pStyle w:val="2"/>
              <w:rPr>
                <w:rFonts w:hint="eastAsia" w:ascii="Times New Roman" w:hAnsi="Times New Roman" w:cs="Times New Roman"/>
                <w:color w:val="auto"/>
                <w:kern w:val="0"/>
                <w:sz w:val="24"/>
                <w:lang w:val="en-US" w:eastAsia="zh-CN"/>
              </w:rPr>
            </w:pPr>
          </w:p>
          <w:p>
            <w:pPr>
              <w:pStyle w:val="2"/>
              <w:rPr>
                <w:rFonts w:hint="eastAsia" w:ascii="Times New Roman" w:hAnsi="Times New Roman" w:cs="Times New Roman"/>
                <w:color w:val="auto"/>
                <w:kern w:val="0"/>
                <w:sz w:val="24"/>
                <w:lang w:val="en-US" w:eastAsia="zh-CN"/>
              </w:rPr>
            </w:pPr>
          </w:p>
          <w:p>
            <w:pPr>
              <w:pStyle w:val="2"/>
              <w:rPr>
                <w:rFonts w:hint="eastAsia" w:ascii="Times New Roman" w:hAnsi="Times New Roman" w:cs="Times New Roman"/>
                <w:color w:val="auto"/>
                <w:kern w:val="0"/>
                <w:sz w:val="24"/>
                <w:lang w:val="en-US" w:eastAsia="zh-CN"/>
              </w:rPr>
            </w:pPr>
          </w:p>
          <w:p>
            <w:pPr>
              <w:pStyle w:val="2"/>
              <w:rPr>
                <w:rFonts w:hint="eastAsia" w:ascii="Times New Roman" w:hAnsi="Times New Roman" w:cs="Times New Roman"/>
                <w:color w:val="auto"/>
                <w:kern w:val="0"/>
                <w:sz w:val="24"/>
                <w:lang w:val="en-US" w:eastAsia="zh-CN"/>
              </w:rPr>
            </w:pPr>
          </w:p>
          <w:p>
            <w:pPr>
              <w:pStyle w:val="59"/>
              <w:keepNext w:val="0"/>
              <w:keepLines w:val="0"/>
              <w:pageBreakBefore w:val="0"/>
              <w:widowControl w:val="0"/>
              <w:numPr>
                <w:ilvl w:val="0"/>
                <w:numId w:val="8"/>
              </w:numPr>
              <w:kinsoku/>
              <w:wordWrap/>
              <w:overflowPunct/>
              <w:topLinePunct w:val="0"/>
              <w:autoSpaceDE w:val="0"/>
              <w:autoSpaceDN w:val="0"/>
              <w:bidi w:val="0"/>
              <w:adjustRightInd w:val="0"/>
              <w:snapToGrid w:val="0"/>
              <w:spacing w:line="240" w:lineRule="auto"/>
              <w:ind w:left="0" w:firstLine="0" w:firstLineChars="0"/>
              <w:jc w:val="center"/>
              <w:textAlignment w:val="auto"/>
              <w:rPr>
                <w:rStyle w:val="24"/>
                <w:rFonts w:hint="default" w:ascii="Times New Roman" w:hAnsi="Times New Roman" w:eastAsia="宋体" w:cs="Times New Roman"/>
                <w:color w:val="auto"/>
                <w:lang w:val="en-US" w:eastAsia="zh-CN"/>
              </w:rPr>
            </w:pPr>
            <w:r>
              <w:rPr>
                <w:rStyle w:val="24"/>
                <w:rFonts w:hint="default" w:ascii="Times New Roman" w:hAnsi="Times New Roman" w:eastAsia="宋体" w:cs="Times New Roman"/>
                <w:color w:val="auto"/>
                <w:lang w:val="en-US" w:eastAsia="zh-CN"/>
              </w:rPr>
              <w:t>废水污染物排放标准</w:t>
            </w:r>
          </w:p>
          <w:tbl>
            <w:tblPr>
              <w:tblStyle w:val="21"/>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236"/>
              <w:gridCol w:w="2930"/>
              <w:gridCol w:w="288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787" w:type="pct"/>
                  <w:noWrap w:val="0"/>
                  <w:vAlign w:val="center"/>
                </w:tcPr>
                <w:p>
                  <w:pPr>
                    <w:keepNext w:val="0"/>
                    <w:keepLines w:val="0"/>
                    <w:pageBreakBefore w:val="0"/>
                    <w:widowControl w:val="0"/>
                    <w:kinsoku/>
                    <w:wordWrap/>
                    <w:overflowPunct/>
                    <w:topLinePunct/>
                    <w:autoSpaceDE/>
                    <w:autoSpaceDN/>
                    <w:bidi w:val="0"/>
                    <w:adjustRightInd w:val="0"/>
                    <w:snapToGrid/>
                    <w:spacing w:line="300" w:lineRule="exact"/>
                    <w:ind w:firstLine="0" w:firstLineChars="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控制项目</w:t>
                  </w:r>
                </w:p>
              </w:tc>
              <w:tc>
                <w:tcPr>
                  <w:tcW w:w="1618" w:type="pct"/>
                  <w:noWrap w:val="0"/>
                  <w:vAlign w:val="center"/>
                </w:tcPr>
                <w:p>
                  <w:pPr>
                    <w:keepNext w:val="0"/>
                    <w:keepLines w:val="0"/>
                    <w:pageBreakBefore w:val="0"/>
                    <w:widowControl w:val="0"/>
                    <w:kinsoku/>
                    <w:wordWrap/>
                    <w:overflowPunct/>
                    <w:topLinePunct/>
                    <w:autoSpaceDE/>
                    <w:autoSpaceDN/>
                    <w:bidi w:val="0"/>
                    <w:adjustRightInd w:val="0"/>
                    <w:snapToGrid/>
                    <w:spacing w:line="300" w:lineRule="exact"/>
                    <w:ind w:firstLine="0" w:firstLineChars="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《污水综合排放标准》（GB8978-1996）中三级标准</w:t>
                  </w:r>
                </w:p>
              </w:tc>
              <w:tc>
                <w:tcPr>
                  <w:tcW w:w="1594" w:type="pct"/>
                  <w:noWrap w:val="0"/>
                  <w:vAlign w:val="center"/>
                </w:tcPr>
                <w:p>
                  <w:pPr>
                    <w:keepNext w:val="0"/>
                    <w:keepLines w:val="0"/>
                    <w:pageBreakBefore w:val="0"/>
                    <w:widowControl w:val="0"/>
                    <w:kinsoku/>
                    <w:wordWrap/>
                    <w:overflowPunct/>
                    <w:topLinePunct/>
                    <w:autoSpaceDE/>
                    <w:autoSpaceDN/>
                    <w:bidi w:val="0"/>
                    <w:adjustRightInd w:val="0"/>
                    <w:snapToGrid/>
                    <w:spacing w:line="300" w:lineRule="exact"/>
                    <w:ind w:firstLine="0" w:firstLineChars="0"/>
                    <w:jc w:val="center"/>
                    <w:textAlignment w:val="center"/>
                    <w:rPr>
                      <w:rFonts w:hint="default" w:ascii="Times New Roman" w:hAnsi="Times New Roman" w:eastAsia="宋体" w:cs="Times New Roman"/>
                      <w:b/>
                      <w:color w:val="auto"/>
                      <w:sz w:val="21"/>
                      <w:szCs w:val="21"/>
                      <w:lang w:val="en-US"/>
                    </w:rPr>
                  </w:pPr>
                  <w:r>
                    <w:rPr>
                      <w:rFonts w:hint="default" w:ascii="Times New Roman" w:hAnsi="Times New Roman" w:eastAsia="宋体" w:cs="Times New Roman"/>
                      <w:b/>
                      <w:color w:val="auto"/>
                      <w:sz w:val="21"/>
                      <w:szCs w:val="21"/>
                      <w:lang w:val="en-US" w:eastAsia="zh-CN"/>
                    </w:rPr>
                    <w:t>围场县污水处理厂进水水质标准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787"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pH</w:t>
                  </w:r>
                </w:p>
              </w:tc>
              <w:tc>
                <w:tcPr>
                  <w:tcW w:w="1618"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c>
                <w:tcPr>
                  <w:tcW w:w="1594" w:type="pct"/>
                  <w:noWrap w:val="0"/>
                  <w:vAlign w:val="center"/>
                </w:tcPr>
                <w:p>
                  <w:pPr>
                    <w:widowControl/>
                    <w:topLinePunct/>
                    <w:adjustRightIn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b w:val="0"/>
                      <w:bCs/>
                      <w:color w:val="auto"/>
                      <w:sz w:val="21"/>
                      <w:szCs w:val="21"/>
                      <w:lang w:val="en-US" w:eastAsia="zh-CN"/>
                    </w:rPr>
                    <w:t>6-7.5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787" w:type="pct"/>
                  <w:noWrap w:val="0"/>
                  <w:vAlign w:val="center"/>
                </w:tcPr>
                <w:p>
                  <w:pPr>
                    <w:pStyle w:val="11"/>
                    <w:spacing w:line="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1618" w:type="pct"/>
                  <w:noWrap w:val="0"/>
                  <w:vAlign w:val="center"/>
                </w:tcPr>
                <w:p>
                  <w:pPr>
                    <w:pStyle w:val="11"/>
                    <w:spacing w:line="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rPr>
                    <w:t>0mg/L</w:t>
                  </w:r>
                </w:p>
              </w:tc>
              <w:tc>
                <w:tcPr>
                  <w:tcW w:w="1594" w:type="pct"/>
                  <w:noWrap w:val="0"/>
                  <w:vAlign w:val="center"/>
                </w:tcPr>
                <w:p>
                  <w:pPr>
                    <w:pStyle w:val="11"/>
                    <w:spacing w:line="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787" w:type="pct"/>
                  <w:noWrap w:val="0"/>
                  <w:vAlign w:val="center"/>
                </w:tcPr>
                <w:p>
                  <w:pPr>
                    <w:pStyle w:val="11"/>
                    <w:spacing w:line="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1618" w:type="pct"/>
                  <w:noWrap w:val="0"/>
                  <w:vAlign w:val="center"/>
                </w:tcPr>
                <w:p>
                  <w:pPr>
                    <w:pStyle w:val="11"/>
                    <w:spacing w:line="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mg/L</w:t>
                  </w:r>
                </w:p>
              </w:tc>
              <w:tc>
                <w:tcPr>
                  <w:tcW w:w="1594" w:type="pct"/>
                  <w:noWrap w:val="0"/>
                  <w:vAlign w:val="center"/>
                </w:tcPr>
                <w:p>
                  <w:pPr>
                    <w:pStyle w:val="11"/>
                    <w:spacing w:line="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787" w:type="pct"/>
                  <w:noWrap w:val="0"/>
                  <w:vAlign w:val="center"/>
                </w:tcPr>
                <w:p>
                  <w:pPr>
                    <w:pStyle w:val="11"/>
                    <w:spacing w:line="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1618" w:type="pct"/>
                  <w:noWrap w:val="0"/>
                  <w:vAlign w:val="center"/>
                </w:tcPr>
                <w:p>
                  <w:pPr>
                    <w:pStyle w:val="11"/>
                    <w:spacing w:line="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40</w:t>
                  </w:r>
                  <w:r>
                    <w:rPr>
                      <w:rFonts w:hint="default" w:ascii="Times New Roman" w:hAnsi="Times New Roman" w:eastAsia="宋体" w:cs="Times New Roman"/>
                      <w:color w:val="auto"/>
                      <w:sz w:val="21"/>
                      <w:szCs w:val="21"/>
                    </w:rPr>
                    <w:t>0mg/L</w:t>
                  </w:r>
                </w:p>
              </w:tc>
              <w:tc>
                <w:tcPr>
                  <w:tcW w:w="1594" w:type="pct"/>
                  <w:noWrap w:val="0"/>
                  <w:vAlign w:val="center"/>
                </w:tcPr>
                <w:p>
                  <w:pPr>
                    <w:topLinePunct/>
                    <w:adjustRightIn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180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787" w:type="pct"/>
                  <w:noWrap w:val="0"/>
                  <w:vAlign w:val="center"/>
                </w:tcPr>
                <w:p>
                  <w:pPr>
                    <w:pStyle w:val="11"/>
                    <w:spacing w:line="0" w:lineRule="atLeas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动植物油</w:t>
                  </w:r>
                </w:p>
              </w:tc>
              <w:tc>
                <w:tcPr>
                  <w:tcW w:w="1618" w:type="pct"/>
                  <w:noWrap w:val="0"/>
                  <w:vAlign w:val="center"/>
                </w:tcPr>
                <w:p>
                  <w:pPr>
                    <w:topLinePunct/>
                    <w:adjustRightIn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100</w:t>
                  </w:r>
                </w:p>
              </w:tc>
              <w:tc>
                <w:tcPr>
                  <w:tcW w:w="1594" w:type="pct"/>
                  <w:noWrap w:val="0"/>
                  <w:vAlign w:val="center"/>
                </w:tcPr>
                <w:p>
                  <w:pPr>
                    <w:topLinePunct/>
                    <w:adjustRightIn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787" w:type="pct"/>
                  <w:noWrap w:val="0"/>
                  <w:vAlign w:val="center"/>
                </w:tcPr>
                <w:p>
                  <w:pPr>
                    <w:pStyle w:val="11"/>
                    <w:spacing w:line="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618" w:type="pct"/>
                  <w:noWrap w:val="0"/>
                  <w:vAlign w:val="center"/>
                </w:tcPr>
                <w:p>
                  <w:pPr>
                    <w:topLinePunct/>
                    <w:adjustRightIn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594" w:type="pct"/>
                  <w:noWrap w:val="0"/>
                  <w:vAlign w:val="center"/>
                </w:tcPr>
                <w:p>
                  <w:pPr>
                    <w:topLinePunct/>
                    <w:adjustRightIn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35</w:t>
                  </w:r>
                </w:p>
              </w:tc>
            </w:tr>
          </w:tbl>
          <w:p>
            <w:pPr>
              <w:snapToGrid w:val="0"/>
              <w:spacing w:before="156" w:beforeLines="50" w:line="360" w:lineRule="auto"/>
              <w:ind w:firstLine="482"/>
              <w:outlineLvl w:val="0"/>
              <w:rPr>
                <w:rFonts w:ascii="Times New Roman" w:hAnsi="Times New Roman" w:cs="Times New Roman"/>
                <w:b/>
                <w:color w:val="auto"/>
                <w:sz w:val="24"/>
              </w:rPr>
            </w:pPr>
            <w:r>
              <w:rPr>
                <w:rFonts w:hint="eastAsia" w:ascii="Times New Roman" w:hAnsi="Times New Roman" w:cs="Times New Roman"/>
                <w:b/>
                <w:color w:val="auto"/>
                <w:sz w:val="24"/>
                <w:lang w:val="en-US" w:eastAsia="zh-CN"/>
              </w:rPr>
              <w:t>3</w:t>
            </w:r>
            <w:r>
              <w:rPr>
                <w:rFonts w:ascii="Times New Roman" w:hAnsi="Times New Roman" w:cs="Times New Roman"/>
                <w:b/>
                <w:color w:val="auto"/>
                <w:sz w:val="24"/>
              </w:rPr>
              <w:t>、噪声排放标准</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施工噪声执行《建筑施工场界环境噪声排放标准》（GB12523-2011）标准；运营期噪声执行《工业企业厂界环境噪声排放标准》(GB12348-2008)中的2类标准。具体标准限值详见下表：</w:t>
            </w:r>
          </w:p>
          <w:p>
            <w:pPr>
              <w:pStyle w:val="59"/>
              <w:keepNext w:val="0"/>
              <w:keepLines w:val="0"/>
              <w:pageBreakBefore w:val="0"/>
              <w:widowControl w:val="0"/>
              <w:numPr>
                <w:ilvl w:val="0"/>
                <w:numId w:val="8"/>
              </w:numPr>
              <w:kinsoku/>
              <w:wordWrap/>
              <w:overflowPunct/>
              <w:topLinePunct w:val="0"/>
              <w:autoSpaceDE w:val="0"/>
              <w:autoSpaceDN w:val="0"/>
              <w:bidi w:val="0"/>
              <w:adjustRightInd w:val="0"/>
              <w:snapToGrid w:val="0"/>
              <w:spacing w:line="240" w:lineRule="auto"/>
              <w:ind w:left="0" w:firstLine="0" w:firstLineChars="0"/>
              <w:jc w:val="center"/>
              <w:textAlignment w:val="auto"/>
              <w:rPr>
                <w:rStyle w:val="24"/>
                <w:rFonts w:hint="default" w:ascii="Times New Roman" w:hAnsi="Times New Roman" w:eastAsia="宋体"/>
                <w:color w:val="auto"/>
                <w:lang w:val="en-US" w:eastAsia="zh-CN"/>
              </w:rPr>
            </w:pPr>
            <w:r>
              <w:rPr>
                <w:rStyle w:val="24"/>
                <w:rFonts w:hint="default" w:ascii="Times New Roman" w:hAnsi="Times New Roman" w:eastAsia="宋体"/>
                <w:color w:val="auto"/>
                <w:lang w:val="en-US" w:eastAsia="zh-CN"/>
              </w:rPr>
              <w:t>噪声排放标准</w:t>
            </w:r>
          </w:p>
          <w:tbl>
            <w:tblPr>
              <w:tblStyle w:val="21"/>
              <w:tblpPr w:leftFromText="180" w:rightFromText="180" w:vertAnchor="text" w:tblpX="1" w:tblpY="1"/>
              <w:tblOverlap w:val="never"/>
              <w:tblW w:w="4997" w:type="pct"/>
              <w:tblInd w:w="0" w:type="dxa"/>
              <w:tblBorders>
                <w:top w:val="single" w:color="auto" w:sz="6" w:space="0"/>
                <w:left w:val="single" w:color="auto" w:sz="4" w:space="0"/>
                <w:bottom w:val="single" w:color="auto" w:sz="6"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597"/>
              <w:gridCol w:w="3686"/>
              <w:gridCol w:w="1391"/>
              <w:gridCol w:w="2370"/>
            </w:tblGrid>
            <w:tr>
              <w:tblPrEx>
                <w:tblBorders>
                  <w:top w:val="single" w:color="auto" w:sz="6"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883" w:type="pct"/>
                  <w:tcBorders>
                    <w:right w:val="single" w:color="auto" w:sz="4" w:space="0"/>
                  </w:tcBorders>
                  <w:vAlign w:val="center"/>
                </w:tcPr>
                <w:p>
                  <w:pPr>
                    <w:topLinePunct/>
                    <w:adjustRightInd w:val="0"/>
                    <w:jc w:val="center"/>
                    <w:textAlignment w:val="center"/>
                    <w:rPr>
                      <w:rFonts w:ascii="Times New Roman" w:hAnsi="Times New Roman" w:cs="Times New Roman"/>
                      <w:b/>
                      <w:color w:val="auto"/>
                      <w:szCs w:val="21"/>
                    </w:rPr>
                  </w:pPr>
                  <w:r>
                    <w:rPr>
                      <w:rFonts w:ascii="Times New Roman" w:hAnsi="Times New Roman" w:cs="Times New Roman"/>
                      <w:b/>
                      <w:color w:val="auto"/>
                      <w:szCs w:val="21"/>
                    </w:rPr>
                    <w:t>污染源类别</w:t>
                  </w:r>
                </w:p>
              </w:tc>
              <w:tc>
                <w:tcPr>
                  <w:tcW w:w="2038" w:type="pct"/>
                  <w:vAlign w:val="center"/>
                </w:tcPr>
                <w:p>
                  <w:pPr>
                    <w:topLinePunct/>
                    <w:adjustRightInd w:val="0"/>
                    <w:jc w:val="center"/>
                    <w:textAlignment w:val="center"/>
                    <w:rPr>
                      <w:rFonts w:ascii="Times New Roman" w:hAnsi="Times New Roman" w:cs="Times New Roman"/>
                      <w:color w:val="auto"/>
                    </w:rPr>
                  </w:pPr>
                  <w:r>
                    <w:rPr>
                      <w:rFonts w:ascii="Times New Roman" w:hAnsi="Times New Roman" w:cs="Times New Roman"/>
                      <w:b/>
                      <w:bCs/>
                      <w:color w:val="auto"/>
                      <w:szCs w:val="21"/>
                    </w:rPr>
                    <w:t>标准名称</w:t>
                  </w:r>
                </w:p>
              </w:tc>
              <w:tc>
                <w:tcPr>
                  <w:tcW w:w="769" w:type="pct"/>
                  <w:vAlign w:val="center"/>
                </w:tcPr>
                <w:p>
                  <w:pPr>
                    <w:topLinePunct/>
                    <w:adjustRightInd w:val="0"/>
                    <w:jc w:val="center"/>
                    <w:textAlignment w:val="center"/>
                    <w:rPr>
                      <w:rFonts w:ascii="Times New Roman" w:hAnsi="Times New Roman" w:cs="Times New Roman"/>
                      <w:b/>
                      <w:color w:val="auto"/>
                      <w:szCs w:val="21"/>
                    </w:rPr>
                  </w:pPr>
                  <w:r>
                    <w:rPr>
                      <w:rFonts w:ascii="Times New Roman" w:hAnsi="Times New Roman" w:cs="Times New Roman"/>
                      <w:b/>
                      <w:color w:val="auto"/>
                      <w:szCs w:val="21"/>
                    </w:rPr>
                    <w:t>污染物</w:t>
                  </w:r>
                </w:p>
              </w:tc>
              <w:tc>
                <w:tcPr>
                  <w:tcW w:w="1310" w:type="pct"/>
                  <w:vAlign w:val="center"/>
                </w:tcPr>
                <w:p>
                  <w:pPr>
                    <w:topLinePunct/>
                    <w:adjustRightInd w:val="0"/>
                    <w:jc w:val="center"/>
                    <w:textAlignment w:val="center"/>
                    <w:rPr>
                      <w:rFonts w:ascii="Times New Roman" w:hAnsi="Times New Roman" w:cs="Times New Roman"/>
                      <w:b/>
                      <w:color w:val="auto"/>
                      <w:szCs w:val="21"/>
                    </w:rPr>
                  </w:pPr>
                  <w:r>
                    <w:rPr>
                      <w:rFonts w:ascii="Times New Roman" w:hAnsi="Times New Roman" w:cs="Times New Roman"/>
                      <w:b/>
                      <w:color w:val="auto"/>
                      <w:szCs w:val="21"/>
                    </w:rPr>
                    <w:t>标准值</w:t>
                  </w:r>
                </w:p>
              </w:tc>
            </w:tr>
            <w:tr>
              <w:tblPrEx>
                <w:tblBorders>
                  <w:top w:val="single" w:color="auto" w:sz="6"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4" w:hRule="exact"/>
              </w:trPr>
              <w:tc>
                <w:tcPr>
                  <w:tcW w:w="883" w:type="pct"/>
                  <w:vMerge w:val="restart"/>
                  <w:tcBorders>
                    <w:right w:val="single" w:color="auto" w:sz="4" w:space="0"/>
                  </w:tcBorders>
                  <w:vAlign w:val="center"/>
                </w:tcPr>
                <w:p>
                  <w:pPr>
                    <w:topLinePunct/>
                    <w:adjustRightInd w:val="0"/>
                    <w:spacing w:line="0" w:lineRule="atLeast"/>
                    <w:jc w:val="center"/>
                    <w:textAlignment w:val="center"/>
                    <w:rPr>
                      <w:rFonts w:ascii="Times New Roman" w:hAnsi="Times New Roman" w:cs="Times New Roman"/>
                      <w:b/>
                      <w:color w:val="auto"/>
                      <w:szCs w:val="21"/>
                    </w:rPr>
                  </w:pPr>
                  <w:r>
                    <w:rPr>
                      <w:rFonts w:ascii="Times New Roman" w:hAnsi="Times New Roman" w:cs="Times New Roman"/>
                      <w:color w:val="auto"/>
                      <w:kern w:val="24"/>
                      <w:szCs w:val="21"/>
                    </w:rPr>
                    <w:t>噪声</w:t>
                  </w:r>
                </w:p>
              </w:tc>
              <w:tc>
                <w:tcPr>
                  <w:tcW w:w="2038" w:type="pct"/>
                  <w:vAlign w:val="center"/>
                </w:tcPr>
                <w:p>
                  <w:pPr>
                    <w:topLinePunct/>
                    <w:adjustRightInd w:val="0"/>
                    <w:jc w:val="center"/>
                    <w:textAlignment w:val="center"/>
                    <w:rPr>
                      <w:rFonts w:ascii="Times New Roman" w:hAnsi="Times New Roman" w:cs="Times New Roman"/>
                      <w:b/>
                      <w:bCs/>
                      <w:color w:val="auto"/>
                      <w:szCs w:val="21"/>
                    </w:rPr>
                  </w:pPr>
                  <w:r>
                    <w:rPr>
                      <w:rFonts w:ascii="Times New Roman" w:hAnsi="Times New Roman" w:cs="Times New Roman"/>
                      <w:color w:val="auto"/>
                      <w:szCs w:val="21"/>
                    </w:rPr>
                    <w:t>《建筑施工场界环境噪声排放标准》（GB12523-2011）标准</w:t>
                  </w:r>
                </w:p>
              </w:tc>
              <w:tc>
                <w:tcPr>
                  <w:tcW w:w="769" w:type="pct"/>
                  <w:vAlign w:val="center"/>
                </w:tcPr>
                <w:p>
                  <w:pPr>
                    <w:topLinePunct/>
                    <w:adjustRightInd w:val="0"/>
                    <w:jc w:val="center"/>
                    <w:textAlignment w:val="center"/>
                    <w:rPr>
                      <w:rFonts w:ascii="Times New Roman" w:hAnsi="Times New Roman" w:cs="Times New Roman"/>
                      <w:b/>
                      <w:color w:val="auto"/>
                      <w:szCs w:val="21"/>
                    </w:rPr>
                  </w:pPr>
                  <w:r>
                    <w:rPr>
                      <w:rFonts w:ascii="Times New Roman" w:hAnsi="Times New Roman" w:cs="Times New Roman"/>
                      <w:color w:val="auto"/>
                      <w:szCs w:val="21"/>
                    </w:rPr>
                    <w:t>等效连续A声级</w:t>
                  </w:r>
                </w:p>
              </w:tc>
              <w:tc>
                <w:tcPr>
                  <w:tcW w:w="1310" w:type="pct"/>
                  <w:vAlign w:val="center"/>
                </w:tcPr>
                <w:p>
                  <w:pPr>
                    <w:topLinePunct/>
                    <w:adjustRightInd w:val="0"/>
                    <w:spacing w:line="240" w:lineRule="exact"/>
                    <w:jc w:val="center"/>
                    <w:textAlignment w:val="center"/>
                    <w:rPr>
                      <w:rFonts w:ascii="Times New Roman" w:hAnsi="Times New Roman" w:cs="Times New Roman"/>
                      <w:color w:val="auto"/>
                      <w:szCs w:val="21"/>
                    </w:rPr>
                  </w:pPr>
                  <w:r>
                    <w:rPr>
                      <w:rFonts w:ascii="Times New Roman" w:hAnsi="Times New Roman" w:cs="Times New Roman"/>
                      <w:color w:val="auto"/>
                      <w:szCs w:val="21"/>
                    </w:rPr>
                    <w:t>昼间≤70Db(A)</w:t>
                  </w:r>
                </w:p>
                <w:p>
                  <w:pPr>
                    <w:topLinePunct/>
                    <w:adjustRightInd w:val="0"/>
                    <w:jc w:val="center"/>
                    <w:textAlignment w:val="center"/>
                    <w:rPr>
                      <w:rFonts w:ascii="Times New Roman" w:hAnsi="Times New Roman" w:cs="Times New Roman"/>
                      <w:b/>
                      <w:color w:val="auto"/>
                      <w:szCs w:val="21"/>
                    </w:rPr>
                  </w:pPr>
                  <w:r>
                    <w:rPr>
                      <w:rFonts w:ascii="Times New Roman" w:hAnsi="Times New Roman" w:cs="Times New Roman"/>
                      <w:color w:val="auto"/>
                      <w:szCs w:val="21"/>
                    </w:rPr>
                    <w:t>夜间≤55Db(A)</w:t>
                  </w:r>
                </w:p>
              </w:tc>
            </w:tr>
            <w:tr>
              <w:tblPrEx>
                <w:tblBorders>
                  <w:top w:val="single" w:color="auto" w:sz="6"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19" w:hRule="exact"/>
              </w:trPr>
              <w:tc>
                <w:tcPr>
                  <w:tcW w:w="883" w:type="pct"/>
                  <w:vMerge w:val="continue"/>
                  <w:tcBorders>
                    <w:right w:val="single" w:color="auto" w:sz="4" w:space="0"/>
                  </w:tcBorders>
                  <w:vAlign w:val="center"/>
                </w:tcPr>
                <w:p>
                  <w:pPr>
                    <w:topLinePunct/>
                    <w:adjustRightInd w:val="0"/>
                    <w:spacing w:line="0" w:lineRule="atLeast"/>
                    <w:jc w:val="center"/>
                    <w:textAlignment w:val="center"/>
                    <w:rPr>
                      <w:rFonts w:ascii="Times New Roman" w:hAnsi="Times New Roman" w:cs="Times New Roman"/>
                      <w:color w:val="auto"/>
                      <w:szCs w:val="21"/>
                    </w:rPr>
                  </w:pPr>
                </w:p>
              </w:tc>
              <w:tc>
                <w:tcPr>
                  <w:tcW w:w="2038" w:type="pct"/>
                  <w:vAlign w:val="center"/>
                </w:tcPr>
                <w:p>
                  <w:pPr>
                    <w:topLinePunct/>
                    <w:adjustRightInd w:val="0"/>
                    <w:spacing w:line="240" w:lineRule="exact"/>
                    <w:jc w:val="center"/>
                    <w:textAlignment w:val="center"/>
                    <w:rPr>
                      <w:rFonts w:ascii="Times New Roman" w:hAnsi="Times New Roman" w:cs="Times New Roman"/>
                      <w:color w:val="auto"/>
                      <w:szCs w:val="21"/>
                    </w:rPr>
                  </w:pPr>
                  <w:r>
                    <w:rPr>
                      <w:rFonts w:ascii="Times New Roman" w:hAnsi="Times New Roman" w:cs="Times New Roman"/>
                      <w:color w:val="auto"/>
                      <w:szCs w:val="21"/>
                    </w:rPr>
                    <w:t>《工业企业厂界环境噪声排放标准》(GB12348-2008)2类标准</w:t>
                  </w:r>
                </w:p>
              </w:tc>
              <w:tc>
                <w:tcPr>
                  <w:tcW w:w="769" w:type="pct"/>
                  <w:vAlign w:val="center"/>
                </w:tcPr>
                <w:p>
                  <w:pPr>
                    <w:topLinePunct/>
                    <w:adjustRightInd w:val="0"/>
                    <w:spacing w:line="240" w:lineRule="exact"/>
                    <w:jc w:val="center"/>
                    <w:textAlignment w:val="center"/>
                    <w:rPr>
                      <w:rFonts w:ascii="Times New Roman" w:hAnsi="Times New Roman" w:cs="Times New Roman"/>
                      <w:color w:val="auto"/>
                      <w:szCs w:val="21"/>
                    </w:rPr>
                  </w:pPr>
                  <w:r>
                    <w:rPr>
                      <w:rFonts w:ascii="Times New Roman" w:hAnsi="Times New Roman" w:cs="Times New Roman"/>
                      <w:color w:val="auto"/>
                      <w:szCs w:val="21"/>
                    </w:rPr>
                    <w:t>等效连续A声级</w:t>
                  </w:r>
                </w:p>
              </w:tc>
              <w:tc>
                <w:tcPr>
                  <w:tcW w:w="1310" w:type="pct"/>
                  <w:vAlign w:val="center"/>
                </w:tcPr>
                <w:p>
                  <w:pPr>
                    <w:topLinePunct/>
                    <w:adjustRightInd w:val="0"/>
                    <w:spacing w:line="240" w:lineRule="exact"/>
                    <w:jc w:val="center"/>
                    <w:textAlignment w:val="center"/>
                    <w:rPr>
                      <w:rFonts w:ascii="Times New Roman" w:hAnsi="Times New Roman" w:cs="Times New Roman"/>
                      <w:color w:val="auto"/>
                      <w:szCs w:val="21"/>
                    </w:rPr>
                  </w:pPr>
                  <w:r>
                    <w:rPr>
                      <w:rFonts w:ascii="Times New Roman" w:hAnsi="Times New Roman" w:cs="Times New Roman"/>
                      <w:color w:val="auto"/>
                      <w:szCs w:val="21"/>
                    </w:rPr>
                    <w:t>昼间≤60dB(A)</w:t>
                  </w:r>
                </w:p>
                <w:p>
                  <w:pPr>
                    <w:topLinePunct/>
                    <w:adjustRightInd w:val="0"/>
                    <w:spacing w:line="240" w:lineRule="exact"/>
                    <w:jc w:val="center"/>
                    <w:textAlignment w:val="center"/>
                    <w:rPr>
                      <w:rFonts w:ascii="Times New Roman" w:hAnsi="Times New Roman" w:cs="Times New Roman"/>
                      <w:color w:val="auto"/>
                      <w:szCs w:val="21"/>
                    </w:rPr>
                  </w:pPr>
                  <w:r>
                    <w:rPr>
                      <w:rFonts w:ascii="Times New Roman" w:hAnsi="Times New Roman" w:cs="Times New Roman"/>
                      <w:color w:val="auto"/>
                      <w:szCs w:val="21"/>
                    </w:rPr>
                    <w:t>夜间≤50dB(A)</w:t>
                  </w:r>
                </w:p>
              </w:tc>
            </w:tr>
          </w:tbl>
          <w:p>
            <w:pPr>
              <w:snapToGrid w:val="0"/>
              <w:spacing w:before="156" w:beforeLines="50" w:line="360" w:lineRule="auto"/>
              <w:ind w:firstLine="482"/>
              <w:outlineLvl w:val="0"/>
              <w:rPr>
                <w:rFonts w:ascii="Times New Roman" w:hAnsi="Times New Roman" w:cs="Times New Roman"/>
                <w:b/>
                <w:color w:val="auto"/>
                <w:sz w:val="24"/>
              </w:rPr>
            </w:pPr>
            <w:r>
              <w:rPr>
                <w:rFonts w:hint="eastAsia" w:ascii="Times New Roman" w:hAnsi="Times New Roman" w:cs="Times New Roman"/>
                <w:b/>
                <w:color w:val="auto"/>
                <w:sz w:val="24"/>
                <w:lang w:val="en-US" w:eastAsia="zh-CN"/>
              </w:rPr>
              <w:t>4</w:t>
            </w:r>
            <w:r>
              <w:rPr>
                <w:rFonts w:ascii="Times New Roman" w:hAnsi="Times New Roman" w:cs="Times New Roman"/>
                <w:b/>
                <w:color w:val="auto"/>
                <w:sz w:val="24"/>
              </w:rPr>
              <w:t>、固体废物控制标准</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一般工业固体废物贮存和填埋污染控制标准（GB18599-2020）。</w:t>
            </w:r>
          </w:p>
          <w:p>
            <w:pPr>
              <w:spacing w:line="360" w:lineRule="auto"/>
              <w:ind w:firstLine="480" w:firstLineChars="200"/>
              <w:rPr>
                <w:rFonts w:hint="default" w:ascii="Times New Roman" w:hAnsi="Times New Roman" w:cs="Times New Roman" w:eastAsiaTheme="minorEastAsia"/>
                <w:color w:val="auto"/>
                <w:lang w:val="en-US" w:eastAsia="zh-CN"/>
              </w:rPr>
            </w:pPr>
            <w:r>
              <w:rPr>
                <w:rFonts w:ascii="Times New Roman" w:hAnsi="Times New Roman" w:cs="Times New Roman"/>
                <w:color w:val="auto"/>
                <w:sz w:val="24"/>
              </w:rPr>
              <w:t>危险废物执行《危险废物贮存污染控制标准》（GB18597-2001）及环境保护部2013年6月8日发布的第36号污染物控制标准修改单的相关规定</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2023年7月1日后执行《</w:t>
            </w:r>
            <w:r>
              <w:rPr>
                <w:rFonts w:ascii="Times New Roman" w:hAnsi="Times New Roman" w:cs="Times New Roman"/>
                <w:color w:val="auto"/>
                <w:sz w:val="24"/>
              </w:rPr>
              <w:t>危险废物贮存污染控制标准</w:t>
            </w:r>
            <w:r>
              <w:rPr>
                <w:rFonts w:hint="eastAsia" w:ascii="Times New Roman" w:hAnsi="Times New Roman" w:cs="Times New Roman"/>
                <w:color w:val="auto"/>
                <w:sz w:val="24"/>
                <w:lang w:val="en-US" w:eastAsia="zh-CN"/>
              </w:rPr>
              <w:t>》（</w:t>
            </w:r>
            <w:r>
              <w:rPr>
                <w:rFonts w:ascii="Times New Roman" w:hAnsi="Times New Roman" w:cs="Times New Roman"/>
                <w:color w:val="auto"/>
                <w:sz w:val="24"/>
              </w:rPr>
              <w:t>GB18597-</w:t>
            </w:r>
            <w:r>
              <w:rPr>
                <w:rFonts w:hint="eastAsia" w:ascii="Times New Roman" w:hAnsi="Times New Roman" w:cs="Times New Roman"/>
                <w:color w:val="auto"/>
                <w:sz w:val="24"/>
                <w:lang w:val="en-US" w:eastAsia="zh-CN"/>
              </w:rPr>
              <w:t>2023）。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05" w:hRule="atLeast"/>
          <w:jc w:val="center"/>
        </w:trPr>
        <w:tc>
          <w:tcPr>
            <w:tcW w:w="456" w:type="dxa"/>
            <w:tcBorders>
              <w:top w:val="single" w:color="auto" w:sz="4" w:space="0"/>
              <w:left w:val="single" w:color="auto" w:sz="8" w:space="0"/>
              <w:bottom w:val="single" w:color="auto" w:sz="8"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总量</w:t>
            </w:r>
          </w:p>
          <w:p>
            <w:pPr>
              <w:adjustRightInd w:val="0"/>
              <w:snapToGrid w:val="0"/>
              <w:jc w:val="center"/>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控制</w:t>
            </w:r>
          </w:p>
          <w:p>
            <w:pPr>
              <w:adjustRightInd w:val="0"/>
              <w:snapToGrid w:val="0"/>
              <w:jc w:val="center"/>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指标</w:t>
            </w:r>
          </w:p>
        </w:tc>
        <w:tc>
          <w:tcPr>
            <w:tcW w:w="8752" w:type="dxa"/>
            <w:tcBorders>
              <w:top w:val="single" w:color="auto" w:sz="4" w:space="0"/>
              <w:left w:val="single" w:color="auto" w:sz="4" w:space="0"/>
              <w:bottom w:val="single" w:color="auto" w:sz="8" w:space="0"/>
              <w:right w:val="single" w:color="auto" w:sz="8" w:space="0"/>
            </w:tcBorders>
            <w:shd w:val="clear" w:color="auto" w:fill="auto"/>
            <w:vAlign w:val="center"/>
          </w:tcPr>
          <w:p>
            <w:pPr>
              <w:adjustRightInd w:val="0"/>
              <w:snapToGrid w:val="0"/>
              <w:spacing w:line="360" w:lineRule="auto"/>
              <w:ind w:firstLine="480" w:firstLineChars="200"/>
              <w:jc w:val="left"/>
              <w:rPr>
                <w:rFonts w:hint="default" w:ascii="Times New Roman" w:hAnsi="Times New Roman" w:eastAsia="宋体" w:cs="Times New Roman"/>
                <w:color w:val="auto"/>
                <w:kern w:val="0"/>
                <w:sz w:val="24"/>
                <w:lang w:val="en-US"/>
              </w:rPr>
            </w:pPr>
            <w:r>
              <w:rPr>
                <w:rFonts w:hint="eastAsia" w:ascii="Times New Roman" w:hAnsi="Times New Roman" w:cs="Times New Roman"/>
                <w:color w:val="auto"/>
                <w:sz w:val="24"/>
                <w:lang w:val="en-US" w:eastAsia="zh-CN"/>
              </w:rPr>
              <w:t>根据国发[2021]33号国务院关于印发“十四五”节能减排综合工作方案的通知，项目建设完成后，</w:t>
            </w:r>
            <w:r>
              <w:rPr>
                <w:rFonts w:hint="eastAsia" w:ascii="Times New Roman" w:hAnsi="Times New Roman" w:cs="Times New Roman"/>
                <w:color w:val="auto"/>
                <w:sz w:val="24"/>
                <w:highlight w:val="none"/>
                <w:lang w:val="en-US" w:eastAsia="zh-CN"/>
              </w:rPr>
              <w:t>本项目总量控制指标为：SO</w:t>
            </w:r>
            <w:r>
              <w:rPr>
                <w:rFonts w:hint="eastAsia" w:ascii="Times New Roman" w:hAnsi="Times New Roman" w:cs="Times New Roman"/>
                <w:color w:val="auto"/>
                <w:sz w:val="24"/>
                <w:highlight w:val="none"/>
                <w:vertAlign w:val="subscript"/>
                <w:lang w:val="en-US" w:eastAsia="zh-CN"/>
              </w:rPr>
              <w:t>2</w:t>
            </w:r>
            <w:r>
              <w:rPr>
                <w:rFonts w:hint="eastAsia" w:ascii="Times New Roman" w:hAnsi="Times New Roman" w:cs="Times New Roman"/>
                <w:color w:val="auto"/>
                <w:sz w:val="24"/>
                <w:highlight w:val="none"/>
                <w:lang w:val="en-US" w:eastAsia="zh-CN"/>
              </w:rPr>
              <w:t>：2.81t/a、NOx：3.88t/a；总量管理指标为：颗粒物：1.06t/a、汞：0.00021t/a；COD：0.14t/a；氨氮：0.014t/a。</w:t>
            </w:r>
          </w:p>
        </w:tc>
      </w:tr>
    </w:tbl>
    <w:p>
      <w:pPr>
        <w:pStyle w:val="17"/>
        <w:spacing w:beforeAutospacing="0" w:afterAutospacing="0" w:line="360" w:lineRule="auto"/>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snapToGrid w:val="0"/>
          <w:color w:val="auto"/>
          <w:sz w:val="36"/>
          <w:szCs w:val="36"/>
        </w:rPr>
        <w:br w:type="page"/>
      </w:r>
      <w:r>
        <w:rPr>
          <w:rFonts w:hint="default" w:ascii="Times New Roman" w:hAnsi="Times New Roman" w:eastAsia="黑体" w:cs="Times New Roman"/>
          <w:snapToGrid w:val="0"/>
          <w:color w:val="auto"/>
          <w:sz w:val="30"/>
          <w:szCs w:val="30"/>
        </w:rPr>
        <w:t>四、主要环境影响和保护措施</w:t>
      </w:r>
    </w:p>
    <w:tbl>
      <w:tblPr>
        <w:tblStyle w:val="21"/>
        <w:tblW w:w="90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1"/>
        <w:gridCol w:w="868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9" w:hRule="atLeast"/>
          <w:jc w:val="center"/>
        </w:trPr>
        <w:tc>
          <w:tcPr>
            <w:tcW w:w="411" w:type="dxa"/>
            <w:tcBorders>
              <w:top w:val="single" w:color="auto" w:sz="8" w:space="0"/>
              <w:left w:val="single" w:color="auto" w:sz="8" w:space="0"/>
              <w:bottom w:val="single" w:color="auto" w:sz="4" w:space="0"/>
              <w:right w:val="single" w:color="auto" w:sz="4" w:space="0"/>
            </w:tcBorders>
            <w:shd w:val="clear" w:color="auto" w:fill="auto"/>
            <w:tcMar>
              <w:left w:w="28" w:type="dxa"/>
              <w:right w:w="28" w:type="dxa"/>
            </w:tcMar>
            <w:vAlign w:val="center"/>
          </w:tcPr>
          <w:p>
            <w:pPr>
              <w:pStyle w:val="17"/>
              <w:adjustRightInd w:val="0"/>
              <w:snapToGrid w:val="0"/>
              <w:spacing w:beforeAutospacing="0" w:afterAutospacing="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施工</w:t>
            </w:r>
          </w:p>
          <w:p>
            <w:pPr>
              <w:pStyle w:val="17"/>
              <w:adjustRightInd w:val="0"/>
              <w:snapToGrid w:val="0"/>
              <w:spacing w:beforeAutospacing="0" w:afterAutospacing="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期环</w:t>
            </w:r>
          </w:p>
          <w:p>
            <w:pPr>
              <w:pStyle w:val="17"/>
              <w:adjustRightInd w:val="0"/>
              <w:snapToGrid w:val="0"/>
              <w:spacing w:beforeAutospacing="0" w:afterAutospacing="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境保</w:t>
            </w:r>
          </w:p>
          <w:p>
            <w:pPr>
              <w:pStyle w:val="17"/>
              <w:adjustRightInd w:val="0"/>
              <w:snapToGrid w:val="0"/>
              <w:spacing w:beforeAutospacing="0" w:afterAutospacing="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护措</w:t>
            </w:r>
          </w:p>
          <w:p>
            <w:pPr>
              <w:pStyle w:val="17"/>
              <w:adjustRightInd w:val="0"/>
              <w:snapToGrid w:val="0"/>
              <w:spacing w:beforeAutospacing="0" w:afterAutospacing="0"/>
              <w:jc w:val="center"/>
              <w:rPr>
                <w:rFonts w:hint="default" w:ascii="Times New Roman" w:hAnsi="Times New Roman"/>
                <w:bCs/>
                <w:color w:val="auto"/>
                <w:kern w:val="2"/>
                <w:sz w:val="21"/>
                <w:szCs w:val="21"/>
              </w:rPr>
            </w:pPr>
            <w:r>
              <w:rPr>
                <w:rFonts w:hint="default" w:ascii="Times New Roman" w:hAnsi="Times New Roman"/>
                <w:color w:val="auto"/>
                <w:kern w:val="2"/>
                <w:sz w:val="21"/>
                <w:szCs w:val="21"/>
              </w:rPr>
              <w:t>施</w:t>
            </w:r>
          </w:p>
        </w:tc>
        <w:tc>
          <w:tcPr>
            <w:tcW w:w="8683" w:type="dxa"/>
            <w:tcBorders>
              <w:top w:val="single" w:color="auto" w:sz="8" w:space="0"/>
              <w:left w:val="single" w:color="auto" w:sz="4" w:space="0"/>
              <w:bottom w:val="single" w:color="auto" w:sz="4" w:space="0"/>
              <w:right w:val="single" w:color="auto" w:sz="8" w:space="0"/>
            </w:tcBorders>
            <w:shd w:val="clear" w:color="auto" w:fill="auto"/>
            <w:vAlign w:val="center"/>
          </w:tcPr>
          <w:p>
            <w:pPr>
              <w:spacing w:line="360" w:lineRule="auto"/>
              <w:rPr>
                <w:rFonts w:ascii="Times New Roman" w:hAnsi="Times New Roman" w:eastAsia="宋体" w:cs="Times New Roman"/>
                <w:b/>
                <w:bCs/>
                <w:color w:val="auto"/>
                <w:sz w:val="24"/>
              </w:rPr>
            </w:pPr>
            <w:r>
              <w:rPr>
                <w:rFonts w:ascii="Times New Roman" w:hAnsi="Times New Roman" w:eastAsia="宋体" w:cs="Times New Roman"/>
                <w:b/>
                <w:bCs/>
                <w:color w:val="auto"/>
                <w:sz w:val="24"/>
              </w:rPr>
              <w:t>施工期环境保护措施：</w:t>
            </w:r>
          </w:p>
          <w:p>
            <w:pPr>
              <w:spacing w:line="360" w:lineRule="auto"/>
              <w:ind w:firstLine="480" w:firstLineChars="200"/>
              <w:rPr>
                <w:rFonts w:ascii="Times New Roman" w:hAnsi="Times New Roman" w:cs="Times New Roman"/>
                <w:bCs/>
                <w:color w:val="auto"/>
                <w:sz w:val="24"/>
              </w:rPr>
            </w:pPr>
            <w:r>
              <w:rPr>
                <w:rFonts w:ascii="Times New Roman" w:hAnsi="Times New Roman" w:cs="Times New Roman"/>
                <w:bCs/>
                <w:color w:val="auto"/>
                <w:sz w:val="24"/>
              </w:rPr>
              <w:t>本项目虽已</w:t>
            </w:r>
            <w:r>
              <w:rPr>
                <w:rFonts w:hint="eastAsia" w:ascii="Times New Roman" w:hAnsi="Times New Roman" w:cs="Times New Roman"/>
                <w:bCs/>
                <w:color w:val="auto"/>
                <w:sz w:val="24"/>
                <w:lang w:val="en-US" w:eastAsia="zh-CN"/>
              </w:rPr>
              <w:t>基本</w:t>
            </w:r>
            <w:r>
              <w:rPr>
                <w:rFonts w:ascii="Times New Roman" w:hAnsi="Times New Roman" w:cs="Times New Roman"/>
                <w:bCs/>
                <w:color w:val="auto"/>
                <w:sz w:val="24"/>
              </w:rPr>
              <w:t>建成，但企业还需建设</w:t>
            </w:r>
            <w:r>
              <w:rPr>
                <w:rFonts w:hint="eastAsia" w:ascii="Times New Roman" w:hAnsi="Times New Roman" w:cs="Times New Roman"/>
                <w:bCs/>
                <w:color w:val="auto"/>
                <w:sz w:val="24"/>
                <w:lang w:val="en-US" w:eastAsia="zh-CN"/>
              </w:rPr>
              <w:t>煤库、灰库等</w:t>
            </w:r>
            <w:r>
              <w:rPr>
                <w:rFonts w:ascii="Times New Roman" w:hAnsi="Times New Roman" w:cs="Times New Roman"/>
                <w:bCs/>
                <w:color w:val="auto"/>
                <w:sz w:val="24"/>
              </w:rPr>
              <w:t>建构筑物，因此施工期环境保护措施分析如下：</w:t>
            </w:r>
          </w:p>
          <w:p>
            <w:pPr>
              <w:spacing w:line="360" w:lineRule="auto"/>
              <w:ind w:firstLine="482" w:firstLineChars="200"/>
              <w:rPr>
                <w:rFonts w:ascii="Times New Roman" w:hAnsi="Times New Roman" w:cs="Times New Roman"/>
                <w:b/>
                <w:color w:val="auto"/>
                <w:sz w:val="24"/>
              </w:rPr>
            </w:pPr>
            <w:r>
              <w:rPr>
                <w:rFonts w:ascii="Times New Roman" w:hAnsi="Times New Roman" w:cs="Times New Roman"/>
                <w:b/>
                <w:color w:val="auto"/>
                <w:sz w:val="24"/>
              </w:rPr>
              <w:t>1、施工扬尘</w:t>
            </w:r>
          </w:p>
          <w:p>
            <w:pPr>
              <w:pStyle w:val="16"/>
              <w:widowControl w:val="0"/>
              <w:spacing w:line="360" w:lineRule="auto"/>
              <w:ind w:left="0" w:leftChars="0" w:firstLine="480" w:firstLineChars="200"/>
              <w:rPr>
                <w:rFonts w:hint="default" w:ascii="Times New Roman" w:hAnsi="Times New Roman"/>
                <w:color w:val="auto"/>
              </w:rPr>
            </w:pPr>
            <w:r>
              <w:rPr>
                <w:rFonts w:hint="default" w:ascii="Times New Roman" w:hAnsi="Times New Roman"/>
                <w:color w:val="auto"/>
              </w:rPr>
              <w:t>项目施工期大气污染物主要为工程建设产生的扬尘，包括场地土地平整、主体工程砌筑等施工过程产生的扬尘，建筑物料堆场及建筑垃圾堆存处产生的扬尘，建筑材料、设备的运输及建筑垃圾清运引起的道路扬尘。建设过程中严格落实《河北省扬尘污染防治办法》（河北省人民政府令〔2020〕第1号）、《河北省建筑施工扬尘防治强化措施18条》相关要求，主要通过采取以下措施降低扬尘产生量：</w:t>
            </w:r>
          </w:p>
          <w:p>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在施工现场周边设置硬质封闭围挡或者围墙，位于主要路段的，高度不低于2.5米，位于一般路段的，高度不低于1.8米，并在围挡底端设置不低于0.2米的防溢座；</w:t>
            </w:r>
          </w:p>
          <w:p>
            <w:pPr>
              <w:spacing w:line="360" w:lineRule="auto"/>
              <w:ind w:firstLine="480" w:firstLineChars="200"/>
              <w:rPr>
                <w:rFonts w:ascii="Times New Roman" w:hAnsi="Times New Roman" w:cs="Times New Roman"/>
                <w:color w:val="auto"/>
                <w:sz w:val="24"/>
              </w:rPr>
            </w:pPr>
            <w:r>
              <w:rPr>
                <w:rFonts w:hint="eastAsia" w:ascii="宋体" w:hAnsi="宋体" w:eastAsia="宋体" w:cs="宋体"/>
                <w:color w:val="auto"/>
                <w:sz w:val="24"/>
              </w:rPr>
              <w:t>②</w:t>
            </w:r>
            <w:r>
              <w:rPr>
                <w:rFonts w:ascii="Times New Roman" w:hAnsi="Times New Roman" w:cs="Times New Roman"/>
                <w:color w:val="auto"/>
                <w:sz w:val="24"/>
              </w:rPr>
              <w:t>建筑材料、设备的运输及建筑垃圾清运过程中，运输车辆减速慢行，运输建筑垃圾采用蓬布遮盖，以避免沿途洒落，对运输道路及时进行清扫，减少运输扬尘；</w:t>
            </w:r>
          </w:p>
          <w:p>
            <w:pPr>
              <w:spacing w:line="360" w:lineRule="auto"/>
              <w:ind w:firstLine="480" w:firstLineChars="200"/>
              <w:rPr>
                <w:rFonts w:ascii="Times New Roman" w:hAnsi="Times New Roman" w:cs="Times New Roman"/>
                <w:color w:val="auto"/>
                <w:sz w:val="24"/>
              </w:rPr>
            </w:pPr>
            <w:r>
              <w:rPr>
                <w:rFonts w:hint="eastAsia" w:ascii="宋体" w:hAnsi="宋体" w:eastAsia="宋体" w:cs="宋体"/>
                <w:color w:val="auto"/>
                <w:sz w:val="24"/>
              </w:rPr>
              <w:t>③</w:t>
            </w:r>
            <w:r>
              <w:rPr>
                <w:rFonts w:ascii="Times New Roman" w:hAnsi="Times New Roman" w:cs="Times New Roman"/>
                <w:color w:val="auto"/>
                <w:sz w:val="24"/>
              </w:rPr>
              <w:t>施工时减少土地开挖面积，降低开挖土量，施工后及时回填，可有效地减少施工扬尘量；</w:t>
            </w:r>
          </w:p>
          <w:p>
            <w:pPr>
              <w:spacing w:line="360" w:lineRule="auto"/>
              <w:ind w:firstLine="480" w:firstLineChars="200"/>
              <w:rPr>
                <w:rFonts w:ascii="Times New Roman" w:hAnsi="Times New Roman" w:cs="Times New Roman"/>
                <w:color w:val="auto"/>
                <w:sz w:val="24"/>
              </w:rPr>
            </w:pPr>
            <w:r>
              <w:rPr>
                <w:rFonts w:hint="eastAsia" w:ascii="宋体" w:hAnsi="宋体" w:eastAsia="宋体" w:cs="宋体"/>
                <w:color w:val="auto"/>
                <w:sz w:val="24"/>
              </w:rPr>
              <w:t>④</w:t>
            </w:r>
            <w:r>
              <w:rPr>
                <w:rFonts w:ascii="Times New Roman" w:hAnsi="Times New Roman" w:cs="Times New Roman"/>
                <w:color w:val="auto"/>
                <w:sz w:val="24"/>
              </w:rPr>
              <w:t>建筑垃圾应当及时清运，在场地内堆存的，应当集中堆放并采取密闭或者遮盖等防尘措施；合理布设料场位置，建筑材料专用堆放地用篷布遮挡，定期洒水抑尘，及时清运建筑垃圾、余料及时回收避免长时间堆存，减少建筑材料在堆放的风力扬尘；</w:t>
            </w:r>
          </w:p>
          <w:p>
            <w:pPr>
              <w:spacing w:line="360" w:lineRule="auto"/>
              <w:ind w:firstLine="480" w:firstLineChars="200"/>
              <w:rPr>
                <w:rFonts w:ascii="Times New Roman" w:hAnsi="Times New Roman" w:cs="Times New Roman"/>
                <w:color w:val="auto"/>
                <w:sz w:val="24"/>
              </w:rPr>
            </w:pPr>
            <w:r>
              <w:rPr>
                <w:rFonts w:hint="eastAsia" w:ascii="宋体" w:hAnsi="宋体" w:eastAsia="宋体" w:cs="宋体"/>
                <w:color w:val="auto"/>
                <w:sz w:val="24"/>
              </w:rPr>
              <w:t>⑤</w:t>
            </w:r>
            <w:r>
              <w:rPr>
                <w:rFonts w:ascii="Times New Roman" w:hAnsi="Times New Roman" w:cs="Times New Roman"/>
                <w:color w:val="auto"/>
                <w:sz w:val="24"/>
              </w:rPr>
              <w:t>在施工现场出口处设置车辆清洗设施并配套设置排水、泥浆沉淀设施，车辆冲洗干净后方可驶出；</w:t>
            </w:r>
          </w:p>
          <w:p>
            <w:pPr>
              <w:spacing w:line="360" w:lineRule="auto"/>
              <w:ind w:firstLine="480" w:firstLineChars="200"/>
              <w:rPr>
                <w:rFonts w:ascii="Times New Roman" w:hAnsi="Times New Roman" w:cs="Times New Roman"/>
                <w:color w:val="auto"/>
                <w:sz w:val="24"/>
              </w:rPr>
            </w:pPr>
            <w:r>
              <w:rPr>
                <w:rFonts w:hint="eastAsia" w:ascii="宋体" w:hAnsi="宋体" w:eastAsia="宋体" w:cs="宋体"/>
                <w:color w:val="auto"/>
                <w:sz w:val="24"/>
              </w:rPr>
              <w:t>⑥</w:t>
            </w:r>
            <w:r>
              <w:rPr>
                <w:rFonts w:ascii="Times New Roman" w:hAnsi="Times New Roman" w:cs="Times New Roman"/>
                <w:color w:val="auto"/>
                <w:sz w:val="24"/>
              </w:rPr>
              <w:t>土地挖掘、平整及施工建设过程中采用洒水措施，及时向易产生扬尘的施工场地、路面洒水，每天洒水次数不低于2次，大风天增加洒水量及洒水次数，减少扬尘产生。</w:t>
            </w:r>
          </w:p>
          <w:p>
            <w:pPr>
              <w:spacing w:line="360" w:lineRule="auto"/>
              <w:ind w:firstLine="480" w:firstLineChars="200"/>
              <w:rPr>
                <w:rFonts w:ascii="Times New Roman" w:hAnsi="Times New Roman" w:cs="Times New Roman"/>
                <w:color w:val="auto"/>
                <w:sz w:val="24"/>
              </w:rPr>
            </w:pPr>
            <w:r>
              <w:rPr>
                <w:rFonts w:hint="eastAsia" w:ascii="宋体" w:hAnsi="宋体" w:eastAsia="宋体" w:cs="宋体"/>
                <w:color w:val="auto"/>
                <w:sz w:val="24"/>
              </w:rPr>
              <w:t>⑦</w:t>
            </w:r>
            <w:r>
              <w:rPr>
                <w:rFonts w:ascii="Times New Roman" w:hAnsi="Times New Roman" w:cs="Times New Roman"/>
                <w:color w:val="auto"/>
                <w:sz w:val="24"/>
              </w:rPr>
              <w:t>在施工现场出入口明显位置设置公示牌，公示施工现场负责人、环保监督员、防尘措施、扬尘监督管理部门、举报投诉电话等信息；</w:t>
            </w:r>
          </w:p>
          <w:p>
            <w:pPr>
              <w:spacing w:line="360" w:lineRule="auto"/>
              <w:ind w:firstLine="480" w:firstLineChars="200"/>
              <w:rPr>
                <w:rFonts w:ascii="Times New Roman" w:hAnsi="Times New Roman" w:cs="Times New Roman"/>
                <w:color w:val="auto"/>
                <w:sz w:val="24"/>
              </w:rPr>
            </w:pPr>
            <w:r>
              <w:rPr>
                <w:rFonts w:hint="eastAsia" w:ascii="宋体" w:hAnsi="宋体" w:eastAsia="宋体" w:cs="宋体"/>
                <w:color w:val="auto"/>
                <w:sz w:val="24"/>
              </w:rPr>
              <w:t>⑧</w:t>
            </w:r>
            <w:r>
              <w:rPr>
                <w:rFonts w:ascii="Times New Roman" w:hAnsi="Times New Roman" w:cs="Times New Roman"/>
                <w:color w:val="auto"/>
                <w:sz w:val="24"/>
              </w:rPr>
              <w:t>对施工现场出入口、场内施工道路、材料加工堆放区进行硬化处理，并保持地面整洁；</w:t>
            </w:r>
          </w:p>
          <w:p>
            <w:pPr>
              <w:spacing w:line="360" w:lineRule="auto"/>
              <w:ind w:firstLine="480" w:firstLineChars="200"/>
              <w:rPr>
                <w:rFonts w:ascii="Times New Roman" w:hAnsi="Times New Roman" w:cs="Times New Roman"/>
                <w:color w:val="auto"/>
                <w:sz w:val="24"/>
              </w:rPr>
            </w:pPr>
            <w:r>
              <w:rPr>
                <w:rFonts w:hint="eastAsia" w:ascii="宋体" w:hAnsi="宋体" w:eastAsia="宋体" w:cs="宋体"/>
                <w:color w:val="auto"/>
                <w:sz w:val="24"/>
              </w:rPr>
              <w:t>⑨</w:t>
            </w:r>
            <w:r>
              <w:rPr>
                <w:rFonts w:ascii="Times New Roman" w:hAnsi="Times New Roman" w:cs="Times New Roman"/>
                <w:color w:val="auto"/>
                <w:sz w:val="24"/>
              </w:rPr>
              <w:t>使用预拌混凝土、预拌砂浆等建筑材料，不进行现场拌和；</w:t>
            </w:r>
          </w:p>
          <w:p>
            <w:pPr>
              <w:spacing w:line="360" w:lineRule="auto"/>
              <w:ind w:firstLine="480" w:firstLineChars="200"/>
              <w:rPr>
                <w:rFonts w:ascii="Times New Roman" w:hAnsi="Times New Roman" w:cs="Times New Roman"/>
                <w:color w:val="auto"/>
                <w:sz w:val="24"/>
              </w:rPr>
            </w:pPr>
            <w:r>
              <w:rPr>
                <w:rFonts w:hint="eastAsia" w:ascii="宋体" w:hAnsi="宋体" w:eastAsia="宋体" w:cs="宋体"/>
                <w:color w:val="auto"/>
                <w:sz w:val="24"/>
              </w:rPr>
              <w:t>⑩</w:t>
            </w:r>
            <w:r>
              <w:rPr>
                <w:rFonts w:ascii="Times New Roman" w:hAnsi="Times New Roman" w:cs="Times New Roman"/>
                <w:color w:val="auto"/>
                <w:sz w:val="24"/>
              </w:rPr>
              <w:t>在施工工地同步安装视频监控设备和扬尘污染物在线监测设备，分别与建设主管部门、生态环境主管部门的监控设备联网，并保证系统正常运行，发生故障应当在二十四小时内修复。</w:t>
            </w:r>
          </w:p>
          <w:p>
            <w:pPr>
              <w:pStyle w:val="16"/>
              <w:widowControl w:val="0"/>
              <w:spacing w:line="360" w:lineRule="auto"/>
              <w:ind w:left="0" w:leftChars="0" w:firstLine="480" w:firstLineChars="200"/>
              <w:rPr>
                <w:rFonts w:hint="default" w:ascii="Times New Roman" w:hAnsi="Times New Roman"/>
                <w:color w:val="auto"/>
              </w:rPr>
            </w:pPr>
            <w:r>
              <w:rPr>
                <w:rFonts w:hint="default" w:ascii="Times New Roman" w:hAnsi="Times New Roman"/>
                <w:color w:val="auto"/>
              </w:rPr>
              <w:t>通过采取上述措施，工程施工场地下风向PM</w:t>
            </w:r>
            <w:r>
              <w:rPr>
                <w:rFonts w:hint="default" w:ascii="Times New Roman" w:hAnsi="Times New Roman"/>
                <w:color w:val="auto"/>
                <w:vertAlign w:val="subscript"/>
              </w:rPr>
              <w:t>10</w:t>
            </w:r>
            <w:r>
              <w:rPr>
                <w:rFonts w:hint="default" w:ascii="Times New Roman" w:hAnsi="Times New Roman"/>
                <w:color w:val="auto"/>
              </w:rPr>
              <w:t>贡献浓度可控制在80ug/m</w:t>
            </w:r>
            <w:r>
              <w:rPr>
                <w:rFonts w:hint="default" w:ascii="Times New Roman" w:hAnsi="Times New Roman"/>
                <w:color w:val="auto"/>
                <w:vertAlign w:val="superscript"/>
              </w:rPr>
              <w:t>3</w:t>
            </w:r>
            <w:r>
              <w:rPr>
                <w:rFonts w:hint="default" w:ascii="Times New Roman" w:hAnsi="Times New Roman"/>
                <w:color w:val="auto"/>
              </w:rPr>
              <w:t>以下，符合《施工场地扬尘排放标准》(DB13/2934-2019)表1扬尘排放浓度限值要求，施工</w:t>
            </w:r>
            <w:r>
              <w:rPr>
                <w:rFonts w:hint="default" w:ascii="Times New Roman" w:hAnsi="Times New Roman"/>
                <w:bCs/>
                <w:color w:val="auto"/>
              </w:rPr>
              <w:t>期</w:t>
            </w:r>
            <w:r>
              <w:rPr>
                <w:rFonts w:hint="default" w:ascii="Times New Roman" w:hAnsi="Times New Roman"/>
                <w:color w:val="auto"/>
              </w:rPr>
              <w:t>大气环境影响可以接受。</w:t>
            </w:r>
          </w:p>
          <w:p>
            <w:pPr>
              <w:spacing w:line="360" w:lineRule="auto"/>
              <w:ind w:firstLine="482" w:firstLineChars="200"/>
              <w:rPr>
                <w:rFonts w:ascii="Times New Roman" w:hAnsi="Times New Roman" w:cs="Times New Roman"/>
                <w:b/>
                <w:color w:val="auto"/>
                <w:sz w:val="24"/>
              </w:rPr>
            </w:pPr>
            <w:r>
              <w:rPr>
                <w:rFonts w:ascii="Times New Roman" w:hAnsi="Times New Roman" w:cs="Times New Roman"/>
                <w:b/>
                <w:color w:val="auto"/>
                <w:sz w:val="24"/>
              </w:rPr>
              <w:t>2、废水</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项目施工期产生的废水主要来自于施工人员的生活污水、施工作业产生的施工废水以及下雨时冲刷浮土及建筑泥沙等产生的地表径流污水(主要污染物为SS)。</w:t>
            </w:r>
          </w:p>
          <w:p>
            <w:pPr>
              <w:spacing w:line="360" w:lineRule="auto"/>
              <w:ind w:firstLine="480" w:firstLineChars="200"/>
              <w:rPr>
                <w:rFonts w:ascii="Times New Roman" w:hAnsi="Times New Roman" w:eastAsia="宋体" w:cs="Times New Roman"/>
                <w:color w:val="auto"/>
                <w:sz w:val="24"/>
              </w:rPr>
            </w:pPr>
            <w:r>
              <w:rPr>
                <w:rFonts w:ascii="Times New Roman" w:hAnsi="Times New Roman" w:cs="Times New Roman"/>
                <w:color w:val="auto"/>
                <w:sz w:val="24"/>
              </w:rPr>
              <w:t>施工废水和砂石料冲洗雨水澄清沉淀后循环利用，少量污水洒水降尘</w:t>
            </w:r>
            <w:r>
              <w:rPr>
                <w:rFonts w:hint="eastAsia" w:ascii="Times New Roman" w:hAnsi="Times New Roman" w:cs="Times New Roman"/>
                <w:color w:val="auto"/>
                <w:sz w:val="24"/>
                <w:lang w:eastAsia="zh-CN"/>
              </w:rPr>
              <w:t>；</w:t>
            </w:r>
            <w:r>
              <w:rPr>
                <w:rFonts w:ascii="Times New Roman" w:hAnsi="Times New Roman" w:cs="Times New Roman"/>
                <w:color w:val="auto"/>
                <w:sz w:val="24"/>
              </w:rPr>
              <w:t>施工期工人生活污水产生量较少，</w:t>
            </w:r>
            <w:r>
              <w:rPr>
                <w:rFonts w:hint="eastAsia" w:ascii="Times New Roman" w:hAnsi="Times New Roman" w:cs="Times New Roman"/>
                <w:color w:val="auto"/>
                <w:sz w:val="24"/>
                <w:szCs w:val="24"/>
                <w:lang w:val="en-US" w:eastAsia="zh-CN"/>
              </w:rPr>
              <w:t>利用厂区现有污水处理设施</w:t>
            </w:r>
            <w:r>
              <w:rPr>
                <w:rFonts w:hint="eastAsia" w:ascii="Times New Roman" w:hAnsi="Times New Roman" w:cs="Times New Roman"/>
                <w:color w:val="auto"/>
                <w:sz w:val="24"/>
                <w:lang w:eastAsia="zh-CN"/>
              </w:rPr>
              <w:t>。</w:t>
            </w:r>
            <w:r>
              <w:rPr>
                <w:rFonts w:hint="default" w:ascii="Times New Roman" w:hAnsi="Times New Roman" w:eastAsia="宋体" w:cs="Times New Roman"/>
                <w:color w:val="auto"/>
                <w:sz w:val="24"/>
                <w:szCs w:val="24"/>
              </w:rPr>
              <w:t>项目施工期间对区域水环境影响</w:t>
            </w:r>
            <w:r>
              <w:rPr>
                <w:rFonts w:hint="eastAsia" w:ascii="Times New Roman" w:hAnsi="Times New Roman" w:cs="Times New Roman"/>
                <w:color w:val="auto"/>
                <w:sz w:val="24"/>
                <w:szCs w:val="24"/>
                <w:lang w:val="en-US" w:eastAsia="zh-CN"/>
              </w:rPr>
              <w:t>可接受</w:t>
            </w:r>
            <w:r>
              <w:rPr>
                <w:rFonts w:hint="default" w:ascii="Times New Roman" w:hAnsi="Times New Roman" w:eastAsia="宋体" w:cs="Times New Roman"/>
                <w:color w:val="auto"/>
                <w:sz w:val="24"/>
                <w:szCs w:val="24"/>
              </w:rPr>
              <w:t>。</w:t>
            </w:r>
          </w:p>
          <w:p>
            <w:pPr>
              <w:spacing w:line="360" w:lineRule="auto"/>
              <w:ind w:firstLine="482" w:firstLineChars="200"/>
              <w:rPr>
                <w:rFonts w:ascii="Times New Roman" w:hAnsi="Times New Roman" w:cs="Times New Roman"/>
                <w:b/>
                <w:color w:val="auto"/>
                <w:sz w:val="24"/>
              </w:rPr>
            </w:pPr>
            <w:r>
              <w:rPr>
                <w:rFonts w:ascii="Times New Roman" w:hAnsi="Times New Roman" w:cs="Times New Roman"/>
                <w:b/>
                <w:color w:val="auto"/>
                <w:sz w:val="24"/>
              </w:rPr>
              <w:t>3、噪声</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项目施工期噪声主要来自施工机械和运输车辆的噪声。</w:t>
            </w:r>
            <w:r>
              <w:rPr>
                <w:rFonts w:ascii="Times New Roman" w:hAnsi="Times New Roman" w:cs="Times New Roman"/>
                <w:bCs/>
                <w:color w:val="auto"/>
                <w:spacing w:val="-10"/>
                <w:sz w:val="24"/>
              </w:rPr>
              <w:t>施工过程中采用的施工机械一般都具有噪声高、无规则等特点，</w:t>
            </w:r>
            <w:r>
              <w:rPr>
                <w:rFonts w:ascii="Times New Roman" w:hAnsi="Times New Roman" w:cs="Times New Roman"/>
                <w:color w:val="auto"/>
                <w:sz w:val="24"/>
              </w:rPr>
              <w:t>为减少噪声影响，</w:t>
            </w:r>
            <w:r>
              <w:rPr>
                <w:rFonts w:ascii="Times New Roman" w:hAnsi="Times New Roman" w:eastAsia="宋体" w:cs="Times New Roman"/>
                <w:color w:val="auto"/>
                <w:sz w:val="24"/>
              </w:rPr>
              <w:t>建设单位拟</w:t>
            </w:r>
            <w:r>
              <w:rPr>
                <w:rFonts w:ascii="Times New Roman" w:hAnsi="Times New Roman" w:cs="Times New Roman"/>
                <w:color w:val="auto"/>
                <w:sz w:val="24"/>
              </w:rPr>
              <w:t>采取以下降低噪声措施：</w:t>
            </w:r>
          </w:p>
          <w:p>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（1）施工期间选用产生噪声值较低的施工设备，从源头消减噪声；</w:t>
            </w:r>
          </w:p>
          <w:p>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（2）施工现场不得安装混凝土搅拌机，应在有关部门指定地点搅拌好后，运至工地使用，运输车辆通过要减速慢行以减低噪声；</w:t>
            </w:r>
          </w:p>
          <w:p>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（3）施工期间建筑材料和建筑垃圾的运输路线优化选择，尽量避开村庄；</w:t>
            </w:r>
          </w:p>
          <w:p>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（4）施工期间严格控制施工时间，若必须连续施工作业时，须提前向有关部门提出申请，并应提前张贴公告通知周边可能受到影响的居民及单位，经批准后，方可进行夜间施工；</w:t>
            </w:r>
          </w:p>
          <w:p>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（5）合理安排施工计划、施工机械设备组合以及施工时间，夜间（22:00-06:00）禁止施工，避免在同一时间集中使用大量的动力机械设备；</w:t>
            </w:r>
          </w:p>
          <w:p>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（6）合理布局施工场地；</w:t>
            </w:r>
          </w:p>
          <w:p>
            <w:pPr>
              <w:spacing w:line="360" w:lineRule="auto"/>
              <w:ind w:firstLine="480" w:firstLineChars="200"/>
              <w:rPr>
                <w:rFonts w:hint="eastAsia" w:ascii="Times New Roman" w:hAnsi="Times New Roman" w:eastAsia="宋体" w:cs="Times New Roman"/>
                <w:color w:val="auto"/>
                <w:sz w:val="24"/>
                <w:lang w:eastAsia="zh-CN"/>
              </w:rPr>
            </w:pPr>
            <w:r>
              <w:rPr>
                <w:rFonts w:ascii="Times New Roman" w:hAnsi="Times New Roman" w:eastAsia="宋体" w:cs="Times New Roman"/>
                <w:color w:val="auto"/>
                <w:sz w:val="24"/>
              </w:rPr>
              <w:t>（7）加强施工期管理，施工单位设专人负责施工机械的保养和维护，保养和维护要有切实可行的规章制度，要定期对现场工作人员进行培训，每个工人都要严格按照规范使用各类机械，避免因故障产生突发噪声</w:t>
            </w:r>
            <w:r>
              <w:rPr>
                <w:rFonts w:hint="eastAsia" w:ascii="Times New Roman" w:hAnsi="Times New Roman" w:eastAsia="宋体" w:cs="Times New Roman"/>
                <w:color w:val="auto"/>
                <w:sz w:val="24"/>
                <w:lang w:eastAsia="zh-CN"/>
              </w:rPr>
              <w:t>。</w:t>
            </w:r>
          </w:p>
          <w:p>
            <w:pPr>
              <w:pStyle w:val="16"/>
              <w:widowControl w:val="0"/>
              <w:spacing w:line="360" w:lineRule="auto"/>
              <w:ind w:left="0" w:leftChars="0" w:firstLine="480" w:firstLineChars="200"/>
              <w:rPr>
                <w:rFonts w:hint="default" w:ascii="Times New Roman" w:hAnsi="Times New Roman"/>
                <w:color w:val="auto"/>
              </w:rPr>
            </w:pPr>
            <w:r>
              <w:rPr>
                <w:rFonts w:hint="default" w:ascii="Times New Roman" w:hAnsi="Times New Roman"/>
                <w:color w:val="auto"/>
              </w:rPr>
              <w:t>建设单位采用上述措施后，项目施工期产生的噪声可满足《建筑施工场界环境噪声排放标准》（GB12523-2011）的要求</w:t>
            </w:r>
            <w:r>
              <w:rPr>
                <w:rFonts w:hint="default" w:ascii="Times New Roman" w:hAnsi="Times New Roman"/>
                <w:color w:val="auto"/>
                <w:szCs w:val="32"/>
              </w:rPr>
              <w:t>，噪声达标排放</w:t>
            </w:r>
            <w:r>
              <w:rPr>
                <w:rFonts w:hint="default" w:ascii="Times New Roman" w:hAnsi="Times New Roman"/>
                <w:color w:val="auto"/>
              </w:rPr>
              <w:t>。</w:t>
            </w:r>
          </w:p>
          <w:p>
            <w:pPr>
              <w:pStyle w:val="16"/>
              <w:widowControl w:val="0"/>
              <w:spacing w:line="360" w:lineRule="auto"/>
              <w:ind w:left="479" w:leftChars="228"/>
              <w:rPr>
                <w:rFonts w:hint="default" w:ascii="Times New Roman" w:hAnsi="Times New Roman"/>
                <w:color w:val="auto"/>
              </w:rPr>
            </w:pPr>
            <w:r>
              <w:rPr>
                <w:rFonts w:hint="default" w:ascii="Times New Roman" w:hAnsi="Times New Roman"/>
                <w:b/>
                <w:color w:val="auto"/>
                <w:kern w:val="2"/>
              </w:rPr>
              <w:t>4、固体废物</w:t>
            </w:r>
          </w:p>
          <w:p>
            <w:pPr>
              <w:pStyle w:val="16"/>
              <w:widowControl w:val="0"/>
              <w:spacing w:line="360" w:lineRule="auto"/>
              <w:ind w:left="0" w:leftChars="0" w:firstLine="480" w:firstLineChars="200"/>
              <w:rPr>
                <w:rFonts w:hint="default" w:ascii="Times New Roman" w:hAnsi="Times New Roman"/>
                <w:color w:val="auto"/>
              </w:rPr>
            </w:pPr>
            <w:r>
              <w:rPr>
                <w:rFonts w:hint="default" w:ascii="Times New Roman" w:hAnsi="Times New Roman"/>
                <w:color w:val="auto"/>
              </w:rPr>
              <w:t>本项目施工期间固体废物为建筑垃圾和生活垃圾。</w:t>
            </w:r>
          </w:p>
          <w:p>
            <w:pPr>
              <w:pStyle w:val="16"/>
              <w:widowControl w:val="0"/>
              <w:spacing w:line="360" w:lineRule="auto"/>
              <w:ind w:left="0" w:leftChars="0" w:firstLine="480" w:firstLineChars="200"/>
              <w:rPr>
                <w:rFonts w:hint="eastAsia" w:ascii="Times New Roman" w:hAnsi="Times New Roman"/>
                <w:color w:val="auto"/>
                <w:lang w:eastAsia="zh-CN"/>
              </w:rPr>
            </w:pPr>
            <w:r>
              <w:rPr>
                <w:rFonts w:hint="default" w:ascii="Times New Roman" w:hAnsi="Times New Roman"/>
                <w:color w:val="auto"/>
              </w:rPr>
              <w:t>工程建设过程中均会产生建筑垃圾，建筑垃圾产生量较小，运至政府部门指定的建筑垃圾处置场处理；生活垃圾采取集中收集，集中收集后定期由当地垃圾清运系统处置。采取上述措施后，施工期固体废物均得到妥善处置</w:t>
            </w:r>
            <w:r>
              <w:rPr>
                <w:rFonts w:hint="eastAsia" w:ascii="Times New Roman" w:hAnsi="Times New Roman"/>
                <w:color w:val="auto"/>
                <w:lang w:eastAsia="zh-CN"/>
              </w:rPr>
              <w:t>。</w:t>
            </w:r>
          </w:p>
          <w:p>
            <w:pPr>
              <w:pStyle w:val="16"/>
              <w:widowControl w:val="0"/>
              <w:spacing w:line="360" w:lineRule="auto"/>
              <w:ind w:left="0" w:leftChars="0" w:firstLine="480" w:firstLineChars="200"/>
              <w:rPr>
                <w:rFonts w:hint="eastAsia" w:ascii="Times New Roman" w:hAnsi="Times New Roman"/>
                <w:color w:val="auto"/>
                <w:lang w:eastAsia="zh-CN"/>
              </w:rPr>
            </w:pPr>
          </w:p>
          <w:p>
            <w:pPr>
              <w:pStyle w:val="16"/>
              <w:widowControl w:val="0"/>
              <w:spacing w:line="360" w:lineRule="auto"/>
              <w:ind w:left="0" w:leftChars="0" w:firstLine="480" w:firstLineChars="200"/>
              <w:rPr>
                <w:rFonts w:hint="eastAsia" w:ascii="Times New Roman" w:hAnsi="Times New Roman"/>
                <w:color w:val="auto"/>
                <w:lang w:eastAsia="zh-CN"/>
              </w:rPr>
            </w:pPr>
          </w:p>
          <w:p>
            <w:pPr>
              <w:pStyle w:val="16"/>
              <w:widowControl w:val="0"/>
              <w:spacing w:line="360" w:lineRule="auto"/>
              <w:ind w:left="0" w:leftChars="0" w:firstLine="480" w:firstLineChars="200"/>
              <w:rPr>
                <w:rFonts w:hint="eastAsia" w:ascii="Times New Roman" w:hAnsi="Times New Roman"/>
                <w:color w:val="auto"/>
                <w:lang w:eastAsia="zh-CN"/>
              </w:rPr>
            </w:pPr>
          </w:p>
          <w:p>
            <w:pPr>
              <w:pStyle w:val="16"/>
              <w:widowControl w:val="0"/>
              <w:spacing w:line="360" w:lineRule="auto"/>
              <w:ind w:left="0" w:leftChars="0" w:firstLine="480" w:firstLineChars="200"/>
              <w:rPr>
                <w:rFonts w:hint="eastAsia" w:ascii="Times New Roman" w:hAnsi="Times New Roman"/>
                <w:color w:val="auto"/>
                <w:lang w:eastAsia="zh-CN"/>
              </w:rPr>
            </w:pPr>
          </w:p>
          <w:p>
            <w:pPr>
              <w:pStyle w:val="16"/>
              <w:widowControl w:val="0"/>
              <w:spacing w:line="360" w:lineRule="auto"/>
              <w:ind w:left="0" w:leftChars="0" w:firstLine="480" w:firstLineChars="200"/>
              <w:rPr>
                <w:rFonts w:hint="eastAsia" w:ascii="Times New Roman" w:hAnsi="Times New Roman"/>
                <w:color w:val="auto"/>
                <w:lang w:eastAsia="zh-CN"/>
              </w:rPr>
            </w:pPr>
          </w:p>
          <w:p>
            <w:pPr>
              <w:pStyle w:val="16"/>
              <w:widowControl w:val="0"/>
              <w:spacing w:line="360" w:lineRule="auto"/>
              <w:ind w:left="0" w:leftChars="0" w:firstLine="480" w:firstLineChars="200"/>
              <w:rPr>
                <w:rFonts w:hint="eastAsia" w:ascii="Times New Roman" w:hAnsi="Times New Roman"/>
                <w:color w:val="auto"/>
                <w:lang w:eastAsia="zh-CN"/>
              </w:rPr>
            </w:pPr>
          </w:p>
          <w:p>
            <w:pPr>
              <w:pStyle w:val="16"/>
              <w:widowControl w:val="0"/>
              <w:spacing w:line="360" w:lineRule="auto"/>
              <w:ind w:left="0" w:leftChars="0" w:firstLine="480" w:firstLineChars="200"/>
              <w:rPr>
                <w:rFonts w:hint="eastAsia" w:ascii="Times New Roman" w:hAnsi="Times New Roman"/>
                <w:color w:val="auto"/>
                <w:lang w:eastAsia="zh-CN"/>
              </w:rPr>
            </w:pPr>
          </w:p>
          <w:p>
            <w:pPr>
              <w:pStyle w:val="16"/>
              <w:widowControl w:val="0"/>
              <w:spacing w:line="360" w:lineRule="auto"/>
              <w:ind w:left="0" w:leftChars="0" w:firstLine="480" w:firstLineChars="200"/>
              <w:rPr>
                <w:rFonts w:hint="eastAsia" w:ascii="Times New Roman" w:hAnsi="Times New Roman"/>
                <w:color w:val="auto"/>
                <w:lang w:eastAsia="zh-CN"/>
              </w:rPr>
            </w:pPr>
          </w:p>
          <w:p>
            <w:pPr>
              <w:pStyle w:val="16"/>
              <w:widowControl w:val="0"/>
              <w:spacing w:line="360" w:lineRule="auto"/>
              <w:ind w:left="0" w:leftChars="0" w:firstLine="480" w:firstLineChars="200"/>
              <w:rPr>
                <w:rFonts w:hint="eastAsia" w:ascii="Times New Roman" w:hAnsi="Times New Roman"/>
                <w:color w:val="auto"/>
                <w:lang w:eastAsia="zh-CN"/>
              </w:rPr>
            </w:pPr>
          </w:p>
          <w:p>
            <w:pPr>
              <w:pStyle w:val="16"/>
              <w:widowControl w:val="0"/>
              <w:spacing w:line="360" w:lineRule="auto"/>
              <w:ind w:left="0" w:leftChars="0" w:firstLine="480" w:firstLineChars="200"/>
              <w:rPr>
                <w:rFonts w:hint="eastAsia" w:ascii="Times New Roman" w:hAnsi="Times New Roman"/>
                <w:color w:val="auto"/>
                <w:lang w:eastAsia="zh-CN"/>
              </w:rPr>
            </w:pPr>
          </w:p>
          <w:p>
            <w:pPr>
              <w:pStyle w:val="16"/>
              <w:widowControl w:val="0"/>
              <w:spacing w:line="360" w:lineRule="auto"/>
              <w:ind w:left="0" w:leftChars="0" w:firstLine="480" w:firstLineChars="200"/>
              <w:rPr>
                <w:rFonts w:hint="eastAsia" w:ascii="Times New Roman" w:hAnsi="Times New Roman"/>
                <w:color w:val="auto"/>
                <w:lang w:eastAsia="zh-CN"/>
              </w:rPr>
            </w:pPr>
          </w:p>
          <w:p>
            <w:pPr>
              <w:pStyle w:val="16"/>
              <w:widowControl w:val="0"/>
              <w:spacing w:line="360" w:lineRule="auto"/>
              <w:ind w:left="0" w:leftChars="0" w:firstLine="480" w:firstLineChars="200"/>
              <w:rPr>
                <w:rFonts w:hint="eastAsia" w:ascii="Times New Roman" w:hAnsi="Times New Roman"/>
                <w:color w:val="auto"/>
                <w:lang w:eastAsia="zh-CN"/>
              </w:rPr>
            </w:pPr>
          </w:p>
          <w:p>
            <w:pPr>
              <w:pStyle w:val="16"/>
              <w:widowControl w:val="0"/>
              <w:spacing w:line="360" w:lineRule="auto"/>
              <w:ind w:left="0" w:leftChars="0" w:firstLine="480" w:firstLineChars="200"/>
              <w:rPr>
                <w:rFonts w:hint="eastAsia" w:ascii="Times New Roman" w:hAnsi="Times New Roman"/>
                <w:color w:val="auto"/>
                <w:lang w:eastAsia="zh-CN"/>
              </w:rPr>
            </w:pPr>
          </w:p>
          <w:p>
            <w:pPr>
              <w:pStyle w:val="16"/>
              <w:widowControl w:val="0"/>
              <w:spacing w:line="360" w:lineRule="auto"/>
              <w:ind w:left="0" w:leftChars="0" w:firstLine="480" w:firstLineChars="200"/>
              <w:rPr>
                <w:rFonts w:hint="eastAsia" w:ascii="Times New Roman" w:hAnsi="Times New Roman"/>
                <w:color w:val="auto"/>
                <w:lang w:eastAsia="zh-CN"/>
              </w:rPr>
            </w:pPr>
          </w:p>
          <w:p>
            <w:pPr>
              <w:pStyle w:val="16"/>
              <w:widowControl w:val="0"/>
              <w:spacing w:line="360" w:lineRule="auto"/>
              <w:ind w:left="0" w:leftChars="0" w:firstLine="0" w:firstLineChars="0"/>
              <w:rPr>
                <w:rFonts w:ascii="Times New Roman" w:hAnsi="Times New Roman" w:eastAsia="宋体" w:cs="Times New Roman"/>
                <w:bCs/>
                <w:color w:val="auto"/>
                <w:spacing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1" w:type="dxa"/>
            <w:tcBorders>
              <w:top w:val="single" w:color="auto" w:sz="4" w:space="0"/>
              <w:left w:val="single" w:color="auto" w:sz="8" w:space="0"/>
              <w:bottom w:val="single" w:color="auto" w:sz="4" w:space="0"/>
              <w:right w:val="single" w:color="auto" w:sz="4" w:space="0"/>
            </w:tcBorders>
            <w:shd w:val="clear" w:color="auto" w:fill="auto"/>
            <w:tcMar>
              <w:left w:w="28" w:type="dxa"/>
              <w:right w:w="28" w:type="dxa"/>
            </w:tcMar>
            <w:vAlign w:val="center"/>
          </w:tcPr>
          <w:p>
            <w:pPr>
              <w:adjustRightInd w:val="0"/>
              <w:snapToGrid w:val="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运营</w:t>
            </w:r>
          </w:p>
          <w:p>
            <w:pPr>
              <w:adjustRightInd w:val="0"/>
              <w:snapToGrid w:val="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期环</w:t>
            </w:r>
          </w:p>
          <w:p>
            <w:pPr>
              <w:adjustRightInd w:val="0"/>
              <w:snapToGrid w:val="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境影</w:t>
            </w:r>
          </w:p>
          <w:p>
            <w:pPr>
              <w:adjustRightInd w:val="0"/>
              <w:snapToGrid w:val="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响和</w:t>
            </w:r>
          </w:p>
          <w:p>
            <w:pPr>
              <w:adjustRightInd w:val="0"/>
              <w:snapToGrid w:val="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保护</w:t>
            </w:r>
          </w:p>
          <w:p>
            <w:pPr>
              <w:adjustRightInd w:val="0"/>
              <w:snapToGrid w:val="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措施</w:t>
            </w:r>
          </w:p>
        </w:tc>
        <w:tc>
          <w:tcPr>
            <w:tcW w:w="8683" w:type="dxa"/>
            <w:tcBorders>
              <w:top w:val="single" w:color="auto" w:sz="4" w:space="0"/>
              <w:left w:val="single" w:color="auto" w:sz="4" w:space="0"/>
              <w:bottom w:val="single" w:color="auto" w:sz="4" w:space="0"/>
              <w:right w:val="single" w:color="auto" w:sz="8" w:space="0"/>
            </w:tcBorders>
            <w:shd w:val="clear" w:color="auto" w:fill="auto"/>
            <w:vAlign w:val="center"/>
          </w:tcPr>
          <w:p>
            <w:pPr>
              <w:pStyle w:val="16"/>
              <w:widowControl w:val="0"/>
              <w:snapToGrid w:val="0"/>
              <w:spacing w:before="156" w:beforeLines="50" w:line="360" w:lineRule="auto"/>
              <w:ind w:left="0" w:leftChars="0"/>
              <w:rPr>
                <w:rFonts w:hint="default" w:ascii="Times New Roman" w:hAnsi="Times New Roman"/>
                <w:b/>
                <w:color w:val="auto"/>
                <w:kern w:val="2"/>
              </w:rPr>
            </w:pPr>
            <w:r>
              <w:rPr>
                <w:rFonts w:hint="default" w:ascii="Times New Roman" w:hAnsi="Times New Roman"/>
                <w:b/>
                <w:color w:val="auto"/>
                <w:kern w:val="2"/>
              </w:rPr>
              <w:t>运营期环境影响和保护措施：</w:t>
            </w:r>
          </w:p>
          <w:p>
            <w:pPr>
              <w:pStyle w:val="16"/>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b/>
                <w:color w:val="auto"/>
                <w:kern w:val="2"/>
                <w:highlight w:val="none"/>
                <w:lang w:val="en-US" w:eastAsia="zh-CN"/>
              </w:rPr>
            </w:pPr>
            <w:r>
              <w:rPr>
                <w:rFonts w:hint="default" w:ascii="Times New Roman" w:hAnsi="Times New Roman"/>
                <w:b/>
                <w:color w:val="auto"/>
                <w:kern w:val="2"/>
                <w:highlight w:val="none"/>
              </w:rPr>
              <w:t>1、</w:t>
            </w:r>
            <w:r>
              <w:rPr>
                <w:rFonts w:hint="eastAsia" w:ascii="Times New Roman" w:hAnsi="Times New Roman"/>
                <w:b/>
                <w:color w:val="auto"/>
                <w:kern w:val="2"/>
                <w:highlight w:val="none"/>
                <w:lang w:val="en-US" w:eastAsia="zh-CN"/>
              </w:rPr>
              <w:t>大气环境影响和保护措施</w:t>
            </w:r>
          </w:p>
          <w:p>
            <w:pPr>
              <w:snapToGrid w:val="0"/>
              <w:spacing w:line="360" w:lineRule="auto"/>
              <w:ind w:firstLine="482" w:firstLineChars="200"/>
              <w:rPr>
                <w:rFonts w:hint="default" w:ascii="Times New Roman" w:hAnsi="Times New Roman" w:cs="Times New Roman"/>
                <w:color w:val="auto"/>
                <w:sz w:val="24"/>
                <w:szCs w:val="24"/>
              </w:rPr>
            </w:pPr>
            <w:r>
              <w:rPr>
                <w:rFonts w:hint="eastAsia" w:ascii="Times New Roman" w:hAnsi="Times New Roman" w:cs="Times New Roman"/>
                <w:b/>
                <w:bCs/>
                <w:color w:val="auto"/>
                <w:sz w:val="24"/>
                <w:lang w:eastAsia="zh-CN"/>
              </w:rPr>
              <w:t>（</w:t>
            </w:r>
            <w:r>
              <w:rPr>
                <w:rFonts w:hint="eastAsia" w:ascii="Times New Roman" w:hAnsi="Times New Roman" w:cs="Times New Roman"/>
                <w:b/>
                <w:bCs/>
                <w:color w:val="auto"/>
                <w:sz w:val="24"/>
                <w:lang w:val="en-US" w:eastAsia="zh-CN"/>
              </w:rPr>
              <w:t>1</w:t>
            </w:r>
            <w:r>
              <w:rPr>
                <w:rFonts w:hint="eastAsia" w:ascii="Times New Roman" w:hAnsi="Times New Roman" w:cs="Times New Roman"/>
                <w:b/>
                <w:bCs/>
                <w:color w:val="auto"/>
                <w:sz w:val="24"/>
                <w:lang w:eastAsia="zh-CN"/>
              </w:rPr>
              <w:t>）</w:t>
            </w:r>
            <w:r>
              <w:rPr>
                <w:rFonts w:hint="eastAsia" w:ascii="Times New Roman" w:hAnsi="Times New Roman" w:cs="Times New Roman"/>
                <w:b/>
                <w:bCs/>
                <w:color w:val="auto"/>
                <w:sz w:val="24"/>
                <w:lang w:val="en-US" w:eastAsia="zh-CN"/>
              </w:rPr>
              <w:t>废气污染源调查</w:t>
            </w:r>
          </w:p>
          <w:p>
            <w:pPr>
              <w:snapToGri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根据工程分析各污染源的基本分布状况及排放特征，</w:t>
            </w:r>
            <w:r>
              <w:rPr>
                <w:rFonts w:hint="default" w:ascii="Times New Roman" w:hAnsi="Times New Roman" w:eastAsia="宋体"/>
                <w:color w:val="auto"/>
                <w:sz w:val="24"/>
                <w:szCs w:val="24"/>
              </w:rPr>
              <w:t>本项目废气污染源主要为锅炉燃煤产生的废气，煤装卸、储存和输送过程产生的粉尘</w:t>
            </w:r>
            <w:r>
              <w:rPr>
                <w:rFonts w:hint="default"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以及</w:t>
            </w:r>
            <w:r>
              <w:rPr>
                <w:rFonts w:hint="default" w:ascii="Times New Roman" w:hAnsi="Times New Roman" w:eastAsia="宋体"/>
                <w:color w:val="auto"/>
                <w:sz w:val="24"/>
                <w:szCs w:val="24"/>
              </w:rPr>
              <w:t>食堂油烟</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燃煤锅炉</w:t>
            </w:r>
            <w:r>
              <w:rPr>
                <w:rFonts w:hint="default" w:ascii="Times New Roman" w:hAnsi="Times New Roman" w:eastAsia="宋体" w:cs="Times New Roman"/>
                <w:color w:val="auto"/>
                <w:sz w:val="24"/>
                <w:szCs w:val="24"/>
                <w:highlight w:val="none"/>
              </w:rPr>
              <w:t>污染物主要为烟尘、SO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、NOx、汞及其化合物</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氨逃逸以及烟气黑度</w:t>
            </w:r>
            <w:r>
              <w:rPr>
                <w:rFonts w:hint="default" w:ascii="Times New Roman" w:hAnsi="Times New Roman" w:eastAsia="宋体"/>
                <w:color w:val="auto"/>
                <w:sz w:val="24"/>
                <w:szCs w:val="24"/>
              </w:rPr>
              <w:t>。</w:t>
            </w:r>
            <w:r>
              <w:rPr>
                <w:rFonts w:hint="eastAsia" w:ascii="Times New Roman" w:hAnsi="Times New Roman" w:cs="Times New Roman"/>
                <w:color w:val="auto"/>
                <w:sz w:val="24"/>
                <w:szCs w:val="24"/>
                <w:lang w:val="en-US" w:eastAsia="zh-CN"/>
              </w:rPr>
              <w:t>本项目</w:t>
            </w:r>
            <w:r>
              <w:rPr>
                <w:rFonts w:hint="default" w:ascii="Times New Roman" w:hAnsi="Times New Roman" w:cs="Times New Roman"/>
                <w:color w:val="auto"/>
                <w:sz w:val="24"/>
                <w:szCs w:val="24"/>
                <w:lang w:val="en-US" w:eastAsia="zh-CN"/>
              </w:rPr>
              <w:t>废气污染源调查</w:t>
            </w:r>
            <w:r>
              <w:rPr>
                <w:rFonts w:hint="eastAsia" w:ascii="Times New Roman" w:hAnsi="Times New Roman" w:cs="Times New Roman"/>
                <w:color w:val="auto"/>
                <w:sz w:val="24"/>
                <w:szCs w:val="24"/>
                <w:lang w:val="en-US" w:eastAsia="zh-CN"/>
              </w:rPr>
              <w:t>调查情况见下表。</w:t>
            </w:r>
          </w:p>
          <w:p>
            <w:pPr>
              <w:pStyle w:val="5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Chars="0"/>
              <w:jc w:val="center"/>
              <w:textAlignment w:val="auto"/>
              <w:rPr>
                <w:rStyle w:val="24"/>
                <w:rFonts w:hint="default" w:ascii="Times New Roman" w:hAnsi="Times New Roman" w:eastAsia="宋体" w:cs="Times New Roman"/>
                <w:color w:val="auto"/>
                <w:lang w:val="en-US" w:eastAsia="zh-CN"/>
              </w:rPr>
            </w:pPr>
            <w:r>
              <w:rPr>
                <w:rStyle w:val="24"/>
                <w:rFonts w:hint="eastAsia" w:ascii="Times New Roman" w:hAnsi="Times New Roman" w:eastAsia="宋体" w:cs="Times New Roman"/>
                <w:color w:val="auto"/>
                <w:lang w:val="en-US" w:eastAsia="zh-CN"/>
              </w:rPr>
              <w:t>表4-1  项目废气污染源调查情况一览表</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1441"/>
              <w:gridCol w:w="1979"/>
              <w:gridCol w:w="1697"/>
              <w:gridCol w:w="2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序号</w:t>
                  </w:r>
                </w:p>
              </w:tc>
              <w:tc>
                <w:tcPr>
                  <w:tcW w:w="85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产</w:t>
                  </w:r>
                  <w:r>
                    <w:rPr>
                      <w:rFonts w:hint="default" w:ascii="Times New Roman" w:hAnsi="Times New Roman" w:cs="Times New Roman"/>
                      <w:b/>
                      <w:bCs/>
                      <w:color w:val="auto"/>
                      <w:sz w:val="21"/>
                      <w:szCs w:val="21"/>
                      <w:vertAlign w:val="baseline"/>
                      <w:lang w:val="en-US" w:eastAsia="zh-CN"/>
                    </w:rPr>
                    <w:t>污节点</w:t>
                  </w:r>
                </w:p>
              </w:tc>
              <w:tc>
                <w:tcPr>
                  <w:tcW w:w="117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污染物</w:t>
                  </w:r>
                  <w:r>
                    <w:rPr>
                      <w:rFonts w:hint="eastAsia" w:ascii="Times New Roman" w:hAnsi="Times New Roman" w:cs="Times New Roman"/>
                      <w:b/>
                      <w:bCs/>
                      <w:color w:val="auto"/>
                      <w:sz w:val="21"/>
                      <w:szCs w:val="21"/>
                      <w:vertAlign w:val="baseline"/>
                      <w:lang w:val="en-US" w:eastAsia="zh-CN"/>
                    </w:rPr>
                    <w:t>名称</w:t>
                  </w:r>
                </w:p>
              </w:tc>
              <w:tc>
                <w:tcPr>
                  <w:tcW w:w="100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排放方式</w:t>
                  </w:r>
                </w:p>
              </w:tc>
              <w:tc>
                <w:tcPr>
                  <w:tcW w:w="127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G1</w:t>
                  </w:r>
                </w:p>
              </w:tc>
              <w:tc>
                <w:tcPr>
                  <w:tcW w:w="85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燃煤锅炉</w:t>
                  </w:r>
                </w:p>
              </w:tc>
              <w:tc>
                <w:tcPr>
                  <w:tcW w:w="117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highlight w:val="none"/>
                    </w:rPr>
                    <w:t>烟尘、SO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、NOx、汞及其化合物</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氨逃逸</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烟气黑度</w:t>
                  </w:r>
                </w:p>
              </w:tc>
              <w:tc>
                <w:tcPr>
                  <w:tcW w:w="100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有组织</w:t>
                  </w:r>
                </w:p>
              </w:tc>
              <w:tc>
                <w:tcPr>
                  <w:tcW w:w="215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highlight w:val="none"/>
                    </w:rPr>
                    <w:t>烟尘、SO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、NOx、汞及其化合物</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氨逃逸</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烟气黑度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G2</w:t>
                  </w:r>
                </w:p>
              </w:tc>
              <w:tc>
                <w:tcPr>
                  <w:tcW w:w="852" w:type="pct"/>
                  <w:noWrap w:val="0"/>
                  <w:vAlign w:val="center"/>
                </w:tcPr>
                <w:p>
                  <w:pPr>
                    <w:spacing w:line="320" w:lineRule="exact"/>
                    <w:jc w:val="center"/>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食堂油烟</w:t>
                  </w:r>
                </w:p>
              </w:tc>
              <w:tc>
                <w:tcPr>
                  <w:tcW w:w="117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油烟</w:t>
                  </w:r>
                </w:p>
              </w:tc>
              <w:tc>
                <w:tcPr>
                  <w:tcW w:w="100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heme="minorHAnsi" w:hAnsiTheme="minorHAnsi" w:eastAsiaTheme="minorEastAsia" w:cstheme="minorBidi"/>
                      <w:color w:val="auto"/>
                      <w:kern w:val="2"/>
                      <w:sz w:val="21"/>
                      <w:szCs w:val="21"/>
                      <w:lang w:val="en-US" w:eastAsia="zh-CN" w:bidi="ar-SA"/>
                    </w:rPr>
                  </w:pPr>
                  <w:r>
                    <w:rPr>
                      <w:rFonts w:hint="eastAsia" w:ascii="Times New Roman" w:hAnsi="Times New Roman" w:cs="Times New Roman"/>
                      <w:color w:val="auto"/>
                      <w:sz w:val="21"/>
                      <w:szCs w:val="21"/>
                      <w:vertAlign w:val="baseline"/>
                      <w:lang w:val="en-US" w:eastAsia="zh-CN"/>
                    </w:rPr>
                    <w:t>有组织</w:t>
                  </w:r>
                </w:p>
              </w:tc>
              <w:tc>
                <w:tcPr>
                  <w:tcW w:w="215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油烟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852" w:type="pct"/>
                  <w:noWrap w:val="0"/>
                  <w:vAlign w:val="center"/>
                </w:tcPr>
                <w:p>
                  <w:pPr>
                    <w:spacing w:line="320" w:lineRule="exact"/>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储库</w:t>
                  </w:r>
                </w:p>
              </w:tc>
              <w:tc>
                <w:tcPr>
                  <w:tcW w:w="117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颗粒物</w:t>
                  </w:r>
                </w:p>
              </w:tc>
              <w:tc>
                <w:tcPr>
                  <w:tcW w:w="100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color w:val="auto"/>
                      <w:szCs w:val="21"/>
                      <w:lang w:val="en-US" w:eastAsia="zh-CN"/>
                    </w:rPr>
                  </w:pPr>
                  <w:r>
                    <w:rPr>
                      <w:rFonts w:hint="eastAsia"/>
                      <w:color w:val="auto"/>
                      <w:szCs w:val="21"/>
                      <w:lang w:val="en-US" w:eastAsia="zh-CN"/>
                    </w:rPr>
                    <w:t>无组织</w:t>
                  </w:r>
                </w:p>
              </w:tc>
              <w:tc>
                <w:tcPr>
                  <w:tcW w:w="215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颗粒物</w:t>
                  </w:r>
                </w:p>
              </w:tc>
            </w:tr>
          </w:tbl>
          <w:p>
            <w:pPr>
              <w:snapToGrid w:val="0"/>
              <w:spacing w:line="360" w:lineRule="auto"/>
              <w:ind w:firstLine="482" w:firstLineChars="200"/>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（2）废气源强核算</w:t>
            </w:r>
          </w:p>
          <w:p>
            <w:pPr>
              <w:pStyle w:val="16"/>
              <w:widowControl w:val="0"/>
              <w:snapToGrid w:val="0"/>
              <w:spacing w:line="360" w:lineRule="auto"/>
              <w:ind w:left="0" w:leftChars="0" w:firstLine="480" w:firstLineChars="200"/>
              <w:rPr>
                <w:rFonts w:hint="default" w:ascii="Times New Roman" w:hAnsi="Times New Roman"/>
                <w:bCs/>
                <w:color w:val="auto"/>
                <w:kern w:val="2"/>
              </w:rPr>
            </w:pPr>
            <w:r>
              <w:rPr>
                <w:rFonts w:hint="default" w:ascii="Times New Roman" w:hAnsi="Times New Roman"/>
                <w:bCs/>
                <w:color w:val="auto"/>
                <w:kern w:val="2"/>
              </w:rPr>
              <w:t>本项目</w:t>
            </w:r>
            <w:r>
              <w:rPr>
                <w:rFonts w:hint="eastAsia" w:ascii="Times New Roman" w:hAnsi="Times New Roman"/>
                <w:bCs/>
                <w:color w:val="auto"/>
                <w:kern w:val="2"/>
                <w:lang w:val="en-US" w:eastAsia="zh-CN"/>
              </w:rPr>
              <w:t>废气源强核算</w:t>
            </w:r>
            <w:r>
              <w:rPr>
                <w:rFonts w:hint="default" w:ascii="Times New Roman" w:hAnsi="Times New Roman"/>
                <w:bCs/>
                <w:color w:val="auto"/>
                <w:kern w:val="2"/>
              </w:rPr>
              <w:t>情况详见下表</w:t>
            </w:r>
            <w:r>
              <w:rPr>
                <w:rFonts w:hint="eastAsia" w:ascii="Times New Roman" w:hAnsi="Times New Roman"/>
                <w:bCs/>
                <w:color w:val="auto"/>
                <w:kern w:val="2"/>
                <w:lang w:eastAsia="zh-CN"/>
              </w:rPr>
              <w:t>。</w:t>
            </w:r>
          </w:p>
          <w:p>
            <w:pPr>
              <w:pStyle w:val="5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Chars="0"/>
              <w:jc w:val="center"/>
              <w:textAlignment w:val="auto"/>
              <w:rPr>
                <w:rStyle w:val="24"/>
                <w:rFonts w:hint="eastAsia" w:ascii="Times New Roman" w:hAnsi="Times New Roman" w:eastAsia="宋体" w:cs="Times New Roman"/>
                <w:color w:val="auto"/>
                <w:lang w:val="en-US" w:eastAsia="zh-CN"/>
              </w:rPr>
            </w:pPr>
            <w:r>
              <w:rPr>
                <w:rStyle w:val="24"/>
                <w:rFonts w:hint="eastAsia" w:ascii="Times New Roman" w:hAnsi="Times New Roman" w:eastAsia="宋体" w:cs="Times New Roman"/>
                <w:color w:val="auto"/>
                <w:lang w:val="en-US" w:eastAsia="zh-CN"/>
              </w:rPr>
              <w:t>表4-2  本项目污染物产生及排放情况表</w:t>
            </w:r>
          </w:p>
          <w:tbl>
            <w:tblPr>
              <w:tblStyle w:val="2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gridCol w:w="999"/>
              <w:gridCol w:w="1049"/>
              <w:gridCol w:w="885"/>
              <w:gridCol w:w="755"/>
              <w:gridCol w:w="905"/>
              <w:gridCol w:w="752"/>
              <w:gridCol w:w="1049"/>
              <w:gridCol w:w="885"/>
              <w:gridCol w:w="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 w:type="pct"/>
                  <w:vMerge w:val="restart"/>
                  <w:tcBorders>
                    <w:tl2br w:val="nil"/>
                    <w:tr2bl w:val="nil"/>
                  </w:tcBorders>
                  <w:vAlign w:val="center"/>
                </w:tcPr>
                <w:p>
                  <w:pPr>
                    <w:spacing w:line="0" w:lineRule="atLeast"/>
                    <w:jc w:val="center"/>
                    <w:rPr>
                      <w:rFonts w:ascii="Times New Roman" w:hAnsi="Times New Roman" w:eastAsia="宋体" w:cs="Times New Roman"/>
                      <w:b/>
                      <w:color w:val="auto"/>
                      <w:sz w:val="21"/>
                      <w:szCs w:val="21"/>
                      <w:highlight w:val="none"/>
                    </w:rPr>
                  </w:pPr>
                  <w:r>
                    <w:rPr>
                      <w:rFonts w:ascii="Times New Roman" w:hAnsi="Times New Roman" w:cs="Times New Roman"/>
                      <w:b/>
                      <w:bCs/>
                      <w:color w:val="auto"/>
                      <w:sz w:val="21"/>
                      <w:szCs w:val="21"/>
                      <w:highlight w:val="none"/>
                    </w:rPr>
                    <w:t>产污节点</w:t>
                  </w:r>
                </w:p>
              </w:tc>
              <w:tc>
                <w:tcPr>
                  <w:tcW w:w="590" w:type="pct"/>
                  <w:vMerge w:val="restart"/>
                  <w:tcBorders>
                    <w:tl2br w:val="nil"/>
                    <w:tr2bl w:val="nil"/>
                  </w:tcBorders>
                  <w:vAlign w:val="center"/>
                </w:tcPr>
                <w:p>
                  <w:pPr>
                    <w:spacing w:line="0" w:lineRule="atLeast"/>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污染因子</w:t>
                  </w:r>
                </w:p>
              </w:tc>
              <w:tc>
                <w:tcPr>
                  <w:tcW w:w="1589" w:type="pct"/>
                  <w:gridSpan w:val="3"/>
                  <w:tcBorders>
                    <w:tl2br w:val="nil"/>
                    <w:tr2bl w:val="nil"/>
                  </w:tcBorders>
                  <w:vAlign w:val="center"/>
                </w:tcPr>
                <w:p>
                  <w:pPr>
                    <w:spacing w:line="0" w:lineRule="atLeast"/>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产生情况</w:t>
                  </w:r>
                </w:p>
              </w:tc>
              <w:tc>
                <w:tcPr>
                  <w:tcW w:w="979" w:type="pct"/>
                  <w:gridSpan w:val="2"/>
                  <w:tcBorders>
                    <w:tl2br w:val="nil"/>
                    <w:tr2bl w:val="nil"/>
                  </w:tcBorders>
                  <w:vAlign w:val="center"/>
                </w:tcPr>
                <w:p>
                  <w:pPr>
                    <w:spacing w:line="0" w:lineRule="atLeast"/>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废气处理系统</w:t>
                  </w:r>
                </w:p>
              </w:tc>
              <w:tc>
                <w:tcPr>
                  <w:tcW w:w="1591" w:type="pct"/>
                  <w:gridSpan w:val="3"/>
                  <w:tcBorders>
                    <w:tl2br w:val="nil"/>
                    <w:tr2bl w:val="nil"/>
                  </w:tcBorders>
                  <w:vAlign w:val="center"/>
                </w:tcPr>
                <w:p>
                  <w:pPr>
                    <w:spacing w:line="0" w:lineRule="atLeast"/>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 w:type="pct"/>
                  <w:vMerge w:val="continue"/>
                  <w:tcBorders>
                    <w:tl2br w:val="nil"/>
                    <w:tr2bl w:val="nil"/>
                  </w:tcBorders>
                  <w:vAlign w:val="center"/>
                </w:tcPr>
                <w:p>
                  <w:pPr>
                    <w:spacing w:line="0" w:lineRule="atLeast"/>
                    <w:jc w:val="center"/>
                    <w:rPr>
                      <w:rFonts w:ascii="Times New Roman" w:hAnsi="Times New Roman" w:eastAsia="宋体" w:cs="Times New Roman"/>
                      <w:color w:val="auto"/>
                      <w:sz w:val="21"/>
                      <w:szCs w:val="21"/>
                      <w:highlight w:val="none"/>
                    </w:rPr>
                  </w:pPr>
                </w:p>
              </w:tc>
              <w:tc>
                <w:tcPr>
                  <w:tcW w:w="590" w:type="pct"/>
                  <w:vMerge w:val="continue"/>
                  <w:tcBorders>
                    <w:tl2br w:val="nil"/>
                    <w:tr2bl w:val="nil"/>
                  </w:tcBorders>
                  <w:vAlign w:val="center"/>
                </w:tcPr>
                <w:p>
                  <w:pPr>
                    <w:spacing w:line="0" w:lineRule="atLeast"/>
                    <w:jc w:val="center"/>
                    <w:rPr>
                      <w:rFonts w:ascii="Times New Roman" w:hAnsi="Times New Roman" w:eastAsia="宋体" w:cs="Times New Roman"/>
                      <w:color w:val="auto"/>
                      <w:sz w:val="21"/>
                      <w:szCs w:val="21"/>
                      <w:highlight w:val="none"/>
                    </w:rPr>
                  </w:pPr>
                </w:p>
              </w:tc>
              <w:tc>
                <w:tcPr>
                  <w:tcW w:w="620" w:type="pct"/>
                  <w:tcBorders>
                    <w:tl2br w:val="nil"/>
                    <w:tr2bl w:val="nil"/>
                  </w:tcBorders>
                  <w:vAlign w:val="center"/>
                </w:tcPr>
                <w:p>
                  <w:pPr>
                    <w:spacing w:line="0" w:lineRule="atLeast"/>
                    <w:jc w:val="center"/>
                    <w:rPr>
                      <w:rFonts w:ascii="Times New Roman" w:hAnsi="Times New Roman" w:cs="Times New Roman"/>
                      <w:b/>
                      <w:bCs/>
                      <w:color w:val="auto"/>
                      <w:spacing w:val="-17"/>
                      <w:sz w:val="21"/>
                      <w:szCs w:val="21"/>
                      <w:highlight w:val="none"/>
                    </w:rPr>
                  </w:pPr>
                  <w:r>
                    <w:rPr>
                      <w:rFonts w:ascii="Times New Roman" w:hAnsi="Times New Roman" w:cs="Times New Roman"/>
                      <w:b/>
                      <w:bCs/>
                      <w:color w:val="auto"/>
                      <w:spacing w:val="-17"/>
                      <w:sz w:val="21"/>
                      <w:szCs w:val="21"/>
                      <w:highlight w:val="none"/>
                    </w:rPr>
                    <w:t>浓度</w:t>
                  </w:r>
                  <w:r>
                    <w:rPr>
                      <w:rFonts w:ascii="Times New Roman" w:hAnsi="Times New Roman" w:eastAsia="宋体" w:cs="Times New Roman"/>
                      <w:b/>
                      <w:bCs/>
                      <w:color w:val="auto"/>
                      <w:spacing w:val="-17"/>
                      <w:sz w:val="21"/>
                      <w:szCs w:val="21"/>
                      <w:highlight w:val="none"/>
                    </w:rPr>
                    <w:t>（</w:t>
                  </w:r>
                  <w:r>
                    <w:rPr>
                      <w:rFonts w:ascii="Times New Roman" w:hAnsi="Times New Roman" w:cs="Times New Roman"/>
                      <w:b/>
                      <w:bCs/>
                      <w:color w:val="auto"/>
                      <w:spacing w:val="-17"/>
                      <w:sz w:val="21"/>
                      <w:szCs w:val="21"/>
                      <w:highlight w:val="none"/>
                    </w:rPr>
                    <w:t>mg/m</w:t>
                  </w:r>
                  <w:r>
                    <w:rPr>
                      <w:rFonts w:ascii="Times New Roman" w:hAnsi="Times New Roman" w:cs="Times New Roman"/>
                      <w:b/>
                      <w:bCs/>
                      <w:color w:val="auto"/>
                      <w:spacing w:val="-17"/>
                      <w:sz w:val="21"/>
                      <w:szCs w:val="21"/>
                      <w:highlight w:val="none"/>
                      <w:vertAlign w:val="superscript"/>
                    </w:rPr>
                    <w:t>3</w:t>
                  </w:r>
                  <w:r>
                    <w:rPr>
                      <w:rFonts w:ascii="Times New Roman" w:hAnsi="Times New Roman" w:eastAsia="宋体" w:cs="Times New Roman"/>
                      <w:b/>
                      <w:bCs/>
                      <w:color w:val="auto"/>
                      <w:spacing w:val="-17"/>
                      <w:sz w:val="21"/>
                      <w:szCs w:val="21"/>
                      <w:highlight w:val="none"/>
                    </w:rPr>
                    <w:t>）</w:t>
                  </w:r>
                </w:p>
              </w:tc>
              <w:tc>
                <w:tcPr>
                  <w:tcW w:w="523" w:type="pct"/>
                  <w:tcBorders>
                    <w:tl2br w:val="nil"/>
                    <w:tr2bl w:val="nil"/>
                  </w:tcBorders>
                  <w:vAlign w:val="center"/>
                </w:tcPr>
                <w:p>
                  <w:pPr>
                    <w:spacing w:line="0" w:lineRule="atLeast"/>
                    <w:jc w:val="center"/>
                    <w:rPr>
                      <w:rFonts w:ascii="Times New Roman" w:hAnsi="Times New Roman" w:cs="Times New Roman"/>
                      <w:b/>
                      <w:bCs/>
                      <w:color w:val="auto"/>
                      <w:spacing w:val="-17"/>
                      <w:sz w:val="21"/>
                      <w:szCs w:val="21"/>
                      <w:highlight w:val="none"/>
                    </w:rPr>
                  </w:pPr>
                  <w:r>
                    <w:rPr>
                      <w:rFonts w:ascii="Times New Roman" w:hAnsi="Times New Roman" w:cs="Times New Roman"/>
                      <w:b/>
                      <w:bCs/>
                      <w:color w:val="auto"/>
                      <w:spacing w:val="-17"/>
                      <w:sz w:val="21"/>
                      <w:szCs w:val="21"/>
                      <w:highlight w:val="none"/>
                    </w:rPr>
                    <w:t>速率</w:t>
                  </w:r>
                  <w:r>
                    <w:rPr>
                      <w:rFonts w:ascii="Times New Roman" w:hAnsi="Times New Roman" w:eastAsia="宋体" w:cs="Times New Roman"/>
                      <w:b/>
                      <w:bCs/>
                      <w:color w:val="auto"/>
                      <w:spacing w:val="-17"/>
                      <w:sz w:val="21"/>
                      <w:szCs w:val="21"/>
                      <w:highlight w:val="none"/>
                    </w:rPr>
                    <w:t>（kg/h）</w:t>
                  </w:r>
                </w:p>
              </w:tc>
              <w:tc>
                <w:tcPr>
                  <w:tcW w:w="446" w:type="pct"/>
                  <w:tcBorders>
                    <w:tl2br w:val="nil"/>
                    <w:tr2bl w:val="nil"/>
                  </w:tcBorders>
                  <w:vAlign w:val="center"/>
                </w:tcPr>
                <w:p>
                  <w:pPr>
                    <w:spacing w:line="0" w:lineRule="atLeast"/>
                    <w:jc w:val="center"/>
                    <w:rPr>
                      <w:rFonts w:ascii="Times New Roman" w:hAnsi="Times New Roman" w:cs="Times New Roman"/>
                      <w:b/>
                      <w:bCs/>
                      <w:color w:val="auto"/>
                      <w:spacing w:val="-17"/>
                      <w:sz w:val="21"/>
                      <w:szCs w:val="21"/>
                      <w:highlight w:val="none"/>
                    </w:rPr>
                  </w:pPr>
                  <w:r>
                    <w:rPr>
                      <w:rFonts w:ascii="Times New Roman" w:hAnsi="Times New Roman" w:cs="Times New Roman"/>
                      <w:b/>
                      <w:bCs/>
                      <w:color w:val="auto"/>
                      <w:spacing w:val="-17"/>
                      <w:sz w:val="21"/>
                      <w:szCs w:val="21"/>
                      <w:highlight w:val="none"/>
                    </w:rPr>
                    <w:t>量</w:t>
                  </w:r>
                  <w:r>
                    <w:rPr>
                      <w:rFonts w:ascii="Times New Roman" w:hAnsi="Times New Roman" w:eastAsia="宋体" w:cs="Times New Roman"/>
                      <w:b/>
                      <w:bCs/>
                      <w:color w:val="auto"/>
                      <w:spacing w:val="-17"/>
                      <w:sz w:val="21"/>
                      <w:szCs w:val="21"/>
                      <w:highlight w:val="none"/>
                    </w:rPr>
                    <w:t>（t/a）</w:t>
                  </w:r>
                </w:p>
              </w:tc>
              <w:tc>
                <w:tcPr>
                  <w:tcW w:w="535" w:type="pct"/>
                  <w:tcBorders>
                    <w:tl2br w:val="nil"/>
                    <w:tr2bl w:val="nil"/>
                  </w:tcBorders>
                  <w:vAlign w:val="center"/>
                </w:tcPr>
                <w:p>
                  <w:pPr>
                    <w:spacing w:line="0" w:lineRule="atLeast"/>
                    <w:jc w:val="center"/>
                    <w:rPr>
                      <w:rFonts w:ascii="Times New Roman" w:hAnsi="Times New Roman" w:eastAsia="宋体" w:cs="Times New Roman"/>
                      <w:b/>
                      <w:bCs/>
                      <w:color w:val="auto"/>
                      <w:spacing w:val="-17"/>
                      <w:sz w:val="21"/>
                      <w:szCs w:val="21"/>
                      <w:highlight w:val="none"/>
                    </w:rPr>
                  </w:pPr>
                  <w:r>
                    <w:rPr>
                      <w:rFonts w:ascii="Times New Roman" w:hAnsi="Times New Roman" w:eastAsia="宋体" w:cs="Times New Roman"/>
                      <w:b/>
                      <w:bCs/>
                      <w:color w:val="auto"/>
                      <w:spacing w:val="-17"/>
                      <w:sz w:val="21"/>
                      <w:szCs w:val="21"/>
                      <w:highlight w:val="none"/>
                    </w:rPr>
                    <w:t>废气量（</w:t>
                  </w:r>
                  <w:r>
                    <w:rPr>
                      <w:rFonts w:ascii="Times New Roman" w:hAnsi="Times New Roman" w:cs="Times New Roman"/>
                      <w:b/>
                      <w:bCs/>
                      <w:color w:val="auto"/>
                      <w:spacing w:val="-17"/>
                      <w:sz w:val="21"/>
                      <w:szCs w:val="21"/>
                      <w:highlight w:val="none"/>
                    </w:rPr>
                    <w:t>m</w:t>
                  </w:r>
                  <w:r>
                    <w:rPr>
                      <w:rFonts w:ascii="Times New Roman" w:hAnsi="Times New Roman" w:cs="Times New Roman"/>
                      <w:b/>
                      <w:bCs/>
                      <w:color w:val="auto"/>
                      <w:spacing w:val="-17"/>
                      <w:sz w:val="21"/>
                      <w:szCs w:val="21"/>
                      <w:highlight w:val="none"/>
                      <w:vertAlign w:val="superscript"/>
                    </w:rPr>
                    <w:t>3</w:t>
                  </w:r>
                  <w:r>
                    <w:rPr>
                      <w:rFonts w:ascii="Times New Roman" w:hAnsi="Times New Roman" w:cs="Times New Roman"/>
                      <w:b/>
                      <w:bCs/>
                      <w:color w:val="auto"/>
                      <w:spacing w:val="-17"/>
                      <w:sz w:val="21"/>
                      <w:szCs w:val="21"/>
                      <w:highlight w:val="none"/>
                    </w:rPr>
                    <w:t>/</w:t>
                  </w:r>
                  <w:r>
                    <w:rPr>
                      <w:rFonts w:hint="eastAsia" w:ascii="Times New Roman" w:hAnsi="Times New Roman" w:cs="Times New Roman"/>
                      <w:b/>
                      <w:bCs/>
                      <w:color w:val="auto"/>
                      <w:spacing w:val="-17"/>
                      <w:sz w:val="21"/>
                      <w:szCs w:val="21"/>
                      <w:highlight w:val="none"/>
                      <w:lang w:val="en-US" w:eastAsia="zh-CN"/>
                    </w:rPr>
                    <w:t>h</w:t>
                  </w:r>
                  <w:r>
                    <w:rPr>
                      <w:rFonts w:ascii="Times New Roman" w:hAnsi="Times New Roman" w:eastAsia="宋体" w:cs="Times New Roman"/>
                      <w:b/>
                      <w:bCs/>
                      <w:color w:val="auto"/>
                      <w:spacing w:val="-17"/>
                      <w:sz w:val="21"/>
                      <w:szCs w:val="21"/>
                      <w:highlight w:val="none"/>
                    </w:rPr>
                    <w:t>）</w:t>
                  </w:r>
                </w:p>
              </w:tc>
              <w:tc>
                <w:tcPr>
                  <w:tcW w:w="444" w:type="pct"/>
                  <w:tcBorders>
                    <w:tl2br w:val="nil"/>
                    <w:tr2bl w:val="nil"/>
                  </w:tcBorders>
                  <w:vAlign w:val="center"/>
                </w:tcPr>
                <w:p>
                  <w:pPr>
                    <w:spacing w:line="0" w:lineRule="atLeast"/>
                    <w:jc w:val="center"/>
                    <w:rPr>
                      <w:rFonts w:ascii="Times New Roman" w:hAnsi="Times New Roman" w:eastAsia="宋体" w:cs="Times New Roman"/>
                      <w:b/>
                      <w:bCs/>
                      <w:color w:val="auto"/>
                      <w:spacing w:val="-17"/>
                      <w:sz w:val="21"/>
                      <w:szCs w:val="21"/>
                      <w:highlight w:val="none"/>
                    </w:rPr>
                  </w:pPr>
                  <w:r>
                    <w:rPr>
                      <w:rFonts w:ascii="Times New Roman" w:hAnsi="Times New Roman" w:eastAsia="宋体" w:cs="Times New Roman"/>
                      <w:b/>
                      <w:bCs/>
                      <w:color w:val="auto"/>
                      <w:spacing w:val="-17"/>
                      <w:sz w:val="21"/>
                      <w:szCs w:val="21"/>
                      <w:highlight w:val="none"/>
                    </w:rPr>
                    <w:t>效率（%）</w:t>
                  </w:r>
                </w:p>
              </w:tc>
              <w:tc>
                <w:tcPr>
                  <w:tcW w:w="620" w:type="pct"/>
                  <w:tcBorders>
                    <w:tl2br w:val="nil"/>
                    <w:tr2bl w:val="nil"/>
                  </w:tcBorders>
                  <w:vAlign w:val="center"/>
                </w:tcPr>
                <w:p>
                  <w:pPr>
                    <w:spacing w:line="0" w:lineRule="atLeast"/>
                    <w:jc w:val="center"/>
                    <w:rPr>
                      <w:rFonts w:ascii="Times New Roman" w:hAnsi="Times New Roman" w:cs="Times New Roman"/>
                      <w:b/>
                      <w:bCs/>
                      <w:color w:val="auto"/>
                      <w:spacing w:val="-17"/>
                      <w:sz w:val="21"/>
                      <w:szCs w:val="21"/>
                      <w:highlight w:val="none"/>
                    </w:rPr>
                  </w:pPr>
                  <w:r>
                    <w:rPr>
                      <w:rFonts w:ascii="Times New Roman" w:hAnsi="Times New Roman" w:cs="Times New Roman"/>
                      <w:b/>
                      <w:bCs/>
                      <w:color w:val="auto"/>
                      <w:spacing w:val="-17"/>
                      <w:sz w:val="21"/>
                      <w:szCs w:val="21"/>
                      <w:highlight w:val="none"/>
                    </w:rPr>
                    <w:t>浓度</w:t>
                  </w:r>
                  <w:r>
                    <w:rPr>
                      <w:rFonts w:ascii="Times New Roman" w:hAnsi="Times New Roman" w:eastAsia="宋体" w:cs="Times New Roman"/>
                      <w:b/>
                      <w:bCs/>
                      <w:color w:val="auto"/>
                      <w:spacing w:val="-17"/>
                      <w:sz w:val="21"/>
                      <w:szCs w:val="21"/>
                      <w:highlight w:val="none"/>
                    </w:rPr>
                    <w:t>（</w:t>
                  </w:r>
                  <w:r>
                    <w:rPr>
                      <w:rFonts w:ascii="Times New Roman" w:hAnsi="Times New Roman" w:cs="Times New Roman"/>
                      <w:b/>
                      <w:bCs/>
                      <w:color w:val="auto"/>
                      <w:spacing w:val="-17"/>
                      <w:sz w:val="21"/>
                      <w:szCs w:val="21"/>
                      <w:highlight w:val="none"/>
                    </w:rPr>
                    <w:t>mg/m</w:t>
                  </w:r>
                  <w:r>
                    <w:rPr>
                      <w:rFonts w:ascii="Times New Roman" w:hAnsi="Times New Roman" w:cs="Times New Roman"/>
                      <w:b/>
                      <w:bCs/>
                      <w:color w:val="auto"/>
                      <w:spacing w:val="-17"/>
                      <w:sz w:val="21"/>
                      <w:szCs w:val="21"/>
                      <w:highlight w:val="none"/>
                      <w:vertAlign w:val="superscript"/>
                    </w:rPr>
                    <w:t>3</w:t>
                  </w:r>
                  <w:r>
                    <w:rPr>
                      <w:rFonts w:ascii="Times New Roman" w:hAnsi="Times New Roman" w:eastAsia="宋体" w:cs="Times New Roman"/>
                      <w:b/>
                      <w:bCs/>
                      <w:color w:val="auto"/>
                      <w:spacing w:val="-17"/>
                      <w:sz w:val="21"/>
                      <w:szCs w:val="21"/>
                      <w:highlight w:val="none"/>
                    </w:rPr>
                    <w:t>）</w:t>
                  </w:r>
                </w:p>
              </w:tc>
              <w:tc>
                <w:tcPr>
                  <w:tcW w:w="523" w:type="pct"/>
                  <w:tcBorders>
                    <w:tl2br w:val="nil"/>
                    <w:tr2bl w:val="nil"/>
                  </w:tcBorders>
                  <w:vAlign w:val="center"/>
                </w:tcPr>
                <w:p>
                  <w:pPr>
                    <w:spacing w:line="0" w:lineRule="atLeast"/>
                    <w:jc w:val="center"/>
                    <w:rPr>
                      <w:rFonts w:ascii="Times New Roman" w:hAnsi="Times New Roman" w:eastAsia="宋体" w:cs="Times New Roman"/>
                      <w:b/>
                      <w:bCs/>
                      <w:color w:val="auto"/>
                      <w:spacing w:val="-17"/>
                      <w:sz w:val="21"/>
                      <w:szCs w:val="21"/>
                      <w:highlight w:val="none"/>
                    </w:rPr>
                  </w:pPr>
                  <w:r>
                    <w:rPr>
                      <w:rFonts w:ascii="Times New Roman" w:hAnsi="Times New Roman" w:cs="Times New Roman"/>
                      <w:b/>
                      <w:bCs/>
                      <w:color w:val="auto"/>
                      <w:spacing w:val="-17"/>
                      <w:sz w:val="21"/>
                      <w:szCs w:val="21"/>
                      <w:highlight w:val="none"/>
                    </w:rPr>
                    <w:t>速率</w:t>
                  </w:r>
                  <w:r>
                    <w:rPr>
                      <w:rFonts w:ascii="Times New Roman" w:hAnsi="Times New Roman" w:eastAsia="宋体" w:cs="Times New Roman"/>
                      <w:b/>
                      <w:bCs/>
                      <w:color w:val="auto"/>
                      <w:spacing w:val="-17"/>
                      <w:sz w:val="21"/>
                      <w:szCs w:val="21"/>
                      <w:highlight w:val="none"/>
                    </w:rPr>
                    <w:t>（kg/h）</w:t>
                  </w:r>
                </w:p>
              </w:tc>
              <w:tc>
                <w:tcPr>
                  <w:tcW w:w="447" w:type="pct"/>
                  <w:tcBorders>
                    <w:tl2br w:val="nil"/>
                    <w:tr2bl w:val="nil"/>
                  </w:tcBorders>
                  <w:vAlign w:val="center"/>
                </w:tcPr>
                <w:p>
                  <w:pPr>
                    <w:spacing w:line="0" w:lineRule="atLeast"/>
                    <w:jc w:val="center"/>
                    <w:rPr>
                      <w:rFonts w:ascii="Times New Roman" w:hAnsi="Times New Roman" w:eastAsia="宋体" w:cs="Times New Roman"/>
                      <w:b/>
                      <w:bCs/>
                      <w:color w:val="auto"/>
                      <w:spacing w:val="-17"/>
                      <w:sz w:val="21"/>
                      <w:szCs w:val="21"/>
                      <w:highlight w:val="none"/>
                    </w:rPr>
                  </w:pPr>
                  <w:r>
                    <w:rPr>
                      <w:rFonts w:ascii="Times New Roman" w:hAnsi="Times New Roman" w:cs="Times New Roman"/>
                      <w:b/>
                      <w:bCs/>
                      <w:color w:val="auto"/>
                      <w:spacing w:val="-17"/>
                      <w:sz w:val="21"/>
                      <w:szCs w:val="21"/>
                      <w:highlight w:val="none"/>
                    </w:rPr>
                    <w:t>量</w:t>
                  </w:r>
                  <w:r>
                    <w:rPr>
                      <w:rFonts w:ascii="Times New Roman" w:hAnsi="Times New Roman" w:eastAsia="宋体" w:cs="Times New Roman"/>
                      <w:b/>
                      <w:bCs/>
                      <w:color w:val="auto"/>
                      <w:spacing w:val="-17"/>
                      <w:sz w:val="21"/>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 w:type="pct"/>
                  <w:tcBorders>
                    <w:tl2br w:val="nil"/>
                    <w:tr2bl w:val="nil"/>
                  </w:tcBorders>
                  <w:vAlign w:val="center"/>
                </w:tcPr>
                <w:p>
                  <w:pPr>
                    <w:spacing w:line="320" w:lineRule="exact"/>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煤库</w:t>
                  </w:r>
                </w:p>
              </w:tc>
              <w:tc>
                <w:tcPr>
                  <w:tcW w:w="590" w:type="pct"/>
                  <w:tcBorders>
                    <w:tl2br w:val="nil"/>
                    <w:tr2bl w:val="nil"/>
                  </w:tcBorders>
                  <w:vAlign w:val="center"/>
                </w:tcPr>
                <w:p>
                  <w:pPr>
                    <w:spacing w:line="0" w:lineRule="atLeast"/>
                    <w:jc w:val="center"/>
                    <w:rPr>
                      <w:rFonts w:hint="eastAsia" w:ascii="Times New Roman" w:hAnsi="Times New Roman" w:cs="Times New Roman" w:eastAsiaTheme="minorEastAsia"/>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颗粒物</w:t>
                  </w:r>
                </w:p>
              </w:tc>
              <w:tc>
                <w:tcPr>
                  <w:tcW w:w="62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52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0.275</w:t>
                  </w:r>
                </w:p>
              </w:tc>
              <w:tc>
                <w:tcPr>
                  <w:tcW w:w="44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0.799</w:t>
                  </w:r>
                </w:p>
              </w:tc>
              <w:tc>
                <w:tcPr>
                  <w:tcW w:w="535"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44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80</w:t>
                  </w:r>
                </w:p>
              </w:tc>
              <w:tc>
                <w:tcPr>
                  <w:tcW w:w="62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52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0.055</w:t>
                  </w:r>
                </w:p>
              </w:tc>
              <w:tc>
                <w:tcPr>
                  <w:tcW w:w="44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 w:type="pct"/>
                  <w:tcBorders>
                    <w:tl2br w:val="nil"/>
                    <w:tr2bl w:val="nil"/>
                  </w:tcBorders>
                  <w:vAlign w:val="center"/>
                </w:tcPr>
                <w:p>
                  <w:pPr>
                    <w:spacing w:line="320" w:lineRule="exact"/>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食堂油烟</w:t>
                  </w:r>
                </w:p>
              </w:tc>
              <w:tc>
                <w:tcPr>
                  <w:tcW w:w="590" w:type="pct"/>
                  <w:tcBorders>
                    <w:tl2br w:val="nil"/>
                    <w:tr2bl w:val="nil"/>
                  </w:tcBorders>
                  <w:vAlign w:val="center"/>
                </w:tcPr>
                <w:p>
                  <w:pPr>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油烟</w:t>
                  </w:r>
                </w:p>
              </w:tc>
              <w:tc>
                <w:tcPr>
                  <w:tcW w:w="620"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2.08</w:t>
                  </w:r>
                </w:p>
              </w:tc>
              <w:tc>
                <w:tcPr>
                  <w:tcW w:w="523"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0.02</w:t>
                  </w:r>
                </w:p>
              </w:tc>
              <w:tc>
                <w:tcPr>
                  <w:tcW w:w="446"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0.145</w:t>
                  </w:r>
                </w:p>
              </w:tc>
              <w:tc>
                <w:tcPr>
                  <w:tcW w:w="535" w:type="pct"/>
                  <w:tcBorders>
                    <w:tl2br w:val="nil"/>
                    <w:tr2bl w:val="nil"/>
                  </w:tcBorders>
                  <w:vAlign w:val="center"/>
                </w:tcPr>
                <w:p>
                  <w:pPr>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8000</w:t>
                  </w:r>
                </w:p>
              </w:tc>
              <w:tc>
                <w:tcPr>
                  <w:tcW w:w="444" w:type="pct"/>
                  <w:tcBorders>
                    <w:tl2br w:val="nil"/>
                    <w:tr2bl w:val="nil"/>
                  </w:tcBorders>
                  <w:vAlign w:val="center"/>
                </w:tcPr>
                <w:p>
                  <w:pPr>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75</w:t>
                  </w:r>
                </w:p>
              </w:tc>
              <w:tc>
                <w:tcPr>
                  <w:tcW w:w="620"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0.52</w:t>
                  </w:r>
                </w:p>
              </w:tc>
              <w:tc>
                <w:tcPr>
                  <w:tcW w:w="523"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0.012</w:t>
                  </w:r>
                </w:p>
              </w:tc>
              <w:tc>
                <w:tcPr>
                  <w:tcW w:w="447"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 w:type="pct"/>
                  <w:vMerge w:val="restart"/>
                  <w:tcBorders>
                    <w:tl2br w:val="nil"/>
                    <w:tr2bl w:val="nil"/>
                  </w:tcBorders>
                  <w:vAlign w:val="center"/>
                </w:tcPr>
                <w:p>
                  <w:pPr>
                    <w:spacing w:line="320" w:lineRule="exact"/>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燃煤锅炉</w:t>
                  </w:r>
                </w:p>
              </w:tc>
              <w:tc>
                <w:tcPr>
                  <w:tcW w:w="5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bCs/>
                      <w:color w:val="auto"/>
                      <w:kern w:val="2"/>
                      <w:sz w:val="21"/>
                      <w:szCs w:val="21"/>
                      <w:highlight w:val="none"/>
                      <w:lang w:val="en-US" w:eastAsia="zh-CN"/>
                    </w:rPr>
                  </w:pPr>
                  <w:r>
                    <w:rPr>
                      <w:rFonts w:hint="default" w:ascii="Times New Roman" w:hAnsi="Times New Roman" w:cs="Times New Roman"/>
                      <w:b w:val="0"/>
                      <w:bCs/>
                      <w:color w:val="auto"/>
                      <w:sz w:val="21"/>
                      <w:szCs w:val="21"/>
                      <w:lang w:val="en-US" w:eastAsia="zh-CN"/>
                    </w:rPr>
                    <w:t>颗粒物</w:t>
                  </w:r>
                </w:p>
              </w:tc>
              <w:tc>
                <w:tcPr>
                  <w:tcW w:w="620"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2983.6</w:t>
                  </w:r>
                </w:p>
              </w:tc>
              <w:tc>
                <w:tcPr>
                  <w:tcW w:w="523"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121.4</w:t>
                  </w:r>
                </w:p>
              </w:tc>
              <w:tc>
                <w:tcPr>
                  <w:tcW w:w="446"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352.07</w:t>
                  </w:r>
                </w:p>
              </w:tc>
              <w:tc>
                <w:tcPr>
                  <w:tcW w:w="535" w:type="pct"/>
                  <w:vMerge w:val="restart"/>
                  <w:tcBorders>
                    <w:tl2br w:val="nil"/>
                    <w:tr2bl w:val="nil"/>
                  </w:tcBorders>
                  <w:vAlign w:val="center"/>
                </w:tcPr>
                <w:p>
                  <w:pPr>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highlight w:val="none"/>
                      <w:lang w:val="en-US" w:eastAsia="zh-CN"/>
                    </w:rPr>
                    <w:t>40689</w:t>
                  </w:r>
                </w:p>
              </w:tc>
              <w:tc>
                <w:tcPr>
                  <w:tcW w:w="444" w:type="pct"/>
                  <w:tcBorders>
                    <w:tl2br w:val="nil"/>
                    <w:tr2bl w:val="nil"/>
                  </w:tcBorders>
                  <w:vAlign w:val="center"/>
                </w:tcPr>
                <w:p>
                  <w:pPr>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99.7</w:t>
                  </w:r>
                </w:p>
              </w:tc>
              <w:tc>
                <w:tcPr>
                  <w:tcW w:w="620"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8.98</w:t>
                  </w:r>
                </w:p>
              </w:tc>
              <w:tc>
                <w:tcPr>
                  <w:tcW w:w="523"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0.36</w:t>
                  </w:r>
                </w:p>
              </w:tc>
              <w:tc>
                <w:tcPr>
                  <w:tcW w:w="447"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 w:type="pct"/>
                  <w:vMerge w:val="continue"/>
                  <w:tcBorders>
                    <w:tl2br w:val="nil"/>
                    <w:tr2bl w:val="nil"/>
                  </w:tcBorders>
                  <w:vAlign w:val="center"/>
                </w:tcPr>
                <w:p>
                  <w:pPr>
                    <w:spacing w:line="320" w:lineRule="exact"/>
                    <w:jc w:val="center"/>
                    <w:rPr>
                      <w:rFonts w:ascii="Times New Roman" w:hAnsi="Times New Roman" w:cs="Times New Roman"/>
                      <w:color w:val="auto"/>
                      <w:sz w:val="21"/>
                      <w:szCs w:val="21"/>
                      <w:highlight w:val="none"/>
                    </w:rPr>
                  </w:pPr>
                </w:p>
              </w:tc>
              <w:tc>
                <w:tcPr>
                  <w:tcW w:w="5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bCs/>
                      <w:color w:val="auto"/>
                      <w:kern w:val="2"/>
                      <w:sz w:val="21"/>
                      <w:szCs w:val="21"/>
                      <w:highlight w:val="none"/>
                      <w:lang w:val="en-US" w:eastAsia="zh-CN"/>
                    </w:rPr>
                  </w:pPr>
                  <w:r>
                    <w:rPr>
                      <w:rFonts w:hint="default" w:ascii="Times New Roman" w:hAnsi="Times New Roman" w:cs="Times New Roman"/>
                      <w:b w:val="0"/>
                      <w:bCs/>
                      <w:color w:val="auto"/>
                      <w:sz w:val="21"/>
                      <w:szCs w:val="21"/>
                      <w:lang w:val="en-US" w:eastAsia="zh-CN"/>
                    </w:rPr>
                    <w:t>SO</w:t>
                  </w:r>
                  <w:r>
                    <w:rPr>
                      <w:rFonts w:hint="default" w:ascii="Times New Roman" w:hAnsi="Times New Roman" w:cs="Times New Roman"/>
                      <w:b w:val="0"/>
                      <w:bCs/>
                      <w:color w:val="auto"/>
                      <w:sz w:val="21"/>
                      <w:szCs w:val="21"/>
                      <w:vertAlign w:val="subscript"/>
                      <w:lang w:val="en-US" w:eastAsia="zh-CN"/>
                    </w:rPr>
                    <w:t>2</w:t>
                  </w:r>
                </w:p>
              </w:tc>
              <w:tc>
                <w:tcPr>
                  <w:tcW w:w="620"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238.1</w:t>
                  </w:r>
                </w:p>
              </w:tc>
              <w:tc>
                <w:tcPr>
                  <w:tcW w:w="523"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9.68</w:t>
                  </w:r>
                </w:p>
              </w:tc>
              <w:tc>
                <w:tcPr>
                  <w:tcW w:w="446"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28.1</w:t>
                  </w:r>
                </w:p>
              </w:tc>
              <w:tc>
                <w:tcPr>
                  <w:tcW w:w="535" w:type="pct"/>
                  <w:vMerge w:val="continue"/>
                  <w:tcBorders>
                    <w:tl2br w:val="nil"/>
                    <w:tr2bl w:val="nil"/>
                  </w:tcBorders>
                  <w:vAlign w:val="center"/>
                </w:tcPr>
                <w:p>
                  <w:pPr>
                    <w:jc w:val="center"/>
                    <w:rPr>
                      <w:rFonts w:ascii="Times New Roman" w:hAnsi="Times New Roman" w:eastAsia="宋体" w:cs="Times New Roman"/>
                      <w:color w:val="auto"/>
                      <w:kern w:val="0"/>
                      <w:sz w:val="21"/>
                      <w:szCs w:val="21"/>
                      <w:highlight w:val="none"/>
                      <w:lang w:bidi="ar"/>
                    </w:rPr>
                  </w:pPr>
                </w:p>
              </w:tc>
              <w:tc>
                <w:tcPr>
                  <w:tcW w:w="444" w:type="pct"/>
                  <w:tcBorders>
                    <w:tl2br w:val="nil"/>
                    <w:tr2bl w:val="nil"/>
                  </w:tcBorders>
                  <w:vAlign w:val="center"/>
                </w:tcPr>
                <w:p>
                  <w:pPr>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90</w:t>
                  </w:r>
                </w:p>
              </w:tc>
              <w:tc>
                <w:tcPr>
                  <w:tcW w:w="620"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23.8</w:t>
                  </w:r>
                </w:p>
              </w:tc>
              <w:tc>
                <w:tcPr>
                  <w:tcW w:w="523"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0.96</w:t>
                  </w:r>
                </w:p>
              </w:tc>
              <w:tc>
                <w:tcPr>
                  <w:tcW w:w="447"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 w:type="pct"/>
                  <w:vMerge w:val="continue"/>
                  <w:tcBorders>
                    <w:tl2br w:val="nil"/>
                    <w:tr2bl w:val="nil"/>
                  </w:tcBorders>
                  <w:vAlign w:val="center"/>
                </w:tcPr>
                <w:p>
                  <w:pPr>
                    <w:spacing w:line="320" w:lineRule="exact"/>
                    <w:jc w:val="center"/>
                    <w:rPr>
                      <w:rFonts w:ascii="Times New Roman" w:hAnsi="Times New Roman" w:cs="Times New Roman"/>
                      <w:color w:val="auto"/>
                      <w:sz w:val="21"/>
                      <w:szCs w:val="21"/>
                      <w:highlight w:val="none"/>
                    </w:rPr>
                  </w:pPr>
                </w:p>
              </w:tc>
              <w:tc>
                <w:tcPr>
                  <w:tcW w:w="5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bCs/>
                      <w:color w:val="auto"/>
                      <w:kern w:val="2"/>
                      <w:sz w:val="21"/>
                      <w:szCs w:val="21"/>
                      <w:highlight w:val="none"/>
                      <w:lang w:val="en-US" w:eastAsia="zh-CN"/>
                    </w:rPr>
                  </w:pPr>
                  <w:r>
                    <w:rPr>
                      <w:rFonts w:hint="default" w:ascii="Times New Roman" w:hAnsi="Times New Roman" w:cs="Times New Roman"/>
                      <w:b w:val="0"/>
                      <w:bCs/>
                      <w:color w:val="auto"/>
                      <w:sz w:val="21"/>
                      <w:szCs w:val="21"/>
                      <w:lang w:val="en-US" w:eastAsia="zh-CN"/>
                    </w:rPr>
                    <w:t>NOx</w:t>
                  </w:r>
                </w:p>
              </w:tc>
              <w:tc>
                <w:tcPr>
                  <w:tcW w:w="620"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262.8</w:t>
                  </w:r>
                </w:p>
              </w:tc>
              <w:tc>
                <w:tcPr>
                  <w:tcW w:w="523" w:type="pct"/>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10.69</w:t>
                  </w:r>
                </w:p>
              </w:tc>
              <w:tc>
                <w:tcPr>
                  <w:tcW w:w="446"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31.02</w:t>
                  </w:r>
                </w:p>
              </w:tc>
              <w:tc>
                <w:tcPr>
                  <w:tcW w:w="535" w:type="pct"/>
                  <w:vMerge w:val="continue"/>
                  <w:tcBorders>
                    <w:tl2br w:val="nil"/>
                    <w:tr2bl w:val="nil"/>
                  </w:tcBorders>
                  <w:vAlign w:val="center"/>
                </w:tcPr>
                <w:p>
                  <w:pPr>
                    <w:jc w:val="center"/>
                    <w:rPr>
                      <w:rFonts w:ascii="Times New Roman" w:hAnsi="Times New Roman" w:eastAsia="宋体" w:cs="Times New Roman"/>
                      <w:color w:val="auto"/>
                      <w:kern w:val="0"/>
                      <w:sz w:val="21"/>
                      <w:szCs w:val="21"/>
                      <w:highlight w:val="none"/>
                      <w:lang w:bidi="ar"/>
                    </w:rPr>
                  </w:pPr>
                </w:p>
              </w:tc>
              <w:tc>
                <w:tcPr>
                  <w:tcW w:w="444" w:type="pct"/>
                  <w:tcBorders>
                    <w:tl2br w:val="nil"/>
                    <w:tr2bl w:val="nil"/>
                  </w:tcBorders>
                  <w:vAlign w:val="center"/>
                </w:tcPr>
                <w:p>
                  <w:pPr>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87.5</w:t>
                  </w:r>
                </w:p>
              </w:tc>
              <w:tc>
                <w:tcPr>
                  <w:tcW w:w="620"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32.88</w:t>
                  </w:r>
                </w:p>
              </w:tc>
              <w:tc>
                <w:tcPr>
                  <w:tcW w:w="523"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1.34</w:t>
                  </w:r>
                </w:p>
              </w:tc>
              <w:tc>
                <w:tcPr>
                  <w:tcW w:w="447"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 w:type="pct"/>
                  <w:vMerge w:val="continue"/>
                  <w:tcBorders>
                    <w:tl2br w:val="nil"/>
                    <w:tr2bl w:val="nil"/>
                  </w:tcBorders>
                  <w:vAlign w:val="center"/>
                </w:tcPr>
                <w:p>
                  <w:pPr>
                    <w:spacing w:line="320" w:lineRule="exact"/>
                    <w:jc w:val="center"/>
                    <w:rPr>
                      <w:rFonts w:ascii="Times New Roman" w:hAnsi="Times New Roman" w:cs="Times New Roman"/>
                      <w:color w:val="auto"/>
                      <w:sz w:val="21"/>
                      <w:szCs w:val="21"/>
                      <w:highlight w:val="none"/>
                    </w:rPr>
                  </w:pPr>
                </w:p>
              </w:tc>
              <w:tc>
                <w:tcPr>
                  <w:tcW w:w="5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bCs/>
                      <w:color w:val="auto"/>
                      <w:kern w:val="2"/>
                      <w:sz w:val="21"/>
                      <w:szCs w:val="21"/>
                      <w:highlight w:val="none"/>
                      <w:lang w:val="en-US" w:eastAsia="zh-CN"/>
                    </w:rPr>
                  </w:pPr>
                  <w:r>
                    <w:rPr>
                      <w:rFonts w:hint="default" w:ascii="Times New Roman" w:hAnsi="Times New Roman" w:cs="Times New Roman"/>
                      <w:b w:val="0"/>
                      <w:bCs/>
                      <w:color w:val="auto"/>
                      <w:sz w:val="21"/>
                      <w:szCs w:val="21"/>
                      <w:lang w:val="en-US" w:eastAsia="zh-CN"/>
                    </w:rPr>
                    <w:t>汞及其化合物</w:t>
                  </w:r>
                </w:p>
              </w:tc>
              <w:tc>
                <w:tcPr>
                  <w:tcW w:w="1049" w:type="dxa"/>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0.0012</w:t>
                  </w:r>
                </w:p>
              </w:tc>
              <w:tc>
                <w:tcPr>
                  <w:tcW w:w="885" w:type="dxa"/>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0.00007</w:t>
                  </w:r>
                </w:p>
              </w:tc>
              <w:tc>
                <w:tcPr>
                  <w:tcW w:w="755" w:type="dxa"/>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0.00021</w:t>
                  </w:r>
                </w:p>
              </w:tc>
              <w:tc>
                <w:tcPr>
                  <w:tcW w:w="535" w:type="pct"/>
                  <w:vMerge w:val="continue"/>
                  <w:tcBorders>
                    <w:tl2br w:val="nil"/>
                    <w:tr2bl w:val="nil"/>
                  </w:tcBorders>
                  <w:vAlign w:val="center"/>
                </w:tcPr>
                <w:p>
                  <w:pPr>
                    <w:jc w:val="center"/>
                    <w:rPr>
                      <w:rFonts w:ascii="Times New Roman" w:hAnsi="Times New Roman" w:eastAsia="宋体" w:cs="Times New Roman"/>
                      <w:color w:val="auto"/>
                      <w:kern w:val="0"/>
                      <w:sz w:val="21"/>
                      <w:szCs w:val="21"/>
                      <w:highlight w:val="none"/>
                      <w:lang w:bidi="ar"/>
                    </w:rPr>
                  </w:pPr>
                </w:p>
              </w:tc>
              <w:tc>
                <w:tcPr>
                  <w:tcW w:w="444" w:type="pct"/>
                  <w:tcBorders>
                    <w:tl2br w:val="nil"/>
                    <w:tr2bl w:val="nil"/>
                  </w:tcBorders>
                  <w:vAlign w:val="center"/>
                </w:tcPr>
                <w:p>
                  <w:pPr>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620"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0.0012</w:t>
                  </w:r>
                </w:p>
              </w:tc>
              <w:tc>
                <w:tcPr>
                  <w:tcW w:w="523"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0.00007</w:t>
                  </w:r>
                </w:p>
              </w:tc>
              <w:tc>
                <w:tcPr>
                  <w:tcW w:w="447"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0.00021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 w:type="pct"/>
                  <w:vMerge w:val="continue"/>
                  <w:tcBorders>
                    <w:tl2br w:val="nil"/>
                    <w:tr2bl w:val="nil"/>
                  </w:tcBorders>
                  <w:vAlign w:val="center"/>
                </w:tcPr>
                <w:p>
                  <w:pPr>
                    <w:spacing w:line="320" w:lineRule="exact"/>
                    <w:jc w:val="center"/>
                    <w:rPr>
                      <w:rFonts w:ascii="Times New Roman" w:hAnsi="Times New Roman" w:cs="Times New Roman"/>
                      <w:color w:val="auto"/>
                      <w:sz w:val="21"/>
                      <w:szCs w:val="21"/>
                      <w:highlight w:val="none"/>
                    </w:rPr>
                  </w:pPr>
                </w:p>
              </w:tc>
              <w:tc>
                <w:tcPr>
                  <w:tcW w:w="5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bCs/>
                      <w:color w:val="auto"/>
                      <w:kern w:val="2"/>
                      <w:sz w:val="21"/>
                      <w:szCs w:val="21"/>
                      <w:highlight w:val="none"/>
                      <w:lang w:val="en-US" w:eastAsia="zh-CN"/>
                    </w:rPr>
                  </w:pPr>
                  <w:r>
                    <w:rPr>
                      <w:rFonts w:hint="eastAsia" w:ascii="Times New Roman" w:hAnsi="Times New Roman" w:eastAsia="宋体" w:cs="Times New Roman"/>
                      <w:b w:val="0"/>
                      <w:bCs/>
                      <w:color w:val="auto"/>
                      <w:spacing w:val="-2"/>
                      <w:sz w:val="21"/>
                      <w:szCs w:val="21"/>
                      <w:lang w:val="en-US" w:eastAsia="zh-CN"/>
                    </w:rPr>
                    <w:t>氨逃逸</w:t>
                  </w:r>
                </w:p>
              </w:tc>
              <w:tc>
                <w:tcPr>
                  <w:tcW w:w="620"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＜2.3</w:t>
                  </w:r>
                </w:p>
              </w:tc>
              <w:tc>
                <w:tcPr>
                  <w:tcW w:w="523"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446"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535" w:type="pct"/>
                  <w:vMerge w:val="continue"/>
                  <w:tcBorders>
                    <w:tl2br w:val="nil"/>
                    <w:tr2bl w:val="nil"/>
                  </w:tcBorders>
                  <w:vAlign w:val="center"/>
                </w:tcPr>
                <w:p>
                  <w:pPr>
                    <w:jc w:val="center"/>
                    <w:rPr>
                      <w:rFonts w:ascii="Times New Roman" w:hAnsi="Times New Roman" w:eastAsia="宋体" w:cs="Times New Roman"/>
                      <w:color w:val="auto"/>
                      <w:kern w:val="0"/>
                      <w:sz w:val="21"/>
                      <w:szCs w:val="21"/>
                      <w:highlight w:val="none"/>
                      <w:lang w:bidi="ar"/>
                    </w:rPr>
                  </w:pPr>
                </w:p>
              </w:tc>
              <w:tc>
                <w:tcPr>
                  <w:tcW w:w="444" w:type="pct"/>
                  <w:tcBorders>
                    <w:tl2br w:val="nil"/>
                    <w:tr2bl w:val="nil"/>
                  </w:tcBorders>
                  <w:vAlign w:val="center"/>
                </w:tcPr>
                <w:p>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1049" w:type="dxa"/>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＜2.3</w:t>
                  </w:r>
                </w:p>
              </w:tc>
              <w:tc>
                <w:tcPr>
                  <w:tcW w:w="885" w:type="dxa"/>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757" w:type="dxa"/>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r>
          </w:tbl>
          <w:p>
            <w:pPr>
              <w:pStyle w:val="16"/>
              <w:snapToGrid w:val="0"/>
              <w:spacing w:line="360" w:lineRule="auto"/>
              <w:ind w:left="0" w:leftChars="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锅炉燃煤</w:t>
            </w:r>
            <w:r>
              <w:rPr>
                <w:rFonts w:hint="default" w:ascii="Times New Roman" w:hAnsi="Times New Roman" w:eastAsia="宋体" w:cs="Times New Roman"/>
                <w:color w:val="auto"/>
                <w:sz w:val="24"/>
                <w:szCs w:val="24"/>
                <w:highlight w:val="none"/>
                <w:lang w:val="en-US" w:eastAsia="zh-CN"/>
              </w:rPr>
              <w:t>废</w:t>
            </w:r>
            <w:r>
              <w:rPr>
                <w:rFonts w:hint="default" w:ascii="Times New Roman" w:hAnsi="Times New Roman" w:eastAsia="宋体" w:cs="Times New Roman"/>
                <w:color w:val="auto"/>
                <w:sz w:val="24"/>
                <w:szCs w:val="24"/>
                <w:highlight w:val="none"/>
              </w:rPr>
              <w:t>气</w:t>
            </w:r>
          </w:p>
          <w:p>
            <w:pPr>
              <w:pStyle w:val="16"/>
              <w:snapToGrid w:val="0"/>
              <w:spacing w:line="360" w:lineRule="auto"/>
              <w:ind w:firstLine="240" w:firstLineChars="1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①污染物产生情况</w:t>
            </w:r>
          </w:p>
          <w:p>
            <w:pPr>
              <w:snapToGrid w:val="0"/>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煤燃烧后产生的烟气中污染物主要为烟尘、SO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、NOx、汞及其化合物</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氨逃逸以及烟气黑度</w:t>
            </w:r>
            <w:r>
              <w:rPr>
                <w:rFonts w:hint="default" w:ascii="Times New Roman" w:hAnsi="Times New Roman" w:eastAsia="宋体" w:cs="Times New Roman"/>
                <w:color w:val="auto"/>
                <w:sz w:val="24"/>
                <w:szCs w:val="24"/>
                <w:highlight w:val="none"/>
              </w:rPr>
              <w:t>。燃煤量为</w:t>
            </w:r>
            <w:r>
              <w:rPr>
                <w:rFonts w:hint="default" w:ascii="Times New Roman" w:hAnsi="Times New Roman" w:eastAsia="宋体" w:cs="Times New Roman"/>
                <w:color w:val="auto"/>
                <w:sz w:val="24"/>
                <w:szCs w:val="24"/>
                <w:highlight w:val="none"/>
                <w:lang w:val="en-US" w:eastAsia="zh-CN"/>
              </w:rPr>
              <w:t>10550t/a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煤质中</w:t>
            </w:r>
            <w:r>
              <w:rPr>
                <w:rFonts w:hint="default" w:ascii="Times New Roman" w:hAnsi="Times New Roman" w:eastAsia="宋体" w:cs="Times New Roman"/>
                <w:color w:val="auto"/>
                <w:sz w:val="24"/>
                <w:szCs w:val="24"/>
                <w:highlight w:val="none"/>
              </w:rPr>
              <w:t>收到基灰份</w:t>
            </w:r>
            <w:r>
              <w:rPr>
                <w:rFonts w:hint="default" w:ascii="Times New Roman" w:hAnsi="Times New Roman" w:eastAsia="宋体" w:cs="Times New Roman"/>
                <w:color w:val="auto"/>
                <w:sz w:val="24"/>
                <w:szCs w:val="24"/>
                <w:highlight w:val="none"/>
                <w:lang w:val="en-US" w:eastAsia="zh-CN"/>
              </w:rPr>
              <w:t>A为6.43%，含硫S为0.17%</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低位发热量为5987kcal/kg，</w:t>
            </w:r>
            <w:r>
              <w:rPr>
                <w:rFonts w:hint="default" w:ascii="Times New Roman" w:hAnsi="Times New Roman" w:eastAsia="宋体" w:cs="Times New Roman"/>
                <w:color w:val="auto"/>
                <w:sz w:val="24"/>
                <w:szCs w:val="24"/>
                <w:highlight w:val="none"/>
              </w:rPr>
              <w:t>挥发份</w:t>
            </w:r>
            <w:r>
              <w:rPr>
                <w:rFonts w:hint="default" w:ascii="Times New Roman" w:hAnsi="Times New Roman" w:eastAsia="宋体" w:cs="Times New Roman"/>
                <w:color w:val="auto"/>
                <w:sz w:val="24"/>
                <w:szCs w:val="24"/>
                <w:highlight w:val="none"/>
                <w:lang w:val="en-US" w:eastAsia="zh-CN"/>
              </w:rPr>
              <w:t>为34.2%</w:t>
            </w:r>
            <w:r>
              <w:rPr>
                <w:rFonts w:hint="default" w:ascii="Times New Roman" w:hAnsi="Times New Roman" w:eastAsia="宋体" w:cs="Times New Roman"/>
                <w:color w:val="auto"/>
                <w:sz w:val="24"/>
                <w:szCs w:val="24"/>
                <w:highlight w:val="none"/>
                <w:lang w:eastAsia="zh-CN"/>
              </w:rPr>
              <w:t>。</w:t>
            </w:r>
          </w:p>
          <w:p>
            <w:pPr>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排污许可证申请与核发技术规范 锅炉</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HJ953-2018</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表5准烟气量取值表</w:t>
            </w:r>
            <w:r>
              <w:rPr>
                <w:rFonts w:hint="eastAsia" w:ascii="Times New Roman" w:hAnsi="Times New Roman" w:eastAsia="宋体" w:cs="Times New Roman"/>
                <w:color w:val="auto"/>
                <w:sz w:val="24"/>
                <w:szCs w:val="24"/>
                <w:highlight w:val="none"/>
                <w:lang w:val="en-US" w:eastAsia="zh-CN"/>
              </w:rPr>
              <w:t>废气污染源源强核算方法</w:t>
            </w:r>
            <w:r>
              <w:rPr>
                <w:rFonts w:hint="default" w:ascii="Times New Roman" w:hAnsi="Times New Roman" w:eastAsia="宋体" w:cs="Times New Roman"/>
                <w:color w:val="auto"/>
                <w:sz w:val="24"/>
                <w:szCs w:val="24"/>
                <w:highlight w:val="none"/>
                <w:lang w:val="en-US" w:eastAsia="zh-CN"/>
              </w:rPr>
              <w:t>：</w:t>
            </w:r>
          </w:p>
          <w:p>
            <w:pPr>
              <w:autoSpaceDE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低位发热量Qnet，ar</w:t>
            </w:r>
            <w:r>
              <w:rPr>
                <w:rFonts w:hint="default" w:ascii="Times New Roman" w:hAnsi="Times New Roman" w:eastAsia="宋体" w:cs="Times New Roman"/>
                <w:color w:val="auto"/>
                <w:sz w:val="24"/>
                <w:szCs w:val="24"/>
                <w:highlight w:val="none"/>
                <w:lang w:val="en-US" w:eastAsia="zh-CN"/>
              </w:rPr>
              <w:t>=25.1</w:t>
            </w:r>
            <w:r>
              <w:rPr>
                <w:rFonts w:hint="default" w:ascii="Times New Roman" w:hAnsi="Times New Roman" w:eastAsia="宋体" w:cs="Times New Roman"/>
                <w:color w:val="auto"/>
                <w:sz w:val="24"/>
                <w:szCs w:val="24"/>
                <w:highlight w:val="none"/>
              </w:rPr>
              <w:t>MJ/kg≥12.54MJ/kg</w:t>
            </w:r>
          </w:p>
          <w:p>
            <w:pPr>
              <w:autoSpaceDE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基挥发份Vdaf</w:t>
            </w:r>
            <w:r>
              <w:rPr>
                <w:rFonts w:hint="default" w:ascii="Times New Roman" w:hAnsi="Times New Roman" w:eastAsia="宋体" w:cs="Times New Roman"/>
                <w:color w:val="auto"/>
                <w:sz w:val="24"/>
                <w:szCs w:val="24"/>
                <w:highlight w:val="none"/>
                <w:lang w:val="en-US" w:eastAsia="zh-CN"/>
              </w:rPr>
              <w:t>=34.2%</w:t>
            </w:r>
            <w:r>
              <w:rPr>
                <w:rFonts w:hint="default" w:ascii="Times New Roman" w:hAnsi="Times New Roman" w:eastAsia="宋体" w:cs="Times New Roman"/>
                <w:color w:val="auto"/>
                <w:sz w:val="24"/>
                <w:szCs w:val="24"/>
                <w:highlight w:val="none"/>
              </w:rPr>
              <w:t>≥15%</w:t>
            </w:r>
          </w:p>
          <w:p>
            <w:pPr>
              <w:autoSpaceDE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基准烟气量</w:t>
            </w:r>
            <w:r>
              <w:rPr>
                <w:rFonts w:hint="default" w:ascii="Times New Roman" w:hAnsi="Times New Roman" w:eastAsia="宋体" w:cs="Times New Roman"/>
                <w:color w:val="auto"/>
                <w:sz w:val="24"/>
                <w:szCs w:val="24"/>
                <w:highlight w:val="none"/>
              </w:rPr>
              <w:t>Vgy=0.411Qnet,ar+0.918</w:t>
            </w:r>
            <w:r>
              <w:rPr>
                <w:rFonts w:hint="default" w:ascii="Times New Roman" w:hAnsi="Times New Roman" w:eastAsia="宋体" w:cs="Times New Roman"/>
                <w:color w:val="auto"/>
                <w:sz w:val="24"/>
                <w:szCs w:val="24"/>
                <w:highlight w:val="none"/>
                <w:lang w:val="en-US" w:eastAsia="zh-CN"/>
              </w:rPr>
              <w:t>=11.23Nm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/kg</w:t>
            </w:r>
          </w:p>
          <w:p>
            <w:pPr>
              <w:bidi w:val="0"/>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计算得：烟气基准产生量为1.18×10</w:t>
            </w:r>
            <w:r>
              <w:rPr>
                <w:rFonts w:hint="default" w:ascii="Times New Roman" w:hAnsi="Times New Roman" w:eastAsia="宋体" w:cs="Times New Roman"/>
                <w:color w:val="auto"/>
                <w:sz w:val="24"/>
                <w:szCs w:val="24"/>
                <w:highlight w:val="none"/>
                <w:vertAlign w:val="superscript"/>
                <w:lang w:val="en-US" w:eastAsia="zh-CN"/>
              </w:rPr>
              <w:t>8</w:t>
            </w:r>
            <w:r>
              <w:rPr>
                <w:rFonts w:hint="default" w:ascii="Times New Roman" w:hAnsi="Times New Roman" w:eastAsia="宋体" w:cs="Times New Roman"/>
                <w:color w:val="auto"/>
                <w:sz w:val="24"/>
                <w:szCs w:val="24"/>
                <w:highlight w:val="none"/>
                <w:vertAlign w:val="baseli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/a</w:t>
            </w:r>
          </w:p>
          <w:p>
            <w:pPr>
              <w:bidi w:val="0"/>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eastAsia" w:ascii="Times New Roman" w:hAnsi="Times New Roman" w:eastAsia="宋体" w:cs="Times New Roman"/>
                <w:color w:val="auto"/>
                <w:sz w:val="24"/>
                <w:szCs w:val="24"/>
                <w:lang w:val="en-US" w:eastAsia="zh-CN"/>
              </w:rPr>
              <w:t>根据</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污染源源强核算技术指南 锅炉</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HJ991-2018</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highlight w:val="none"/>
                <w:lang w:val="en-US" w:eastAsia="zh-CN"/>
              </w:rPr>
              <w:t>：</w:t>
            </w:r>
          </w:p>
          <w:p>
            <w:pPr>
              <w:bidi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物料衡算法：</w:t>
            </w:r>
          </w:p>
          <w:p>
            <w:pPr>
              <w:bidi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采用物料衡算法核算二氧化硫排放量，根据燃料消耗量、硫含量进行核算，核算方法见</w:t>
            </w:r>
            <w:r>
              <w:rPr>
                <w:rFonts w:hint="default" w:ascii="Times New Roman" w:hAnsi="Times New Roman" w:cs="Times New Roman"/>
                <w:color w:val="auto"/>
                <w:sz w:val="24"/>
                <w:szCs w:val="24"/>
                <w:highlight w:val="none"/>
                <w:lang w:val="en-US" w:eastAsia="zh-CN"/>
              </w:rPr>
              <w:t>下列公</w:t>
            </w:r>
            <w:r>
              <w:rPr>
                <w:rFonts w:hint="default" w:ascii="Times New Roman" w:hAnsi="Times New Roman" w:cs="Times New Roman"/>
                <w:color w:val="auto"/>
                <w:sz w:val="24"/>
                <w:szCs w:val="24"/>
                <w:highlight w:val="none"/>
              </w:rPr>
              <w:t>式。</w:t>
            </w:r>
          </w:p>
          <w:p>
            <w:pPr>
              <w:bidi w:val="0"/>
              <w:spacing w:line="360" w:lineRule="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drawing>
                <wp:inline distT="0" distB="0" distL="114300" distR="114300">
                  <wp:extent cx="1997710" cy="398780"/>
                  <wp:effectExtent l="0" t="0" r="2540" b="1270"/>
                  <wp:docPr id="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
                          <pic:cNvPicPr>
                            <a:picLocks noChangeAspect="1"/>
                          </pic:cNvPicPr>
                        </pic:nvPicPr>
                        <pic:blipFill>
                          <a:blip r:embed="rId12"/>
                          <a:stretch>
                            <a:fillRect/>
                          </a:stretch>
                        </pic:blipFill>
                        <pic:spPr>
                          <a:xfrm>
                            <a:off x="0" y="0"/>
                            <a:ext cx="1997710" cy="398780"/>
                          </a:xfrm>
                          <a:prstGeom prst="rect">
                            <a:avLst/>
                          </a:prstGeom>
                          <a:noFill/>
                          <a:ln>
                            <a:noFill/>
                          </a:ln>
                        </pic:spPr>
                      </pic:pic>
                    </a:graphicData>
                  </a:graphic>
                </wp:inline>
              </w:drawing>
            </w:r>
          </w:p>
          <w:p>
            <w:pPr>
              <w:bidi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式中：E</w:t>
            </w:r>
            <w:r>
              <w:rPr>
                <w:rFonts w:hint="default" w:ascii="Times New Roman" w:hAnsi="Times New Roman" w:cs="Times New Roman"/>
                <w:color w:val="auto"/>
                <w:sz w:val="24"/>
                <w:szCs w:val="24"/>
                <w:highlight w:val="none"/>
                <w:vertAlign w:val="subscript"/>
              </w:rPr>
              <w:t>SO2</w:t>
            </w:r>
            <w:r>
              <w:rPr>
                <w:rFonts w:hint="default" w:ascii="Times New Roman" w:hAnsi="Times New Roman" w:cs="Times New Roman"/>
                <w:color w:val="auto"/>
                <w:sz w:val="24"/>
                <w:szCs w:val="24"/>
                <w:highlight w:val="none"/>
              </w:rPr>
              <w:t>—核算时段内二氧化硫的实际排放量，吨；</w:t>
            </w:r>
          </w:p>
          <w:p>
            <w:pPr>
              <w:bidi w:val="0"/>
              <w:spacing w:line="360" w:lineRule="auto"/>
              <w:ind w:firstLine="1200" w:firstLineChars="5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R—核算时段内锅炉燃料耗量，</w:t>
            </w:r>
            <w:r>
              <w:rPr>
                <w:rFonts w:hint="default" w:ascii="Times New Roman" w:hAnsi="Times New Roman" w:cs="Times New Roman"/>
                <w:color w:val="auto"/>
                <w:sz w:val="24"/>
                <w:szCs w:val="24"/>
                <w:highlight w:val="none"/>
                <w:lang w:val="en-US" w:eastAsia="zh-CN"/>
              </w:rPr>
              <w:t>10550</w:t>
            </w:r>
            <w:r>
              <w:rPr>
                <w:rFonts w:hint="default" w:ascii="Times New Roman" w:hAnsi="Times New Roman" w:cs="Times New Roman"/>
                <w:color w:val="auto"/>
                <w:sz w:val="24"/>
                <w:szCs w:val="24"/>
                <w:highlight w:val="none"/>
              </w:rPr>
              <w:t>吨；</w:t>
            </w:r>
          </w:p>
          <w:p>
            <w:pPr>
              <w:bidi w:val="0"/>
              <w:spacing w:line="360" w:lineRule="auto"/>
              <w:ind w:firstLine="1200" w:firstLineChars="5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Sar—燃料收到基硫含量，百分比</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0.17</w:t>
            </w:r>
            <w:r>
              <w:rPr>
                <w:rFonts w:hint="default" w:ascii="Times New Roman" w:hAnsi="Times New Roman" w:cs="Times New Roman"/>
                <w:color w:val="auto"/>
                <w:sz w:val="24"/>
                <w:szCs w:val="24"/>
                <w:highlight w:val="none"/>
              </w:rPr>
              <w:t>；</w:t>
            </w:r>
          </w:p>
          <w:p>
            <w:pPr>
              <w:bidi w:val="0"/>
              <w:spacing w:line="360" w:lineRule="auto"/>
              <w:ind w:firstLine="1200" w:firstLineChars="5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q</w:t>
            </w:r>
            <w:r>
              <w:rPr>
                <w:rFonts w:hint="default" w:ascii="Times New Roman" w:hAnsi="Times New Roman" w:cs="Times New Roman"/>
                <w:color w:val="auto"/>
                <w:sz w:val="24"/>
                <w:szCs w:val="24"/>
                <w:highlight w:val="none"/>
                <w:vertAlign w:val="subscript"/>
                <w:lang w:val="en-US" w:eastAsia="zh-CN"/>
              </w:rPr>
              <w:t>4</w:t>
            </w:r>
            <w:r>
              <w:rPr>
                <w:rFonts w:hint="default" w:ascii="Times New Roman" w:hAnsi="Times New Roman" w:cs="Times New Roman"/>
                <w:color w:val="auto"/>
                <w:sz w:val="24"/>
                <w:szCs w:val="24"/>
                <w:highlight w:val="none"/>
              </w:rPr>
              <w:t>—锅炉机械不完全燃烧热损失，百分比</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w:t>
            </w:r>
          </w:p>
          <w:p>
            <w:pPr>
              <w:bidi w:val="0"/>
              <w:spacing w:line="360" w:lineRule="auto"/>
              <w:ind w:firstLine="1200" w:firstLineChars="5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K—燃料中的硫燃烧后氧化成二氧化硫的份额，无量纲</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0.8</w:t>
            </w:r>
            <w:r>
              <w:rPr>
                <w:rFonts w:hint="default" w:ascii="Times New Roman" w:hAnsi="Times New Roman" w:cs="Times New Roman"/>
                <w:color w:val="auto"/>
                <w:sz w:val="24"/>
                <w:szCs w:val="24"/>
                <w:highlight w:val="none"/>
              </w:rPr>
              <w:t>。</w:t>
            </w:r>
          </w:p>
          <w:p>
            <w:pPr>
              <w:bidi w:val="0"/>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计算得：</w:t>
            </w:r>
            <w:r>
              <w:rPr>
                <w:rFonts w:hint="default" w:ascii="Times New Roman" w:hAnsi="Times New Roman" w:cs="Times New Roman"/>
                <w:color w:val="auto"/>
                <w:sz w:val="24"/>
                <w:szCs w:val="24"/>
                <w:highlight w:val="none"/>
              </w:rPr>
              <w:t>二氧化硫的实际</w:t>
            </w:r>
            <w:r>
              <w:rPr>
                <w:rFonts w:hint="default" w:ascii="Times New Roman" w:hAnsi="Times New Roman" w:cs="Times New Roman"/>
                <w:color w:val="auto"/>
                <w:sz w:val="24"/>
                <w:szCs w:val="24"/>
                <w:highlight w:val="none"/>
                <w:lang w:val="en-US" w:eastAsia="zh-CN"/>
              </w:rPr>
              <w:t>产生量为28.1t/a</w:t>
            </w:r>
          </w:p>
          <w:p>
            <w:pPr>
              <w:bidi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产排污系数法：</w:t>
            </w:r>
          </w:p>
          <w:p>
            <w:pPr>
              <w:bidi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szCs w:val="24"/>
                <w:highlight w:val="none"/>
                <w:lang w:val="en-US" w:eastAsia="zh-CN"/>
              </w:rPr>
              <w:t>根据产排污系数计算烟尘和氮氧化物产生量，</w:t>
            </w:r>
            <w:r>
              <w:rPr>
                <w:rFonts w:hint="default" w:ascii="Times New Roman" w:hAnsi="Times New Roman" w:eastAsia="宋体" w:cs="Times New Roman"/>
                <w:color w:val="auto"/>
                <w:sz w:val="24"/>
                <w:szCs w:val="24"/>
                <w:highlight w:val="none"/>
              </w:rPr>
              <w:t>本项目污染物产生情况见表</w:t>
            </w:r>
            <w:r>
              <w:rPr>
                <w:rFonts w:hint="eastAsia" w:ascii="Times New Roman" w:hAnsi="Times New Roman" w:eastAsia="宋体" w:cs="Times New Roman"/>
                <w:color w:val="auto"/>
                <w:sz w:val="24"/>
                <w:szCs w:val="24"/>
                <w:highlight w:val="none"/>
                <w:lang w:val="en-US" w:eastAsia="zh-CN"/>
              </w:rPr>
              <w:t>4-3</w:t>
            </w:r>
            <w:r>
              <w:rPr>
                <w:rFonts w:hint="default" w:ascii="Times New Roman" w:hAnsi="Times New Roman" w:eastAsia="宋体" w:cs="Times New Roman"/>
                <w:color w:val="auto"/>
                <w:sz w:val="24"/>
                <w:szCs w:val="24"/>
                <w:highlight w:val="none"/>
              </w:rPr>
              <w:t>。</w:t>
            </w:r>
          </w:p>
          <w:p>
            <w:pPr>
              <w:snapToGrid w:val="0"/>
              <w:spacing w:line="240" w:lineRule="auto"/>
              <w:ind w:firstLine="422" w:firstLineChars="20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表</w:t>
            </w:r>
            <w:r>
              <w:rPr>
                <w:rFonts w:hint="eastAsia" w:ascii="Times New Roman" w:hAnsi="Times New Roman" w:cs="Times New Roman"/>
                <w:b/>
                <w:bCs/>
                <w:color w:val="auto"/>
                <w:sz w:val="21"/>
                <w:szCs w:val="21"/>
                <w:highlight w:val="none"/>
                <w:lang w:val="en-US" w:eastAsia="zh-CN"/>
              </w:rPr>
              <w:t>4-3</w:t>
            </w:r>
            <w:r>
              <w:rPr>
                <w:rFonts w:hint="default" w:ascii="Times New Roman" w:hAnsi="Times New Roman" w:cs="Times New Roman"/>
                <w:b/>
                <w:bCs/>
                <w:color w:val="auto"/>
                <w:sz w:val="21"/>
                <w:szCs w:val="21"/>
                <w:highlight w:val="none"/>
                <w:lang w:val="en-US" w:eastAsia="zh-CN"/>
              </w:rPr>
              <w:t xml:space="preserve">  锅炉污染物产生情况</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2"/>
              <w:gridCol w:w="1943"/>
              <w:gridCol w:w="1762"/>
              <w:gridCol w:w="1414"/>
              <w:gridCol w:w="1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blHeader/>
                <w:jc w:val="center"/>
              </w:trPr>
              <w:tc>
                <w:tcPr>
                  <w:tcW w:w="941" w:type="pct"/>
                  <w:vMerge w:val="restart"/>
                  <w:vAlign w:val="center"/>
                </w:tcPr>
                <w:p>
                  <w:pPr>
                    <w:pStyle w:val="44"/>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污染物指标</w:t>
                  </w:r>
                </w:p>
              </w:tc>
              <w:tc>
                <w:tcPr>
                  <w:tcW w:w="1149" w:type="pct"/>
                  <w:vMerge w:val="restart"/>
                  <w:vAlign w:val="center"/>
                </w:tcPr>
                <w:p>
                  <w:pPr>
                    <w:pStyle w:val="44"/>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单位</w:t>
                  </w:r>
                </w:p>
              </w:tc>
              <w:tc>
                <w:tcPr>
                  <w:tcW w:w="1042" w:type="pct"/>
                  <w:vMerge w:val="restart"/>
                  <w:vAlign w:val="center"/>
                </w:tcPr>
                <w:p>
                  <w:pPr>
                    <w:pStyle w:val="44"/>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产污系数</w:t>
                  </w:r>
                </w:p>
              </w:tc>
              <w:tc>
                <w:tcPr>
                  <w:tcW w:w="1866" w:type="pct"/>
                  <w:gridSpan w:val="2"/>
                  <w:vAlign w:val="center"/>
                </w:tcPr>
                <w:p>
                  <w:pPr>
                    <w:pStyle w:val="44"/>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blHeader/>
                <w:jc w:val="center"/>
              </w:trPr>
              <w:tc>
                <w:tcPr>
                  <w:tcW w:w="941" w:type="pct"/>
                  <w:vMerge w:val="continue"/>
                  <w:vAlign w:val="center"/>
                </w:tcPr>
                <w:p>
                  <w:pPr>
                    <w:pStyle w:val="44"/>
                    <w:bidi w:val="0"/>
                    <w:rPr>
                      <w:rFonts w:hint="default" w:ascii="Times New Roman" w:hAnsi="Times New Roman" w:cs="Times New Roman"/>
                      <w:color w:val="auto"/>
                      <w:highlight w:val="none"/>
                    </w:rPr>
                  </w:pPr>
                </w:p>
              </w:tc>
              <w:tc>
                <w:tcPr>
                  <w:tcW w:w="1149" w:type="pct"/>
                  <w:vMerge w:val="continue"/>
                  <w:vAlign w:val="center"/>
                </w:tcPr>
                <w:p>
                  <w:pPr>
                    <w:pStyle w:val="44"/>
                    <w:bidi w:val="0"/>
                    <w:rPr>
                      <w:rFonts w:hint="default" w:ascii="Times New Roman" w:hAnsi="Times New Roman" w:cs="Times New Roman"/>
                      <w:color w:val="auto"/>
                      <w:highlight w:val="none"/>
                    </w:rPr>
                  </w:pPr>
                </w:p>
              </w:tc>
              <w:tc>
                <w:tcPr>
                  <w:tcW w:w="1042" w:type="pct"/>
                  <w:vMerge w:val="continue"/>
                  <w:vAlign w:val="center"/>
                </w:tcPr>
                <w:p>
                  <w:pPr>
                    <w:pStyle w:val="44"/>
                    <w:bidi w:val="0"/>
                    <w:rPr>
                      <w:rFonts w:hint="default" w:ascii="Times New Roman" w:hAnsi="Times New Roman" w:cs="Times New Roman"/>
                      <w:color w:val="auto"/>
                      <w:highlight w:val="none"/>
                    </w:rPr>
                  </w:pPr>
                </w:p>
              </w:tc>
              <w:tc>
                <w:tcPr>
                  <w:tcW w:w="836" w:type="pct"/>
                  <w:vAlign w:val="center"/>
                </w:tcPr>
                <w:p>
                  <w:pPr>
                    <w:pStyle w:val="44"/>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产生量</w:t>
                  </w:r>
                </w:p>
              </w:tc>
              <w:tc>
                <w:tcPr>
                  <w:tcW w:w="1029" w:type="pct"/>
                  <w:vAlign w:val="center"/>
                </w:tcPr>
                <w:p>
                  <w:pPr>
                    <w:pStyle w:val="44"/>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产生浓度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exact"/>
                <w:jc w:val="center"/>
              </w:trPr>
              <w:tc>
                <w:tcPr>
                  <w:tcW w:w="941" w:type="pct"/>
                  <w:vAlign w:val="center"/>
                </w:tcPr>
                <w:p>
                  <w:pPr>
                    <w:pStyle w:val="44"/>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工业废气量</w:t>
                  </w:r>
                </w:p>
              </w:tc>
              <w:tc>
                <w:tcPr>
                  <w:tcW w:w="1149" w:type="pct"/>
                  <w:vAlign w:val="center"/>
                </w:tcPr>
                <w:p>
                  <w:pPr>
                    <w:pStyle w:val="44"/>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标立方米/吨-原料</w:t>
                  </w:r>
                </w:p>
              </w:tc>
              <w:tc>
                <w:tcPr>
                  <w:tcW w:w="1042" w:type="pct"/>
                  <w:vAlign w:val="center"/>
                </w:tcPr>
                <w:p>
                  <w:pPr>
                    <w:pStyle w:val="44"/>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866" w:type="pct"/>
                  <w:gridSpan w:val="2"/>
                  <w:vAlign w:val="center"/>
                </w:tcPr>
                <w:p>
                  <w:pPr>
                    <w:pStyle w:val="44"/>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1.18×10</w:t>
                  </w:r>
                  <w:r>
                    <w:rPr>
                      <w:rFonts w:hint="default" w:ascii="Times New Roman" w:hAnsi="Times New Roman" w:cs="Times New Roman"/>
                      <w:color w:val="auto"/>
                      <w:highlight w:val="none"/>
                      <w:vertAlign w:val="superscript"/>
                      <w:lang w:val="en-US" w:eastAsia="zh-CN"/>
                    </w:rPr>
                    <w:t>8</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41" w:type="pct"/>
                  <w:vAlign w:val="center"/>
                </w:tcPr>
                <w:p>
                  <w:pPr>
                    <w:pStyle w:val="44"/>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烟尘</w:t>
                  </w:r>
                </w:p>
              </w:tc>
              <w:tc>
                <w:tcPr>
                  <w:tcW w:w="1149" w:type="pct"/>
                  <w:vAlign w:val="center"/>
                </w:tcPr>
                <w:p>
                  <w:pPr>
                    <w:pStyle w:val="44"/>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千克/吨-原料</w:t>
                  </w:r>
                </w:p>
              </w:tc>
              <w:tc>
                <w:tcPr>
                  <w:tcW w:w="1042" w:type="pct"/>
                  <w:vAlign w:val="center"/>
                </w:tcPr>
                <w:p>
                  <w:pPr>
                    <w:pStyle w:val="44"/>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5.19A</w:t>
                  </w:r>
                </w:p>
              </w:tc>
              <w:tc>
                <w:tcPr>
                  <w:tcW w:w="836" w:type="pct"/>
                  <w:vAlign w:val="center"/>
                </w:tcPr>
                <w:p>
                  <w:pPr>
                    <w:pStyle w:val="44"/>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352.07</w:t>
                  </w:r>
                  <w:r>
                    <w:rPr>
                      <w:rFonts w:hint="default" w:ascii="Times New Roman" w:hAnsi="Times New Roman" w:cs="Times New Roman"/>
                      <w:color w:val="auto"/>
                      <w:highlight w:val="none"/>
                    </w:rPr>
                    <w:t>t/a</w:t>
                  </w:r>
                </w:p>
              </w:tc>
              <w:tc>
                <w:tcPr>
                  <w:tcW w:w="1029" w:type="pct"/>
                  <w:vAlign w:val="center"/>
                </w:tcPr>
                <w:p>
                  <w:pPr>
                    <w:pStyle w:val="44"/>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2983.6</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41" w:type="pct"/>
                  <w:vAlign w:val="center"/>
                </w:tcPr>
                <w:p>
                  <w:pPr>
                    <w:pStyle w:val="44"/>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二氧化硫</w:t>
                  </w:r>
                </w:p>
              </w:tc>
              <w:tc>
                <w:tcPr>
                  <w:tcW w:w="1149" w:type="pct"/>
                  <w:vAlign w:val="center"/>
                </w:tcPr>
                <w:p>
                  <w:pPr>
                    <w:pStyle w:val="44"/>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千克/吨-原料</w:t>
                  </w:r>
                </w:p>
              </w:tc>
              <w:tc>
                <w:tcPr>
                  <w:tcW w:w="1042" w:type="pct"/>
                  <w:vAlign w:val="center"/>
                </w:tcPr>
                <w:p>
                  <w:pPr>
                    <w:pStyle w:val="44"/>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w:t>
                  </w:r>
                </w:p>
              </w:tc>
              <w:tc>
                <w:tcPr>
                  <w:tcW w:w="836" w:type="pct"/>
                  <w:vAlign w:val="center"/>
                </w:tcPr>
                <w:p>
                  <w:pPr>
                    <w:pStyle w:val="44"/>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28.1t</w:t>
                  </w:r>
                  <w:r>
                    <w:rPr>
                      <w:rFonts w:hint="default" w:ascii="Times New Roman" w:hAnsi="Times New Roman" w:cs="Times New Roman"/>
                      <w:color w:val="auto"/>
                      <w:highlight w:val="none"/>
                    </w:rPr>
                    <w:t>/a</w:t>
                  </w:r>
                </w:p>
              </w:tc>
              <w:tc>
                <w:tcPr>
                  <w:tcW w:w="1029" w:type="pct"/>
                  <w:vAlign w:val="center"/>
                </w:tcPr>
                <w:p>
                  <w:pPr>
                    <w:pStyle w:val="44"/>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238.1</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41" w:type="pct"/>
                  <w:vAlign w:val="center"/>
                </w:tcPr>
                <w:p>
                  <w:pPr>
                    <w:pStyle w:val="44"/>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氮氧化物</w:t>
                  </w:r>
                </w:p>
              </w:tc>
              <w:tc>
                <w:tcPr>
                  <w:tcW w:w="1149" w:type="pct"/>
                  <w:vAlign w:val="center"/>
                </w:tcPr>
                <w:p>
                  <w:pPr>
                    <w:pStyle w:val="44"/>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千克/吨-原料</w:t>
                  </w:r>
                </w:p>
              </w:tc>
              <w:tc>
                <w:tcPr>
                  <w:tcW w:w="1042" w:type="pct"/>
                  <w:vAlign w:val="center"/>
                </w:tcPr>
                <w:p>
                  <w:pPr>
                    <w:pStyle w:val="44"/>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2.94</w:t>
                  </w:r>
                </w:p>
              </w:tc>
              <w:tc>
                <w:tcPr>
                  <w:tcW w:w="836" w:type="pct"/>
                  <w:vAlign w:val="center"/>
                </w:tcPr>
                <w:p>
                  <w:pPr>
                    <w:pStyle w:val="44"/>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31.02</w:t>
                  </w:r>
                  <w:r>
                    <w:rPr>
                      <w:rFonts w:hint="default" w:ascii="Times New Roman" w:hAnsi="Times New Roman" w:cs="Times New Roman"/>
                      <w:color w:val="auto"/>
                      <w:highlight w:val="none"/>
                    </w:rPr>
                    <w:t>t/a</w:t>
                  </w:r>
                </w:p>
              </w:tc>
              <w:tc>
                <w:tcPr>
                  <w:tcW w:w="1029" w:type="pct"/>
                  <w:vAlign w:val="center"/>
                </w:tcPr>
                <w:p>
                  <w:pPr>
                    <w:pStyle w:val="44"/>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262.8</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rPr>
                    <w:t>3</w:t>
                  </w:r>
                </w:p>
              </w:tc>
            </w:tr>
          </w:tbl>
          <w:p>
            <w:pPr>
              <w:keepNext w:val="0"/>
              <w:keepLines w:val="0"/>
              <w:pageBreakBefore w:val="0"/>
              <w:widowControl w:val="0"/>
              <w:tabs>
                <w:tab w:val="left" w:pos="1158"/>
                <w:tab w:val="left" w:pos="2477"/>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煤中所含汞按全部进入气相计算，产生量为</w:t>
            </w:r>
            <w:r>
              <w:rPr>
                <w:rFonts w:hint="default" w:ascii="Times New Roman" w:hAnsi="Times New Roman" w:cs="Times New Roman"/>
                <w:color w:val="auto"/>
                <w:sz w:val="24"/>
                <w:highlight w:val="none"/>
                <w:lang w:val="en-US" w:eastAsia="zh-CN"/>
              </w:rPr>
              <w:t>0.21</w:t>
            </w:r>
            <w:r>
              <w:rPr>
                <w:rFonts w:hint="default" w:ascii="Times New Roman" w:hAnsi="Times New Roman" w:cs="Times New Roman"/>
                <w:color w:val="auto"/>
                <w:sz w:val="24"/>
                <w:highlight w:val="none"/>
              </w:rPr>
              <w:t>kg/a，产生浓度为0.00</w:t>
            </w:r>
            <w:r>
              <w:rPr>
                <w:rFonts w:hint="default" w:ascii="Times New Roman" w:hAnsi="Times New Roman" w:cs="Times New Roman"/>
                <w:color w:val="auto"/>
                <w:sz w:val="24"/>
                <w:highlight w:val="none"/>
                <w:lang w:val="en-US" w:eastAsia="zh-CN"/>
              </w:rPr>
              <w:t>12</w:t>
            </w:r>
            <w:r>
              <w:rPr>
                <w:rFonts w:hint="default" w:ascii="Times New Roman" w:hAnsi="Times New Roman" w:cs="Times New Roman"/>
                <w:color w:val="auto"/>
                <w:sz w:val="24"/>
                <w:highlight w:val="none"/>
              </w:rPr>
              <w:t>mg/m</w:t>
            </w:r>
            <w:r>
              <w:rPr>
                <w:rFonts w:hint="default" w:ascii="Times New Roman" w:hAnsi="Times New Roman" w:cs="Times New Roman"/>
                <w:color w:val="auto"/>
                <w:sz w:val="24"/>
                <w:highlight w:val="none"/>
                <w:vertAlign w:val="superscript"/>
              </w:rPr>
              <w:t>3</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氨逃逸产生浓度小于2.3</w:t>
            </w:r>
            <w:r>
              <w:rPr>
                <w:rFonts w:hint="default" w:ascii="Times New Roman" w:hAnsi="Times New Roman" w:cs="Times New Roman"/>
                <w:color w:val="auto"/>
                <w:sz w:val="24"/>
                <w:highlight w:val="none"/>
              </w:rPr>
              <w:t>mg/m</w:t>
            </w:r>
            <w:r>
              <w:rPr>
                <w:rFonts w:hint="default" w:ascii="Times New Roman" w:hAnsi="Times New Roman" w:cs="Times New Roman"/>
                <w:color w:val="auto"/>
                <w:sz w:val="24"/>
                <w:highlight w:val="none"/>
                <w:vertAlign w:val="superscript"/>
              </w:rPr>
              <w:t>3</w:t>
            </w:r>
            <w:r>
              <w:rPr>
                <w:rFonts w:hint="eastAsia" w:ascii="Times New Roman" w:hAnsi="Times New Roman" w:cs="Times New Roman"/>
                <w:color w:val="auto"/>
                <w:sz w:val="24"/>
                <w:highlight w:val="none"/>
                <w:lang w:eastAsia="zh-CN"/>
              </w:rPr>
              <w:t>。</w:t>
            </w:r>
          </w:p>
          <w:p>
            <w:pPr>
              <w:keepNext w:val="0"/>
              <w:keepLines w:val="0"/>
              <w:pageBreakBefore w:val="0"/>
              <w:widowControl w:val="0"/>
              <w:tabs>
                <w:tab w:val="left" w:pos="1158"/>
                <w:tab w:val="left" w:pos="2477"/>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项目采用炉内脱硫、SNCR炉内脱硝系统+SCR炉外脱硝系统＋湿法脱硫系统+布袋除尘器对锅炉烟气进行治理，治理后经一根80m高烟囱排放。</w:t>
            </w:r>
          </w:p>
          <w:p>
            <w:pPr>
              <w:keepNext w:val="0"/>
              <w:keepLines w:val="0"/>
              <w:pageBreakBefore w:val="0"/>
              <w:widowControl w:val="0"/>
              <w:tabs>
                <w:tab w:val="left" w:pos="1158"/>
                <w:tab w:val="left" w:pos="2477"/>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布袋除尘器除尘效率</w:t>
            </w:r>
            <w:r>
              <w:rPr>
                <w:rFonts w:hint="default" w:ascii="Times New Roman" w:hAnsi="Times New Roman" w:eastAsia="宋体" w:cs="Times New Roman"/>
                <w:color w:val="auto"/>
                <w:sz w:val="24"/>
                <w:szCs w:val="24"/>
                <w:highlight w:val="none"/>
                <w:lang w:val="en-US" w:eastAsia="zh-CN"/>
              </w:rPr>
              <w:t>为</w:t>
            </w:r>
            <w:r>
              <w:rPr>
                <w:rFonts w:hint="eastAsia" w:ascii="Times New Roman" w:hAnsi="Times New Roman" w:cs="Times New Roman"/>
                <w:color w:val="auto"/>
                <w:sz w:val="24"/>
                <w:szCs w:val="24"/>
                <w:highlight w:val="none"/>
                <w:lang w:val="en-US" w:eastAsia="zh-CN"/>
              </w:rPr>
              <w:t>99.7</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脱硫采用</w:t>
            </w:r>
            <w:r>
              <w:rPr>
                <w:rFonts w:hint="default" w:ascii="Times New Roman" w:hAnsi="Times New Roman" w:eastAsia="宋体" w:cs="Times New Roman"/>
                <w:color w:val="auto"/>
                <w:sz w:val="24"/>
                <w:szCs w:val="24"/>
                <w:highlight w:val="none"/>
                <w:lang w:eastAsia="zh-CN"/>
              </w:rPr>
              <w:t>炉内脱硫</w:t>
            </w:r>
            <w:r>
              <w:rPr>
                <w:rFonts w:hint="default" w:ascii="Times New Roman" w:hAnsi="Times New Roman" w:eastAsia="宋体" w:cs="Times New Roman"/>
                <w:color w:val="auto"/>
                <w:sz w:val="24"/>
                <w:szCs w:val="24"/>
                <w:highlight w:val="none"/>
                <w:lang w:val="en-US" w:eastAsia="zh-CN"/>
              </w:rPr>
              <w:t>+湿</w:t>
            </w:r>
            <w:r>
              <w:rPr>
                <w:rFonts w:hint="default" w:ascii="Times New Roman" w:hAnsi="Times New Roman" w:eastAsia="宋体" w:cs="Times New Roman"/>
                <w:color w:val="auto"/>
                <w:sz w:val="24"/>
                <w:szCs w:val="24"/>
                <w:highlight w:val="none"/>
                <w:lang w:eastAsia="zh-CN"/>
              </w:rPr>
              <w:t>法</w:t>
            </w:r>
            <w:r>
              <w:rPr>
                <w:rFonts w:hint="default" w:ascii="Times New Roman" w:hAnsi="Times New Roman" w:eastAsia="宋体" w:cs="Times New Roman"/>
                <w:color w:val="auto"/>
                <w:sz w:val="24"/>
                <w:szCs w:val="24"/>
                <w:highlight w:val="none"/>
              </w:rPr>
              <w:t>脱硫设备，脱硫效率</w:t>
            </w:r>
            <w:r>
              <w:rPr>
                <w:rFonts w:hint="default" w:ascii="Times New Roman" w:hAnsi="Times New Roman" w:eastAsia="宋体" w:cs="Times New Roman"/>
                <w:color w:val="auto"/>
                <w:sz w:val="24"/>
                <w:szCs w:val="24"/>
                <w:highlight w:val="none"/>
                <w:lang w:val="en-US" w:eastAsia="zh-CN"/>
              </w:rPr>
              <w:t>为</w:t>
            </w:r>
            <w:r>
              <w:rPr>
                <w:rFonts w:hint="eastAsia" w:ascii="Times New Roman" w:hAnsi="Times New Roman" w:cs="Times New Roman"/>
                <w:color w:val="auto"/>
                <w:sz w:val="24"/>
                <w:szCs w:val="24"/>
                <w:highlight w:val="none"/>
                <w:lang w:val="en-US" w:eastAsia="zh-CN"/>
              </w:rPr>
              <w:t>90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脱硝</w:t>
            </w:r>
            <w:r>
              <w:rPr>
                <w:rFonts w:hint="default" w:ascii="Times New Roman" w:hAnsi="Times New Roman" w:eastAsia="宋体" w:cs="Times New Roman"/>
                <w:color w:val="auto"/>
                <w:sz w:val="24"/>
                <w:szCs w:val="24"/>
                <w:highlight w:val="none"/>
              </w:rPr>
              <w:t>装置采用</w:t>
            </w:r>
            <w:r>
              <w:rPr>
                <w:rFonts w:hint="default" w:ascii="Times New Roman" w:hAnsi="Times New Roman" w:eastAsia="宋体" w:cs="Times New Roman"/>
                <w:color w:val="auto"/>
                <w:sz w:val="24"/>
                <w:szCs w:val="24"/>
                <w:highlight w:val="none"/>
                <w:lang w:val="en-US" w:eastAsia="zh-CN"/>
              </w:rPr>
              <w:t>SNCR+SCR</w:t>
            </w:r>
            <w:r>
              <w:rPr>
                <w:rFonts w:hint="default" w:ascii="Times New Roman" w:hAnsi="Times New Roman" w:eastAsia="宋体" w:cs="Times New Roman"/>
                <w:color w:val="auto"/>
                <w:sz w:val="24"/>
                <w:szCs w:val="24"/>
                <w:highlight w:val="none"/>
              </w:rPr>
              <w:t>设备，脱</w:t>
            </w:r>
            <w:r>
              <w:rPr>
                <w:rFonts w:hint="default" w:ascii="Times New Roman" w:hAnsi="Times New Roman" w:eastAsia="宋体" w:cs="Times New Roman"/>
                <w:color w:val="auto"/>
                <w:sz w:val="24"/>
                <w:szCs w:val="24"/>
                <w:highlight w:val="none"/>
                <w:lang w:val="en-US" w:eastAsia="zh-CN"/>
              </w:rPr>
              <w:t>硝</w:t>
            </w:r>
            <w:r>
              <w:rPr>
                <w:rFonts w:hint="default" w:ascii="Times New Roman" w:hAnsi="Times New Roman" w:eastAsia="宋体" w:cs="Times New Roman"/>
                <w:color w:val="auto"/>
                <w:sz w:val="24"/>
                <w:szCs w:val="24"/>
                <w:highlight w:val="none"/>
              </w:rPr>
              <w:t>效率</w:t>
            </w:r>
            <w:r>
              <w:rPr>
                <w:rFonts w:hint="default" w:ascii="Times New Roman" w:hAnsi="Times New Roman" w:eastAsia="宋体" w:cs="Times New Roman"/>
                <w:color w:val="auto"/>
                <w:sz w:val="24"/>
                <w:szCs w:val="24"/>
                <w:highlight w:val="none"/>
                <w:lang w:val="en-US" w:eastAsia="zh-CN"/>
              </w:rPr>
              <w:t>为87.5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tabs>
                <w:tab w:val="left" w:pos="1158"/>
                <w:tab w:val="left" w:pos="2477"/>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采取上述措施后污染物排放情况见表</w:t>
            </w:r>
            <w:r>
              <w:rPr>
                <w:rFonts w:hint="eastAsia" w:ascii="Times New Roman" w:hAnsi="Times New Roman" w:cs="Times New Roman"/>
                <w:color w:val="auto"/>
                <w:sz w:val="24"/>
                <w:highlight w:val="none"/>
                <w:lang w:val="en-US" w:eastAsia="zh-CN"/>
              </w:rPr>
              <w:t>4-4</w:t>
            </w:r>
            <w:r>
              <w:rPr>
                <w:rFonts w:hint="default" w:ascii="Times New Roman" w:hAnsi="Times New Roman" w:cs="Times New Roman"/>
                <w:color w:val="auto"/>
                <w:sz w:val="24"/>
                <w:highlight w:val="none"/>
              </w:rPr>
              <w:t>。</w:t>
            </w:r>
          </w:p>
          <w:p>
            <w:pPr>
              <w:snapToGrid w:val="0"/>
              <w:spacing w:line="240" w:lineRule="auto"/>
              <w:ind w:firstLine="422" w:firstLineChars="20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表</w:t>
            </w:r>
            <w:r>
              <w:rPr>
                <w:rFonts w:hint="eastAsia" w:ascii="Times New Roman" w:hAnsi="Times New Roman" w:cs="Times New Roman"/>
                <w:b/>
                <w:bCs/>
                <w:color w:val="auto"/>
                <w:sz w:val="21"/>
                <w:szCs w:val="21"/>
                <w:highlight w:val="none"/>
                <w:lang w:val="en-US" w:eastAsia="zh-CN"/>
              </w:rPr>
              <w:t>4-4</w:t>
            </w:r>
            <w:r>
              <w:rPr>
                <w:rFonts w:hint="default" w:ascii="Times New Roman" w:hAnsi="Times New Roman" w:cs="Times New Roman"/>
                <w:b/>
                <w:bCs/>
                <w:color w:val="auto"/>
                <w:sz w:val="21"/>
                <w:szCs w:val="21"/>
                <w:highlight w:val="none"/>
                <w:lang w:val="en-US" w:eastAsia="zh-CN"/>
              </w:rPr>
              <w:t xml:space="preserve">  外排烟气中各污染物排放情况一览表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275"/>
              <w:gridCol w:w="1378"/>
              <w:gridCol w:w="1456"/>
              <w:gridCol w:w="1454"/>
              <w:gridCol w:w="1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45" w:type="pct"/>
                  <w:vAlign w:val="center"/>
                </w:tcPr>
                <w:p>
                  <w:pPr>
                    <w:pStyle w:val="44"/>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污染物名称</w:t>
                  </w:r>
                </w:p>
              </w:tc>
              <w:tc>
                <w:tcPr>
                  <w:tcW w:w="815" w:type="pct"/>
                  <w:vAlign w:val="center"/>
                </w:tcPr>
                <w:p>
                  <w:pPr>
                    <w:pStyle w:val="44"/>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烟尘</w:t>
                  </w:r>
                </w:p>
              </w:tc>
              <w:tc>
                <w:tcPr>
                  <w:tcW w:w="861" w:type="pct"/>
                  <w:vAlign w:val="center"/>
                </w:tcPr>
                <w:p>
                  <w:pPr>
                    <w:pStyle w:val="44"/>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zh-CN"/>
                    </w:rPr>
                    <w:t>SO</w:t>
                  </w:r>
                  <w:r>
                    <w:rPr>
                      <w:rFonts w:hint="default" w:ascii="Times New Roman" w:hAnsi="Times New Roman" w:cs="Times New Roman"/>
                      <w:color w:val="auto"/>
                      <w:highlight w:val="none"/>
                      <w:vertAlign w:val="subscript"/>
                      <w:lang w:val="zh-CN"/>
                    </w:rPr>
                    <w:t>2</w:t>
                  </w:r>
                </w:p>
              </w:tc>
              <w:tc>
                <w:tcPr>
                  <w:tcW w:w="860" w:type="pct"/>
                  <w:vAlign w:val="center"/>
                </w:tcPr>
                <w:p>
                  <w:pPr>
                    <w:pStyle w:val="44"/>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NO</w:t>
                  </w:r>
                  <w:r>
                    <w:rPr>
                      <w:rFonts w:hint="default" w:ascii="Times New Roman" w:hAnsi="Times New Roman" w:cs="Times New Roman"/>
                      <w:color w:val="auto"/>
                      <w:highlight w:val="none"/>
                      <w:lang w:val="en-US" w:eastAsia="zh-CN"/>
                    </w:rPr>
                    <w:t>x</w:t>
                  </w:r>
                </w:p>
              </w:tc>
              <w:tc>
                <w:tcPr>
                  <w:tcW w:w="1117" w:type="pct"/>
                  <w:vAlign w:val="center"/>
                </w:tcPr>
                <w:p>
                  <w:pPr>
                    <w:pStyle w:val="44"/>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汞及其化合物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45" w:type="pct"/>
                  <w:vAlign w:val="center"/>
                </w:tcPr>
                <w:p>
                  <w:pPr>
                    <w:pStyle w:val="44"/>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废气量（m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/h）</w:t>
                  </w:r>
                </w:p>
              </w:tc>
              <w:tc>
                <w:tcPr>
                  <w:tcW w:w="3654" w:type="pct"/>
                  <w:gridSpan w:val="4"/>
                  <w:vAlign w:val="center"/>
                </w:tcPr>
                <w:p>
                  <w:pPr>
                    <w:pStyle w:val="44"/>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40689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1345" w:type="pct"/>
                  <w:vAlign w:val="center"/>
                </w:tcPr>
                <w:p>
                  <w:pPr>
                    <w:pStyle w:val="44"/>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排放量(t/a)</w:t>
                  </w:r>
                </w:p>
              </w:tc>
              <w:tc>
                <w:tcPr>
                  <w:tcW w:w="815" w:type="pct"/>
                  <w:vAlign w:val="center"/>
                </w:tcPr>
                <w:p>
                  <w:pPr>
                    <w:pStyle w:val="44"/>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1.06</w:t>
                  </w:r>
                </w:p>
              </w:tc>
              <w:tc>
                <w:tcPr>
                  <w:tcW w:w="861" w:type="pct"/>
                  <w:vAlign w:val="center"/>
                </w:tcPr>
                <w:p>
                  <w:pPr>
                    <w:pStyle w:val="44"/>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2.81</w:t>
                  </w:r>
                </w:p>
              </w:tc>
              <w:tc>
                <w:tcPr>
                  <w:tcW w:w="860" w:type="pct"/>
                  <w:vAlign w:val="center"/>
                </w:tcPr>
                <w:p>
                  <w:pPr>
                    <w:pStyle w:val="44"/>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3.88</w:t>
                  </w:r>
                </w:p>
              </w:tc>
              <w:tc>
                <w:tcPr>
                  <w:tcW w:w="1117" w:type="pct"/>
                  <w:vAlign w:val="center"/>
                </w:tcPr>
                <w:p>
                  <w:pPr>
                    <w:pStyle w:val="44"/>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0.00021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1345" w:type="pct"/>
                  <w:vAlign w:val="center"/>
                </w:tcPr>
                <w:p>
                  <w:pPr>
                    <w:pStyle w:val="44"/>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排放量(</w:t>
                  </w:r>
                  <w:r>
                    <w:rPr>
                      <w:rFonts w:hint="default" w:ascii="Times New Roman" w:hAnsi="Times New Roman" w:cs="Times New Roman"/>
                      <w:color w:val="auto"/>
                      <w:highlight w:val="none"/>
                      <w:lang w:val="en-US" w:eastAsia="zh-CN"/>
                    </w:rPr>
                    <w:t>kg/h</w:t>
                  </w:r>
                  <w:r>
                    <w:rPr>
                      <w:rFonts w:hint="default" w:ascii="Times New Roman" w:hAnsi="Times New Roman" w:cs="Times New Roman"/>
                      <w:color w:val="auto"/>
                      <w:highlight w:val="none"/>
                    </w:rPr>
                    <w:t>)</w:t>
                  </w:r>
                </w:p>
              </w:tc>
              <w:tc>
                <w:tcPr>
                  <w:tcW w:w="815" w:type="pct"/>
                  <w:vAlign w:val="center"/>
                </w:tcPr>
                <w:p>
                  <w:pPr>
                    <w:pStyle w:val="44"/>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0.36</w:t>
                  </w:r>
                </w:p>
              </w:tc>
              <w:tc>
                <w:tcPr>
                  <w:tcW w:w="861" w:type="pct"/>
                  <w:vAlign w:val="center"/>
                </w:tcPr>
                <w:p>
                  <w:pPr>
                    <w:pStyle w:val="44"/>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0.96</w:t>
                  </w:r>
                </w:p>
              </w:tc>
              <w:tc>
                <w:tcPr>
                  <w:tcW w:w="860" w:type="pct"/>
                  <w:vAlign w:val="center"/>
                </w:tcPr>
                <w:p>
                  <w:pPr>
                    <w:pStyle w:val="44"/>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1.34</w:t>
                  </w:r>
                </w:p>
              </w:tc>
              <w:tc>
                <w:tcPr>
                  <w:tcW w:w="1117" w:type="pct"/>
                  <w:vAlign w:val="center"/>
                </w:tcPr>
                <w:p>
                  <w:pPr>
                    <w:pStyle w:val="44"/>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1345" w:type="pct"/>
                  <w:vAlign w:val="center"/>
                </w:tcPr>
                <w:p>
                  <w:pPr>
                    <w:pStyle w:val="44"/>
                    <w:bidi w:val="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排放浓度(mg/m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p>
              </w:tc>
              <w:tc>
                <w:tcPr>
                  <w:tcW w:w="815" w:type="pct"/>
                  <w:vAlign w:val="center"/>
                </w:tcPr>
                <w:p>
                  <w:pPr>
                    <w:pStyle w:val="44"/>
                    <w:bidi w:val="0"/>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8.98</w:t>
                  </w:r>
                </w:p>
              </w:tc>
              <w:tc>
                <w:tcPr>
                  <w:tcW w:w="861" w:type="pct"/>
                  <w:vAlign w:val="center"/>
                </w:tcPr>
                <w:p>
                  <w:pPr>
                    <w:pStyle w:val="44"/>
                    <w:bidi w:val="0"/>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23.8</w:t>
                  </w:r>
                </w:p>
              </w:tc>
              <w:tc>
                <w:tcPr>
                  <w:tcW w:w="860" w:type="pct"/>
                  <w:vAlign w:val="center"/>
                </w:tcPr>
                <w:p>
                  <w:pPr>
                    <w:pStyle w:val="44"/>
                    <w:bidi w:val="0"/>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32.88</w:t>
                  </w:r>
                </w:p>
              </w:tc>
              <w:tc>
                <w:tcPr>
                  <w:tcW w:w="1117" w:type="pct"/>
                  <w:vAlign w:val="center"/>
                </w:tcPr>
                <w:p>
                  <w:pPr>
                    <w:pStyle w:val="44"/>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0.0012</w:t>
                  </w:r>
                </w:p>
              </w:tc>
            </w:tr>
          </w:tbl>
          <w:p>
            <w:pPr>
              <w:keepNext w:val="0"/>
              <w:keepLines w:val="0"/>
              <w:pageBreakBefore w:val="0"/>
              <w:widowControl w:val="0"/>
              <w:tabs>
                <w:tab w:val="left" w:pos="1158"/>
                <w:tab w:val="left" w:pos="2477"/>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②煤库无组织废气</w:t>
            </w:r>
          </w:p>
          <w:p>
            <w:pPr>
              <w:keepNext w:val="0"/>
              <w:keepLines w:val="0"/>
              <w:pageBreakBefore w:val="0"/>
              <w:widowControl w:val="0"/>
              <w:tabs>
                <w:tab w:val="left" w:pos="1158"/>
                <w:tab w:val="left" w:pos="2477"/>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eastAsia="宋体" w:cs="Times New Roman"/>
                <w:color w:val="auto"/>
                <w:sz w:val="24"/>
                <w:szCs w:val="24"/>
                <w:highlight w:val="none"/>
                <w:lang w:val="en-US" w:eastAsia="zh-CN"/>
              </w:rPr>
              <w:t>煤堆场产生的无组织煤尘，其对大气环境产生影响的起尘特性分为煤炭堆存起尘和装卸起尘两种情况。煤炭</w:t>
            </w:r>
            <w:r>
              <w:rPr>
                <w:rFonts w:hint="default" w:ascii="Times New Roman" w:hAnsi="Times New Roman" w:cs="Times New Roman"/>
                <w:color w:val="auto"/>
                <w:sz w:val="24"/>
              </w:rPr>
              <w:t>堆存起尘主要是由于风的湍流引起的，主要与料的粒度、含水率、环境风速密切相关；煤炭装卸起尘主要与料的粒度、含水率、环境风速和落差有关。</w:t>
            </w:r>
          </w:p>
          <w:p>
            <w:pPr>
              <w:keepNext w:val="0"/>
              <w:keepLines w:val="0"/>
              <w:pageBreakBefore w:val="0"/>
              <w:widowControl w:val="0"/>
              <w:tabs>
                <w:tab w:val="left" w:pos="2123"/>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相关研究资料表明，煤炭可起尘部分是指粒径小于2～6mm（平均粒径为4mm）的煤颗粒，它一般在煤炭中占24.5%，可起尘部分中＜l00μm的约占10.01%，＜75μm的约占7.84%，&lt;10μm的约占0.71%。</w:t>
            </w:r>
          </w:p>
          <w:p>
            <w:pPr>
              <w:keepNext w:val="0"/>
              <w:keepLines w:val="0"/>
              <w:pageBreakBefore w:val="0"/>
              <w:widowControl w:val="0"/>
              <w:kinsoku/>
              <w:wordWrap/>
              <w:overflowPunct/>
              <w:topLinePunct w:val="0"/>
              <w:autoSpaceDE/>
              <w:autoSpaceDN/>
              <w:bidi w:val="0"/>
              <w:adjustRightInd w:val="0"/>
              <w:snapToGrid w:val="0"/>
              <w:spacing w:after="120" w:afterLines="50" w:line="360" w:lineRule="auto"/>
              <w:ind w:firstLine="480" w:firstLineChars="200"/>
              <w:textAlignment w:val="auto"/>
              <w:rPr>
                <w:rFonts w:hint="default" w:ascii="Times New Roman" w:hAnsi="Times New Roman" w:cs="Times New Roman"/>
                <w:bCs/>
                <w:snapToGrid w:val="0"/>
                <w:color w:val="auto"/>
                <w:kern w:val="0"/>
                <w:sz w:val="24"/>
              </w:rPr>
            </w:pPr>
            <w:r>
              <w:rPr>
                <w:rFonts w:hint="default" w:ascii="Times New Roman" w:hAnsi="Times New Roman" w:cs="Times New Roman"/>
                <w:bCs/>
                <w:snapToGrid w:val="0"/>
                <w:color w:val="auto"/>
                <w:kern w:val="0"/>
                <w:sz w:val="24"/>
              </w:rPr>
              <w:t>煤炭堆存和装卸时产生的煤尘计算公式如下：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snapToGrid w:val="0"/>
                <w:color w:val="auto"/>
                <w:kern w:val="0"/>
                <w:sz w:val="24"/>
              </w:rPr>
            </w:pPr>
            <w:r>
              <w:rPr>
                <w:rFonts w:hint="default" w:ascii="Times New Roman" w:hAnsi="Times New Roman" w:cs="Times New Roman"/>
                <w:bCs/>
                <w:snapToGrid w:val="0"/>
                <w:color w:val="auto"/>
                <w:kern w:val="0"/>
                <w:sz w:val="24"/>
              </w:rPr>
              <w:t xml:space="preserve">煤堆起尘： </w:t>
            </w:r>
            <w:r>
              <w:rPr>
                <w:rFonts w:hint="default" w:ascii="Times New Roman" w:hAnsi="Times New Roman" w:cs="Times New Roman"/>
                <w:bCs/>
                <w:snapToGrid w:val="0"/>
                <w:color w:val="auto"/>
                <w:kern w:val="0"/>
                <w:sz w:val="24"/>
              </w:rPr>
              <w:drawing>
                <wp:inline distT="0" distB="0" distL="0" distR="0">
                  <wp:extent cx="2476500" cy="228600"/>
                  <wp:effectExtent l="0" t="0" r="0" b="0"/>
                  <wp:docPr id="42" name="图片 8"/>
                  <wp:cNvGraphicFramePr/>
                  <a:graphic xmlns:a="http://schemas.openxmlformats.org/drawingml/2006/main">
                    <a:graphicData uri="http://schemas.openxmlformats.org/drawingml/2006/picture">
                      <pic:pic xmlns:pic="http://schemas.openxmlformats.org/drawingml/2006/picture">
                        <pic:nvPicPr>
                          <pic:cNvPr id="42" name="图片 8"/>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76500" cy="2286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bCs/>
                <w:snapToGrid w:val="0"/>
                <w:color w:val="auto"/>
                <w:kern w:val="0"/>
                <w:sz w:val="24"/>
              </w:rPr>
              <w:t>装卸扬尘：</w:t>
            </w:r>
            <w:r>
              <w:rPr>
                <w:rFonts w:hint="default" w:ascii="Times New Roman" w:hAnsi="Times New Roman" w:cs="Times New Roman"/>
                <w:color w:val="auto"/>
              </w:rPr>
              <w:t xml:space="preserve"> </w:t>
            </w:r>
            <w:r>
              <w:rPr>
                <w:rFonts w:hint="default" w:ascii="Times New Roman" w:hAnsi="Times New Roman" w:cs="Times New Roman"/>
                <w:color w:val="auto"/>
                <w:position w:val="-24"/>
              </w:rPr>
              <w:object>
                <v:shape id="_x0000_i1025" o:spt="75" type="#_x0000_t75" style="height:30.45pt;width:170.05pt;" o:ole="t" filled="f" o:preferrelative="t" stroked="f" coordsize="21600,21600">
                  <v:path/>
                  <v:fill on="f" focussize="0,0"/>
                  <v:stroke on="f"/>
                  <v:imagedata r:id="rId15" o:title=""/>
                  <o:lock v:ext="edit" aspectratio="t"/>
                  <w10:wrap type="none"/>
                  <w10:anchorlock/>
                </v:shape>
                <o:OLEObject Type="Embed" ProgID="Equation.3" ShapeID="_x0000_i1025" DrawAspect="Content" ObjectID="_1468075725" r:id="rId14">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snapToGrid w:val="0"/>
                <w:color w:val="auto"/>
                <w:kern w:val="0"/>
                <w:sz w:val="24"/>
              </w:rPr>
            </w:pPr>
            <w:r>
              <w:rPr>
                <w:rFonts w:hint="default" w:ascii="Times New Roman" w:hAnsi="Times New Roman" w:cs="Times New Roman"/>
                <w:bCs/>
                <w:snapToGrid w:val="0"/>
                <w:color w:val="auto"/>
                <w:kern w:val="0"/>
                <w:sz w:val="24"/>
              </w:rPr>
              <w:t>式中：Q</w:t>
            </w:r>
            <w:r>
              <w:rPr>
                <w:rFonts w:hint="default" w:ascii="Times New Roman" w:hAnsi="Times New Roman" w:cs="Times New Roman"/>
                <w:bCs/>
                <w:snapToGrid w:val="0"/>
                <w:color w:val="auto"/>
                <w:kern w:val="0"/>
                <w:sz w:val="24"/>
                <w:vertAlign w:val="subscript"/>
              </w:rPr>
              <w:t>1</w:t>
            </w:r>
            <w:r>
              <w:rPr>
                <w:rFonts w:hint="default" w:ascii="Times New Roman" w:hAnsi="Times New Roman" w:cs="Times New Roman"/>
                <w:bCs/>
                <w:snapToGrid w:val="0"/>
                <w:color w:val="auto"/>
                <w:kern w:val="0"/>
                <w:sz w:val="24"/>
              </w:rPr>
              <w:t>——煤堆起尘（mg/s）</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cs="Times New Roman"/>
                <w:bCs/>
                <w:snapToGrid w:val="0"/>
                <w:color w:val="auto"/>
                <w:kern w:val="0"/>
                <w:sz w:val="24"/>
              </w:rPr>
            </w:pPr>
            <w:r>
              <w:rPr>
                <w:rFonts w:hint="default" w:ascii="Times New Roman" w:hAnsi="Times New Roman" w:cs="Times New Roman"/>
                <w:bCs/>
                <w:snapToGrid w:val="0"/>
                <w:color w:val="auto"/>
                <w:kern w:val="0"/>
                <w:sz w:val="24"/>
              </w:rPr>
              <w:t>Q</w:t>
            </w:r>
            <w:r>
              <w:rPr>
                <w:rFonts w:hint="default" w:ascii="Times New Roman" w:hAnsi="Times New Roman" w:cs="Times New Roman"/>
                <w:bCs/>
                <w:snapToGrid w:val="0"/>
                <w:color w:val="auto"/>
                <w:kern w:val="0"/>
                <w:sz w:val="24"/>
                <w:vertAlign w:val="subscript"/>
              </w:rPr>
              <w:t>2</w:t>
            </w:r>
            <w:r>
              <w:rPr>
                <w:rFonts w:hint="default" w:ascii="Times New Roman" w:hAnsi="Times New Roman" w:cs="Times New Roman"/>
                <w:bCs/>
                <w:snapToGrid w:val="0"/>
                <w:color w:val="auto"/>
                <w:kern w:val="0"/>
                <w:sz w:val="24"/>
              </w:rPr>
              <w:t>——煤装卸起尘（g/次）</w:t>
            </w:r>
          </w:p>
          <w:p>
            <w:pPr>
              <w:keepNext w:val="0"/>
              <w:keepLines w:val="0"/>
              <w:pageBreakBefore w:val="0"/>
              <w:widowControl w:val="0"/>
              <w:kinsoku/>
              <w:wordWrap/>
              <w:overflowPunct/>
              <w:topLinePunct w:val="0"/>
              <w:autoSpaceDE/>
              <w:autoSpaceDN/>
              <w:bidi w:val="0"/>
              <w:adjustRightInd w:val="0"/>
              <w:snapToGrid w:val="0"/>
              <w:spacing w:line="360" w:lineRule="auto"/>
              <w:ind w:firstLine="960" w:firstLineChars="400"/>
              <w:textAlignment w:val="auto"/>
              <w:rPr>
                <w:rFonts w:hint="default" w:ascii="Times New Roman" w:hAnsi="Times New Roman" w:cs="Times New Roman"/>
                <w:bCs/>
                <w:snapToGrid w:val="0"/>
                <w:color w:val="auto"/>
                <w:kern w:val="0"/>
                <w:sz w:val="24"/>
              </w:rPr>
            </w:pPr>
            <w:r>
              <w:rPr>
                <w:rFonts w:hint="default" w:ascii="Times New Roman" w:hAnsi="Times New Roman" w:cs="Times New Roman"/>
                <w:bCs/>
                <w:snapToGrid w:val="0"/>
                <w:color w:val="auto"/>
                <w:kern w:val="0"/>
                <w:sz w:val="24"/>
              </w:rPr>
              <w:t>U——风速（m/s，建有全封闭煤库，此处取静风风速0.5m/s）</w:t>
            </w:r>
          </w:p>
          <w:p>
            <w:pPr>
              <w:keepNext w:val="0"/>
              <w:keepLines w:val="0"/>
              <w:pageBreakBefore w:val="0"/>
              <w:widowControl w:val="0"/>
              <w:kinsoku/>
              <w:wordWrap/>
              <w:overflowPunct/>
              <w:topLinePunct w:val="0"/>
              <w:autoSpaceDE/>
              <w:autoSpaceDN/>
              <w:bidi w:val="0"/>
              <w:adjustRightInd w:val="0"/>
              <w:snapToGrid w:val="0"/>
              <w:spacing w:line="360" w:lineRule="auto"/>
              <w:ind w:firstLine="960" w:firstLineChars="400"/>
              <w:textAlignment w:val="auto"/>
              <w:rPr>
                <w:rFonts w:hint="default" w:ascii="Times New Roman" w:hAnsi="Times New Roman" w:cs="Times New Roman"/>
                <w:bCs/>
                <w:snapToGrid w:val="0"/>
                <w:color w:val="auto"/>
                <w:kern w:val="0"/>
                <w:sz w:val="24"/>
              </w:rPr>
            </w:pPr>
            <w:r>
              <w:rPr>
                <w:rFonts w:hint="default" w:ascii="Times New Roman" w:hAnsi="Times New Roman" w:cs="Times New Roman"/>
                <w:bCs/>
                <w:snapToGrid w:val="0"/>
                <w:color w:val="auto"/>
                <w:kern w:val="0"/>
                <w:sz w:val="24"/>
              </w:rPr>
              <w:t>S——堆场面积（</w:t>
            </w:r>
            <w:r>
              <w:rPr>
                <w:rFonts w:hint="default" w:ascii="Times New Roman" w:hAnsi="Times New Roman" w:cs="Times New Roman"/>
                <w:bCs/>
                <w:snapToGrid w:val="0"/>
                <w:color w:val="auto"/>
                <w:kern w:val="0"/>
                <w:sz w:val="24"/>
                <w:lang w:val="en-US" w:eastAsia="zh-CN"/>
              </w:rPr>
              <w:t>3871.81</w:t>
            </w:r>
            <w:r>
              <w:rPr>
                <w:rFonts w:hint="default" w:ascii="Times New Roman" w:hAnsi="Times New Roman" w:cs="Times New Roman"/>
                <w:bCs/>
                <w:snapToGrid w:val="0"/>
                <w:color w:val="auto"/>
                <w:kern w:val="0"/>
                <w:sz w:val="24"/>
              </w:rPr>
              <w:t>m</w:t>
            </w:r>
            <w:r>
              <w:rPr>
                <w:rFonts w:hint="default" w:ascii="Times New Roman" w:hAnsi="Times New Roman" w:cs="Times New Roman"/>
                <w:bCs/>
                <w:snapToGrid w:val="0"/>
                <w:color w:val="auto"/>
                <w:kern w:val="0"/>
                <w:sz w:val="24"/>
                <w:vertAlign w:val="superscript"/>
              </w:rPr>
              <w:t>2</w:t>
            </w:r>
            <w:r>
              <w:rPr>
                <w:rFonts w:hint="default" w:ascii="Times New Roman" w:hAnsi="Times New Roman" w:cs="Times New Roman"/>
                <w:bCs/>
                <w:snapToGrid w:val="0"/>
                <w:color w:val="auto"/>
                <w:kern w:val="0"/>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960" w:firstLineChars="400"/>
              <w:textAlignment w:val="auto"/>
              <w:rPr>
                <w:rFonts w:hint="default" w:ascii="Times New Roman" w:hAnsi="Times New Roman" w:cs="Times New Roman"/>
                <w:bCs/>
                <w:snapToGrid w:val="0"/>
                <w:color w:val="auto"/>
                <w:kern w:val="0"/>
                <w:sz w:val="24"/>
              </w:rPr>
            </w:pPr>
            <w:r>
              <w:rPr>
                <w:rFonts w:hint="default" w:ascii="Times New Roman" w:hAnsi="Times New Roman" w:cs="Times New Roman"/>
                <w:bCs/>
                <w:snapToGrid w:val="0"/>
                <w:color w:val="auto"/>
                <w:kern w:val="0"/>
                <w:sz w:val="24"/>
              </w:rPr>
              <w:t>ω——空气相对湿度（%，ω&gt;65%）</w:t>
            </w:r>
          </w:p>
          <w:p>
            <w:pPr>
              <w:keepNext w:val="0"/>
              <w:keepLines w:val="0"/>
              <w:pageBreakBefore w:val="0"/>
              <w:widowControl w:val="0"/>
              <w:kinsoku/>
              <w:wordWrap/>
              <w:overflowPunct/>
              <w:topLinePunct w:val="0"/>
              <w:autoSpaceDE/>
              <w:autoSpaceDN/>
              <w:bidi w:val="0"/>
              <w:adjustRightInd w:val="0"/>
              <w:snapToGrid w:val="0"/>
              <w:spacing w:line="360" w:lineRule="auto"/>
              <w:ind w:firstLine="960" w:firstLineChars="400"/>
              <w:textAlignment w:val="auto"/>
              <w:rPr>
                <w:rFonts w:hint="default" w:ascii="Times New Roman" w:hAnsi="Times New Roman" w:cs="Times New Roman"/>
                <w:bCs/>
                <w:snapToGrid w:val="0"/>
                <w:color w:val="auto"/>
                <w:kern w:val="0"/>
                <w:sz w:val="24"/>
              </w:rPr>
            </w:pPr>
            <w:r>
              <w:rPr>
                <w:rFonts w:hint="default" w:ascii="Times New Roman" w:hAnsi="Times New Roman" w:cs="Times New Roman"/>
                <w:bCs/>
                <w:snapToGrid w:val="0"/>
                <w:color w:val="auto"/>
                <w:kern w:val="0"/>
                <w:sz w:val="24"/>
              </w:rPr>
              <w:t>W——物料湿度（%，10%）</w:t>
            </w:r>
          </w:p>
          <w:p>
            <w:pPr>
              <w:keepNext w:val="0"/>
              <w:keepLines w:val="0"/>
              <w:pageBreakBefore w:val="0"/>
              <w:widowControl w:val="0"/>
              <w:kinsoku/>
              <w:wordWrap/>
              <w:overflowPunct/>
              <w:topLinePunct w:val="0"/>
              <w:autoSpaceDE/>
              <w:autoSpaceDN/>
              <w:bidi w:val="0"/>
              <w:adjustRightInd w:val="0"/>
              <w:snapToGrid w:val="0"/>
              <w:spacing w:line="360" w:lineRule="auto"/>
              <w:ind w:firstLine="960" w:firstLineChars="400"/>
              <w:textAlignment w:val="auto"/>
              <w:rPr>
                <w:rFonts w:hint="default" w:ascii="Times New Roman" w:hAnsi="Times New Roman" w:cs="Times New Roman"/>
                <w:bCs/>
                <w:snapToGrid w:val="0"/>
                <w:color w:val="auto"/>
                <w:kern w:val="0"/>
                <w:sz w:val="24"/>
              </w:rPr>
            </w:pPr>
            <w:r>
              <w:rPr>
                <w:rFonts w:hint="default" w:ascii="Times New Roman" w:hAnsi="Times New Roman" w:cs="Times New Roman"/>
                <w:bCs/>
                <w:snapToGrid w:val="0"/>
                <w:color w:val="auto"/>
                <w:kern w:val="0"/>
                <w:sz w:val="24"/>
              </w:rPr>
              <w:t>M——汽车吨位（t，60t/辆）</w:t>
            </w:r>
          </w:p>
          <w:p>
            <w:pPr>
              <w:keepNext w:val="0"/>
              <w:keepLines w:val="0"/>
              <w:pageBreakBefore w:val="0"/>
              <w:widowControl w:val="0"/>
              <w:kinsoku/>
              <w:wordWrap/>
              <w:overflowPunct/>
              <w:topLinePunct w:val="0"/>
              <w:autoSpaceDE/>
              <w:autoSpaceDN/>
              <w:bidi w:val="0"/>
              <w:adjustRightInd w:val="0"/>
              <w:snapToGrid w:val="0"/>
              <w:spacing w:line="360" w:lineRule="auto"/>
              <w:ind w:firstLine="960" w:firstLineChars="400"/>
              <w:textAlignment w:val="auto"/>
              <w:rPr>
                <w:rFonts w:hint="default" w:ascii="Times New Roman" w:hAnsi="Times New Roman" w:cs="Times New Roman"/>
                <w:color w:val="auto"/>
                <w:sz w:val="24"/>
              </w:rPr>
            </w:pPr>
            <w:r>
              <w:rPr>
                <w:rFonts w:hint="default" w:ascii="Times New Roman" w:hAnsi="Times New Roman" w:cs="Times New Roman"/>
                <w:bCs/>
                <w:snapToGrid w:val="0"/>
                <w:color w:val="auto"/>
                <w:kern w:val="0"/>
                <w:sz w:val="24"/>
              </w:rPr>
              <w:t>H——煤装卸高度（m，H=2.0m）</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color w:val="auto"/>
                <w:kern w:val="24"/>
                <w:sz w:val="24"/>
                <w:szCs w:val="24"/>
              </w:rPr>
            </w:pPr>
            <w:r>
              <w:rPr>
                <w:rFonts w:hint="default" w:ascii="Times New Roman" w:hAnsi="Times New Roman" w:eastAsia="宋体" w:cs="Times New Roman"/>
                <w:color w:val="auto"/>
                <w:kern w:val="24"/>
                <w:sz w:val="24"/>
                <w:szCs w:val="24"/>
              </w:rPr>
              <w:t>本项目</w:t>
            </w:r>
            <w:r>
              <w:rPr>
                <w:rFonts w:hint="eastAsia" w:ascii="Times New Roman" w:hAnsi="Times New Roman" w:eastAsia="宋体" w:cs="Times New Roman"/>
                <w:color w:val="auto"/>
                <w:kern w:val="24"/>
                <w:sz w:val="24"/>
                <w:szCs w:val="24"/>
                <w:lang w:val="en-US" w:eastAsia="zh-CN"/>
              </w:rPr>
              <w:t>煤库</w:t>
            </w:r>
            <w:r>
              <w:rPr>
                <w:rFonts w:hint="default" w:ascii="Times New Roman" w:hAnsi="Times New Roman" w:eastAsia="宋体" w:cs="Times New Roman"/>
                <w:color w:val="auto"/>
                <w:kern w:val="24"/>
                <w:sz w:val="24"/>
                <w:szCs w:val="24"/>
              </w:rPr>
              <w:t>面积</w:t>
            </w:r>
            <w:r>
              <w:rPr>
                <w:rFonts w:hint="eastAsia" w:ascii="Times New Roman" w:hAnsi="Times New Roman" w:eastAsia="宋体" w:cs="Times New Roman"/>
                <w:color w:val="auto"/>
                <w:kern w:val="24"/>
                <w:sz w:val="24"/>
                <w:szCs w:val="24"/>
                <w:lang w:val="en-US" w:eastAsia="zh-CN"/>
              </w:rPr>
              <w:t>2978.46</w:t>
            </w:r>
            <w:r>
              <w:rPr>
                <w:rFonts w:hint="default" w:ascii="Times New Roman" w:hAnsi="Times New Roman" w:eastAsia="宋体" w:cs="Times New Roman"/>
                <w:color w:val="auto"/>
                <w:kern w:val="24"/>
                <w:sz w:val="24"/>
                <w:szCs w:val="24"/>
              </w:rPr>
              <w:t>m</w:t>
            </w:r>
            <w:r>
              <w:rPr>
                <w:rFonts w:hint="default" w:ascii="Times New Roman" w:hAnsi="Times New Roman" w:eastAsia="宋体" w:cs="Times New Roman"/>
                <w:color w:val="auto"/>
                <w:kern w:val="24"/>
                <w:sz w:val="24"/>
                <w:szCs w:val="24"/>
                <w:vertAlign w:val="superscript"/>
              </w:rPr>
              <w:t>2</w:t>
            </w:r>
            <w:r>
              <w:rPr>
                <w:rFonts w:hint="default" w:ascii="Times New Roman" w:hAnsi="Times New Roman" w:eastAsia="宋体" w:cs="Times New Roman"/>
                <w:color w:val="auto"/>
                <w:kern w:val="24"/>
                <w:sz w:val="24"/>
                <w:szCs w:val="24"/>
              </w:rPr>
              <w:t>，计算堆存起尘量约0.0</w:t>
            </w:r>
            <w:r>
              <w:rPr>
                <w:rFonts w:hint="default" w:ascii="Times New Roman" w:hAnsi="Times New Roman" w:eastAsia="宋体" w:cs="Times New Roman"/>
                <w:color w:val="auto"/>
                <w:kern w:val="24"/>
                <w:sz w:val="24"/>
                <w:szCs w:val="24"/>
                <w:lang w:val="en-US" w:eastAsia="zh-CN"/>
              </w:rPr>
              <w:t>8</w:t>
            </w:r>
            <w:r>
              <w:rPr>
                <w:rFonts w:hint="default" w:ascii="Times New Roman" w:hAnsi="Times New Roman" w:eastAsia="宋体" w:cs="Times New Roman"/>
                <w:color w:val="auto"/>
                <w:kern w:val="24"/>
                <w:sz w:val="24"/>
                <w:szCs w:val="24"/>
              </w:rPr>
              <w:t>kg/h，年产生量</w:t>
            </w:r>
            <w:r>
              <w:rPr>
                <w:rFonts w:hint="default" w:ascii="Times New Roman" w:hAnsi="Times New Roman" w:eastAsia="宋体" w:cs="Times New Roman"/>
                <w:color w:val="auto"/>
                <w:kern w:val="24"/>
                <w:sz w:val="24"/>
                <w:szCs w:val="24"/>
                <w:lang w:val="en-US" w:eastAsia="zh-CN"/>
              </w:rPr>
              <w:t>0.23</w:t>
            </w:r>
            <w:r>
              <w:rPr>
                <w:rFonts w:hint="eastAsia" w:ascii="Times New Roman" w:hAnsi="Times New Roman" w:eastAsia="宋体" w:cs="Times New Roman"/>
                <w:color w:val="auto"/>
                <w:kern w:val="24"/>
                <w:sz w:val="24"/>
                <w:szCs w:val="24"/>
                <w:lang w:val="en-US" w:eastAsia="zh-CN"/>
              </w:rPr>
              <w:t>2</w:t>
            </w:r>
            <w:r>
              <w:rPr>
                <w:rFonts w:hint="default" w:ascii="Times New Roman" w:hAnsi="Times New Roman" w:eastAsia="宋体" w:cs="Times New Roman"/>
                <w:color w:val="auto"/>
                <w:kern w:val="24"/>
                <w:sz w:val="24"/>
                <w:szCs w:val="24"/>
              </w:rPr>
              <w:t>t；装卸起尘量为3.223kg/次，每年按装卸</w:t>
            </w:r>
            <w:r>
              <w:rPr>
                <w:rFonts w:hint="default" w:ascii="Times New Roman" w:hAnsi="Times New Roman" w:eastAsia="宋体" w:cs="Times New Roman"/>
                <w:color w:val="auto"/>
                <w:kern w:val="24"/>
                <w:sz w:val="24"/>
                <w:szCs w:val="24"/>
                <w:lang w:val="en-US" w:eastAsia="zh-CN"/>
              </w:rPr>
              <w:t>176</w:t>
            </w:r>
            <w:r>
              <w:rPr>
                <w:rFonts w:hint="default" w:ascii="Times New Roman" w:hAnsi="Times New Roman" w:eastAsia="宋体" w:cs="Times New Roman"/>
                <w:color w:val="auto"/>
                <w:kern w:val="24"/>
                <w:sz w:val="24"/>
                <w:szCs w:val="24"/>
              </w:rPr>
              <w:t>次计算，年产生量</w:t>
            </w:r>
            <w:r>
              <w:rPr>
                <w:rFonts w:hint="default" w:ascii="Times New Roman" w:hAnsi="Times New Roman" w:eastAsia="宋体" w:cs="Times New Roman"/>
                <w:color w:val="auto"/>
                <w:kern w:val="24"/>
                <w:sz w:val="24"/>
                <w:szCs w:val="24"/>
                <w:lang w:val="en-US" w:eastAsia="zh-CN"/>
              </w:rPr>
              <w:t>0.567</w:t>
            </w:r>
            <w:r>
              <w:rPr>
                <w:rFonts w:hint="default" w:ascii="Times New Roman" w:hAnsi="Times New Roman" w:eastAsia="宋体" w:cs="Times New Roman"/>
                <w:color w:val="auto"/>
                <w:kern w:val="24"/>
                <w:sz w:val="24"/>
                <w:szCs w:val="24"/>
              </w:rPr>
              <w:t>t。则煤尘总产生量为</w:t>
            </w:r>
            <w:r>
              <w:rPr>
                <w:rFonts w:hint="default" w:ascii="Times New Roman" w:hAnsi="Times New Roman" w:eastAsia="宋体" w:cs="Times New Roman"/>
                <w:color w:val="auto"/>
                <w:kern w:val="24"/>
                <w:sz w:val="24"/>
                <w:szCs w:val="24"/>
                <w:lang w:val="en-US" w:eastAsia="zh-CN"/>
              </w:rPr>
              <w:t>0.</w:t>
            </w:r>
            <w:r>
              <w:rPr>
                <w:rFonts w:hint="eastAsia" w:ascii="Times New Roman" w:hAnsi="Times New Roman" w:eastAsia="宋体" w:cs="Times New Roman"/>
                <w:color w:val="auto"/>
                <w:kern w:val="24"/>
                <w:sz w:val="24"/>
                <w:szCs w:val="24"/>
                <w:lang w:val="en-US" w:eastAsia="zh-CN"/>
              </w:rPr>
              <w:t>799</w:t>
            </w:r>
            <w:r>
              <w:rPr>
                <w:rFonts w:hint="default" w:ascii="Times New Roman" w:hAnsi="Times New Roman" w:eastAsia="宋体" w:cs="Times New Roman"/>
                <w:color w:val="auto"/>
                <w:kern w:val="24"/>
                <w:sz w:val="24"/>
                <w:szCs w:val="24"/>
              </w:rPr>
              <w:t>t/a</w:t>
            </w:r>
            <w:r>
              <w:rPr>
                <w:rFonts w:hint="default" w:ascii="Times New Roman" w:hAnsi="Times New Roman" w:eastAsia="宋体" w:cs="Times New Roman"/>
                <w:color w:val="auto"/>
                <w:kern w:val="24"/>
                <w:sz w:val="24"/>
                <w:szCs w:val="24"/>
                <w:lang w:eastAsia="zh-CN"/>
              </w:rPr>
              <w:t>（</w:t>
            </w:r>
            <w:r>
              <w:rPr>
                <w:rFonts w:hint="default" w:ascii="Times New Roman" w:hAnsi="Times New Roman" w:eastAsia="宋体" w:cs="Times New Roman"/>
                <w:color w:val="auto"/>
                <w:kern w:val="24"/>
                <w:sz w:val="24"/>
                <w:szCs w:val="24"/>
                <w:lang w:val="en-US" w:eastAsia="zh-CN"/>
              </w:rPr>
              <w:t>0.2</w:t>
            </w:r>
            <w:r>
              <w:rPr>
                <w:rFonts w:hint="eastAsia" w:ascii="Times New Roman" w:hAnsi="Times New Roman" w:eastAsia="宋体" w:cs="Times New Roman"/>
                <w:color w:val="auto"/>
                <w:kern w:val="24"/>
                <w:sz w:val="24"/>
                <w:szCs w:val="24"/>
                <w:lang w:val="en-US" w:eastAsia="zh-CN"/>
              </w:rPr>
              <w:t>75</w:t>
            </w:r>
            <w:r>
              <w:rPr>
                <w:rFonts w:hint="default" w:ascii="Times New Roman" w:hAnsi="Times New Roman" w:eastAsia="宋体" w:cs="Times New Roman"/>
                <w:color w:val="auto"/>
                <w:kern w:val="24"/>
                <w:sz w:val="24"/>
                <w:szCs w:val="24"/>
                <w:lang w:val="en-US" w:eastAsia="zh-CN"/>
              </w:rPr>
              <w:t>kg/h</w:t>
            </w:r>
            <w:r>
              <w:rPr>
                <w:rFonts w:hint="default" w:ascii="Times New Roman" w:hAnsi="Times New Roman" w:eastAsia="宋体" w:cs="Times New Roman"/>
                <w:color w:val="auto"/>
                <w:kern w:val="24"/>
                <w:sz w:val="24"/>
                <w:szCs w:val="24"/>
                <w:lang w:eastAsia="zh-CN"/>
              </w:rPr>
              <w:t>）</w:t>
            </w:r>
            <w:r>
              <w:rPr>
                <w:rFonts w:hint="default" w:ascii="Times New Roman" w:hAnsi="Times New Roman" w:eastAsia="宋体" w:cs="Times New Roman"/>
                <w:color w:val="auto"/>
                <w:kern w:val="24"/>
                <w:sz w:val="24"/>
                <w:szCs w:val="24"/>
              </w:rPr>
              <w:t>。</w:t>
            </w:r>
          </w:p>
          <w:p>
            <w:pPr>
              <w:adjustRightInd w:val="0"/>
              <w:snapToGrid w:val="0"/>
              <w:spacing w:line="360" w:lineRule="auto"/>
              <w:ind w:firstLine="480" w:firstLineChars="200"/>
              <w:rPr>
                <w:rFonts w:hint="default" w:ascii="Times New Roman" w:hAnsi="Times New Roman" w:cs="Times New Roman"/>
                <w:color w:val="auto"/>
                <w:w w:val="100"/>
                <w:sz w:val="24"/>
                <w:szCs w:val="24"/>
                <w:lang w:val="en-US" w:eastAsia="zh-CN"/>
              </w:rPr>
            </w:pPr>
            <w:r>
              <w:rPr>
                <w:rFonts w:hint="default" w:ascii="Times New Roman" w:hAnsi="Times New Roman" w:cs="Times New Roman"/>
                <w:color w:val="auto"/>
                <w:kern w:val="24"/>
                <w:sz w:val="24"/>
                <w:szCs w:val="24"/>
              </w:rPr>
              <w:t>煤的装卸储存均在库内进行，煤输送至锅炉房采用密闭通廊，抑尘率可达</w:t>
            </w:r>
            <w:r>
              <w:rPr>
                <w:rFonts w:hint="eastAsia" w:ascii="Times New Roman" w:hAnsi="Times New Roman" w:cs="Times New Roman"/>
                <w:color w:val="auto"/>
                <w:kern w:val="24"/>
                <w:sz w:val="24"/>
                <w:szCs w:val="24"/>
                <w:lang w:val="en-US" w:eastAsia="zh-CN"/>
              </w:rPr>
              <w:t>80</w:t>
            </w:r>
            <w:r>
              <w:rPr>
                <w:rFonts w:hint="default" w:ascii="Times New Roman" w:hAnsi="Times New Roman" w:cs="Times New Roman"/>
                <w:color w:val="auto"/>
                <w:kern w:val="24"/>
                <w:sz w:val="24"/>
                <w:szCs w:val="24"/>
              </w:rPr>
              <w:t>%以上，年外排粉尘</w:t>
            </w:r>
            <w:r>
              <w:rPr>
                <w:rFonts w:hint="eastAsia" w:ascii="Times New Roman" w:hAnsi="Times New Roman" w:cs="Times New Roman"/>
                <w:color w:val="auto"/>
                <w:kern w:val="24"/>
                <w:sz w:val="24"/>
                <w:szCs w:val="24"/>
                <w:lang w:val="en-US" w:eastAsia="zh-CN"/>
              </w:rPr>
              <w:t>0.16t，排放速率为0.055kg/h</w:t>
            </w:r>
            <w:r>
              <w:rPr>
                <w:rFonts w:hint="default" w:ascii="Times New Roman" w:hAnsi="Times New Roman" w:cs="Times New Roman"/>
                <w:color w:val="auto"/>
                <w:kern w:val="24"/>
                <w:sz w:val="24"/>
                <w:szCs w:val="24"/>
              </w:rPr>
              <w:t>。</w:t>
            </w:r>
          </w:p>
          <w:p>
            <w:pPr>
              <w:snapToGrid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③</w:t>
            </w:r>
            <w:r>
              <w:rPr>
                <w:rFonts w:hint="default" w:ascii="Times New Roman" w:hAnsi="Times New Roman" w:eastAsia="宋体" w:cs="Times New Roman"/>
                <w:color w:val="auto"/>
                <w:kern w:val="24"/>
                <w:sz w:val="24"/>
                <w:szCs w:val="24"/>
              </w:rPr>
              <w:t>食堂油烟</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color w:val="auto"/>
                <w:kern w:val="24"/>
                <w:sz w:val="24"/>
                <w:szCs w:val="24"/>
                <w:lang w:val="en-US" w:eastAsia="zh-CN"/>
              </w:rPr>
            </w:pPr>
            <w:r>
              <w:rPr>
                <w:rFonts w:hint="default" w:ascii="Times New Roman" w:hAnsi="Times New Roman" w:eastAsia="宋体" w:cs="Times New Roman"/>
                <w:color w:val="auto"/>
                <w:kern w:val="24"/>
                <w:sz w:val="24"/>
                <w:szCs w:val="24"/>
                <w:lang w:val="en-US" w:eastAsia="zh-CN"/>
              </w:rPr>
              <w:t>项目</w:t>
            </w:r>
            <w:r>
              <w:rPr>
                <w:rFonts w:hint="default" w:ascii="Times New Roman" w:hAnsi="Times New Roman" w:eastAsia="宋体" w:cs="Times New Roman"/>
                <w:color w:val="auto"/>
                <w:kern w:val="24"/>
                <w:sz w:val="24"/>
                <w:szCs w:val="24"/>
              </w:rPr>
              <w:t>内设置1个食堂，就餐人数为</w:t>
            </w:r>
            <w:r>
              <w:rPr>
                <w:rFonts w:hint="default" w:ascii="Times New Roman" w:hAnsi="Times New Roman" w:eastAsia="宋体" w:cs="Times New Roman"/>
                <w:color w:val="auto"/>
                <w:kern w:val="24"/>
                <w:sz w:val="24"/>
                <w:szCs w:val="24"/>
                <w:lang w:val="en-US" w:eastAsia="zh-CN"/>
              </w:rPr>
              <w:t>56</w:t>
            </w:r>
            <w:r>
              <w:rPr>
                <w:rFonts w:hint="default" w:ascii="Times New Roman" w:hAnsi="Times New Roman" w:eastAsia="宋体" w:cs="Times New Roman"/>
                <w:color w:val="auto"/>
                <w:kern w:val="24"/>
                <w:sz w:val="24"/>
                <w:szCs w:val="24"/>
              </w:rPr>
              <w:t>人</w:t>
            </w:r>
            <w:r>
              <w:rPr>
                <w:rFonts w:hint="default" w:ascii="Times New Roman" w:hAnsi="Times New Roman" w:eastAsia="宋体" w:cs="Times New Roman"/>
                <w:color w:val="auto"/>
                <w:kern w:val="24"/>
                <w:sz w:val="24"/>
                <w:szCs w:val="24"/>
                <w:lang w:val="en-US" w:eastAsia="zh-CN"/>
              </w:rPr>
              <w:t>/餐</w:t>
            </w:r>
            <w:r>
              <w:rPr>
                <w:rFonts w:hint="default" w:ascii="Times New Roman" w:hAnsi="Times New Roman" w:eastAsia="宋体" w:cs="Times New Roman"/>
                <w:color w:val="auto"/>
                <w:kern w:val="24"/>
                <w:sz w:val="24"/>
                <w:szCs w:val="24"/>
              </w:rPr>
              <w:t>，结合实际情况，食用油按平均每人每</w:t>
            </w:r>
            <w:r>
              <w:rPr>
                <w:rFonts w:hint="default" w:ascii="Times New Roman" w:hAnsi="Times New Roman" w:eastAsia="宋体" w:cs="Times New Roman"/>
                <w:color w:val="auto"/>
                <w:kern w:val="24"/>
                <w:sz w:val="24"/>
                <w:szCs w:val="24"/>
                <w:lang w:val="en-US" w:eastAsia="zh-CN"/>
              </w:rPr>
              <w:t>餐</w:t>
            </w:r>
            <w:r>
              <w:rPr>
                <w:rFonts w:hint="default" w:ascii="Times New Roman" w:hAnsi="Times New Roman" w:eastAsia="宋体" w:cs="Times New Roman"/>
                <w:color w:val="auto"/>
                <w:kern w:val="24"/>
                <w:sz w:val="24"/>
                <w:szCs w:val="24"/>
              </w:rPr>
              <w:t>消耗30g计，则食用油消耗量为</w:t>
            </w:r>
            <w:r>
              <w:rPr>
                <w:rFonts w:hint="default" w:ascii="Times New Roman" w:hAnsi="Times New Roman" w:eastAsia="宋体" w:cs="Times New Roman"/>
                <w:color w:val="auto"/>
                <w:kern w:val="24"/>
                <w:sz w:val="24"/>
                <w:szCs w:val="24"/>
                <w:lang w:val="en-US" w:eastAsia="zh-CN"/>
              </w:rPr>
              <w:t>3.36</w:t>
            </w:r>
            <w:r>
              <w:rPr>
                <w:rFonts w:hint="default" w:ascii="Times New Roman" w:hAnsi="Times New Roman" w:eastAsia="宋体" w:cs="Times New Roman"/>
                <w:color w:val="auto"/>
                <w:kern w:val="24"/>
                <w:sz w:val="24"/>
                <w:szCs w:val="24"/>
              </w:rPr>
              <w:t>kg/d，烹调过程食用油挥发率按3%计，则油烟产生量为</w:t>
            </w:r>
            <w:r>
              <w:rPr>
                <w:rFonts w:hint="default" w:ascii="Times New Roman" w:hAnsi="Times New Roman" w:eastAsia="宋体" w:cs="Times New Roman"/>
                <w:color w:val="auto"/>
                <w:kern w:val="24"/>
                <w:sz w:val="24"/>
                <w:szCs w:val="24"/>
                <w:lang w:val="en-US" w:eastAsia="zh-CN"/>
              </w:rPr>
              <w:t>0.1</w:t>
            </w:r>
            <w:r>
              <w:rPr>
                <w:rFonts w:hint="default" w:ascii="Times New Roman" w:hAnsi="Times New Roman" w:eastAsia="宋体" w:cs="Times New Roman"/>
                <w:color w:val="auto"/>
                <w:kern w:val="24"/>
                <w:sz w:val="24"/>
                <w:szCs w:val="24"/>
              </w:rPr>
              <w:t>kg/d，则其油烟产生量约</w:t>
            </w:r>
            <w:r>
              <w:rPr>
                <w:rFonts w:hint="default" w:ascii="Times New Roman" w:hAnsi="Times New Roman" w:eastAsia="宋体" w:cs="Times New Roman"/>
                <w:color w:val="auto"/>
                <w:kern w:val="24"/>
                <w:sz w:val="24"/>
                <w:szCs w:val="24"/>
                <w:lang w:val="en-US" w:eastAsia="zh-CN"/>
              </w:rPr>
              <w:t>0.02k</w:t>
            </w:r>
            <w:r>
              <w:rPr>
                <w:rFonts w:hint="default" w:ascii="Times New Roman" w:hAnsi="Times New Roman" w:eastAsia="宋体" w:cs="Times New Roman"/>
                <w:color w:val="auto"/>
                <w:kern w:val="24"/>
                <w:sz w:val="24"/>
                <w:szCs w:val="24"/>
              </w:rPr>
              <w:t>g/h（</w:t>
            </w:r>
            <w:r>
              <w:rPr>
                <w:rFonts w:hint="default" w:ascii="Times New Roman" w:hAnsi="Times New Roman" w:eastAsia="宋体" w:cs="Times New Roman"/>
                <w:color w:val="auto"/>
                <w:kern w:val="24"/>
                <w:sz w:val="24"/>
                <w:szCs w:val="24"/>
                <w:lang w:val="en-US" w:eastAsia="zh-CN"/>
              </w:rPr>
              <w:t>6</w:t>
            </w:r>
            <w:r>
              <w:rPr>
                <w:rFonts w:hint="default" w:ascii="Times New Roman" w:hAnsi="Times New Roman" w:eastAsia="宋体" w:cs="Times New Roman"/>
                <w:color w:val="auto"/>
                <w:kern w:val="24"/>
                <w:sz w:val="24"/>
                <w:szCs w:val="24"/>
              </w:rPr>
              <w:t>h/d），设置</w:t>
            </w:r>
            <w:r>
              <w:rPr>
                <w:rFonts w:hint="default" w:ascii="Times New Roman" w:hAnsi="Times New Roman" w:eastAsia="宋体" w:cs="Times New Roman"/>
                <w:color w:val="auto"/>
                <w:kern w:val="24"/>
                <w:sz w:val="24"/>
                <w:szCs w:val="24"/>
                <w:lang w:val="en-US" w:eastAsia="zh-CN"/>
              </w:rPr>
              <w:t>4</w:t>
            </w:r>
            <w:r>
              <w:rPr>
                <w:rFonts w:hint="default" w:ascii="Times New Roman" w:hAnsi="Times New Roman" w:eastAsia="宋体" w:cs="Times New Roman"/>
                <w:color w:val="auto"/>
                <w:kern w:val="24"/>
                <w:sz w:val="24"/>
                <w:szCs w:val="24"/>
              </w:rPr>
              <w:t>个灶头，其烟气排放量</w:t>
            </w:r>
            <w:r>
              <w:rPr>
                <w:rFonts w:hint="default" w:ascii="Times New Roman" w:hAnsi="Times New Roman" w:eastAsia="宋体" w:cs="Times New Roman"/>
                <w:color w:val="auto"/>
                <w:kern w:val="24"/>
                <w:sz w:val="24"/>
                <w:szCs w:val="24"/>
                <w:lang w:val="en-US" w:eastAsia="zh-CN"/>
              </w:rPr>
              <w:t>8000</w:t>
            </w:r>
            <w:r>
              <w:rPr>
                <w:rFonts w:hint="default" w:ascii="Times New Roman" w:hAnsi="Times New Roman" w:eastAsia="宋体" w:cs="Times New Roman"/>
                <w:color w:val="auto"/>
                <w:kern w:val="24"/>
                <w:sz w:val="24"/>
                <w:szCs w:val="24"/>
              </w:rPr>
              <w:t>m</w:t>
            </w:r>
            <w:r>
              <w:rPr>
                <w:rFonts w:hint="default" w:ascii="Times New Roman" w:hAnsi="Times New Roman" w:eastAsia="宋体" w:cs="Times New Roman"/>
                <w:color w:val="auto"/>
                <w:kern w:val="24"/>
                <w:sz w:val="24"/>
                <w:szCs w:val="24"/>
                <w:vertAlign w:val="superscript"/>
              </w:rPr>
              <w:t>3</w:t>
            </w:r>
            <w:r>
              <w:rPr>
                <w:rFonts w:hint="default" w:ascii="Times New Roman" w:hAnsi="Times New Roman" w:eastAsia="宋体" w:cs="Times New Roman"/>
                <w:color w:val="auto"/>
                <w:kern w:val="24"/>
                <w:sz w:val="24"/>
                <w:szCs w:val="24"/>
              </w:rPr>
              <w:t>/h，产生浓度</w:t>
            </w:r>
            <w:r>
              <w:rPr>
                <w:rFonts w:hint="default" w:ascii="Times New Roman" w:hAnsi="Times New Roman" w:eastAsia="宋体" w:cs="Times New Roman"/>
                <w:color w:val="auto"/>
                <w:kern w:val="24"/>
                <w:sz w:val="24"/>
                <w:szCs w:val="24"/>
                <w:lang w:val="en-US" w:eastAsia="zh-CN"/>
              </w:rPr>
              <w:t>2.08</w:t>
            </w:r>
            <w:r>
              <w:rPr>
                <w:rFonts w:hint="default" w:ascii="Times New Roman" w:hAnsi="Times New Roman" w:eastAsia="宋体" w:cs="Times New Roman"/>
                <w:color w:val="auto"/>
                <w:kern w:val="24"/>
                <w:sz w:val="24"/>
                <w:szCs w:val="24"/>
              </w:rPr>
              <w:t>mg/m</w:t>
            </w:r>
            <w:r>
              <w:rPr>
                <w:rFonts w:hint="default" w:ascii="Times New Roman" w:hAnsi="Times New Roman" w:eastAsia="宋体" w:cs="Times New Roman"/>
                <w:color w:val="auto"/>
                <w:kern w:val="24"/>
                <w:sz w:val="24"/>
                <w:szCs w:val="24"/>
                <w:vertAlign w:val="superscript"/>
              </w:rPr>
              <w:t>3</w:t>
            </w:r>
            <w:r>
              <w:rPr>
                <w:rFonts w:hint="default" w:ascii="Times New Roman" w:hAnsi="Times New Roman" w:eastAsia="宋体" w:cs="Times New Roman"/>
                <w:color w:val="auto"/>
                <w:kern w:val="24"/>
                <w:sz w:val="24"/>
                <w:szCs w:val="24"/>
              </w:rPr>
              <w:t>。建设单位拟</w:t>
            </w:r>
            <w:r>
              <w:rPr>
                <w:rFonts w:hint="default" w:ascii="Times New Roman" w:hAnsi="Times New Roman" w:eastAsia="宋体" w:cs="Times New Roman"/>
                <w:color w:val="auto"/>
                <w:kern w:val="24"/>
                <w:sz w:val="24"/>
                <w:szCs w:val="24"/>
                <w:lang w:val="en-US" w:eastAsia="zh-CN"/>
              </w:rPr>
              <w:t>安装</w:t>
            </w:r>
            <w:r>
              <w:rPr>
                <w:rFonts w:hint="default" w:ascii="Times New Roman" w:hAnsi="Times New Roman" w:eastAsia="宋体" w:cs="Times New Roman"/>
                <w:color w:val="auto"/>
                <w:kern w:val="24"/>
                <w:sz w:val="24"/>
                <w:szCs w:val="24"/>
              </w:rPr>
              <w:t>高效油烟净化器，其净化效率不低于</w:t>
            </w:r>
            <w:r>
              <w:rPr>
                <w:rFonts w:hint="default" w:ascii="Times New Roman" w:hAnsi="Times New Roman" w:eastAsia="宋体" w:cs="Times New Roman"/>
                <w:color w:val="auto"/>
                <w:kern w:val="24"/>
                <w:sz w:val="24"/>
                <w:szCs w:val="24"/>
                <w:lang w:val="en-US" w:eastAsia="zh-CN"/>
              </w:rPr>
              <w:t>75</w:t>
            </w:r>
            <w:r>
              <w:rPr>
                <w:rFonts w:hint="default" w:ascii="Times New Roman" w:hAnsi="Times New Roman" w:eastAsia="宋体" w:cs="Times New Roman"/>
                <w:color w:val="auto"/>
                <w:kern w:val="24"/>
                <w:sz w:val="24"/>
                <w:szCs w:val="24"/>
              </w:rPr>
              <w:t>%，油烟排放浓度为</w:t>
            </w:r>
            <w:r>
              <w:rPr>
                <w:rFonts w:hint="default" w:ascii="Times New Roman" w:hAnsi="Times New Roman" w:eastAsia="宋体" w:cs="Times New Roman"/>
                <w:color w:val="auto"/>
                <w:kern w:val="24"/>
                <w:sz w:val="24"/>
                <w:szCs w:val="24"/>
                <w:lang w:val="en-US" w:eastAsia="zh-CN"/>
              </w:rPr>
              <w:t>0.52</w:t>
            </w:r>
            <w:r>
              <w:rPr>
                <w:rFonts w:hint="default" w:ascii="Times New Roman" w:hAnsi="Times New Roman" w:eastAsia="宋体" w:cs="Times New Roman"/>
                <w:color w:val="auto"/>
                <w:kern w:val="24"/>
                <w:sz w:val="24"/>
                <w:szCs w:val="24"/>
              </w:rPr>
              <w:t>mg/m</w:t>
            </w:r>
            <w:r>
              <w:rPr>
                <w:rFonts w:hint="default" w:ascii="Times New Roman" w:hAnsi="Times New Roman" w:eastAsia="宋体" w:cs="Times New Roman"/>
                <w:color w:val="auto"/>
                <w:kern w:val="24"/>
                <w:sz w:val="24"/>
                <w:szCs w:val="24"/>
                <w:vertAlign w:val="superscript"/>
              </w:rPr>
              <w:t>3</w:t>
            </w:r>
            <w:r>
              <w:rPr>
                <w:rFonts w:hint="default" w:ascii="Times New Roman" w:hAnsi="Times New Roman" w:eastAsia="宋体" w:cs="Times New Roman"/>
                <w:color w:val="auto"/>
                <w:kern w:val="24"/>
                <w:sz w:val="24"/>
                <w:szCs w:val="24"/>
              </w:rPr>
              <w:t>。</w:t>
            </w:r>
          </w:p>
          <w:p>
            <w:pPr>
              <w:snapToGrid w:val="0"/>
              <w:spacing w:line="360" w:lineRule="auto"/>
              <w:ind w:firstLine="482" w:firstLineChars="200"/>
              <w:jc w:val="left"/>
              <w:rPr>
                <w:rFonts w:hint="eastAsia" w:ascii="Times New Roman" w:hAnsi="Times New Roman" w:cs="Times New Roman" w:eastAsiaTheme="minorEastAsia"/>
                <w:b/>
                <w:bCs/>
                <w:color w:val="auto"/>
                <w:sz w:val="24"/>
                <w:lang w:eastAsia="zh-CN"/>
              </w:rPr>
            </w:pPr>
            <w:r>
              <w:rPr>
                <w:rFonts w:ascii="Times New Roman" w:hAnsi="Times New Roman" w:cs="Times New Roman"/>
                <w:b/>
                <w:bCs/>
                <w:color w:val="auto"/>
                <w:sz w:val="24"/>
              </w:rPr>
              <w:t>（</w:t>
            </w:r>
            <w:r>
              <w:rPr>
                <w:rFonts w:hint="eastAsia" w:ascii="Times New Roman" w:hAnsi="Times New Roman" w:cs="Times New Roman"/>
                <w:b/>
                <w:bCs/>
                <w:color w:val="auto"/>
                <w:sz w:val="24"/>
                <w:lang w:val="en-US" w:eastAsia="zh-CN"/>
              </w:rPr>
              <w:t>3</w:t>
            </w:r>
            <w:r>
              <w:rPr>
                <w:rFonts w:ascii="Times New Roman" w:hAnsi="Times New Roman" w:cs="Times New Roman"/>
                <w:b/>
                <w:bCs/>
                <w:color w:val="auto"/>
                <w:sz w:val="24"/>
              </w:rPr>
              <w:t>）污染治理设施</w:t>
            </w:r>
            <w:r>
              <w:rPr>
                <w:rFonts w:hint="eastAsia" w:ascii="Times New Roman" w:hAnsi="Times New Roman" w:cs="Times New Roman"/>
                <w:b/>
                <w:bCs/>
                <w:color w:val="auto"/>
                <w:sz w:val="24"/>
                <w:lang w:val="en-US" w:eastAsia="zh-CN"/>
              </w:rPr>
              <w:t>可行性</w:t>
            </w:r>
          </w:p>
          <w:p>
            <w:pPr>
              <w:snapToGrid w:val="0"/>
              <w:spacing w:line="360" w:lineRule="auto"/>
              <w:ind w:firstLine="480" w:firstLineChars="200"/>
              <w:jc w:val="left"/>
              <w:rPr>
                <w:rFonts w:ascii="Times New Roman" w:hAnsi="Times New Roman" w:cs="Times New Roman"/>
                <w:color w:val="auto"/>
                <w:sz w:val="24"/>
              </w:rPr>
            </w:pPr>
            <w:r>
              <w:rPr>
                <w:rFonts w:ascii="Times New Roman" w:hAnsi="Times New Roman" w:cs="Times New Roman"/>
                <w:color w:val="auto"/>
                <w:sz w:val="24"/>
              </w:rPr>
              <w:t>本项目设置</w:t>
            </w:r>
            <w:r>
              <w:rPr>
                <w:rFonts w:hint="eastAsia" w:ascii="Times New Roman" w:hAnsi="Times New Roman" w:cs="Times New Roman"/>
                <w:color w:val="auto"/>
                <w:sz w:val="24"/>
                <w:lang w:val="en-US" w:eastAsia="zh-CN"/>
              </w:rPr>
              <w:t>1套</w:t>
            </w:r>
            <w:r>
              <w:rPr>
                <w:rFonts w:ascii="Times New Roman" w:hAnsi="Times New Roman" w:cs="Times New Roman"/>
                <w:color w:val="auto"/>
                <w:sz w:val="24"/>
              </w:rPr>
              <w:t>布袋除尘器</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1套脱硫脱硝系统，</w:t>
            </w:r>
            <w:r>
              <w:rPr>
                <w:rFonts w:ascii="Times New Roman" w:hAnsi="Times New Roman" w:cs="Times New Roman"/>
                <w:color w:val="auto"/>
                <w:sz w:val="24"/>
              </w:rPr>
              <w:t>详细情况详见下表：</w:t>
            </w:r>
          </w:p>
          <w:p>
            <w:pPr>
              <w:snapToGrid w:val="0"/>
              <w:spacing w:line="240" w:lineRule="auto"/>
              <w:ind w:firstLine="422" w:firstLineChars="200"/>
              <w:jc w:val="center"/>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表4-5  项目大气污染物治理设施一览表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1201"/>
              <w:gridCol w:w="1140"/>
              <w:gridCol w:w="1225"/>
              <w:gridCol w:w="1026"/>
              <w:gridCol w:w="1301"/>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77" w:type="pct"/>
                  <w:vAlign w:val="center"/>
                </w:tcPr>
                <w:p>
                  <w:pPr>
                    <w:snapToGrid w:val="0"/>
                    <w:jc w:val="center"/>
                    <w:rPr>
                      <w:rFonts w:hint="default" w:ascii="Times New Roman" w:hAnsi="Times New Roman" w:cs="Times New Roman" w:eastAsiaTheme="minorEastAsia"/>
                      <w:b/>
                      <w:bCs/>
                      <w:color w:val="auto"/>
                      <w:szCs w:val="21"/>
                      <w:lang w:val="en-US" w:eastAsia="zh-CN"/>
                    </w:rPr>
                  </w:pPr>
                  <w:r>
                    <w:rPr>
                      <w:rFonts w:hint="eastAsia" w:ascii="Times New Roman" w:hAnsi="Times New Roman" w:cs="Times New Roman"/>
                      <w:b/>
                      <w:bCs/>
                      <w:color w:val="auto"/>
                      <w:szCs w:val="21"/>
                      <w:lang w:val="en-US" w:eastAsia="zh-CN"/>
                    </w:rPr>
                    <w:t>产污节点</w:t>
                  </w:r>
                </w:p>
              </w:tc>
              <w:tc>
                <w:tcPr>
                  <w:tcW w:w="710" w:type="pct"/>
                  <w:vAlign w:val="center"/>
                </w:tcPr>
                <w:p>
                  <w:pPr>
                    <w:snapToGrid w:val="0"/>
                    <w:jc w:val="center"/>
                    <w:rPr>
                      <w:rFonts w:ascii="Times New Roman" w:hAnsi="Times New Roman" w:cs="Times New Roman"/>
                      <w:b/>
                      <w:bCs/>
                      <w:color w:val="auto"/>
                      <w:szCs w:val="21"/>
                    </w:rPr>
                  </w:pPr>
                  <w:r>
                    <w:rPr>
                      <w:rFonts w:hint="eastAsia" w:ascii="Times New Roman" w:hAnsi="Times New Roman" w:cs="Times New Roman"/>
                      <w:b/>
                      <w:bCs/>
                      <w:color w:val="auto"/>
                      <w:szCs w:val="21"/>
                    </w:rPr>
                    <w:t>污染治理设施</w:t>
                  </w:r>
                </w:p>
              </w:tc>
              <w:tc>
                <w:tcPr>
                  <w:tcW w:w="674" w:type="pct"/>
                  <w:vAlign w:val="center"/>
                </w:tcPr>
                <w:p>
                  <w:pPr>
                    <w:snapToGrid w:val="0"/>
                    <w:jc w:val="center"/>
                    <w:rPr>
                      <w:rFonts w:ascii="Times New Roman" w:hAnsi="Times New Roman" w:cs="Times New Roman"/>
                      <w:b/>
                      <w:bCs/>
                      <w:color w:val="auto"/>
                      <w:szCs w:val="21"/>
                    </w:rPr>
                  </w:pPr>
                  <w:r>
                    <w:rPr>
                      <w:rFonts w:ascii="Times New Roman" w:hAnsi="Times New Roman" w:cs="Times New Roman"/>
                      <w:b/>
                      <w:bCs/>
                      <w:color w:val="auto"/>
                      <w:szCs w:val="21"/>
                    </w:rPr>
                    <w:t>治理设施编号</w:t>
                  </w:r>
                </w:p>
              </w:tc>
              <w:tc>
                <w:tcPr>
                  <w:tcW w:w="724" w:type="pct"/>
                  <w:vAlign w:val="center"/>
                </w:tcPr>
                <w:p>
                  <w:pPr>
                    <w:snapToGrid w:val="0"/>
                    <w:jc w:val="center"/>
                    <w:rPr>
                      <w:rFonts w:hint="eastAsia" w:ascii="Times New Roman" w:hAnsi="Times New Roman" w:cs="Times New Roman" w:eastAsiaTheme="minorEastAsia"/>
                      <w:b/>
                      <w:bCs/>
                      <w:color w:val="auto"/>
                      <w:szCs w:val="21"/>
                      <w:lang w:eastAsia="zh-CN"/>
                    </w:rPr>
                  </w:pPr>
                  <w:r>
                    <w:rPr>
                      <w:rFonts w:ascii="Times New Roman" w:hAnsi="Times New Roman" w:cs="Times New Roman"/>
                      <w:b/>
                      <w:bCs/>
                      <w:color w:val="auto"/>
                      <w:szCs w:val="21"/>
                    </w:rPr>
                    <w:t>处理能力</w:t>
                  </w:r>
                  <w:r>
                    <w:rPr>
                      <w:rFonts w:hint="eastAsia" w:ascii="Times New Roman" w:hAnsi="Times New Roman" w:cs="Times New Roman"/>
                      <w:b/>
                      <w:bCs/>
                      <w:color w:val="auto"/>
                      <w:szCs w:val="21"/>
                      <w:lang w:eastAsia="zh-CN"/>
                    </w:rPr>
                    <w:t>（</w:t>
                  </w:r>
                  <w:r>
                    <w:rPr>
                      <w:rFonts w:ascii="Times New Roman" w:hAnsi="Times New Roman" w:cs="Times New Roman"/>
                      <w:b/>
                      <w:bCs/>
                      <w:color w:val="auto"/>
                      <w:szCs w:val="21"/>
                    </w:rPr>
                    <w:t>m³/h</w:t>
                  </w:r>
                  <w:r>
                    <w:rPr>
                      <w:rFonts w:hint="eastAsia" w:ascii="Times New Roman" w:hAnsi="Times New Roman" w:cs="Times New Roman"/>
                      <w:b/>
                      <w:bCs/>
                      <w:color w:val="auto"/>
                      <w:szCs w:val="21"/>
                      <w:lang w:eastAsia="zh-CN"/>
                    </w:rPr>
                    <w:t>）</w:t>
                  </w:r>
                </w:p>
              </w:tc>
              <w:tc>
                <w:tcPr>
                  <w:tcW w:w="606" w:type="pct"/>
                  <w:vAlign w:val="center"/>
                </w:tcPr>
                <w:p>
                  <w:pPr>
                    <w:snapToGrid w:val="0"/>
                    <w:jc w:val="center"/>
                    <w:rPr>
                      <w:rFonts w:hint="eastAsia" w:ascii="Times New Roman" w:hAnsi="Times New Roman" w:cs="Times New Roman" w:eastAsiaTheme="minorEastAsia"/>
                      <w:b/>
                      <w:bCs/>
                      <w:color w:val="auto"/>
                      <w:szCs w:val="21"/>
                      <w:lang w:eastAsia="zh-CN"/>
                    </w:rPr>
                  </w:pPr>
                  <w:r>
                    <w:rPr>
                      <w:rFonts w:ascii="Times New Roman" w:hAnsi="Times New Roman" w:cs="Times New Roman"/>
                      <w:b/>
                      <w:bCs/>
                      <w:color w:val="auto"/>
                      <w:szCs w:val="21"/>
                    </w:rPr>
                    <w:t>收集效率</w:t>
                  </w:r>
                  <w:r>
                    <w:rPr>
                      <w:rFonts w:hint="eastAsia" w:ascii="Times New Roman" w:hAnsi="Times New Roman" w:cs="Times New Roman"/>
                      <w:b/>
                      <w:bCs/>
                      <w:color w:val="auto"/>
                      <w:szCs w:val="21"/>
                      <w:lang w:eastAsia="zh-CN"/>
                    </w:rPr>
                    <w:t>（</w:t>
                  </w:r>
                  <w:r>
                    <w:rPr>
                      <w:rFonts w:ascii="Times New Roman" w:hAnsi="Times New Roman" w:cs="Times New Roman"/>
                      <w:b/>
                      <w:bCs/>
                      <w:color w:val="auto"/>
                      <w:szCs w:val="21"/>
                    </w:rPr>
                    <w:t>%</w:t>
                  </w:r>
                  <w:r>
                    <w:rPr>
                      <w:rFonts w:hint="eastAsia" w:ascii="Times New Roman" w:hAnsi="Times New Roman" w:cs="Times New Roman"/>
                      <w:b/>
                      <w:bCs/>
                      <w:color w:val="auto"/>
                      <w:szCs w:val="21"/>
                      <w:lang w:eastAsia="zh-CN"/>
                    </w:rPr>
                    <w:t>）</w:t>
                  </w:r>
                </w:p>
              </w:tc>
              <w:tc>
                <w:tcPr>
                  <w:tcW w:w="769" w:type="pct"/>
                  <w:vAlign w:val="center"/>
                </w:tcPr>
                <w:p>
                  <w:pPr>
                    <w:snapToGrid w:val="0"/>
                    <w:jc w:val="center"/>
                    <w:rPr>
                      <w:rFonts w:hint="eastAsia" w:ascii="Times New Roman" w:hAnsi="Times New Roman" w:cs="Times New Roman" w:eastAsiaTheme="minorEastAsia"/>
                      <w:b/>
                      <w:bCs/>
                      <w:color w:val="auto"/>
                      <w:szCs w:val="21"/>
                      <w:lang w:eastAsia="zh-CN"/>
                    </w:rPr>
                  </w:pPr>
                  <w:r>
                    <w:rPr>
                      <w:rFonts w:ascii="Times New Roman" w:hAnsi="Times New Roman" w:cs="Times New Roman"/>
                      <w:b/>
                      <w:bCs/>
                      <w:color w:val="auto"/>
                      <w:szCs w:val="21"/>
                    </w:rPr>
                    <w:t>治理工艺去除率</w:t>
                  </w:r>
                  <w:r>
                    <w:rPr>
                      <w:rFonts w:hint="eastAsia" w:ascii="Times New Roman" w:hAnsi="Times New Roman" w:cs="Times New Roman"/>
                      <w:b/>
                      <w:bCs/>
                      <w:color w:val="auto"/>
                      <w:szCs w:val="21"/>
                      <w:lang w:eastAsia="zh-CN"/>
                    </w:rPr>
                    <w:t>（</w:t>
                  </w:r>
                  <w:r>
                    <w:rPr>
                      <w:rFonts w:ascii="Times New Roman" w:hAnsi="Times New Roman" w:cs="Times New Roman"/>
                      <w:b/>
                      <w:bCs/>
                      <w:color w:val="auto"/>
                      <w:szCs w:val="21"/>
                    </w:rPr>
                    <w:t>%</w:t>
                  </w:r>
                  <w:r>
                    <w:rPr>
                      <w:rFonts w:hint="eastAsia" w:ascii="Times New Roman" w:hAnsi="Times New Roman" w:cs="Times New Roman"/>
                      <w:b/>
                      <w:bCs/>
                      <w:color w:val="auto"/>
                      <w:szCs w:val="21"/>
                      <w:lang w:eastAsia="zh-CN"/>
                    </w:rPr>
                    <w:t>）</w:t>
                  </w:r>
                </w:p>
              </w:tc>
              <w:tc>
                <w:tcPr>
                  <w:tcW w:w="737" w:type="pct"/>
                  <w:vAlign w:val="center"/>
                </w:tcPr>
                <w:p>
                  <w:pPr>
                    <w:snapToGrid w:val="0"/>
                    <w:jc w:val="center"/>
                    <w:rPr>
                      <w:rFonts w:ascii="Times New Roman" w:hAnsi="Times New Roman" w:cs="Times New Roman"/>
                      <w:b/>
                      <w:bCs/>
                      <w:color w:val="auto"/>
                      <w:szCs w:val="21"/>
                    </w:rPr>
                  </w:pPr>
                  <w:r>
                    <w:rPr>
                      <w:rFonts w:ascii="Times New Roman" w:hAnsi="Times New Roman" w:cs="Times New Roman"/>
                      <w:b/>
                      <w:bCs/>
                      <w:color w:val="auto"/>
                      <w:szCs w:val="21"/>
                    </w:rPr>
                    <w:t>是否为可行技术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7" w:type="pct"/>
                  <w:vMerge w:val="restart"/>
                  <w:vAlign w:val="center"/>
                </w:tcPr>
                <w:p>
                  <w:pPr>
                    <w:spacing w:line="320" w:lineRule="exact"/>
                    <w:jc w:val="center"/>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燃煤锅炉</w:t>
                  </w:r>
                </w:p>
              </w:tc>
              <w:tc>
                <w:tcPr>
                  <w:tcW w:w="710" w:type="pct"/>
                  <w:vAlign w:val="center"/>
                </w:tcPr>
                <w:p>
                  <w:pPr>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布袋除尘器</w:t>
                  </w:r>
                </w:p>
              </w:tc>
              <w:tc>
                <w:tcPr>
                  <w:tcW w:w="674" w:type="pct"/>
                  <w:vAlign w:val="center"/>
                </w:tcPr>
                <w:p>
                  <w:pPr>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TA001</w:t>
                  </w:r>
                </w:p>
              </w:tc>
              <w:tc>
                <w:tcPr>
                  <w:tcW w:w="724" w:type="pct"/>
                  <w:vMerge w:val="restart"/>
                  <w:vAlign w:val="center"/>
                </w:tcPr>
                <w:p>
                  <w:pPr>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40689</w:t>
                  </w:r>
                </w:p>
              </w:tc>
              <w:tc>
                <w:tcPr>
                  <w:tcW w:w="606" w:type="pct"/>
                  <w:vMerge w:val="restart"/>
                  <w:vAlign w:val="center"/>
                </w:tcPr>
                <w:p>
                  <w:pPr>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100</w:t>
                  </w:r>
                </w:p>
              </w:tc>
              <w:tc>
                <w:tcPr>
                  <w:tcW w:w="769" w:type="pct"/>
                  <w:vAlign w:val="center"/>
                </w:tcPr>
                <w:p>
                  <w:pPr>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99.7</w:t>
                  </w:r>
                </w:p>
              </w:tc>
              <w:tc>
                <w:tcPr>
                  <w:tcW w:w="737" w:type="pct"/>
                  <w:vAlign w:val="center"/>
                </w:tcPr>
                <w:p>
                  <w:pPr>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7" w:type="pct"/>
                  <w:vMerge w:val="continue"/>
                  <w:vAlign w:val="center"/>
                </w:tcPr>
                <w:p>
                  <w:pPr>
                    <w:spacing w:line="320" w:lineRule="exact"/>
                    <w:jc w:val="center"/>
                    <w:rPr>
                      <w:rFonts w:hint="default" w:ascii="Times New Roman" w:hAnsi="Times New Roman" w:cs="Times New Roman" w:eastAsiaTheme="minorEastAsia"/>
                      <w:color w:val="auto"/>
                      <w:kern w:val="2"/>
                      <w:sz w:val="21"/>
                      <w:szCs w:val="21"/>
                      <w:vertAlign w:val="baseline"/>
                      <w:lang w:val="en-US" w:eastAsia="zh-CN" w:bidi="ar-SA"/>
                    </w:rPr>
                  </w:pPr>
                </w:p>
              </w:tc>
              <w:tc>
                <w:tcPr>
                  <w:tcW w:w="710" w:type="pct"/>
                  <w:vAlign w:val="center"/>
                </w:tcPr>
                <w:p>
                  <w:pPr>
                    <w:snapToGrid w:val="0"/>
                    <w:jc w:val="center"/>
                    <w:rPr>
                      <w:rFonts w:hint="eastAsia"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炉内脱硫+湿法脱硫设备</w:t>
                  </w:r>
                </w:p>
              </w:tc>
              <w:tc>
                <w:tcPr>
                  <w:tcW w:w="674" w:type="pct"/>
                  <w:vAlign w:val="center"/>
                </w:tcPr>
                <w:p>
                  <w:pPr>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TA002</w:t>
                  </w:r>
                </w:p>
              </w:tc>
              <w:tc>
                <w:tcPr>
                  <w:tcW w:w="724" w:type="pct"/>
                  <w:vMerge w:val="continue"/>
                  <w:vAlign w:val="center"/>
                </w:tcPr>
                <w:p>
                  <w:pPr>
                    <w:snapToGrid w:val="0"/>
                    <w:jc w:val="center"/>
                    <w:rPr>
                      <w:rFonts w:hint="default" w:ascii="Times New Roman" w:hAnsi="Times New Roman" w:cs="Times New Roman"/>
                      <w:color w:val="auto"/>
                      <w:szCs w:val="21"/>
                      <w:lang w:val="en-US" w:eastAsia="zh-CN"/>
                    </w:rPr>
                  </w:pPr>
                </w:p>
              </w:tc>
              <w:tc>
                <w:tcPr>
                  <w:tcW w:w="606" w:type="pct"/>
                  <w:vMerge w:val="continue"/>
                  <w:vAlign w:val="center"/>
                </w:tcPr>
                <w:p>
                  <w:pPr>
                    <w:snapToGrid w:val="0"/>
                    <w:jc w:val="center"/>
                    <w:rPr>
                      <w:rFonts w:hint="default" w:ascii="Times New Roman" w:hAnsi="Times New Roman" w:cs="Times New Roman"/>
                      <w:color w:val="auto"/>
                      <w:szCs w:val="21"/>
                      <w:lang w:val="en-US" w:eastAsia="zh-CN"/>
                    </w:rPr>
                  </w:pPr>
                </w:p>
              </w:tc>
              <w:tc>
                <w:tcPr>
                  <w:tcW w:w="769" w:type="pct"/>
                  <w:vAlign w:val="center"/>
                </w:tcPr>
                <w:p>
                  <w:pPr>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90</w:t>
                  </w:r>
                </w:p>
              </w:tc>
              <w:tc>
                <w:tcPr>
                  <w:tcW w:w="737" w:type="pct"/>
                  <w:vAlign w:val="center"/>
                </w:tcPr>
                <w:p>
                  <w:pPr>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7" w:type="pct"/>
                  <w:vMerge w:val="continue"/>
                  <w:vAlign w:val="center"/>
                </w:tcPr>
                <w:p>
                  <w:pPr>
                    <w:spacing w:line="320" w:lineRule="exact"/>
                    <w:jc w:val="center"/>
                    <w:rPr>
                      <w:rFonts w:hint="default" w:ascii="Times New Roman" w:hAnsi="Times New Roman" w:cs="Times New Roman"/>
                      <w:color w:val="auto"/>
                      <w:kern w:val="2"/>
                      <w:sz w:val="21"/>
                      <w:szCs w:val="21"/>
                      <w:vertAlign w:val="baseline"/>
                      <w:lang w:val="en-US" w:eastAsia="zh-CN" w:bidi="ar-SA"/>
                    </w:rPr>
                  </w:pPr>
                </w:p>
              </w:tc>
              <w:tc>
                <w:tcPr>
                  <w:tcW w:w="710" w:type="pct"/>
                  <w:vAlign w:val="center"/>
                </w:tcPr>
                <w:p>
                  <w:pPr>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SNCR+SCR设备</w:t>
                  </w:r>
                </w:p>
              </w:tc>
              <w:tc>
                <w:tcPr>
                  <w:tcW w:w="674" w:type="pct"/>
                  <w:vAlign w:val="center"/>
                </w:tcPr>
                <w:p>
                  <w:pPr>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TA003</w:t>
                  </w:r>
                </w:p>
              </w:tc>
              <w:tc>
                <w:tcPr>
                  <w:tcW w:w="724" w:type="pct"/>
                  <w:vMerge w:val="continue"/>
                  <w:vAlign w:val="center"/>
                </w:tcPr>
                <w:p>
                  <w:pPr>
                    <w:snapToGrid w:val="0"/>
                    <w:jc w:val="center"/>
                    <w:rPr>
                      <w:rFonts w:hint="default" w:ascii="Times New Roman" w:hAnsi="Times New Roman" w:cs="Times New Roman"/>
                      <w:color w:val="auto"/>
                      <w:szCs w:val="21"/>
                      <w:lang w:val="en-US" w:eastAsia="zh-CN"/>
                    </w:rPr>
                  </w:pPr>
                </w:p>
              </w:tc>
              <w:tc>
                <w:tcPr>
                  <w:tcW w:w="606" w:type="pct"/>
                  <w:vMerge w:val="continue"/>
                  <w:vAlign w:val="center"/>
                </w:tcPr>
                <w:p>
                  <w:pPr>
                    <w:snapToGrid w:val="0"/>
                    <w:jc w:val="center"/>
                    <w:rPr>
                      <w:rFonts w:hint="default" w:ascii="Times New Roman" w:hAnsi="Times New Roman" w:cs="Times New Roman"/>
                      <w:color w:val="auto"/>
                      <w:szCs w:val="21"/>
                      <w:lang w:val="en-US" w:eastAsia="zh-CN"/>
                    </w:rPr>
                  </w:pPr>
                </w:p>
              </w:tc>
              <w:tc>
                <w:tcPr>
                  <w:tcW w:w="769" w:type="pct"/>
                  <w:vAlign w:val="center"/>
                </w:tcPr>
                <w:p>
                  <w:pPr>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87.5</w:t>
                  </w:r>
                </w:p>
              </w:tc>
              <w:tc>
                <w:tcPr>
                  <w:tcW w:w="737" w:type="pct"/>
                  <w:vAlign w:val="center"/>
                </w:tcPr>
                <w:p>
                  <w:pPr>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是</w:t>
                  </w:r>
                </w:p>
              </w:tc>
            </w:tr>
          </w:tbl>
          <w:p>
            <w:pPr>
              <w:keepNext w:val="0"/>
              <w:keepLines w:val="0"/>
              <w:pageBreakBefore w:val="0"/>
              <w:widowControl w:val="0"/>
              <w:tabs>
                <w:tab w:val="left" w:pos="1158"/>
                <w:tab w:val="left" w:pos="2477"/>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项目采用炉内脱硫、SNCR炉内脱硝系统+SCR炉外脱硝系统＋湿法脱硫系统+布袋除尘器对锅炉烟气进行治理，治理后经一根80m高烟囱排放。</w:t>
            </w:r>
          </w:p>
          <w:p>
            <w:pPr>
              <w:snapToGrid w:val="0"/>
              <w:spacing w:line="360" w:lineRule="auto"/>
              <w:ind w:firstLine="480" w:firstLineChars="200"/>
              <w:jc w:val="left"/>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szCs w:val="24"/>
                <w:highlight w:val="none"/>
                <w:lang w:val="en-US" w:eastAsia="zh-CN"/>
              </w:rPr>
              <w:t>根据设计资料，</w:t>
            </w:r>
            <w:r>
              <w:rPr>
                <w:rFonts w:hint="default" w:ascii="Times New Roman" w:hAnsi="Times New Roman" w:eastAsia="宋体" w:cs="Times New Roman"/>
                <w:color w:val="auto"/>
                <w:sz w:val="24"/>
                <w:szCs w:val="24"/>
                <w:highlight w:val="none"/>
              </w:rPr>
              <w:t>布袋除尘器除尘效率</w:t>
            </w:r>
            <w:r>
              <w:rPr>
                <w:rFonts w:hint="default" w:ascii="Times New Roman" w:hAnsi="Times New Roman" w:eastAsia="宋体" w:cs="Times New Roman"/>
                <w:color w:val="auto"/>
                <w:sz w:val="24"/>
                <w:szCs w:val="24"/>
                <w:highlight w:val="none"/>
                <w:lang w:val="en-US" w:eastAsia="zh-CN"/>
              </w:rPr>
              <w:t>为</w:t>
            </w:r>
            <w:r>
              <w:rPr>
                <w:rFonts w:hint="eastAsia" w:ascii="Times New Roman" w:hAnsi="Times New Roman" w:cs="Times New Roman"/>
                <w:color w:val="auto"/>
                <w:sz w:val="24"/>
                <w:szCs w:val="24"/>
                <w:highlight w:val="none"/>
                <w:lang w:val="en-US" w:eastAsia="zh-CN"/>
              </w:rPr>
              <w:t>99.7</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脱硫采用</w:t>
            </w:r>
            <w:r>
              <w:rPr>
                <w:rFonts w:hint="default" w:ascii="Times New Roman" w:hAnsi="Times New Roman" w:eastAsia="宋体" w:cs="Times New Roman"/>
                <w:color w:val="auto"/>
                <w:sz w:val="24"/>
                <w:szCs w:val="24"/>
                <w:highlight w:val="none"/>
                <w:lang w:eastAsia="zh-CN"/>
              </w:rPr>
              <w:t>炉内脱硫</w:t>
            </w:r>
            <w:r>
              <w:rPr>
                <w:rFonts w:hint="default" w:ascii="Times New Roman" w:hAnsi="Times New Roman" w:eastAsia="宋体" w:cs="Times New Roman"/>
                <w:color w:val="auto"/>
                <w:sz w:val="24"/>
                <w:szCs w:val="24"/>
                <w:highlight w:val="none"/>
                <w:lang w:val="en-US" w:eastAsia="zh-CN"/>
              </w:rPr>
              <w:t>+湿</w:t>
            </w:r>
            <w:r>
              <w:rPr>
                <w:rFonts w:hint="default" w:ascii="Times New Roman" w:hAnsi="Times New Roman" w:eastAsia="宋体" w:cs="Times New Roman"/>
                <w:color w:val="auto"/>
                <w:sz w:val="24"/>
                <w:szCs w:val="24"/>
                <w:highlight w:val="none"/>
                <w:lang w:eastAsia="zh-CN"/>
              </w:rPr>
              <w:t>法</w:t>
            </w:r>
            <w:r>
              <w:rPr>
                <w:rFonts w:hint="default" w:ascii="Times New Roman" w:hAnsi="Times New Roman" w:eastAsia="宋体" w:cs="Times New Roman"/>
                <w:color w:val="auto"/>
                <w:sz w:val="24"/>
                <w:szCs w:val="24"/>
                <w:highlight w:val="none"/>
              </w:rPr>
              <w:t>脱硫设备，脱硫效率</w:t>
            </w:r>
            <w:r>
              <w:rPr>
                <w:rFonts w:hint="default" w:ascii="Times New Roman" w:hAnsi="Times New Roman" w:eastAsia="宋体" w:cs="Times New Roman"/>
                <w:color w:val="auto"/>
                <w:sz w:val="24"/>
                <w:szCs w:val="24"/>
                <w:highlight w:val="none"/>
                <w:lang w:val="en-US" w:eastAsia="zh-CN"/>
              </w:rPr>
              <w:t>为</w:t>
            </w:r>
            <w:r>
              <w:rPr>
                <w:rFonts w:hint="eastAsia" w:ascii="Times New Roman" w:hAnsi="Times New Roman" w:cs="Times New Roman"/>
                <w:color w:val="auto"/>
                <w:sz w:val="24"/>
                <w:szCs w:val="24"/>
                <w:highlight w:val="none"/>
                <w:lang w:val="en-US" w:eastAsia="zh-CN"/>
              </w:rPr>
              <w:t>90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脱硝</w:t>
            </w:r>
            <w:r>
              <w:rPr>
                <w:rFonts w:hint="default" w:ascii="Times New Roman" w:hAnsi="Times New Roman" w:eastAsia="宋体" w:cs="Times New Roman"/>
                <w:color w:val="auto"/>
                <w:sz w:val="24"/>
                <w:szCs w:val="24"/>
                <w:highlight w:val="none"/>
              </w:rPr>
              <w:t>装置采用</w:t>
            </w:r>
            <w:r>
              <w:rPr>
                <w:rFonts w:hint="default" w:ascii="Times New Roman" w:hAnsi="Times New Roman" w:eastAsia="宋体" w:cs="Times New Roman"/>
                <w:color w:val="auto"/>
                <w:sz w:val="24"/>
                <w:szCs w:val="24"/>
                <w:highlight w:val="none"/>
                <w:lang w:val="en-US" w:eastAsia="zh-CN"/>
              </w:rPr>
              <w:t>SNCR+SCR</w:t>
            </w:r>
            <w:r>
              <w:rPr>
                <w:rFonts w:hint="default" w:ascii="Times New Roman" w:hAnsi="Times New Roman" w:eastAsia="宋体" w:cs="Times New Roman"/>
                <w:color w:val="auto"/>
                <w:sz w:val="24"/>
                <w:szCs w:val="24"/>
                <w:highlight w:val="none"/>
              </w:rPr>
              <w:t>设备，脱</w:t>
            </w:r>
            <w:r>
              <w:rPr>
                <w:rFonts w:hint="default" w:ascii="Times New Roman" w:hAnsi="Times New Roman" w:eastAsia="宋体" w:cs="Times New Roman"/>
                <w:color w:val="auto"/>
                <w:sz w:val="24"/>
                <w:szCs w:val="24"/>
                <w:highlight w:val="none"/>
                <w:lang w:val="en-US" w:eastAsia="zh-CN"/>
              </w:rPr>
              <w:t>硝</w:t>
            </w:r>
            <w:r>
              <w:rPr>
                <w:rFonts w:hint="default" w:ascii="Times New Roman" w:hAnsi="Times New Roman" w:eastAsia="宋体" w:cs="Times New Roman"/>
                <w:color w:val="auto"/>
                <w:sz w:val="24"/>
                <w:szCs w:val="24"/>
                <w:highlight w:val="none"/>
              </w:rPr>
              <w:t>效率</w:t>
            </w:r>
            <w:r>
              <w:rPr>
                <w:rFonts w:hint="default" w:ascii="Times New Roman" w:hAnsi="Times New Roman" w:eastAsia="宋体" w:cs="Times New Roman"/>
                <w:color w:val="auto"/>
                <w:sz w:val="24"/>
                <w:szCs w:val="24"/>
                <w:highlight w:val="none"/>
                <w:lang w:val="en-US" w:eastAsia="zh-CN"/>
              </w:rPr>
              <w:t>为87.5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p>
          <w:p>
            <w:pPr>
              <w:snapToGrid w:val="0"/>
              <w:spacing w:line="360" w:lineRule="auto"/>
              <w:ind w:firstLine="480" w:firstLineChars="200"/>
              <w:jc w:val="left"/>
              <w:rPr>
                <w:rFonts w:ascii="Times New Roman" w:hAnsi="Times New Roman" w:cs="Times New Roman"/>
                <w:color w:val="auto"/>
                <w:sz w:val="24"/>
              </w:rPr>
            </w:pPr>
            <w:r>
              <w:rPr>
                <w:rFonts w:hint="eastAsia" w:ascii="Times New Roman" w:hAnsi="Times New Roman" w:eastAsia="宋体" w:cs="Times New Roman"/>
                <w:color w:val="auto"/>
                <w:sz w:val="24"/>
              </w:rPr>
              <w:t>综上所述，项目采用的大气污染防治措施</w:t>
            </w:r>
            <w:r>
              <w:rPr>
                <w:rFonts w:ascii="Times New Roman" w:hAnsi="Times New Roman" w:eastAsia="宋体" w:cs="Times New Roman"/>
                <w:color w:val="auto"/>
                <w:sz w:val="24"/>
              </w:rPr>
              <w:t>实用性强，效果明显，项目采用的</w:t>
            </w:r>
            <w:r>
              <w:rPr>
                <w:rFonts w:hint="eastAsia" w:ascii="Times New Roman" w:hAnsi="Times New Roman" w:eastAsia="宋体" w:cs="Times New Roman"/>
                <w:color w:val="auto"/>
                <w:sz w:val="24"/>
              </w:rPr>
              <w:t>大气污染防治措施可行</w:t>
            </w:r>
            <w:r>
              <w:rPr>
                <w:rFonts w:ascii="Times New Roman" w:hAnsi="Times New Roman" w:eastAsia="宋体" w:cs="Times New Roman"/>
                <w:color w:val="auto"/>
                <w:sz w:val="24"/>
              </w:rPr>
              <w:t>。</w:t>
            </w:r>
          </w:p>
          <w:p>
            <w:pPr>
              <w:snapToGrid w:val="0"/>
              <w:spacing w:line="360" w:lineRule="auto"/>
              <w:ind w:firstLine="482" w:firstLineChars="200"/>
              <w:jc w:val="left"/>
              <w:rPr>
                <w:rFonts w:ascii="Times New Roman" w:hAnsi="Times New Roman" w:cs="Times New Roman"/>
                <w:b/>
                <w:bCs/>
                <w:color w:val="auto"/>
                <w:sz w:val="24"/>
              </w:rPr>
            </w:pPr>
            <w:r>
              <w:rPr>
                <w:rFonts w:hint="eastAsia" w:ascii="Times New Roman" w:hAnsi="Times New Roman" w:cs="Times New Roman"/>
                <w:b/>
                <w:bCs/>
                <w:color w:val="auto"/>
                <w:sz w:val="24"/>
                <w:lang w:eastAsia="zh-CN"/>
              </w:rPr>
              <w:t>（</w:t>
            </w:r>
            <w:r>
              <w:rPr>
                <w:rFonts w:hint="eastAsia" w:ascii="Times New Roman" w:hAnsi="Times New Roman" w:cs="Times New Roman"/>
                <w:b/>
                <w:bCs/>
                <w:color w:val="auto"/>
                <w:sz w:val="24"/>
                <w:lang w:val="en-US" w:eastAsia="zh-CN"/>
              </w:rPr>
              <w:t>4</w:t>
            </w:r>
            <w:r>
              <w:rPr>
                <w:rFonts w:hint="eastAsia" w:ascii="Times New Roman" w:hAnsi="Times New Roman" w:cs="Times New Roman"/>
                <w:b/>
                <w:bCs/>
                <w:color w:val="auto"/>
                <w:sz w:val="24"/>
                <w:lang w:eastAsia="zh-CN"/>
              </w:rPr>
              <w:t>）</w:t>
            </w:r>
            <w:r>
              <w:rPr>
                <w:rFonts w:ascii="Times New Roman" w:hAnsi="Times New Roman" w:cs="Times New Roman"/>
                <w:b/>
                <w:bCs/>
                <w:color w:val="auto"/>
                <w:sz w:val="24"/>
              </w:rPr>
              <w:t>排放口基本情况</w:t>
            </w:r>
          </w:p>
          <w:p>
            <w:pPr>
              <w:snapToGrid w:val="0"/>
              <w:spacing w:line="360" w:lineRule="auto"/>
              <w:ind w:firstLine="480" w:firstLineChars="200"/>
              <w:jc w:val="left"/>
              <w:rPr>
                <w:rFonts w:ascii="Times New Roman" w:hAnsi="Times New Roman" w:cs="Times New Roman"/>
                <w:color w:val="auto"/>
                <w:sz w:val="24"/>
              </w:rPr>
            </w:pPr>
            <w:r>
              <w:rPr>
                <w:rFonts w:ascii="Times New Roman" w:hAnsi="Times New Roman" w:cs="Times New Roman"/>
                <w:color w:val="auto"/>
                <w:sz w:val="24"/>
              </w:rPr>
              <w:t>项目</w:t>
            </w:r>
            <w:r>
              <w:rPr>
                <w:rFonts w:hint="eastAsia" w:ascii="Times New Roman" w:hAnsi="Times New Roman" w:cs="Times New Roman"/>
                <w:color w:val="auto"/>
                <w:sz w:val="24"/>
                <w:lang w:val="en-US" w:eastAsia="zh-CN"/>
              </w:rPr>
              <w:t>新增大气污染物排放口1个，</w:t>
            </w:r>
            <w:r>
              <w:rPr>
                <w:rFonts w:ascii="Times New Roman" w:hAnsi="Times New Roman" w:cs="Times New Roman"/>
                <w:color w:val="auto"/>
                <w:sz w:val="24"/>
              </w:rPr>
              <w:t>排放口基本情况详见下表：</w:t>
            </w:r>
          </w:p>
          <w:p>
            <w:pPr>
              <w:snapToGrid w:val="0"/>
              <w:spacing w:line="240" w:lineRule="auto"/>
              <w:ind w:firstLine="422" w:firstLineChars="200"/>
              <w:jc w:val="center"/>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表4-6  大气污染物排放口基本情况</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215"/>
              <w:gridCol w:w="742"/>
              <w:gridCol w:w="742"/>
              <w:gridCol w:w="521"/>
              <w:gridCol w:w="442"/>
              <w:gridCol w:w="471"/>
              <w:gridCol w:w="493"/>
              <w:gridCol w:w="625"/>
              <w:gridCol w:w="420"/>
              <w:gridCol w:w="556"/>
              <w:gridCol w:w="620"/>
              <w:gridCol w:w="420"/>
              <w:gridCol w:w="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3" w:type="pct"/>
                  <w:vMerge w:val="restart"/>
                  <w:vAlign w:val="center"/>
                </w:tcPr>
                <w:p>
                  <w:pPr>
                    <w:pStyle w:val="27"/>
                    <w:snapToGrid w:val="0"/>
                    <w:ind w:left="0" w:leftChars="0"/>
                    <w:rPr>
                      <w:rFonts w:ascii="Times New Roman" w:hAnsi="Times New Roman" w:eastAsia="宋体" w:cs="Times New Roman"/>
                      <w:b/>
                      <w:color w:val="auto"/>
                      <w:w w:val="100"/>
                      <w:sz w:val="21"/>
                      <w:szCs w:val="21"/>
                    </w:rPr>
                  </w:pPr>
                  <w:r>
                    <w:rPr>
                      <w:rFonts w:ascii="Times New Roman" w:hAnsi="Times New Roman" w:cs="Times New Roman"/>
                      <w:b/>
                      <w:color w:val="auto"/>
                      <w:w w:val="100"/>
                      <w:sz w:val="21"/>
                      <w:szCs w:val="21"/>
                    </w:rPr>
                    <w:t>编号</w:t>
                  </w:r>
                </w:p>
              </w:tc>
              <w:tc>
                <w:tcPr>
                  <w:tcW w:w="718" w:type="pct"/>
                  <w:vMerge w:val="restart"/>
                  <w:vAlign w:val="center"/>
                </w:tcPr>
                <w:p>
                  <w:pPr>
                    <w:pStyle w:val="27"/>
                    <w:snapToGrid w:val="0"/>
                    <w:ind w:left="0" w:leftChars="0"/>
                    <w:rPr>
                      <w:rFonts w:ascii="Times New Roman" w:hAnsi="Times New Roman" w:eastAsia="宋体" w:cs="Times New Roman"/>
                      <w:b/>
                      <w:color w:val="auto"/>
                      <w:w w:val="100"/>
                      <w:sz w:val="21"/>
                      <w:szCs w:val="21"/>
                    </w:rPr>
                  </w:pPr>
                  <w:r>
                    <w:rPr>
                      <w:rFonts w:ascii="Times New Roman" w:hAnsi="Times New Roman" w:cs="Times New Roman"/>
                      <w:b/>
                      <w:color w:val="auto"/>
                      <w:w w:val="100"/>
                      <w:sz w:val="21"/>
                      <w:szCs w:val="21"/>
                    </w:rPr>
                    <w:t>名称</w:t>
                  </w:r>
                </w:p>
              </w:tc>
              <w:tc>
                <w:tcPr>
                  <w:tcW w:w="877" w:type="pct"/>
                  <w:gridSpan w:val="2"/>
                  <w:vAlign w:val="center"/>
                </w:tcPr>
                <w:p>
                  <w:pPr>
                    <w:pStyle w:val="27"/>
                    <w:snapToGrid w:val="0"/>
                    <w:ind w:left="0" w:leftChars="0"/>
                    <w:rPr>
                      <w:rFonts w:ascii="Times New Roman" w:hAnsi="Times New Roman" w:cs="Times New Roman"/>
                      <w:b/>
                      <w:color w:val="auto"/>
                      <w:w w:val="100"/>
                      <w:sz w:val="21"/>
                      <w:szCs w:val="21"/>
                    </w:rPr>
                  </w:pPr>
                  <w:r>
                    <w:rPr>
                      <w:rFonts w:ascii="Times New Roman" w:hAnsi="Times New Roman" w:cs="Times New Roman"/>
                      <w:b/>
                      <w:color w:val="auto"/>
                      <w:w w:val="100"/>
                      <w:sz w:val="21"/>
                      <w:szCs w:val="21"/>
                    </w:rPr>
                    <w:t>排气筒底部中心坐标</w:t>
                  </w:r>
                </w:p>
              </w:tc>
              <w:tc>
                <w:tcPr>
                  <w:tcW w:w="308" w:type="pct"/>
                  <w:vMerge w:val="restart"/>
                  <w:vAlign w:val="center"/>
                </w:tcPr>
                <w:p>
                  <w:pPr>
                    <w:pStyle w:val="27"/>
                    <w:snapToGrid w:val="0"/>
                    <w:ind w:left="0" w:leftChars="0"/>
                    <w:rPr>
                      <w:rFonts w:ascii="Times New Roman" w:hAnsi="Times New Roman" w:eastAsia="宋体" w:cs="Times New Roman"/>
                      <w:b/>
                      <w:color w:val="auto"/>
                      <w:w w:val="100"/>
                      <w:sz w:val="21"/>
                      <w:szCs w:val="21"/>
                    </w:rPr>
                  </w:pPr>
                  <w:r>
                    <w:rPr>
                      <w:rFonts w:ascii="Times New Roman" w:hAnsi="Times New Roman" w:cs="Times New Roman"/>
                      <w:b/>
                      <w:color w:val="auto"/>
                      <w:w w:val="100"/>
                      <w:sz w:val="21"/>
                      <w:szCs w:val="21"/>
                    </w:rPr>
                    <w:t>排气筒底部海拔高度/m</w:t>
                  </w:r>
                </w:p>
              </w:tc>
              <w:tc>
                <w:tcPr>
                  <w:tcW w:w="261" w:type="pct"/>
                  <w:vMerge w:val="restart"/>
                  <w:vAlign w:val="center"/>
                </w:tcPr>
                <w:p>
                  <w:pPr>
                    <w:pStyle w:val="27"/>
                    <w:snapToGrid w:val="0"/>
                    <w:ind w:left="0" w:leftChars="0"/>
                    <w:rPr>
                      <w:rFonts w:ascii="Times New Roman" w:hAnsi="Times New Roman" w:eastAsia="宋体" w:cs="Times New Roman"/>
                      <w:b/>
                      <w:color w:val="auto"/>
                      <w:w w:val="100"/>
                      <w:sz w:val="21"/>
                      <w:szCs w:val="21"/>
                    </w:rPr>
                  </w:pPr>
                  <w:r>
                    <w:rPr>
                      <w:rFonts w:ascii="Times New Roman" w:hAnsi="Times New Roman" w:cs="Times New Roman"/>
                      <w:b/>
                      <w:color w:val="auto"/>
                      <w:w w:val="100"/>
                      <w:sz w:val="21"/>
                      <w:szCs w:val="21"/>
                    </w:rPr>
                    <w:t>排气筒高度/m</w:t>
                  </w:r>
                </w:p>
              </w:tc>
              <w:tc>
                <w:tcPr>
                  <w:tcW w:w="278" w:type="pct"/>
                  <w:vMerge w:val="restart"/>
                  <w:vAlign w:val="center"/>
                </w:tcPr>
                <w:p>
                  <w:pPr>
                    <w:pStyle w:val="27"/>
                    <w:snapToGrid w:val="0"/>
                    <w:ind w:left="0" w:leftChars="0"/>
                    <w:rPr>
                      <w:rFonts w:ascii="Times New Roman" w:hAnsi="Times New Roman" w:eastAsia="宋体" w:cs="Times New Roman"/>
                      <w:b/>
                      <w:color w:val="auto"/>
                      <w:w w:val="100"/>
                      <w:sz w:val="21"/>
                      <w:szCs w:val="21"/>
                    </w:rPr>
                  </w:pPr>
                  <w:r>
                    <w:rPr>
                      <w:rFonts w:ascii="Times New Roman" w:hAnsi="Times New Roman" w:cs="Times New Roman"/>
                      <w:b/>
                      <w:color w:val="auto"/>
                      <w:w w:val="100"/>
                      <w:sz w:val="21"/>
                      <w:szCs w:val="21"/>
                    </w:rPr>
                    <w:t>排气筒出口内径/m</w:t>
                  </w:r>
                </w:p>
              </w:tc>
              <w:tc>
                <w:tcPr>
                  <w:tcW w:w="291" w:type="pct"/>
                  <w:vMerge w:val="restart"/>
                  <w:vAlign w:val="center"/>
                </w:tcPr>
                <w:p>
                  <w:pPr>
                    <w:pStyle w:val="27"/>
                    <w:snapToGrid w:val="0"/>
                    <w:ind w:left="0" w:leftChars="0"/>
                    <w:rPr>
                      <w:rFonts w:ascii="Times New Roman" w:hAnsi="Times New Roman" w:eastAsia="宋体" w:cs="Times New Roman"/>
                      <w:b/>
                      <w:color w:val="auto"/>
                      <w:w w:val="100"/>
                      <w:sz w:val="21"/>
                      <w:szCs w:val="21"/>
                    </w:rPr>
                  </w:pPr>
                  <w:r>
                    <w:rPr>
                      <w:rFonts w:ascii="Times New Roman" w:hAnsi="Times New Roman" w:cs="Times New Roman"/>
                      <w:b/>
                      <w:color w:val="auto"/>
                      <w:w w:val="100"/>
                      <w:sz w:val="21"/>
                      <w:szCs w:val="21"/>
                    </w:rPr>
                    <w:t>烟气温度/℃</w:t>
                  </w:r>
                </w:p>
              </w:tc>
              <w:tc>
                <w:tcPr>
                  <w:tcW w:w="369" w:type="pct"/>
                  <w:vMerge w:val="restart"/>
                  <w:vAlign w:val="center"/>
                </w:tcPr>
                <w:p>
                  <w:pPr>
                    <w:pStyle w:val="27"/>
                    <w:snapToGrid w:val="0"/>
                    <w:ind w:left="0" w:leftChars="0"/>
                    <w:rPr>
                      <w:rFonts w:ascii="Times New Roman" w:hAnsi="Times New Roman" w:eastAsia="宋体" w:cs="Times New Roman"/>
                      <w:b/>
                      <w:color w:val="auto"/>
                      <w:w w:val="100"/>
                      <w:sz w:val="21"/>
                      <w:szCs w:val="21"/>
                    </w:rPr>
                  </w:pPr>
                  <w:r>
                    <w:rPr>
                      <w:rFonts w:ascii="Times New Roman" w:hAnsi="Times New Roman" w:cs="Times New Roman"/>
                      <w:b/>
                      <w:color w:val="auto"/>
                      <w:w w:val="100"/>
                      <w:sz w:val="21"/>
                      <w:szCs w:val="21"/>
                    </w:rPr>
                    <w:t>年排放小时数/h</w:t>
                  </w:r>
                </w:p>
              </w:tc>
              <w:tc>
                <w:tcPr>
                  <w:tcW w:w="1442" w:type="pct"/>
                  <w:gridSpan w:val="5"/>
                  <w:vMerge w:val="restart"/>
                  <w:vAlign w:val="center"/>
                </w:tcPr>
                <w:p>
                  <w:pPr>
                    <w:pStyle w:val="27"/>
                    <w:snapToGrid w:val="0"/>
                    <w:ind w:left="0" w:leftChars="0"/>
                    <w:rPr>
                      <w:rFonts w:ascii="Times New Roman" w:hAnsi="Times New Roman" w:cs="Times New Roman"/>
                      <w:b/>
                      <w:color w:val="auto"/>
                      <w:w w:val="100"/>
                      <w:sz w:val="21"/>
                      <w:szCs w:val="21"/>
                    </w:rPr>
                  </w:pPr>
                  <w:r>
                    <w:rPr>
                      <w:rFonts w:ascii="Times New Roman" w:hAnsi="Times New Roman" w:cs="Times New Roman"/>
                      <w:b/>
                      <w:color w:val="auto"/>
                      <w:w w:val="100"/>
                      <w:sz w:val="21"/>
                      <w:szCs w:val="21"/>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53" w:type="pct"/>
                  <w:vMerge w:val="continue"/>
                  <w:vAlign w:val="center"/>
                </w:tcPr>
                <w:p>
                  <w:pPr>
                    <w:pStyle w:val="27"/>
                    <w:snapToGrid w:val="0"/>
                    <w:ind w:left="0" w:leftChars="0"/>
                    <w:rPr>
                      <w:rFonts w:ascii="Times New Roman" w:hAnsi="Times New Roman" w:cs="Times New Roman"/>
                      <w:b/>
                      <w:color w:val="auto"/>
                      <w:w w:val="100"/>
                      <w:sz w:val="21"/>
                      <w:szCs w:val="21"/>
                    </w:rPr>
                  </w:pPr>
                </w:p>
              </w:tc>
              <w:tc>
                <w:tcPr>
                  <w:tcW w:w="718" w:type="pct"/>
                  <w:vMerge w:val="continue"/>
                  <w:vAlign w:val="center"/>
                </w:tcPr>
                <w:p>
                  <w:pPr>
                    <w:pStyle w:val="27"/>
                    <w:snapToGrid w:val="0"/>
                    <w:ind w:left="0" w:leftChars="0"/>
                    <w:rPr>
                      <w:rFonts w:ascii="Times New Roman" w:hAnsi="Times New Roman" w:cs="Times New Roman"/>
                      <w:b/>
                      <w:color w:val="auto"/>
                      <w:w w:val="100"/>
                      <w:sz w:val="21"/>
                      <w:szCs w:val="21"/>
                    </w:rPr>
                  </w:pPr>
                </w:p>
              </w:tc>
              <w:tc>
                <w:tcPr>
                  <w:tcW w:w="438" w:type="pct"/>
                  <w:vMerge w:val="restart"/>
                  <w:vAlign w:val="center"/>
                </w:tcPr>
                <w:p>
                  <w:pPr>
                    <w:pStyle w:val="27"/>
                    <w:snapToGrid w:val="0"/>
                    <w:ind w:left="0" w:leftChars="0"/>
                    <w:rPr>
                      <w:rFonts w:ascii="Times New Roman" w:hAnsi="Times New Roman" w:eastAsia="宋体" w:cs="Times New Roman"/>
                      <w:b/>
                      <w:color w:val="auto"/>
                      <w:w w:val="100"/>
                      <w:sz w:val="21"/>
                      <w:szCs w:val="21"/>
                    </w:rPr>
                  </w:pPr>
                  <w:r>
                    <w:rPr>
                      <w:rFonts w:ascii="Times New Roman" w:hAnsi="Times New Roman" w:cs="Times New Roman"/>
                      <w:b/>
                      <w:color w:val="auto"/>
                      <w:w w:val="100"/>
                      <w:sz w:val="21"/>
                      <w:szCs w:val="21"/>
                    </w:rPr>
                    <w:t>E</w:t>
                  </w:r>
                </w:p>
              </w:tc>
              <w:tc>
                <w:tcPr>
                  <w:tcW w:w="438" w:type="pct"/>
                  <w:vMerge w:val="restart"/>
                  <w:vAlign w:val="center"/>
                </w:tcPr>
                <w:p>
                  <w:pPr>
                    <w:pStyle w:val="27"/>
                    <w:snapToGrid w:val="0"/>
                    <w:ind w:left="0" w:leftChars="0"/>
                    <w:rPr>
                      <w:rFonts w:ascii="Times New Roman" w:hAnsi="Times New Roman" w:eastAsia="宋体" w:cs="Times New Roman"/>
                      <w:b/>
                      <w:color w:val="auto"/>
                      <w:w w:val="100"/>
                      <w:sz w:val="21"/>
                      <w:szCs w:val="21"/>
                    </w:rPr>
                  </w:pPr>
                  <w:r>
                    <w:rPr>
                      <w:rFonts w:ascii="Times New Roman" w:hAnsi="Times New Roman" w:cs="Times New Roman"/>
                      <w:b/>
                      <w:color w:val="auto"/>
                      <w:w w:val="100"/>
                      <w:sz w:val="21"/>
                      <w:szCs w:val="21"/>
                    </w:rPr>
                    <w:t>N</w:t>
                  </w:r>
                </w:p>
              </w:tc>
              <w:tc>
                <w:tcPr>
                  <w:tcW w:w="308" w:type="pct"/>
                  <w:vMerge w:val="continue"/>
                  <w:vAlign w:val="center"/>
                </w:tcPr>
                <w:p>
                  <w:pPr>
                    <w:pStyle w:val="27"/>
                    <w:snapToGrid w:val="0"/>
                    <w:ind w:left="0" w:leftChars="0"/>
                    <w:rPr>
                      <w:rFonts w:ascii="Times New Roman" w:hAnsi="Times New Roman" w:cs="Times New Roman"/>
                      <w:b/>
                      <w:color w:val="auto"/>
                      <w:w w:val="100"/>
                      <w:sz w:val="21"/>
                      <w:szCs w:val="21"/>
                    </w:rPr>
                  </w:pPr>
                </w:p>
              </w:tc>
              <w:tc>
                <w:tcPr>
                  <w:tcW w:w="261" w:type="pct"/>
                  <w:vMerge w:val="continue"/>
                  <w:vAlign w:val="center"/>
                </w:tcPr>
                <w:p>
                  <w:pPr>
                    <w:pStyle w:val="27"/>
                    <w:snapToGrid w:val="0"/>
                    <w:ind w:left="0" w:leftChars="0"/>
                    <w:rPr>
                      <w:rFonts w:ascii="Times New Roman" w:hAnsi="Times New Roman" w:cs="Times New Roman"/>
                      <w:b/>
                      <w:color w:val="auto"/>
                      <w:w w:val="100"/>
                      <w:sz w:val="21"/>
                      <w:szCs w:val="21"/>
                    </w:rPr>
                  </w:pPr>
                </w:p>
              </w:tc>
              <w:tc>
                <w:tcPr>
                  <w:tcW w:w="278" w:type="pct"/>
                  <w:vMerge w:val="continue"/>
                  <w:vAlign w:val="center"/>
                </w:tcPr>
                <w:p>
                  <w:pPr>
                    <w:pStyle w:val="27"/>
                    <w:snapToGrid w:val="0"/>
                    <w:ind w:left="0" w:leftChars="0"/>
                    <w:rPr>
                      <w:rFonts w:ascii="Times New Roman" w:hAnsi="Times New Roman" w:cs="Times New Roman"/>
                      <w:b/>
                      <w:color w:val="auto"/>
                      <w:w w:val="100"/>
                      <w:sz w:val="21"/>
                      <w:szCs w:val="21"/>
                    </w:rPr>
                  </w:pPr>
                </w:p>
              </w:tc>
              <w:tc>
                <w:tcPr>
                  <w:tcW w:w="291" w:type="pct"/>
                  <w:vMerge w:val="continue"/>
                  <w:vAlign w:val="center"/>
                </w:tcPr>
                <w:p>
                  <w:pPr>
                    <w:pStyle w:val="27"/>
                    <w:snapToGrid w:val="0"/>
                    <w:ind w:left="0" w:leftChars="0"/>
                    <w:rPr>
                      <w:rFonts w:ascii="Times New Roman" w:hAnsi="Times New Roman" w:cs="Times New Roman"/>
                      <w:b/>
                      <w:color w:val="auto"/>
                      <w:w w:val="100"/>
                      <w:sz w:val="21"/>
                      <w:szCs w:val="21"/>
                    </w:rPr>
                  </w:pPr>
                </w:p>
              </w:tc>
              <w:tc>
                <w:tcPr>
                  <w:tcW w:w="369" w:type="pct"/>
                  <w:vMerge w:val="continue"/>
                  <w:vAlign w:val="center"/>
                </w:tcPr>
                <w:p>
                  <w:pPr>
                    <w:pStyle w:val="27"/>
                    <w:snapToGrid w:val="0"/>
                    <w:ind w:left="0" w:leftChars="0"/>
                    <w:rPr>
                      <w:rFonts w:ascii="Times New Roman" w:hAnsi="Times New Roman" w:cs="Times New Roman"/>
                      <w:b/>
                      <w:color w:val="auto"/>
                      <w:w w:val="100"/>
                      <w:sz w:val="21"/>
                      <w:szCs w:val="21"/>
                    </w:rPr>
                  </w:pPr>
                </w:p>
              </w:tc>
              <w:tc>
                <w:tcPr>
                  <w:tcW w:w="1442" w:type="pct"/>
                  <w:gridSpan w:val="5"/>
                  <w:vMerge w:val="continue"/>
                  <w:vAlign w:val="center"/>
                </w:tcPr>
                <w:p>
                  <w:pPr>
                    <w:pStyle w:val="27"/>
                    <w:snapToGrid w:val="0"/>
                    <w:ind w:left="0" w:leftChars="0"/>
                    <w:rPr>
                      <w:rFonts w:ascii="Times New Roman" w:hAnsi="Times New Roman" w:eastAsia="宋体" w:cs="Times New Roman"/>
                      <w:b/>
                      <w:color w:val="auto"/>
                      <w:w w:val="1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453" w:type="pct"/>
                  <w:vMerge w:val="continue"/>
                  <w:vAlign w:val="center"/>
                </w:tcPr>
                <w:p>
                  <w:pPr>
                    <w:pStyle w:val="27"/>
                    <w:snapToGrid w:val="0"/>
                    <w:ind w:left="0" w:leftChars="0"/>
                    <w:rPr>
                      <w:rFonts w:ascii="Times New Roman" w:hAnsi="Times New Roman" w:cs="Times New Roman"/>
                      <w:b/>
                      <w:color w:val="auto"/>
                      <w:w w:val="100"/>
                      <w:sz w:val="21"/>
                      <w:szCs w:val="21"/>
                    </w:rPr>
                  </w:pPr>
                </w:p>
              </w:tc>
              <w:tc>
                <w:tcPr>
                  <w:tcW w:w="718" w:type="pct"/>
                  <w:vMerge w:val="continue"/>
                  <w:vAlign w:val="center"/>
                </w:tcPr>
                <w:p>
                  <w:pPr>
                    <w:pStyle w:val="27"/>
                    <w:snapToGrid w:val="0"/>
                    <w:ind w:left="0" w:leftChars="0"/>
                    <w:rPr>
                      <w:rFonts w:ascii="Times New Roman" w:hAnsi="Times New Roman" w:cs="Times New Roman"/>
                      <w:b/>
                      <w:color w:val="auto"/>
                      <w:w w:val="100"/>
                      <w:sz w:val="21"/>
                      <w:szCs w:val="21"/>
                    </w:rPr>
                  </w:pPr>
                </w:p>
              </w:tc>
              <w:tc>
                <w:tcPr>
                  <w:tcW w:w="438" w:type="pct"/>
                  <w:vMerge w:val="continue"/>
                  <w:vAlign w:val="center"/>
                </w:tcPr>
                <w:p>
                  <w:pPr>
                    <w:pStyle w:val="27"/>
                    <w:snapToGrid w:val="0"/>
                    <w:ind w:left="0" w:leftChars="0"/>
                    <w:rPr>
                      <w:rFonts w:ascii="Times New Roman" w:hAnsi="Times New Roman" w:cs="Times New Roman"/>
                      <w:b/>
                      <w:color w:val="auto"/>
                      <w:w w:val="100"/>
                      <w:sz w:val="21"/>
                      <w:szCs w:val="21"/>
                    </w:rPr>
                  </w:pPr>
                </w:p>
              </w:tc>
              <w:tc>
                <w:tcPr>
                  <w:tcW w:w="438" w:type="pct"/>
                  <w:vMerge w:val="continue"/>
                  <w:vAlign w:val="center"/>
                </w:tcPr>
                <w:p>
                  <w:pPr>
                    <w:pStyle w:val="27"/>
                    <w:snapToGrid w:val="0"/>
                    <w:ind w:left="0" w:leftChars="0"/>
                    <w:rPr>
                      <w:rFonts w:ascii="Times New Roman" w:hAnsi="Times New Roman" w:cs="Times New Roman"/>
                      <w:b/>
                      <w:color w:val="auto"/>
                      <w:w w:val="100"/>
                      <w:sz w:val="21"/>
                      <w:szCs w:val="21"/>
                    </w:rPr>
                  </w:pPr>
                </w:p>
              </w:tc>
              <w:tc>
                <w:tcPr>
                  <w:tcW w:w="308" w:type="pct"/>
                  <w:vMerge w:val="continue"/>
                  <w:vAlign w:val="center"/>
                </w:tcPr>
                <w:p>
                  <w:pPr>
                    <w:pStyle w:val="27"/>
                    <w:snapToGrid w:val="0"/>
                    <w:ind w:left="0" w:leftChars="0"/>
                    <w:rPr>
                      <w:rFonts w:ascii="Times New Roman" w:hAnsi="Times New Roman" w:cs="Times New Roman"/>
                      <w:b/>
                      <w:color w:val="auto"/>
                      <w:w w:val="100"/>
                      <w:sz w:val="21"/>
                      <w:szCs w:val="21"/>
                    </w:rPr>
                  </w:pPr>
                </w:p>
              </w:tc>
              <w:tc>
                <w:tcPr>
                  <w:tcW w:w="261" w:type="pct"/>
                  <w:vMerge w:val="continue"/>
                  <w:vAlign w:val="center"/>
                </w:tcPr>
                <w:p>
                  <w:pPr>
                    <w:pStyle w:val="27"/>
                    <w:snapToGrid w:val="0"/>
                    <w:ind w:left="0" w:leftChars="0"/>
                    <w:rPr>
                      <w:rFonts w:ascii="Times New Roman" w:hAnsi="Times New Roman" w:cs="Times New Roman"/>
                      <w:b/>
                      <w:color w:val="auto"/>
                      <w:w w:val="100"/>
                      <w:sz w:val="21"/>
                      <w:szCs w:val="21"/>
                    </w:rPr>
                  </w:pPr>
                </w:p>
              </w:tc>
              <w:tc>
                <w:tcPr>
                  <w:tcW w:w="278" w:type="pct"/>
                  <w:vMerge w:val="continue"/>
                  <w:vAlign w:val="center"/>
                </w:tcPr>
                <w:p>
                  <w:pPr>
                    <w:pStyle w:val="27"/>
                    <w:snapToGrid w:val="0"/>
                    <w:ind w:left="0" w:leftChars="0"/>
                    <w:rPr>
                      <w:rFonts w:ascii="Times New Roman" w:hAnsi="Times New Roman" w:cs="Times New Roman"/>
                      <w:b/>
                      <w:color w:val="auto"/>
                      <w:w w:val="100"/>
                      <w:sz w:val="21"/>
                      <w:szCs w:val="21"/>
                    </w:rPr>
                  </w:pPr>
                </w:p>
              </w:tc>
              <w:tc>
                <w:tcPr>
                  <w:tcW w:w="291" w:type="pct"/>
                  <w:vMerge w:val="continue"/>
                  <w:vAlign w:val="center"/>
                </w:tcPr>
                <w:p>
                  <w:pPr>
                    <w:pStyle w:val="27"/>
                    <w:snapToGrid w:val="0"/>
                    <w:ind w:left="0" w:leftChars="0"/>
                    <w:rPr>
                      <w:rFonts w:ascii="Times New Roman" w:hAnsi="Times New Roman" w:cs="Times New Roman"/>
                      <w:b/>
                      <w:color w:val="auto"/>
                      <w:w w:val="100"/>
                      <w:sz w:val="21"/>
                      <w:szCs w:val="21"/>
                    </w:rPr>
                  </w:pPr>
                </w:p>
              </w:tc>
              <w:tc>
                <w:tcPr>
                  <w:tcW w:w="369" w:type="pct"/>
                  <w:vMerge w:val="continue"/>
                  <w:vAlign w:val="center"/>
                </w:tcPr>
                <w:p>
                  <w:pPr>
                    <w:pStyle w:val="27"/>
                    <w:snapToGrid w:val="0"/>
                    <w:ind w:left="0" w:leftChars="0"/>
                    <w:rPr>
                      <w:rFonts w:ascii="Times New Roman" w:hAnsi="Times New Roman" w:cs="Times New Roman"/>
                      <w:b/>
                      <w:color w:val="auto"/>
                      <w:w w:val="100"/>
                      <w:sz w:val="21"/>
                      <w:szCs w:val="21"/>
                    </w:rPr>
                  </w:pPr>
                </w:p>
              </w:tc>
              <w:tc>
                <w:tcPr>
                  <w:tcW w:w="248" w:type="pct"/>
                  <w:vAlign w:val="center"/>
                </w:tcPr>
                <w:p>
                  <w:pPr>
                    <w:pStyle w:val="27"/>
                    <w:snapToGrid w:val="0"/>
                    <w:ind w:left="0" w:leftChars="0"/>
                    <w:jc w:val="center"/>
                    <w:rPr>
                      <w:rFonts w:hint="default" w:ascii="Times New Roman" w:hAnsi="Times New Roman" w:eastAsia="宋体" w:cs="Times New Roman"/>
                      <w:b/>
                      <w:bCs/>
                      <w:color w:val="auto"/>
                      <w:w w:val="100"/>
                      <w:sz w:val="21"/>
                      <w:szCs w:val="21"/>
                    </w:rPr>
                  </w:pPr>
                  <w:r>
                    <w:rPr>
                      <w:rFonts w:hint="default" w:ascii="Times New Roman" w:hAnsi="Times New Roman" w:eastAsia="宋体" w:cs="Times New Roman"/>
                      <w:b/>
                      <w:bCs/>
                      <w:color w:val="auto"/>
                      <w:w w:val="100"/>
                      <w:sz w:val="21"/>
                      <w:szCs w:val="21"/>
                      <w:lang w:val="en-US" w:eastAsia="zh-CN"/>
                    </w:rPr>
                    <w:t>颗粒物</w:t>
                  </w:r>
                </w:p>
              </w:tc>
              <w:tc>
                <w:tcPr>
                  <w:tcW w:w="328" w:type="pct"/>
                  <w:vAlign w:val="center"/>
                </w:tcPr>
                <w:p>
                  <w:pPr>
                    <w:pStyle w:val="27"/>
                    <w:snapToGrid w:val="0"/>
                    <w:ind w:left="0" w:leftChars="0"/>
                    <w:jc w:val="center"/>
                    <w:rPr>
                      <w:rFonts w:hint="default" w:ascii="Times New Roman" w:hAnsi="Times New Roman" w:eastAsia="宋体" w:cs="Times New Roman"/>
                      <w:b/>
                      <w:bCs/>
                      <w:color w:val="auto"/>
                      <w:w w:val="100"/>
                      <w:sz w:val="21"/>
                      <w:szCs w:val="21"/>
                      <w:lang w:val="en-US"/>
                    </w:rPr>
                  </w:pPr>
                  <w:r>
                    <w:rPr>
                      <w:rFonts w:hint="eastAsia" w:ascii="Times New Roman" w:hAnsi="Times New Roman" w:eastAsia="宋体" w:cs="Times New Roman"/>
                      <w:b/>
                      <w:bCs/>
                      <w:color w:val="auto"/>
                      <w:w w:val="100"/>
                      <w:sz w:val="21"/>
                      <w:szCs w:val="21"/>
                      <w:lang w:val="en-US" w:eastAsia="zh-CN"/>
                    </w:rPr>
                    <w:t>SO</w:t>
                  </w:r>
                  <w:r>
                    <w:rPr>
                      <w:rFonts w:hint="eastAsia" w:ascii="Times New Roman" w:hAnsi="Times New Roman" w:eastAsia="宋体" w:cs="Times New Roman"/>
                      <w:b/>
                      <w:bCs/>
                      <w:color w:val="auto"/>
                      <w:w w:val="100"/>
                      <w:sz w:val="21"/>
                      <w:szCs w:val="21"/>
                      <w:vertAlign w:val="subscript"/>
                      <w:lang w:val="en-US" w:eastAsia="zh-CN"/>
                    </w:rPr>
                    <w:t>2</w:t>
                  </w:r>
                </w:p>
              </w:tc>
              <w:tc>
                <w:tcPr>
                  <w:tcW w:w="366" w:type="pct"/>
                  <w:vAlign w:val="center"/>
                </w:tcPr>
                <w:p>
                  <w:pPr>
                    <w:pStyle w:val="27"/>
                    <w:snapToGrid w:val="0"/>
                    <w:ind w:left="0" w:leftChars="0"/>
                    <w:jc w:val="center"/>
                    <w:rPr>
                      <w:rFonts w:hint="default" w:ascii="Times New Roman" w:hAnsi="Times New Roman" w:eastAsia="宋体" w:cs="Times New Roman"/>
                      <w:b/>
                      <w:bCs/>
                      <w:color w:val="auto"/>
                      <w:w w:val="100"/>
                      <w:sz w:val="21"/>
                      <w:szCs w:val="21"/>
                      <w:lang w:val="en-US" w:eastAsia="zh-CN"/>
                    </w:rPr>
                  </w:pPr>
                  <w:r>
                    <w:rPr>
                      <w:rFonts w:hint="eastAsia" w:ascii="Times New Roman" w:hAnsi="Times New Roman" w:eastAsia="宋体" w:cs="Times New Roman"/>
                      <w:b/>
                      <w:bCs/>
                      <w:color w:val="auto"/>
                      <w:w w:val="100"/>
                      <w:sz w:val="21"/>
                      <w:szCs w:val="21"/>
                      <w:lang w:val="en-US" w:eastAsia="zh-CN"/>
                    </w:rPr>
                    <w:t>NO</w:t>
                  </w:r>
                  <w:r>
                    <w:rPr>
                      <w:rFonts w:hint="eastAsia" w:ascii="Times New Roman" w:hAnsi="Times New Roman" w:eastAsia="宋体" w:cs="Times New Roman"/>
                      <w:b/>
                      <w:bCs/>
                      <w:color w:val="auto"/>
                      <w:w w:val="100"/>
                      <w:sz w:val="21"/>
                      <w:szCs w:val="21"/>
                      <w:vertAlign w:val="subscript"/>
                      <w:lang w:val="en-US" w:eastAsia="zh-CN"/>
                    </w:rPr>
                    <w:t>X</w:t>
                  </w:r>
                </w:p>
              </w:tc>
              <w:tc>
                <w:tcPr>
                  <w:tcW w:w="248" w:type="pct"/>
                  <w:vAlign w:val="center"/>
                </w:tcPr>
                <w:p>
                  <w:pPr>
                    <w:pStyle w:val="27"/>
                    <w:snapToGrid w:val="0"/>
                    <w:ind w:left="0" w:leftChars="0"/>
                    <w:jc w:val="center"/>
                    <w:rPr>
                      <w:rFonts w:hint="default" w:ascii="Times New Roman" w:hAnsi="Times New Roman" w:eastAsia="宋体" w:cs="Times New Roman"/>
                      <w:b/>
                      <w:bCs/>
                      <w:color w:val="auto"/>
                      <w:w w:val="100"/>
                      <w:sz w:val="21"/>
                      <w:szCs w:val="21"/>
                      <w:lang w:val="en-US" w:eastAsia="zh-CN"/>
                    </w:rPr>
                  </w:pPr>
                  <w:r>
                    <w:rPr>
                      <w:rFonts w:hint="eastAsia" w:ascii="Times New Roman" w:hAnsi="Times New Roman" w:cs="Times New Roman"/>
                      <w:b/>
                      <w:bCs/>
                      <w:color w:val="auto"/>
                      <w:sz w:val="21"/>
                      <w:szCs w:val="21"/>
                      <w:lang w:val="en-US" w:eastAsia="zh-CN"/>
                    </w:rPr>
                    <w:t>汞及其化合物</w:t>
                  </w:r>
                </w:p>
              </w:tc>
              <w:tc>
                <w:tcPr>
                  <w:tcW w:w="250" w:type="pct"/>
                  <w:vAlign w:val="center"/>
                </w:tcPr>
                <w:p>
                  <w:pPr>
                    <w:pStyle w:val="27"/>
                    <w:snapToGrid w:val="0"/>
                    <w:ind w:left="0" w:leftChars="0"/>
                    <w:jc w:val="center"/>
                    <w:rPr>
                      <w:rFonts w:hint="default" w:ascii="Times New Roman" w:hAnsi="Times New Roman" w:eastAsia="宋体" w:cs="Times New Roman"/>
                      <w:b/>
                      <w:bCs/>
                      <w:color w:val="auto"/>
                      <w:w w:val="100"/>
                      <w:sz w:val="21"/>
                      <w:szCs w:val="21"/>
                      <w:lang w:val="en-US" w:eastAsia="zh-CN"/>
                    </w:rPr>
                  </w:pPr>
                  <w:r>
                    <w:rPr>
                      <w:rFonts w:hint="eastAsia" w:ascii="Times New Roman" w:hAnsi="Times New Roman" w:eastAsia="宋体" w:cs="Times New Roman"/>
                      <w:b/>
                      <w:bCs/>
                      <w:color w:val="auto"/>
                      <w:w w:val="100"/>
                      <w:sz w:val="21"/>
                      <w:szCs w:val="21"/>
                      <w:lang w:val="en-US" w:eastAsia="zh-CN"/>
                    </w:rPr>
                    <w:t>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3" w:type="pct"/>
                  <w:vAlign w:val="center"/>
                </w:tcPr>
                <w:p>
                  <w:pPr>
                    <w:pStyle w:val="27"/>
                    <w:snapToGrid w:val="0"/>
                    <w:ind w:left="0" w:leftChars="0"/>
                    <w:rPr>
                      <w:rFonts w:ascii="Times New Roman" w:hAnsi="Times New Roman" w:eastAsia="宋体" w:cs="Times New Roman"/>
                      <w:bCs/>
                      <w:color w:val="auto"/>
                      <w:spacing w:val="-11"/>
                      <w:w w:val="100"/>
                      <w:sz w:val="21"/>
                      <w:szCs w:val="21"/>
                    </w:rPr>
                  </w:pPr>
                  <w:r>
                    <w:rPr>
                      <w:rFonts w:ascii="Times New Roman" w:hAnsi="Times New Roman" w:cs="Times New Roman"/>
                      <w:bCs/>
                      <w:color w:val="auto"/>
                      <w:spacing w:val="-11"/>
                      <w:w w:val="100"/>
                      <w:sz w:val="21"/>
                      <w:szCs w:val="21"/>
                    </w:rPr>
                    <w:t>DA001</w:t>
                  </w:r>
                </w:p>
              </w:tc>
              <w:tc>
                <w:tcPr>
                  <w:tcW w:w="718" w:type="pct"/>
                  <w:vAlign w:val="center"/>
                </w:tcPr>
                <w:p>
                  <w:pPr>
                    <w:spacing w:line="320" w:lineRule="exact"/>
                    <w:jc w:val="center"/>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天然气锅炉废气排放口</w:t>
                  </w:r>
                </w:p>
              </w:tc>
              <w:tc>
                <w:tcPr>
                  <w:tcW w:w="742" w:type="dxa"/>
                  <w:vAlign w:val="center"/>
                </w:tcPr>
                <w:p>
                  <w:pPr>
                    <w:pStyle w:val="47"/>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rPr>
                    <w:t>117°42′19.189″</w:t>
                  </w:r>
                </w:p>
              </w:tc>
              <w:tc>
                <w:tcPr>
                  <w:tcW w:w="742" w:type="dxa"/>
                  <w:vAlign w:val="center"/>
                </w:tcPr>
                <w:p>
                  <w:pPr>
                    <w:pStyle w:val="47"/>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rPr>
                    <w:t>41°59′1.038″</w:t>
                  </w:r>
                </w:p>
              </w:tc>
              <w:tc>
                <w:tcPr>
                  <w:tcW w:w="521" w:type="dxa"/>
                  <w:vAlign w:val="center"/>
                </w:tcPr>
                <w:p>
                  <w:pPr>
                    <w:pStyle w:val="47"/>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lang w:val="en-US" w:eastAsia="zh-CN"/>
                    </w:rPr>
                    <w:t>882</w:t>
                  </w:r>
                </w:p>
              </w:tc>
              <w:tc>
                <w:tcPr>
                  <w:tcW w:w="442" w:type="dxa"/>
                  <w:vAlign w:val="center"/>
                </w:tcPr>
                <w:p>
                  <w:pPr>
                    <w:pStyle w:val="47"/>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80</w:t>
                  </w:r>
                </w:p>
              </w:tc>
              <w:tc>
                <w:tcPr>
                  <w:tcW w:w="471" w:type="dxa"/>
                  <w:vAlign w:val="center"/>
                </w:tcPr>
                <w:p>
                  <w:pPr>
                    <w:pStyle w:val="47"/>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2.53</w:t>
                  </w:r>
                </w:p>
              </w:tc>
              <w:tc>
                <w:tcPr>
                  <w:tcW w:w="291" w:type="pct"/>
                  <w:vAlign w:val="center"/>
                </w:tcPr>
                <w:p>
                  <w:pPr>
                    <w:snapToGrid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150</w:t>
                  </w:r>
                </w:p>
              </w:tc>
              <w:tc>
                <w:tcPr>
                  <w:tcW w:w="369" w:type="pct"/>
                  <w:vAlign w:val="center"/>
                </w:tcPr>
                <w:p>
                  <w:pPr>
                    <w:snapToGrid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2900</w:t>
                  </w:r>
                </w:p>
              </w:tc>
              <w:tc>
                <w:tcPr>
                  <w:tcW w:w="420" w:type="dxa"/>
                  <w:vAlign w:val="center"/>
                </w:tcPr>
                <w:p>
                  <w:pPr>
                    <w:pStyle w:val="47"/>
                    <w:spacing w:line="240" w:lineRule="auto"/>
                    <w:ind w:firstLine="0" w:firstLineChars="0"/>
                    <w:jc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0.36</w:t>
                  </w:r>
                </w:p>
              </w:tc>
              <w:tc>
                <w:tcPr>
                  <w:tcW w:w="556" w:type="dxa"/>
                  <w:vAlign w:val="center"/>
                </w:tcPr>
                <w:p>
                  <w:pPr>
                    <w:pStyle w:val="47"/>
                    <w:spacing w:line="240" w:lineRule="auto"/>
                    <w:ind w:firstLine="0" w:firstLineChars="0"/>
                    <w:jc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0.96</w:t>
                  </w:r>
                </w:p>
              </w:tc>
              <w:tc>
                <w:tcPr>
                  <w:tcW w:w="620" w:type="dxa"/>
                  <w:vAlign w:val="center"/>
                </w:tcPr>
                <w:p>
                  <w:pPr>
                    <w:pStyle w:val="47"/>
                    <w:spacing w:line="240" w:lineRule="auto"/>
                    <w:ind w:firstLine="0" w:firstLineChars="0"/>
                    <w:jc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color w:val="auto"/>
                      <w:sz w:val="21"/>
                      <w:szCs w:val="21"/>
                      <w:lang w:val="en-US" w:eastAsia="zh-CN"/>
                    </w:rPr>
                    <w:t>1.34</w:t>
                  </w:r>
                </w:p>
              </w:tc>
              <w:tc>
                <w:tcPr>
                  <w:tcW w:w="420" w:type="dxa"/>
                  <w:vAlign w:val="center"/>
                </w:tcPr>
                <w:p>
                  <w:pPr>
                    <w:pStyle w:val="47"/>
                    <w:spacing w:line="240" w:lineRule="auto"/>
                    <w:ind w:firstLine="0" w:firstLineChars="0"/>
                    <w:jc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color w:val="auto"/>
                      <w:sz w:val="21"/>
                      <w:szCs w:val="21"/>
                      <w:lang w:val="en-US" w:eastAsia="zh-CN"/>
                    </w:rPr>
                    <w:t>0.00007</w:t>
                  </w:r>
                </w:p>
              </w:tc>
              <w:tc>
                <w:tcPr>
                  <w:tcW w:w="250" w:type="pct"/>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r>
          </w:tbl>
          <w:p>
            <w:pPr>
              <w:snapToGrid w:val="0"/>
              <w:spacing w:before="156" w:beforeLines="50" w:line="360" w:lineRule="auto"/>
              <w:ind w:firstLine="482" w:firstLineChars="200"/>
              <w:jc w:val="left"/>
              <w:rPr>
                <w:rFonts w:ascii="Times New Roman" w:hAnsi="Times New Roman" w:cs="Times New Roman"/>
                <w:b/>
                <w:bCs/>
                <w:color w:val="auto"/>
                <w:sz w:val="24"/>
              </w:rPr>
            </w:pPr>
            <w:r>
              <w:rPr>
                <w:rFonts w:ascii="Times New Roman" w:hAnsi="Times New Roman" w:cs="Times New Roman"/>
                <w:b/>
                <w:bCs/>
                <w:color w:val="auto"/>
                <w:sz w:val="24"/>
              </w:rPr>
              <w:t>（</w:t>
            </w:r>
            <w:r>
              <w:rPr>
                <w:rFonts w:hint="eastAsia" w:ascii="Times New Roman" w:hAnsi="Times New Roman" w:cs="Times New Roman"/>
                <w:b/>
                <w:bCs/>
                <w:color w:val="auto"/>
                <w:sz w:val="24"/>
                <w:lang w:val="en-US" w:eastAsia="zh-CN"/>
              </w:rPr>
              <w:t>5</w:t>
            </w:r>
            <w:r>
              <w:rPr>
                <w:rFonts w:ascii="Times New Roman" w:hAnsi="Times New Roman" w:cs="Times New Roman"/>
                <w:b/>
                <w:bCs/>
                <w:color w:val="auto"/>
                <w:sz w:val="24"/>
              </w:rPr>
              <w:t>）监测要求</w:t>
            </w:r>
          </w:p>
          <w:p>
            <w:pPr>
              <w:snapToGrid w:val="0"/>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2"/>
              </w:rPr>
              <w:t>根据《锅炉大气污染物排放标准》（</w:t>
            </w:r>
            <w:r>
              <w:rPr>
                <w:rFonts w:hint="eastAsia" w:cs="Times New Roman"/>
                <w:color w:val="auto"/>
                <w:sz w:val="24"/>
                <w:szCs w:val="22"/>
                <w:lang w:val="en-US" w:eastAsia="zh-CN"/>
              </w:rPr>
              <w:t>D</w:t>
            </w:r>
            <w:r>
              <w:rPr>
                <w:rFonts w:hint="default" w:ascii="Times New Roman" w:hAnsi="Times New Roman" w:cs="Times New Roman"/>
                <w:color w:val="auto"/>
                <w:sz w:val="24"/>
                <w:szCs w:val="22"/>
                <w:lang w:val="en-US" w:eastAsia="zh-CN"/>
              </w:rPr>
              <w:t>B13/5161-2020</w:t>
            </w:r>
            <w:r>
              <w:rPr>
                <w:rFonts w:hint="default" w:ascii="Times New Roman" w:hAnsi="Times New Roman" w:cs="Times New Roman"/>
                <w:color w:val="auto"/>
                <w:sz w:val="24"/>
                <w:szCs w:val="22"/>
              </w:rPr>
              <w:t>）的要求，</w:t>
            </w:r>
            <w:r>
              <w:rPr>
                <w:rFonts w:hint="default" w:ascii="Times New Roman" w:hAnsi="Times New Roman" w:cs="Times New Roman"/>
                <w:color w:val="auto"/>
                <w:sz w:val="24"/>
                <w:szCs w:val="22"/>
                <w:lang w:val="en-US" w:eastAsia="zh-CN"/>
              </w:rPr>
              <w:t>20t/h及以上锅炉、14MW及以上锅炉，以及生态环境主管部门确定的大气污染物重点排污单位应安装污染物排放自动监控设备，并与生态环境主管部门联网，保证设备正常运行，按照有关法律和污染源自动监控管理的规定执行</w:t>
            </w:r>
            <w:r>
              <w:rPr>
                <w:rFonts w:hint="default" w:ascii="Times New Roman" w:hAnsi="Times New Roman" w:cs="Times New Roman"/>
                <w:color w:val="auto"/>
                <w:sz w:val="24"/>
                <w:szCs w:val="22"/>
              </w:rPr>
              <w:t>。</w:t>
            </w:r>
            <w:r>
              <w:rPr>
                <w:rFonts w:hint="default" w:ascii="Times New Roman" w:hAnsi="Times New Roman" w:eastAsia="宋体" w:cs="Times New Roman"/>
                <w:color w:val="auto"/>
                <w:sz w:val="24"/>
                <w:szCs w:val="24"/>
                <w:lang w:val="en-US" w:eastAsia="zh-CN"/>
              </w:rPr>
              <w:t>因此按照《污染源自动监控管理办法》要求分别配备一套烟尘、SO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、NOx在线监测设备。</w:t>
            </w:r>
          </w:p>
          <w:p>
            <w:pPr>
              <w:snapToGrid w:val="0"/>
              <w:spacing w:line="360" w:lineRule="auto"/>
              <w:ind w:firstLine="480" w:firstLineChars="200"/>
              <w:jc w:val="left"/>
              <w:rPr>
                <w:rFonts w:ascii="Times New Roman" w:hAnsi="Times New Roman" w:cs="Times New Roman"/>
                <w:color w:val="auto"/>
                <w:sz w:val="24"/>
              </w:rPr>
            </w:pPr>
            <w:r>
              <w:rPr>
                <w:rFonts w:ascii="Times New Roman" w:hAnsi="Times New Roman" w:cs="Times New Roman"/>
                <w:color w:val="auto"/>
                <w:sz w:val="24"/>
              </w:rPr>
              <w:t>项目大气污染源监测要求详见下表：</w:t>
            </w:r>
          </w:p>
          <w:p>
            <w:pPr>
              <w:snapToGrid w:val="0"/>
              <w:spacing w:line="240" w:lineRule="auto"/>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表4-7  大气污染源监测计划</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850"/>
              <w:gridCol w:w="1258"/>
              <w:gridCol w:w="1641"/>
              <w:gridCol w:w="1392"/>
              <w:gridCol w:w="2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0" w:type="pct"/>
                  <w:gridSpan w:val="2"/>
                  <w:vAlign w:val="center"/>
                </w:tcPr>
                <w:p>
                  <w:pPr>
                    <w:pStyle w:val="44"/>
                    <w:rPr>
                      <w:rFonts w:hint="default" w:ascii="Times New Roman" w:hAnsi="Times New Roman" w:eastAsia="宋体" w:cs="Times New Roman"/>
                      <w:b/>
                      <w:bCs/>
                      <w:color w:val="000000"/>
                    </w:rPr>
                  </w:pPr>
                  <w:r>
                    <w:rPr>
                      <w:rFonts w:hint="default" w:ascii="Times New Roman" w:hAnsi="Times New Roman" w:eastAsia="宋体" w:cs="Times New Roman"/>
                      <w:b/>
                      <w:bCs/>
                      <w:color w:val="000000"/>
                    </w:rPr>
                    <w:t>环境要素</w:t>
                  </w:r>
                </w:p>
              </w:tc>
              <w:tc>
                <w:tcPr>
                  <w:tcW w:w="744" w:type="pct"/>
                  <w:vAlign w:val="center"/>
                </w:tcPr>
                <w:p>
                  <w:pPr>
                    <w:pStyle w:val="44"/>
                    <w:rPr>
                      <w:rFonts w:hint="default" w:ascii="Times New Roman" w:hAnsi="Times New Roman" w:eastAsia="宋体" w:cs="Times New Roman"/>
                      <w:b/>
                      <w:bCs/>
                      <w:color w:val="000000"/>
                    </w:rPr>
                  </w:pPr>
                  <w:r>
                    <w:rPr>
                      <w:rFonts w:hint="default" w:ascii="Times New Roman" w:hAnsi="Times New Roman" w:eastAsia="宋体" w:cs="Times New Roman"/>
                      <w:b/>
                      <w:bCs/>
                      <w:color w:val="000000"/>
                    </w:rPr>
                    <w:t>监测位置</w:t>
                  </w:r>
                </w:p>
              </w:tc>
              <w:tc>
                <w:tcPr>
                  <w:tcW w:w="970" w:type="pct"/>
                  <w:vAlign w:val="center"/>
                </w:tcPr>
                <w:p>
                  <w:pPr>
                    <w:pStyle w:val="44"/>
                    <w:rPr>
                      <w:rFonts w:hint="default" w:ascii="Times New Roman" w:hAnsi="Times New Roman" w:eastAsia="宋体" w:cs="Times New Roman"/>
                      <w:b/>
                      <w:bCs/>
                      <w:color w:val="000000"/>
                    </w:rPr>
                  </w:pPr>
                  <w:r>
                    <w:rPr>
                      <w:rFonts w:hint="default" w:ascii="Times New Roman" w:hAnsi="Times New Roman" w:eastAsia="宋体" w:cs="Times New Roman"/>
                      <w:b/>
                      <w:bCs/>
                      <w:color w:val="000000"/>
                    </w:rPr>
                    <w:t>监测项目</w:t>
                  </w:r>
                </w:p>
              </w:tc>
              <w:tc>
                <w:tcPr>
                  <w:tcW w:w="823" w:type="pct"/>
                  <w:vAlign w:val="center"/>
                </w:tcPr>
                <w:p>
                  <w:pPr>
                    <w:pStyle w:val="44"/>
                    <w:rPr>
                      <w:rFonts w:hint="default" w:ascii="Times New Roman" w:hAnsi="Times New Roman" w:eastAsia="宋体" w:cs="Times New Roman"/>
                      <w:b/>
                      <w:bCs/>
                      <w:color w:val="000000"/>
                    </w:rPr>
                  </w:pPr>
                  <w:r>
                    <w:rPr>
                      <w:rFonts w:hint="default" w:ascii="Times New Roman" w:hAnsi="Times New Roman" w:eastAsia="宋体" w:cs="Times New Roman"/>
                      <w:b/>
                      <w:bCs/>
                      <w:color w:val="000000"/>
                    </w:rPr>
                    <w:t>频次</w:t>
                  </w:r>
                </w:p>
              </w:tc>
              <w:tc>
                <w:tcPr>
                  <w:tcW w:w="1641" w:type="pct"/>
                  <w:vAlign w:val="center"/>
                </w:tcPr>
                <w:p>
                  <w:pPr>
                    <w:pStyle w:val="44"/>
                    <w:rPr>
                      <w:rFonts w:hint="default" w:ascii="Times New Roman" w:hAnsi="Times New Roman" w:eastAsia="宋体" w:cs="Times New Roman"/>
                      <w:b/>
                      <w:bCs/>
                      <w:color w:val="000000"/>
                    </w:rPr>
                  </w:pPr>
                  <w:r>
                    <w:rPr>
                      <w:rFonts w:hint="default" w:ascii="Times New Roman" w:hAnsi="Times New Roman" w:eastAsia="宋体" w:cs="Times New Roman"/>
                      <w:b/>
                      <w:bCs/>
                      <w:color w:val="000000"/>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 w:type="pct"/>
                  <w:vMerge w:val="restart"/>
                  <w:vAlign w:val="center"/>
                </w:tcPr>
                <w:p>
                  <w:pPr>
                    <w:pStyle w:val="44"/>
                    <w:rPr>
                      <w:rFonts w:hint="default" w:ascii="Times New Roman" w:hAnsi="Times New Roman" w:eastAsia="宋体" w:cs="Times New Roman"/>
                      <w:color w:val="000000"/>
                    </w:rPr>
                  </w:pPr>
                  <w:r>
                    <w:rPr>
                      <w:rFonts w:hint="default" w:ascii="Times New Roman" w:hAnsi="Times New Roman" w:eastAsia="宋体" w:cs="Times New Roman"/>
                      <w:color w:val="000000"/>
                    </w:rPr>
                    <w:t>废气</w:t>
                  </w:r>
                </w:p>
              </w:tc>
              <w:tc>
                <w:tcPr>
                  <w:tcW w:w="503" w:type="pct"/>
                  <w:vMerge w:val="restart"/>
                  <w:vAlign w:val="center"/>
                </w:tcPr>
                <w:p>
                  <w:pPr>
                    <w:pStyle w:val="44"/>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有组织</w:t>
                  </w:r>
                </w:p>
              </w:tc>
              <w:tc>
                <w:tcPr>
                  <w:tcW w:w="744" w:type="pct"/>
                  <w:vMerge w:val="restart"/>
                  <w:vAlign w:val="center"/>
                </w:tcPr>
                <w:p>
                  <w:pPr>
                    <w:pStyle w:val="44"/>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DA001</w:t>
                  </w:r>
                </w:p>
              </w:tc>
              <w:tc>
                <w:tcPr>
                  <w:tcW w:w="970" w:type="pct"/>
                  <w:vAlign w:val="center"/>
                </w:tcPr>
                <w:p>
                  <w:pPr>
                    <w:pStyle w:val="44"/>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颗粒物、二氧化硫、氮氧化物</w:t>
                  </w:r>
                </w:p>
              </w:tc>
              <w:tc>
                <w:tcPr>
                  <w:tcW w:w="823" w:type="pct"/>
                  <w:vAlign w:val="center"/>
                </w:tcPr>
                <w:p>
                  <w:pPr>
                    <w:pStyle w:val="44"/>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自动监测</w:t>
                  </w:r>
                </w:p>
              </w:tc>
              <w:tc>
                <w:tcPr>
                  <w:tcW w:w="1641" w:type="pct"/>
                  <w:vMerge w:val="restart"/>
                  <w:vAlign w:val="center"/>
                </w:tcPr>
                <w:p>
                  <w:pPr>
                    <w:pStyle w:val="44"/>
                    <w:rPr>
                      <w:rFonts w:hint="eastAsia"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《锅炉大气污染物排放标准》（</w:t>
                  </w:r>
                  <w:r>
                    <w:rPr>
                      <w:rFonts w:hint="eastAsia" w:ascii="Times New Roman" w:hAnsi="Times New Roman" w:eastAsia="宋体" w:cs="Times New Roman"/>
                      <w:color w:val="000000"/>
                      <w:lang w:val="en-US" w:eastAsia="zh-CN"/>
                    </w:rPr>
                    <w:t>D</w:t>
                  </w:r>
                  <w:r>
                    <w:rPr>
                      <w:rFonts w:hint="default" w:ascii="Times New Roman" w:hAnsi="Times New Roman" w:eastAsia="宋体" w:cs="Times New Roman"/>
                      <w:color w:val="000000"/>
                      <w:lang w:val="en-US" w:eastAsia="zh-CN"/>
                    </w:rPr>
                    <w:t>B13/5161-2020）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17" w:type="pct"/>
                  <w:vMerge w:val="continue"/>
                  <w:vAlign w:val="center"/>
                </w:tcPr>
                <w:p>
                  <w:pPr>
                    <w:pStyle w:val="44"/>
                    <w:rPr>
                      <w:rFonts w:hint="default" w:ascii="Times New Roman" w:hAnsi="Times New Roman" w:eastAsia="宋体" w:cs="Times New Roman"/>
                      <w:color w:val="000000"/>
                    </w:rPr>
                  </w:pPr>
                </w:p>
              </w:tc>
              <w:tc>
                <w:tcPr>
                  <w:tcW w:w="503" w:type="pct"/>
                  <w:vMerge w:val="continue"/>
                  <w:vAlign w:val="center"/>
                </w:tcPr>
                <w:p>
                  <w:pPr>
                    <w:pStyle w:val="44"/>
                    <w:rPr>
                      <w:rFonts w:hint="eastAsia" w:ascii="Times New Roman" w:hAnsi="Times New Roman" w:eastAsia="宋体" w:cs="Times New Roman"/>
                      <w:color w:val="000000"/>
                      <w:lang w:val="en-US" w:eastAsia="zh-CN"/>
                    </w:rPr>
                  </w:pPr>
                </w:p>
              </w:tc>
              <w:tc>
                <w:tcPr>
                  <w:tcW w:w="744" w:type="pct"/>
                  <w:vMerge w:val="continue"/>
                  <w:vAlign w:val="center"/>
                </w:tcPr>
                <w:p>
                  <w:pPr>
                    <w:pStyle w:val="44"/>
                    <w:rPr>
                      <w:rFonts w:hint="eastAsia" w:ascii="Times New Roman" w:hAnsi="Times New Roman" w:eastAsia="宋体" w:cs="Times New Roman"/>
                      <w:color w:val="000000"/>
                      <w:lang w:val="en-US" w:eastAsia="zh-CN"/>
                    </w:rPr>
                  </w:pPr>
                </w:p>
              </w:tc>
              <w:tc>
                <w:tcPr>
                  <w:tcW w:w="970" w:type="pct"/>
                  <w:vAlign w:val="center"/>
                </w:tcPr>
                <w:p>
                  <w:pPr>
                    <w:pStyle w:val="44"/>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汞及其化合物、氨、烟气黑度</w:t>
                  </w:r>
                </w:p>
              </w:tc>
              <w:tc>
                <w:tcPr>
                  <w:tcW w:w="823" w:type="pct"/>
                  <w:vAlign w:val="center"/>
                </w:tcPr>
                <w:p>
                  <w:pPr>
                    <w:pStyle w:val="44"/>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1次/季度</w:t>
                  </w:r>
                </w:p>
              </w:tc>
              <w:tc>
                <w:tcPr>
                  <w:tcW w:w="1641" w:type="pct"/>
                  <w:vMerge w:val="continue"/>
                  <w:vAlign w:val="center"/>
                </w:tcPr>
                <w:p>
                  <w:pPr>
                    <w:pStyle w:val="44"/>
                    <w:rPr>
                      <w:rFonts w:hint="eastAsia" w:ascii="Times New Roman" w:hAnsi="Times New Roman" w:eastAsia="宋体" w:cs="Times New Roman"/>
                      <w:color w:val="00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 w:type="pct"/>
                  <w:vMerge w:val="continue"/>
                  <w:vAlign w:val="center"/>
                </w:tcPr>
                <w:p>
                  <w:pPr>
                    <w:pStyle w:val="44"/>
                    <w:rPr>
                      <w:rFonts w:hint="default" w:ascii="Times New Roman" w:hAnsi="Times New Roman" w:eastAsia="宋体" w:cs="Times New Roman"/>
                      <w:color w:val="000000"/>
                    </w:rPr>
                  </w:pPr>
                </w:p>
              </w:tc>
              <w:tc>
                <w:tcPr>
                  <w:tcW w:w="503" w:type="pct"/>
                  <w:vAlign w:val="center"/>
                </w:tcPr>
                <w:p>
                  <w:pPr>
                    <w:pStyle w:val="44"/>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无组织</w:t>
                  </w:r>
                </w:p>
              </w:tc>
              <w:tc>
                <w:tcPr>
                  <w:tcW w:w="744" w:type="pct"/>
                  <w:vAlign w:val="center"/>
                </w:tcPr>
                <w:p>
                  <w:pPr>
                    <w:pStyle w:val="44"/>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rPr>
                    <w:t>厂界外20m处上风向设参照点，下风向设监控点</w:t>
                  </w:r>
                </w:p>
              </w:tc>
              <w:tc>
                <w:tcPr>
                  <w:tcW w:w="970" w:type="pct"/>
                  <w:vAlign w:val="center"/>
                </w:tcPr>
                <w:p>
                  <w:pPr>
                    <w:pStyle w:val="44"/>
                    <w:rPr>
                      <w:rFonts w:hint="default" w:ascii="Times New Roman" w:hAnsi="Times New Roman" w:eastAsia="宋体" w:cs="Times New Roman"/>
                      <w:color w:val="000000"/>
                    </w:rPr>
                  </w:pPr>
                  <w:r>
                    <w:rPr>
                      <w:rFonts w:hint="default" w:ascii="Times New Roman" w:hAnsi="Times New Roman" w:eastAsia="宋体" w:cs="Times New Roman"/>
                      <w:color w:val="000000"/>
                    </w:rPr>
                    <w:t>颗粒物</w:t>
                  </w:r>
                </w:p>
              </w:tc>
              <w:tc>
                <w:tcPr>
                  <w:tcW w:w="823" w:type="pct"/>
                  <w:vAlign w:val="center"/>
                </w:tcPr>
                <w:p>
                  <w:pPr>
                    <w:pStyle w:val="44"/>
                    <w:rPr>
                      <w:rFonts w:hint="default" w:ascii="Times New Roman" w:hAnsi="Times New Roman" w:eastAsia="宋体" w:cs="Times New Roman"/>
                      <w:color w:val="000000"/>
                    </w:rPr>
                  </w:pPr>
                  <w:r>
                    <w:rPr>
                      <w:rFonts w:hint="eastAsia" w:ascii="Times New Roman" w:hAnsi="Times New Roman" w:eastAsia="宋体" w:cs="Times New Roman"/>
                      <w:color w:val="000000"/>
                      <w:lang w:val="en-US" w:eastAsia="zh-CN"/>
                    </w:rPr>
                    <w:t>1次/年</w:t>
                  </w:r>
                </w:p>
              </w:tc>
              <w:tc>
                <w:tcPr>
                  <w:tcW w:w="1641" w:type="pct"/>
                  <w:vAlign w:val="center"/>
                </w:tcPr>
                <w:p>
                  <w:pPr>
                    <w:pStyle w:val="44"/>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 w:type="pct"/>
                  <w:vMerge w:val="continue"/>
                  <w:vAlign w:val="center"/>
                </w:tcPr>
                <w:p>
                  <w:pPr>
                    <w:pStyle w:val="44"/>
                    <w:rPr>
                      <w:rFonts w:hint="default" w:ascii="Times New Roman" w:hAnsi="Times New Roman" w:eastAsia="宋体" w:cs="Times New Roman"/>
                      <w:color w:val="000000"/>
                    </w:rPr>
                  </w:pPr>
                </w:p>
              </w:tc>
              <w:tc>
                <w:tcPr>
                  <w:tcW w:w="503" w:type="pct"/>
                  <w:vAlign w:val="center"/>
                </w:tcPr>
                <w:p>
                  <w:pPr>
                    <w:pStyle w:val="44"/>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食堂</w:t>
                  </w:r>
                </w:p>
              </w:tc>
              <w:tc>
                <w:tcPr>
                  <w:tcW w:w="744" w:type="pct"/>
                  <w:vAlign w:val="center"/>
                </w:tcPr>
                <w:p>
                  <w:pPr>
                    <w:pStyle w:val="44"/>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烟道出口</w:t>
                  </w:r>
                </w:p>
              </w:tc>
              <w:tc>
                <w:tcPr>
                  <w:tcW w:w="970" w:type="pct"/>
                  <w:vAlign w:val="center"/>
                </w:tcPr>
                <w:p>
                  <w:pPr>
                    <w:pStyle w:val="44"/>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油烟</w:t>
                  </w:r>
                </w:p>
              </w:tc>
              <w:tc>
                <w:tcPr>
                  <w:tcW w:w="823" w:type="pct"/>
                  <w:vAlign w:val="center"/>
                </w:tcPr>
                <w:p>
                  <w:pPr>
                    <w:pStyle w:val="44"/>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1次/年</w:t>
                  </w:r>
                </w:p>
              </w:tc>
              <w:tc>
                <w:tcPr>
                  <w:tcW w:w="1641" w:type="pct"/>
                  <w:vAlign w:val="center"/>
                </w:tcPr>
                <w:p>
                  <w:pPr>
                    <w:pStyle w:val="44"/>
                    <w:rPr>
                      <w:rFonts w:hint="default" w:ascii="Times New Roman" w:hAnsi="Times New Roman" w:eastAsia="宋体" w:cs="Times New Roman"/>
                      <w:color w:val="000000"/>
                      <w:lang w:val="en-US" w:eastAsia="zh-CN"/>
                    </w:rPr>
                  </w:pPr>
                  <w:r>
                    <w:rPr>
                      <w:rFonts w:hint="default" w:ascii="Times New Roman" w:hAnsi="Times New Roman" w:cs="Times New Roman"/>
                      <w:b w:val="0"/>
                      <w:bCs/>
                      <w:color w:val="auto"/>
                      <w:sz w:val="21"/>
                      <w:szCs w:val="21"/>
                      <w:lang w:val="en-US" w:eastAsia="zh-CN"/>
                    </w:rPr>
                    <w:t>《饮食业油烟排放标准（试行）》（GB18483－2001）</w:t>
                  </w:r>
                </w:p>
              </w:tc>
            </w:tr>
          </w:tbl>
          <w:p>
            <w:pPr>
              <w:pStyle w:val="2"/>
              <w:rPr>
                <w:rFonts w:hint="eastAsia"/>
                <w:lang w:val="en-US" w:eastAsia="zh-CN"/>
              </w:rPr>
            </w:pPr>
          </w:p>
          <w:p>
            <w:pPr>
              <w:snapToGrid w:val="0"/>
              <w:spacing w:before="156" w:beforeLines="50" w:line="360" w:lineRule="auto"/>
              <w:ind w:firstLine="482" w:firstLineChars="200"/>
              <w:jc w:val="left"/>
              <w:rPr>
                <w:rFonts w:ascii="Times New Roman" w:hAnsi="Times New Roman" w:cs="Times New Roman"/>
                <w:b/>
                <w:bCs/>
                <w:color w:val="auto"/>
                <w:sz w:val="24"/>
              </w:rPr>
            </w:pPr>
            <w:r>
              <w:rPr>
                <w:rFonts w:ascii="Times New Roman" w:hAnsi="Times New Roman" w:cs="Times New Roman"/>
                <w:b/>
                <w:bCs/>
                <w:color w:val="auto"/>
                <w:sz w:val="24"/>
              </w:rPr>
              <w:t>（</w:t>
            </w:r>
            <w:r>
              <w:rPr>
                <w:rFonts w:hint="eastAsia" w:ascii="Times New Roman" w:hAnsi="Times New Roman" w:cs="Times New Roman"/>
                <w:b/>
                <w:bCs/>
                <w:color w:val="auto"/>
                <w:sz w:val="24"/>
                <w:lang w:val="en-US" w:eastAsia="zh-CN"/>
              </w:rPr>
              <w:t>6</w:t>
            </w:r>
            <w:r>
              <w:rPr>
                <w:rFonts w:ascii="Times New Roman" w:hAnsi="Times New Roman" w:cs="Times New Roman"/>
                <w:b/>
                <w:bCs/>
                <w:color w:val="auto"/>
                <w:sz w:val="24"/>
              </w:rPr>
              <w:t>）污染物排放达标分析</w:t>
            </w:r>
          </w:p>
          <w:p>
            <w:pPr>
              <w:snapToGrid w:val="0"/>
              <w:spacing w:line="360" w:lineRule="auto"/>
              <w:ind w:firstLine="480" w:firstLineChars="200"/>
              <w:jc w:val="left"/>
              <w:rPr>
                <w:rFonts w:hint="default" w:ascii="Times New Roman" w:hAnsi="Times New Roman" w:cs="Times New Roman" w:eastAsiaTheme="minorEastAsia"/>
                <w:color w:val="auto"/>
                <w:sz w:val="24"/>
                <w:lang w:val="en-US" w:eastAsia="zh-CN"/>
              </w:rPr>
            </w:pPr>
            <w:r>
              <w:rPr>
                <w:rFonts w:hint="eastAsia" w:ascii="Times New Roman" w:hAnsi="Times New Roman" w:cs="Times New Roman"/>
                <w:color w:val="auto"/>
                <w:sz w:val="24"/>
                <w:lang w:val="en-US" w:eastAsia="zh-CN"/>
              </w:rPr>
              <w:t>①有组织</w:t>
            </w:r>
            <w:r>
              <w:rPr>
                <w:rFonts w:hint="eastAsia" w:ascii="Times New Roman" w:hAnsi="Times New Roman" w:eastAsia="宋体" w:cs="Times New Roman"/>
                <w:color w:val="auto"/>
                <w:sz w:val="24"/>
                <w:lang w:val="en-US" w:eastAsia="zh-CN"/>
              </w:rPr>
              <w:t>废气</w:t>
            </w:r>
            <w:r>
              <w:rPr>
                <w:rFonts w:hint="eastAsia" w:ascii="Times New Roman" w:hAnsi="Times New Roman" w:cs="Times New Roman"/>
                <w:color w:val="auto"/>
                <w:sz w:val="24"/>
                <w:lang w:val="en-US" w:eastAsia="zh-CN"/>
              </w:rPr>
              <w:t>排放达标分析</w:t>
            </w:r>
          </w:p>
          <w:p>
            <w:pPr>
              <w:snapToGrid w:val="0"/>
              <w:spacing w:line="360" w:lineRule="auto"/>
              <w:ind w:firstLine="480" w:firstLineChars="200"/>
              <w:jc w:val="left"/>
              <w:rPr>
                <w:rFonts w:ascii="Times New Roman" w:hAnsi="Times New Roman" w:cs="Times New Roman"/>
                <w:color w:val="auto"/>
                <w:sz w:val="24"/>
              </w:rPr>
            </w:pPr>
            <w:r>
              <w:rPr>
                <w:rFonts w:ascii="Times New Roman" w:hAnsi="Times New Roman" w:cs="Times New Roman"/>
                <w:color w:val="auto"/>
                <w:sz w:val="24"/>
              </w:rPr>
              <w:t>根据上述计算结果，本项目</w:t>
            </w:r>
            <w:r>
              <w:rPr>
                <w:rFonts w:hint="eastAsia" w:ascii="Times New Roman" w:hAnsi="Times New Roman" w:cs="Times New Roman"/>
                <w:color w:val="auto"/>
                <w:sz w:val="24"/>
                <w:lang w:val="en-US" w:eastAsia="zh-CN"/>
              </w:rPr>
              <w:t>废气</w:t>
            </w:r>
            <w:r>
              <w:rPr>
                <w:rFonts w:ascii="Times New Roman" w:hAnsi="Times New Roman" w:cs="Times New Roman"/>
                <w:color w:val="auto"/>
                <w:sz w:val="24"/>
              </w:rPr>
              <w:t>有组织排放情况详见下表：</w:t>
            </w:r>
          </w:p>
          <w:p>
            <w:pPr>
              <w:snapToGrid w:val="0"/>
              <w:spacing w:line="240" w:lineRule="auto"/>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表4-8  大气污染物有组织排放情况一览表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941"/>
              <w:gridCol w:w="987"/>
              <w:gridCol w:w="1228"/>
              <w:gridCol w:w="1104"/>
              <w:gridCol w:w="1228"/>
              <w:gridCol w:w="1603"/>
              <w:gridCol w:w="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67" w:type="pct"/>
                  <w:vMerge w:val="restart"/>
                  <w:vAlign w:val="center"/>
                </w:tcPr>
                <w:p>
                  <w:pPr>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排气筒</w:t>
                  </w:r>
                </w:p>
              </w:tc>
              <w:tc>
                <w:tcPr>
                  <w:tcW w:w="556" w:type="pct"/>
                  <w:vMerge w:val="restart"/>
                  <w:vAlign w:val="center"/>
                </w:tcPr>
                <w:p>
                  <w:pPr>
                    <w:snapToGrid w:val="0"/>
                    <w:jc w:val="center"/>
                    <w:rPr>
                      <w:rFonts w:hint="default" w:ascii="Times New Roman" w:hAnsi="Times New Roman" w:eastAsia="宋体" w:cs="Times New Roman"/>
                      <w:b/>
                      <w:bCs/>
                      <w:color w:val="auto"/>
                      <w:sz w:val="21"/>
                      <w:szCs w:val="21"/>
                    </w:rPr>
                  </w:pPr>
                  <w:r>
                    <w:rPr>
                      <w:rFonts w:hint="default" w:ascii="Times New Roman" w:hAnsi="Times New Roman" w:cs="Times New Roman"/>
                      <w:b/>
                      <w:bCs/>
                      <w:color w:val="auto"/>
                      <w:sz w:val="21"/>
                      <w:szCs w:val="21"/>
                    </w:rPr>
                    <w:t>产污节点</w:t>
                  </w:r>
                </w:p>
              </w:tc>
              <w:tc>
                <w:tcPr>
                  <w:tcW w:w="583" w:type="pct"/>
                  <w:vMerge w:val="restart"/>
                  <w:vAlign w:val="center"/>
                </w:tcPr>
                <w:p>
                  <w:pPr>
                    <w:snapToGrid w:val="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1378" w:type="pct"/>
                  <w:gridSpan w:val="2"/>
                  <w:vAlign w:val="center"/>
                </w:tcPr>
                <w:p>
                  <w:pPr>
                    <w:snapToGrid w:val="0"/>
                    <w:jc w:val="center"/>
                    <w:rPr>
                      <w:rFonts w:hint="default" w:ascii="Times New Roman" w:hAnsi="Times New Roman" w:eastAsia="宋体" w:cs="Times New Roman"/>
                      <w:b/>
                      <w:bCs/>
                      <w:color w:val="auto"/>
                      <w:sz w:val="21"/>
                      <w:szCs w:val="21"/>
                    </w:rPr>
                  </w:pPr>
                  <w:r>
                    <w:rPr>
                      <w:rFonts w:hint="default" w:ascii="Times New Roman" w:hAnsi="Times New Roman" w:cs="Times New Roman"/>
                      <w:b/>
                      <w:bCs/>
                      <w:color w:val="auto"/>
                      <w:sz w:val="21"/>
                      <w:szCs w:val="21"/>
                    </w:rPr>
                    <w:t>有组织排放参数</w:t>
                  </w:r>
                </w:p>
              </w:tc>
              <w:tc>
                <w:tcPr>
                  <w:tcW w:w="1673" w:type="pct"/>
                  <w:gridSpan w:val="2"/>
                  <w:vAlign w:val="center"/>
                </w:tcPr>
                <w:p>
                  <w:pPr>
                    <w:pStyle w:val="47"/>
                    <w:spacing w:line="28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排放标准</w:t>
                  </w:r>
                </w:p>
              </w:tc>
              <w:tc>
                <w:tcPr>
                  <w:tcW w:w="440" w:type="pct"/>
                  <w:vMerge w:val="restart"/>
                  <w:vAlign w:val="center"/>
                </w:tcPr>
                <w:p>
                  <w:pPr>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67" w:type="pct"/>
                  <w:vMerge w:val="continue"/>
                  <w:vAlign w:val="center"/>
                </w:tcPr>
                <w:p>
                  <w:pPr>
                    <w:snapToGrid w:val="0"/>
                    <w:jc w:val="center"/>
                    <w:rPr>
                      <w:rFonts w:hint="default" w:ascii="Times New Roman" w:hAnsi="Times New Roman" w:eastAsia="宋体" w:cs="Times New Roman"/>
                      <w:b/>
                      <w:bCs/>
                      <w:color w:val="auto"/>
                      <w:sz w:val="21"/>
                      <w:szCs w:val="21"/>
                    </w:rPr>
                  </w:pPr>
                </w:p>
              </w:tc>
              <w:tc>
                <w:tcPr>
                  <w:tcW w:w="556" w:type="pct"/>
                  <w:vMerge w:val="continue"/>
                  <w:vAlign w:val="center"/>
                </w:tcPr>
                <w:p>
                  <w:pPr>
                    <w:snapToGrid w:val="0"/>
                    <w:jc w:val="center"/>
                    <w:rPr>
                      <w:rFonts w:hint="default" w:ascii="Times New Roman" w:hAnsi="Times New Roman" w:eastAsia="宋体" w:cs="Times New Roman"/>
                      <w:b/>
                      <w:bCs/>
                      <w:color w:val="auto"/>
                      <w:sz w:val="21"/>
                      <w:szCs w:val="21"/>
                    </w:rPr>
                  </w:pPr>
                </w:p>
              </w:tc>
              <w:tc>
                <w:tcPr>
                  <w:tcW w:w="583" w:type="pct"/>
                  <w:vMerge w:val="continue"/>
                  <w:vAlign w:val="center"/>
                </w:tcPr>
                <w:p>
                  <w:pPr>
                    <w:snapToGrid w:val="0"/>
                    <w:jc w:val="center"/>
                    <w:rPr>
                      <w:rFonts w:hint="default" w:ascii="Times New Roman" w:hAnsi="Times New Roman" w:eastAsia="宋体" w:cs="Times New Roman"/>
                      <w:b/>
                      <w:bCs/>
                      <w:color w:val="auto"/>
                      <w:sz w:val="21"/>
                      <w:szCs w:val="21"/>
                    </w:rPr>
                  </w:pPr>
                </w:p>
              </w:tc>
              <w:tc>
                <w:tcPr>
                  <w:tcW w:w="726" w:type="pct"/>
                  <w:vAlign w:val="center"/>
                </w:tcPr>
                <w:p>
                  <w:pPr>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排放浓度（mg/m³）</w:t>
                  </w:r>
                </w:p>
              </w:tc>
              <w:tc>
                <w:tcPr>
                  <w:tcW w:w="652" w:type="pct"/>
                  <w:vAlign w:val="center"/>
                </w:tcPr>
                <w:p>
                  <w:pPr>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排放速率（kg/h）</w:t>
                  </w:r>
                </w:p>
              </w:tc>
              <w:tc>
                <w:tcPr>
                  <w:tcW w:w="726" w:type="pct"/>
                  <w:vAlign w:val="center"/>
                </w:tcPr>
                <w:p>
                  <w:pPr>
                    <w:pStyle w:val="47"/>
                    <w:spacing w:line="28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标准名称</w:t>
                  </w:r>
                </w:p>
              </w:tc>
              <w:tc>
                <w:tcPr>
                  <w:tcW w:w="947" w:type="pct"/>
                  <w:vAlign w:val="center"/>
                </w:tcPr>
                <w:p>
                  <w:pPr>
                    <w:pStyle w:val="47"/>
                    <w:spacing w:line="28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color w:val="auto"/>
                      <w:sz w:val="21"/>
                      <w:szCs w:val="21"/>
                    </w:rPr>
                    <w:t>排放限值</w:t>
                  </w:r>
                </w:p>
              </w:tc>
              <w:tc>
                <w:tcPr>
                  <w:tcW w:w="440" w:type="pct"/>
                  <w:vMerge w:val="continue"/>
                  <w:vAlign w:val="center"/>
                </w:tcPr>
                <w:p>
                  <w:pPr>
                    <w:snapToGrid w:val="0"/>
                    <w:jc w:val="center"/>
                    <w:rPr>
                      <w:rFonts w:hint="default" w:ascii="Times New Roman" w:hAnsi="Times New Roman" w:eastAsia="宋体" w:cs="Times New Roman"/>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67" w:type="pct"/>
                  <w:vMerge w:val="restart"/>
                  <w:vAlign w:val="center"/>
                </w:tcPr>
                <w:p>
                  <w:pPr>
                    <w:adjustRightInd w:val="0"/>
                    <w:snapToGrid w:val="0"/>
                    <w:jc w:val="center"/>
                    <w:rPr>
                      <w:rFonts w:hint="default" w:ascii="Times New Roman" w:hAnsi="Times New Roman" w:cs="Times New Roman" w:eastAsiaTheme="minorEastAsia"/>
                      <w:bCs/>
                      <w:color w:val="auto"/>
                      <w:spacing w:val="-11"/>
                      <w:sz w:val="21"/>
                      <w:szCs w:val="21"/>
                      <w:lang w:val="en-US" w:eastAsia="zh-CN"/>
                    </w:rPr>
                  </w:pPr>
                  <w:r>
                    <w:rPr>
                      <w:rFonts w:hint="default" w:ascii="Times New Roman" w:hAnsi="Times New Roman" w:cs="Times New Roman"/>
                      <w:bCs/>
                      <w:color w:val="auto"/>
                      <w:spacing w:val="-11"/>
                      <w:sz w:val="21"/>
                      <w:szCs w:val="21"/>
                      <w:lang w:val="en-US" w:eastAsia="zh-CN"/>
                    </w:rPr>
                    <w:t>DA001</w:t>
                  </w:r>
                </w:p>
              </w:tc>
              <w:tc>
                <w:tcPr>
                  <w:tcW w:w="556" w:type="pct"/>
                  <w:vMerge w:val="restart"/>
                  <w:vAlign w:val="center"/>
                </w:tcPr>
                <w:p>
                  <w:pPr>
                    <w:spacing w:line="320" w:lineRule="exact"/>
                    <w:jc w:val="center"/>
                    <w:rPr>
                      <w:rFonts w:hint="default" w:ascii="Times New Roman" w:hAnsi="Times New Roman" w:cs="Times New Roman"/>
                      <w:color w:val="auto"/>
                      <w:sz w:val="21"/>
                      <w:szCs w:val="21"/>
                      <w:lang w:val="en-US"/>
                    </w:rPr>
                  </w:pPr>
                  <w:r>
                    <w:rPr>
                      <w:rFonts w:hint="default" w:ascii="Times New Roman" w:hAnsi="Times New Roman" w:cs="Times New Roman"/>
                      <w:color w:val="auto"/>
                      <w:kern w:val="2"/>
                      <w:sz w:val="21"/>
                      <w:szCs w:val="21"/>
                      <w:vertAlign w:val="baseline"/>
                      <w:lang w:val="en-US" w:eastAsia="zh-CN" w:bidi="ar-SA"/>
                    </w:rPr>
                    <w:t>燃煤锅炉废气排放口</w:t>
                  </w:r>
                </w:p>
              </w:tc>
              <w:tc>
                <w:tcPr>
                  <w:tcW w:w="583" w:type="pct"/>
                  <w:vAlign w:val="center"/>
                </w:tcPr>
                <w:p>
                  <w:pPr>
                    <w:pStyle w:val="16"/>
                    <w:widowControl w:val="0"/>
                    <w:snapToGrid w:val="0"/>
                    <w:ind w:left="0" w:leftChars="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cs="Times New Roman"/>
                      <w:bCs/>
                      <w:color w:val="auto"/>
                      <w:kern w:val="2"/>
                      <w:sz w:val="21"/>
                      <w:szCs w:val="21"/>
                      <w:lang w:val="en-US" w:eastAsia="zh-CN"/>
                    </w:rPr>
                    <w:t>颗粒物</w:t>
                  </w:r>
                </w:p>
              </w:tc>
              <w:tc>
                <w:tcPr>
                  <w:tcW w:w="726" w:type="pct"/>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8.98</w:t>
                  </w:r>
                </w:p>
              </w:tc>
              <w:tc>
                <w:tcPr>
                  <w:tcW w:w="652" w:type="pct"/>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0.36</w:t>
                  </w:r>
                </w:p>
              </w:tc>
              <w:tc>
                <w:tcPr>
                  <w:tcW w:w="726" w:type="pct"/>
                  <w:vMerge w:val="restart"/>
                  <w:vAlign w:val="center"/>
                </w:tcPr>
                <w:p>
                  <w:pPr>
                    <w:snapToGrid w:val="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《锅炉大气污染物排放标准》（</w:t>
                  </w:r>
                  <w:r>
                    <w:rPr>
                      <w:rFonts w:hint="default" w:ascii="Times New Roman" w:hAnsi="Times New Roman" w:cs="Times New Roman"/>
                      <w:color w:val="auto"/>
                      <w:sz w:val="21"/>
                      <w:szCs w:val="21"/>
                      <w:lang w:val="en-US" w:eastAsia="zh-CN"/>
                    </w:rPr>
                    <w:t>DB13/5161-2020</w:t>
                  </w:r>
                  <w:r>
                    <w:rPr>
                      <w:rFonts w:hint="default" w:ascii="Times New Roman" w:hAnsi="Times New Roman" w:cs="Times New Roman"/>
                      <w:color w:val="auto"/>
                      <w:sz w:val="21"/>
                      <w:szCs w:val="21"/>
                    </w:rPr>
                    <w:t>）</w:t>
                  </w:r>
                </w:p>
              </w:tc>
              <w:tc>
                <w:tcPr>
                  <w:tcW w:w="947" w:type="pct"/>
                  <w:vAlign w:val="center"/>
                </w:tcPr>
                <w:p>
                  <w:pPr>
                    <w:topLinePunct/>
                    <w:adjustRightInd w:val="0"/>
                    <w:spacing w:line="0" w:lineRule="atLeast"/>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10</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lang w:val="en-US" w:eastAsia="zh-CN"/>
                    </w:rPr>
                    <w:t>3</w:t>
                  </w:r>
                </w:p>
              </w:tc>
              <w:tc>
                <w:tcPr>
                  <w:tcW w:w="440" w:type="pct"/>
                  <w:vAlign w:val="center"/>
                </w:tcPr>
                <w:p>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67" w:type="pct"/>
                  <w:vMerge w:val="continue"/>
                  <w:vAlign w:val="center"/>
                </w:tcPr>
                <w:p>
                  <w:pPr>
                    <w:adjustRightInd w:val="0"/>
                    <w:snapToGrid w:val="0"/>
                    <w:jc w:val="center"/>
                    <w:rPr>
                      <w:rFonts w:hint="default" w:ascii="Times New Roman" w:hAnsi="Times New Roman" w:cs="Times New Roman"/>
                      <w:bCs/>
                      <w:color w:val="auto"/>
                      <w:spacing w:val="-11"/>
                      <w:sz w:val="21"/>
                      <w:szCs w:val="21"/>
                    </w:rPr>
                  </w:pPr>
                </w:p>
              </w:tc>
              <w:tc>
                <w:tcPr>
                  <w:tcW w:w="556" w:type="pct"/>
                  <w:vMerge w:val="continue"/>
                  <w:vAlign w:val="center"/>
                </w:tcPr>
                <w:p>
                  <w:pPr>
                    <w:spacing w:line="320" w:lineRule="exact"/>
                    <w:jc w:val="center"/>
                    <w:rPr>
                      <w:rFonts w:hint="default" w:ascii="Times New Roman" w:hAnsi="Times New Roman" w:cs="Times New Roman"/>
                      <w:color w:val="auto"/>
                      <w:sz w:val="21"/>
                      <w:szCs w:val="21"/>
                    </w:rPr>
                  </w:pPr>
                </w:p>
              </w:tc>
              <w:tc>
                <w:tcPr>
                  <w:tcW w:w="583" w:type="pct"/>
                  <w:vAlign w:val="center"/>
                </w:tcPr>
                <w:p>
                  <w:pPr>
                    <w:pStyle w:val="16"/>
                    <w:widowControl w:val="0"/>
                    <w:snapToGrid w:val="0"/>
                    <w:ind w:left="0" w:leftChars="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cs="Times New Roman"/>
                      <w:bCs/>
                      <w:color w:val="auto"/>
                      <w:kern w:val="2"/>
                      <w:sz w:val="21"/>
                      <w:szCs w:val="21"/>
                      <w:lang w:val="en-US" w:eastAsia="zh-CN"/>
                    </w:rPr>
                    <w:t>SO</w:t>
                  </w:r>
                  <w:r>
                    <w:rPr>
                      <w:rFonts w:hint="default" w:ascii="Times New Roman" w:hAnsi="Times New Roman" w:cs="Times New Roman"/>
                      <w:bCs/>
                      <w:color w:val="auto"/>
                      <w:kern w:val="2"/>
                      <w:sz w:val="21"/>
                      <w:szCs w:val="21"/>
                      <w:vertAlign w:val="subscript"/>
                      <w:lang w:val="en-US" w:eastAsia="zh-CN"/>
                    </w:rPr>
                    <w:t>2</w:t>
                  </w:r>
                </w:p>
              </w:tc>
              <w:tc>
                <w:tcPr>
                  <w:tcW w:w="726" w:type="pct"/>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23.8</w:t>
                  </w:r>
                </w:p>
              </w:tc>
              <w:tc>
                <w:tcPr>
                  <w:tcW w:w="652" w:type="pct"/>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0.96</w:t>
                  </w:r>
                </w:p>
              </w:tc>
              <w:tc>
                <w:tcPr>
                  <w:tcW w:w="726" w:type="pct"/>
                  <w:vMerge w:val="continue"/>
                  <w:vAlign w:val="center"/>
                </w:tcPr>
                <w:p>
                  <w:pPr>
                    <w:snapToGrid w:val="0"/>
                    <w:jc w:val="center"/>
                    <w:rPr>
                      <w:rFonts w:hint="default" w:ascii="Times New Roman" w:hAnsi="Times New Roman" w:eastAsia="宋体" w:cs="Times New Roman"/>
                      <w:color w:val="auto"/>
                      <w:sz w:val="21"/>
                      <w:szCs w:val="21"/>
                    </w:rPr>
                  </w:pPr>
                </w:p>
              </w:tc>
              <w:tc>
                <w:tcPr>
                  <w:tcW w:w="947" w:type="pct"/>
                  <w:vAlign w:val="center"/>
                </w:tcPr>
                <w:p>
                  <w:pPr>
                    <w:topLinePunct/>
                    <w:adjustRightInd w:val="0"/>
                    <w:spacing w:line="0" w:lineRule="atLeast"/>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35</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lang w:val="en-US" w:eastAsia="zh-CN"/>
                    </w:rPr>
                    <w:t>3</w:t>
                  </w:r>
                </w:p>
              </w:tc>
              <w:tc>
                <w:tcPr>
                  <w:tcW w:w="440" w:type="pct"/>
                  <w:vAlign w:val="center"/>
                </w:tcPr>
                <w:p>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67" w:type="pct"/>
                  <w:vMerge w:val="continue"/>
                  <w:vAlign w:val="center"/>
                </w:tcPr>
                <w:p>
                  <w:pPr>
                    <w:adjustRightInd w:val="0"/>
                    <w:snapToGrid w:val="0"/>
                    <w:jc w:val="center"/>
                    <w:rPr>
                      <w:rFonts w:hint="default" w:ascii="Times New Roman" w:hAnsi="Times New Roman" w:cs="Times New Roman"/>
                      <w:bCs/>
                      <w:color w:val="auto"/>
                      <w:spacing w:val="-11"/>
                      <w:sz w:val="21"/>
                      <w:szCs w:val="21"/>
                    </w:rPr>
                  </w:pPr>
                </w:p>
              </w:tc>
              <w:tc>
                <w:tcPr>
                  <w:tcW w:w="556" w:type="pct"/>
                  <w:vMerge w:val="continue"/>
                  <w:vAlign w:val="center"/>
                </w:tcPr>
                <w:p>
                  <w:pPr>
                    <w:spacing w:line="320" w:lineRule="exact"/>
                    <w:jc w:val="center"/>
                    <w:rPr>
                      <w:rFonts w:hint="default" w:ascii="Times New Roman" w:hAnsi="Times New Roman" w:cs="Times New Roman"/>
                      <w:color w:val="auto"/>
                      <w:sz w:val="21"/>
                      <w:szCs w:val="21"/>
                    </w:rPr>
                  </w:pPr>
                </w:p>
              </w:tc>
              <w:tc>
                <w:tcPr>
                  <w:tcW w:w="583" w:type="pct"/>
                  <w:vAlign w:val="center"/>
                </w:tcPr>
                <w:p>
                  <w:pPr>
                    <w:pStyle w:val="16"/>
                    <w:widowControl w:val="0"/>
                    <w:snapToGrid w:val="0"/>
                    <w:ind w:left="0" w:leftChars="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cs="Times New Roman"/>
                      <w:bCs/>
                      <w:color w:val="auto"/>
                      <w:kern w:val="2"/>
                      <w:sz w:val="21"/>
                      <w:szCs w:val="21"/>
                      <w:lang w:val="en-US" w:eastAsia="zh-CN"/>
                    </w:rPr>
                    <w:t>NO</w:t>
                  </w:r>
                  <w:r>
                    <w:rPr>
                      <w:rFonts w:hint="default" w:ascii="Times New Roman" w:hAnsi="Times New Roman" w:cs="Times New Roman"/>
                      <w:bCs/>
                      <w:color w:val="auto"/>
                      <w:kern w:val="2"/>
                      <w:sz w:val="21"/>
                      <w:szCs w:val="21"/>
                      <w:vertAlign w:val="subscript"/>
                      <w:lang w:val="en-US" w:eastAsia="zh-CN"/>
                    </w:rPr>
                    <w:t>X</w:t>
                  </w:r>
                </w:p>
              </w:tc>
              <w:tc>
                <w:tcPr>
                  <w:tcW w:w="726" w:type="pct"/>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32.88</w:t>
                  </w:r>
                </w:p>
              </w:tc>
              <w:tc>
                <w:tcPr>
                  <w:tcW w:w="652" w:type="pct"/>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1.34</w:t>
                  </w:r>
                </w:p>
              </w:tc>
              <w:tc>
                <w:tcPr>
                  <w:tcW w:w="726" w:type="pct"/>
                  <w:vMerge w:val="continue"/>
                  <w:vAlign w:val="center"/>
                </w:tcPr>
                <w:p>
                  <w:pPr>
                    <w:snapToGrid w:val="0"/>
                    <w:jc w:val="center"/>
                    <w:rPr>
                      <w:rFonts w:hint="default" w:ascii="Times New Roman" w:hAnsi="Times New Roman" w:eastAsia="宋体" w:cs="Times New Roman"/>
                      <w:color w:val="auto"/>
                      <w:sz w:val="21"/>
                      <w:szCs w:val="21"/>
                    </w:rPr>
                  </w:pPr>
                </w:p>
              </w:tc>
              <w:tc>
                <w:tcPr>
                  <w:tcW w:w="947" w:type="pct"/>
                  <w:vAlign w:val="center"/>
                </w:tcPr>
                <w:p>
                  <w:pPr>
                    <w:topLinePunct/>
                    <w:adjustRightInd w:val="0"/>
                    <w:spacing w:line="0" w:lineRule="atLeast"/>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50</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lang w:val="en-US" w:eastAsia="zh-CN"/>
                    </w:rPr>
                    <w:t>3</w:t>
                  </w:r>
                </w:p>
              </w:tc>
              <w:tc>
                <w:tcPr>
                  <w:tcW w:w="440" w:type="pct"/>
                  <w:vAlign w:val="center"/>
                </w:tcPr>
                <w:p>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67" w:type="pct"/>
                  <w:vMerge w:val="continue"/>
                  <w:vAlign w:val="center"/>
                </w:tcPr>
                <w:p>
                  <w:pPr>
                    <w:adjustRightInd w:val="0"/>
                    <w:snapToGrid w:val="0"/>
                    <w:jc w:val="center"/>
                    <w:rPr>
                      <w:rFonts w:hint="default" w:ascii="Times New Roman" w:hAnsi="Times New Roman" w:cs="Times New Roman"/>
                      <w:bCs/>
                      <w:color w:val="auto"/>
                      <w:spacing w:val="-11"/>
                      <w:sz w:val="21"/>
                      <w:szCs w:val="21"/>
                    </w:rPr>
                  </w:pPr>
                </w:p>
              </w:tc>
              <w:tc>
                <w:tcPr>
                  <w:tcW w:w="556" w:type="pct"/>
                  <w:vMerge w:val="continue"/>
                  <w:vAlign w:val="center"/>
                </w:tcPr>
                <w:p>
                  <w:pPr>
                    <w:spacing w:line="320" w:lineRule="exact"/>
                    <w:jc w:val="center"/>
                    <w:rPr>
                      <w:rFonts w:hint="default" w:ascii="Times New Roman" w:hAnsi="Times New Roman" w:cs="Times New Roman"/>
                      <w:color w:val="auto"/>
                      <w:sz w:val="21"/>
                      <w:szCs w:val="21"/>
                    </w:rPr>
                  </w:pPr>
                </w:p>
              </w:tc>
              <w:tc>
                <w:tcPr>
                  <w:tcW w:w="583" w:type="pct"/>
                  <w:vAlign w:val="center"/>
                </w:tcPr>
                <w:p>
                  <w:pPr>
                    <w:pStyle w:val="16"/>
                    <w:widowControl w:val="0"/>
                    <w:snapToGrid w:val="0"/>
                    <w:ind w:left="0" w:leftChars="0"/>
                    <w:jc w:val="center"/>
                    <w:rPr>
                      <w:rFonts w:hint="default" w:ascii="Times New Roman" w:hAnsi="Times New Roman" w:cs="Times New Roman"/>
                      <w:bCs/>
                      <w:color w:val="auto"/>
                      <w:kern w:val="2"/>
                      <w:sz w:val="21"/>
                      <w:szCs w:val="21"/>
                      <w:lang w:val="en-US" w:eastAsia="zh-CN"/>
                    </w:rPr>
                  </w:pPr>
                  <w:r>
                    <w:rPr>
                      <w:rFonts w:hint="default" w:ascii="Times New Roman" w:hAnsi="Times New Roman" w:cs="Times New Roman"/>
                      <w:bCs/>
                      <w:color w:val="auto"/>
                      <w:kern w:val="2"/>
                      <w:sz w:val="21"/>
                      <w:szCs w:val="21"/>
                      <w:lang w:val="en-US" w:eastAsia="zh-CN"/>
                    </w:rPr>
                    <w:t>汞及其化合物</w:t>
                  </w:r>
                </w:p>
              </w:tc>
              <w:tc>
                <w:tcPr>
                  <w:tcW w:w="726" w:type="pct"/>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0.0012</w:t>
                  </w:r>
                </w:p>
              </w:tc>
              <w:tc>
                <w:tcPr>
                  <w:tcW w:w="652" w:type="pct"/>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0.00007</w:t>
                  </w:r>
                </w:p>
              </w:tc>
              <w:tc>
                <w:tcPr>
                  <w:tcW w:w="726" w:type="pct"/>
                  <w:vMerge w:val="continue"/>
                  <w:vAlign w:val="center"/>
                </w:tcPr>
                <w:p>
                  <w:pPr>
                    <w:snapToGrid w:val="0"/>
                    <w:jc w:val="center"/>
                    <w:rPr>
                      <w:rFonts w:hint="default" w:ascii="Times New Roman" w:hAnsi="Times New Roman" w:eastAsia="宋体" w:cs="Times New Roman"/>
                      <w:color w:val="auto"/>
                      <w:sz w:val="21"/>
                      <w:szCs w:val="21"/>
                    </w:rPr>
                  </w:pPr>
                </w:p>
              </w:tc>
              <w:tc>
                <w:tcPr>
                  <w:tcW w:w="947" w:type="pct"/>
                  <w:vAlign w:val="center"/>
                </w:tcPr>
                <w:p>
                  <w:pPr>
                    <w:topLinePunct/>
                    <w:adjustRightInd w:val="0"/>
                    <w:spacing w:line="0" w:lineRule="atLeast"/>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0.03</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lang w:val="en-US" w:eastAsia="zh-CN"/>
                    </w:rPr>
                    <w:t>3</w:t>
                  </w:r>
                </w:p>
              </w:tc>
              <w:tc>
                <w:tcPr>
                  <w:tcW w:w="440" w:type="pct"/>
                  <w:vAlign w:val="center"/>
                </w:tcPr>
                <w:p>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67" w:type="pct"/>
                  <w:vMerge w:val="continue"/>
                  <w:vAlign w:val="center"/>
                </w:tcPr>
                <w:p>
                  <w:pPr>
                    <w:adjustRightInd w:val="0"/>
                    <w:snapToGrid w:val="0"/>
                    <w:jc w:val="center"/>
                    <w:rPr>
                      <w:rFonts w:hint="default" w:ascii="Times New Roman" w:hAnsi="Times New Roman" w:cs="Times New Roman"/>
                      <w:bCs/>
                      <w:color w:val="auto"/>
                      <w:spacing w:val="-11"/>
                      <w:sz w:val="21"/>
                      <w:szCs w:val="21"/>
                    </w:rPr>
                  </w:pPr>
                </w:p>
              </w:tc>
              <w:tc>
                <w:tcPr>
                  <w:tcW w:w="556" w:type="pct"/>
                  <w:vMerge w:val="continue"/>
                  <w:vAlign w:val="center"/>
                </w:tcPr>
                <w:p>
                  <w:pPr>
                    <w:spacing w:line="320" w:lineRule="exact"/>
                    <w:jc w:val="center"/>
                    <w:rPr>
                      <w:rFonts w:hint="default" w:ascii="Times New Roman" w:hAnsi="Times New Roman" w:cs="Times New Roman"/>
                      <w:color w:val="auto"/>
                      <w:sz w:val="21"/>
                      <w:szCs w:val="21"/>
                    </w:rPr>
                  </w:pPr>
                </w:p>
              </w:tc>
              <w:tc>
                <w:tcPr>
                  <w:tcW w:w="583" w:type="pct"/>
                  <w:vAlign w:val="center"/>
                </w:tcPr>
                <w:p>
                  <w:pPr>
                    <w:pStyle w:val="16"/>
                    <w:widowControl w:val="0"/>
                    <w:snapToGrid w:val="0"/>
                    <w:ind w:left="0" w:leftChars="0"/>
                    <w:jc w:val="center"/>
                    <w:rPr>
                      <w:rFonts w:hint="default" w:ascii="Times New Roman" w:hAnsi="Times New Roman" w:cs="Times New Roman"/>
                      <w:bCs/>
                      <w:color w:val="auto"/>
                      <w:kern w:val="2"/>
                      <w:sz w:val="21"/>
                      <w:szCs w:val="21"/>
                      <w:lang w:val="en-US" w:eastAsia="zh-CN"/>
                    </w:rPr>
                  </w:pPr>
                  <w:r>
                    <w:rPr>
                      <w:rFonts w:hint="default" w:ascii="Times New Roman" w:hAnsi="Times New Roman" w:cs="Times New Roman"/>
                      <w:bCs/>
                      <w:color w:val="auto"/>
                      <w:kern w:val="2"/>
                      <w:sz w:val="21"/>
                      <w:szCs w:val="21"/>
                      <w:lang w:val="en-US" w:eastAsia="zh-CN"/>
                    </w:rPr>
                    <w:t>氨逃逸</w:t>
                  </w:r>
                </w:p>
              </w:tc>
              <w:tc>
                <w:tcPr>
                  <w:tcW w:w="726" w:type="pct"/>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eastAsiaTheme="minorEastAsia"/>
                      <w:color w:val="auto"/>
                      <w:sz w:val="24"/>
                      <w:szCs w:val="24"/>
                      <w:lang w:val="en-US" w:eastAsia="zh-CN"/>
                    </w:rPr>
                    <w:t>≤</w:t>
                  </w:r>
                  <w:r>
                    <w:rPr>
                      <w:rFonts w:hint="default" w:ascii="Times New Roman" w:hAnsi="Times New Roman" w:eastAsia="宋体" w:cs="Times New Roman"/>
                      <w:color w:val="auto"/>
                      <w:kern w:val="0"/>
                      <w:sz w:val="21"/>
                      <w:szCs w:val="21"/>
                      <w:lang w:val="en-US" w:eastAsia="zh-CN" w:bidi="ar"/>
                    </w:rPr>
                    <w:t>2.3</w:t>
                  </w:r>
                </w:p>
              </w:tc>
              <w:tc>
                <w:tcPr>
                  <w:tcW w:w="652" w:type="pct"/>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w:t>
                  </w:r>
                </w:p>
              </w:tc>
              <w:tc>
                <w:tcPr>
                  <w:tcW w:w="726" w:type="pct"/>
                  <w:vMerge w:val="continue"/>
                  <w:vAlign w:val="center"/>
                </w:tcPr>
                <w:p>
                  <w:pPr>
                    <w:snapToGrid w:val="0"/>
                    <w:jc w:val="center"/>
                    <w:rPr>
                      <w:rFonts w:hint="default" w:ascii="Times New Roman" w:hAnsi="Times New Roman" w:eastAsia="宋体" w:cs="Times New Roman"/>
                      <w:color w:val="auto"/>
                      <w:sz w:val="21"/>
                      <w:szCs w:val="21"/>
                    </w:rPr>
                  </w:pPr>
                </w:p>
              </w:tc>
              <w:tc>
                <w:tcPr>
                  <w:tcW w:w="947" w:type="pct"/>
                  <w:vAlign w:val="center"/>
                </w:tcPr>
                <w:p>
                  <w:pPr>
                    <w:topLinePunct/>
                    <w:adjustRightInd w:val="0"/>
                    <w:spacing w:line="0" w:lineRule="atLeast"/>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b w:val="0"/>
                      <w:bCs/>
                      <w:color w:val="auto"/>
                      <w:spacing w:val="-2"/>
                      <w:sz w:val="21"/>
                      <w:szCs w:val="21"/>
                      <w:lang w:val="en-US" w:eastAsia="zh-CN"/>
                    </w:rPr>
                    <w:t>2.3（采用SCR脱硝工艺或SNCR-SCR联合脱硝工艺）</w:t>
                  </w:r>
                </w:p>
              </w:tc>
              <w:tc>
                <w:tcPr>
                  <w:tcW w:w="440" w:type="pct"/>
                  <w:vAlign w:val="center"/>
                </w:tcPr>
                <w:p>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67" w:type="pct"/>
                  <w:vMerge w:val="continue"/>
                  <w:vAlign w:val="center"/>
                </w:tcPr>
                <w:p>
                  <w:pPr>
                    <w:adjustRightInd w:val="0"/>
                    <w:snapToGrid w:val="0"/>
                    <w:jc w:val="center"/>
                    <w:rPr>
                      <w:rFonts w:hint="default" w:ascii="Times New Roman" w:hAnsi="Times New Roman" w:cs="Times New Roman"/>
                      <w:bCs/>
                      <w:color w:val="auto"/>
                      <w:spacing w:val="-11"/>
                      <w:sz w:val="21"/>
                      <w:szCs w:val="21"/>
                    </w:rPr>
                  </w:pPr>
                </w:p>
              </w:tc>
              <w:tc>
                <w:tcPr>
                  <w:tcW w:w="556" w:type="pct"/>
                  <w:vMerge w:val="continue"/>
                  <w:vAlign w:val="center"/>
                </w:tcPr>
                <w:p>
                  <w:pPr>
                    <w:spacing w:line="320" w:lineRule="exact"/>
                    <w:jc w:val="center"/>
                    <w:rPr>
                      <w:rFonts w:hint="default" w:ascii="Times New Roman" w:hAnsi="Times New Roman" w:cs="Times New Roman"/>
                      <w:color w:val="auto"/>
                      <w:sz w:val="21"/>
                      <w:szCs w:val="21"/>
                    </w:rPr>
                  </w:pPr>
                </w:p>
              </w:tc>
              <w:tc>
                <w:tcPr>
                  <w:tcW w:w="583" w:type="pct"/>
                  <w:vAlign w:val="center"/>
                </w:tcPr>
                <w:p>
                  <w:pPr>
                    <w:pStyle w:val="16"/>
                    <w:widowControl w:val="0"/>
                    <w:snapToGrid w:val="0"/>
                    <w:ind w:left="0" w:leftChars="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cs="Times New Roman"/>
                      <w:bCs/>
                      <w:color w:val="auto"/>
                      <w:kern w:val="2"/>
                      <w:sz w:val="21"/>
                      <w:szCs w:val="21"/>
                      <w:lang w:val="en-US" w:eastAsia="zh-CN"/>
                    </w:rPr>
                    <w:t>烟气黑度</w:t>
                  </w:r>
                </w:p>
              </w:tc>
              <w:tc>
                <w:tcPr>
                  <w:tcW w:w="726" w:type="pct"/>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eastAsiaTheme="minorEastAsia"/>
                      <w:color w:val="auto"/>
                      <w:sz w:val="24"/>
                      <w:szCs w:val="24"/>
                      <w:lang w:val="en-US" w:eastAsia="zh-CN"/>
                    </w:rPr>
                    <w:t>≤</w:t>
                  </w:r>
                  <w:r>
                    <w:rPr>
                      <w:rFonts w:hint="default" w:ascii="Times New Roman" w:hAnsi="Times New Roman" w:eastAsia="宋体" w:cs="Times New Roman"/>
                      <w:color w:val="auto"/>
                      <w:kern w:val="0"/>
                      <w:sz w:val="21"/>
                      <w:szCs w:val="21"/>
                      <w:lang w:val="en-US" w:eastAsia="zh-CN" w:bidi="ar"/>
                    </w:rPr>
                    <w:t>1</w:t>
                  </w:r>
                </w:p>
              </w:tc>
              <w:tc>
                <w:tcPr>
                  <w:tcW w:w="652" w:type="pct"/>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w:t>
                  </w:r>
                </w:p>
              </w:tc>
              <w:tc>
                <w:tcPr>
                  <w:tcW w:w="726" w:type="pct"/>
                  <w:vMerge w:val="continue"/>
                  <w:vAlign w:val="center"/>
                </w:tcPr>
                <w:p>
                  <w:pPr>
                    <w:snapToGrid w:val="0"/>
                    <w:jc w:val="center"/>
                    <w:rPr>
                      <w:rFonts w:hint="default" w:ascii="Times New Roman" w:hAnsi="Times New Roman" w:eastAsia="宋体" w:cs="Times New Roman"/>
                      <w:color w:val="auto"/>
                      <w:sz w:val="21"/>
                      <w:szCs w:val="21"/>
                    </w:rPr>
                  </w:pPr>
                </w:p>
              </w:tc>
              <w:tc>
                <w:tcPr>
                  <w:tcW w:w="947" w:type="pct"/>
                  <w:vAlign w:val="center"/>
                </w:tcPr>
                <w:p>
                  <w:pPr>
                    <w:topLinePunct/>
                    <w:adjustRightInd w:val="0"/>
                    <w:spacing w:line="0" w:lineRule="atLeast"/>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1级</w:t>
                  </w:r>
                </w:p>
              </w:tc>
              <w:tc>
                <w:tcPr>
                  <w:tcW w:w="440" w:type="pct"/>
                  <w:vAlign w:val="center"/>
                </w:tcPr>
                <w:p>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lang w:val="en-US" w:eastAsia="zh-CN"/>
              </w:rPr>
            </w:pPr>
            <w:r>
              <w:rPr>
                <w:rFonts w:ascii="Times New Roman" w:hAnsi="Times New Roman" w:eastAsia="宋体" w:cs="Times New Roman"/>
                <w:color w:val="auto"/>
                <w:sz w:val="24"/>
              </w:rPr>
              <w:t>由上表可知，</w:t>
            </w:r>
            <w:r>
              <w:rPr>
                <w:rFonts w:hint="default" w:ascii="Times New Roman" w:hAnsi="Times New Roman" w:eastAsia="宋体" w:cs="Times New Roman"/>
                <w:color w:val="auto"/>
                <w:sz w:val="24"/>
                <w:szCs w:val="24"/>
                <w:highlight w:val="none"/>
              </w:rPr>
              <w:t>锅炉烟气</w:t>
            </w:r>
            <w:r>
              <w:rPr>
                <w:rFonts w:hint="default" w:ascii="Times New Roman" w:hAnsi="Times New Roman" w:eastAsia="宋体" w:cs="Times New Roman"/>
                <w:color w:val="auto"/>
                <w:sz w:val="24"/>
                <w:szCs w:val="24"/>
                <w:highlight w:val="none"/>
                <w:lang w:val="en-US" w:eastAsia="zh-CN"/>
              </w:rPr>
              <w:t>中烟尘、二氧化硫</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氮氧化物</w:t>
            </w:r>
            <w:r>
              <w:rPr>
                <w:rFonts w:hint="eastAsia" w:ascii="Times New Roman" w:hAnsi="Times New Roman" w:eastAsia="宋体" w:cs="Times New Roman"/>
                <w:color w:val="auto"/>
                <w:sz w:val="24"/>
                <w:szCs w:val="24"/>
                <w:highlight w:val="none"/>
                <w:lang w:val="en-US" w:eastAsia="zh-CN"/>
              </w:rPr>
              <w:t>、汞及其化合物、氨逃逸、烟气黑度</w:t>
            </w:r>
            <w:r>
              <w:rPr>
                <w:rFonts w:hint="default" w:ascii="Times New Roman" w:hAnsi="Times New Roman" w:eastAsia="宋体" w:cs="Times New Roman"/>
                <w:color w:val="auto"/>
                <w:sz w:val="24"/>
                <w:szCs w:val="24"/>
                <w:highlight w:val="none"/>
                <w:lang w:val="en-US" w:eastAsia="zh-CN"/>
              </w:rPr>
              <w:t>均满足</w:t>
            </w:r>
            <w:r>
              <w:rPr>
                <w:rFonts w:hint="default" w:ascii="Times New Roman" w:hAnsi="Times New Roman" w:cs="Times New Roman"/>
                <w:color w:val="auto"/>
                <w:sz w:val="24"/>
                <w:szCs w:val="24"/>
                <w:highlight w:val="none"/>
              </w:rPr>
              <w:t>《锅炉大气污染物排放标准》（</w:t>
            </w:r>
            <w:r>
              <w:rPr>
                <w:rFonts w:hint="eastAsia" w:cs="Times New Roman"/>
                <w:color w:val="auto"/>
                <w:sz w:val="24"/>
                <w:szCs w:val="24"/>
                <w:highlight w:val="none"/>
                <w:lang w:val="en-US" w:eastAsia="zh-CN"/>
              </w:rPr>
              <w:t>D</w:t>
            </w:r>
            <w:r>
              <w:rPr>
                <w:rFonts w:hint="default" w:ascii="Times New Roman" w:hAnsi="Times New Roman" w:cs="Times New Roman"/>
                <w:color w:val="auto"/>
                <w:sz w:val="24"/>
                <w:szCs w:val="24"/>
                <w:highlight w:val="none"/>
                <w:lang w:val="en-US" w:eastAsia="zh-CN"/>
              </w:rPr>
              <w:t>B13/5161-2020</w:t>
            </w:r>
            <w:r>
              <w:rPr>
                <w:rFonts w:hint="default" w:ascii="Times New Roman" w:hAnsi="Times New Roman" w:cs="Times New Roman"/>
                <w:color w:val="auto"/>
                <w:sz w:val="24"/>
                <w:szCs w:val="24"/>
                <w:highlight w:val="none"/>
              </w:rPr>
              <w:t>）中表</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中限值要求</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val="0"/>
              <w:snapToGrid w:val="0"/>
              <w:spacing w:line="360" w:lineRule="auto"/>
              <w:ind w:left="0" w:firstLine="480" w:firstLineChars="200"/>
              <w:textAlignment w:val="center"/>
              <w:rPr>
                <w:rFonts w:ascii="Times New Roman" w:hAnsi="Times New Roman" w:eastAsia="宋体" w:cs="Times New Roman"/>
                <w:color w:val="auto"/>
                <w:sz w:val="24"/>
              </w:rPr>
            </w:pPr>
            <w:r>
              <w:rPr>
                <w:rFonts w:ascii="Times New Roman" w:hAnsi="Times New Roman" w:eastAsia="宋体" w:cs="Times New Roman"/>
                <w:color w:val="auto"/>
                <w:sz w:val="24"/>
              </w:rPr>
              <w:t>②无组织</w:t>
            </w:r>
            <w:r>
              <w:rPr>
                <w:rFonts w:hint="eastAsia" w:ascii="Times New Roman" w:hAnsi="Times New Roman" w:eastAsia="宋体" w:cs="Times New Roman"/>
                <w:color w:val="auto"/>
                <w:sz w:val="24"/>
                <w:lang w:val="en-US" w:eastAsia="zh-CN"/>
              </w:rPr>
              <w:t>废气</w:t>
            </w:r>
            <w:r>
              <w:rPr>
                <w:rFonts w:ascii="Times New Roman" w:hAnsi="Times New Roman" w:eastAsia="宋体" w:cs="Times New Roman"/>
                <w:color w:val="auto"/>
                <w:sz w:val="24"/>
              </w:rPr>
              <w:t>排放达标分析</w:t>
            </w:r>
          </w:p>
          <w:p>
            <w:pPr>
              <w:keepNext w:val="0"/>
              <w:keepLines w:val="0"/>
              <w:pageBreakBefore w:val="0"/>
              <w:widowControl w:val="0"/>
              <w:kinsoku/>
              <w:wordWrap/>
              <w:overflowPunct/>
              <w:autoSpaceDE/>
              <w:autoSpaceDN/>
              <w:bidi w:val="0"/>
              <w:snapToGrid w:val="0"/>
              <w:spacing w:line="360" w:lineRule="auto"/>
              <w:ind w:firstLine="480"/>
              <w:rPr>
                <w:rFonts w:hint="eastAsia" w:ascii="Times New Roman" w:hAnsi="Times New Roman" w:cs="Times New Roman"/>
                <w:color w:val="auto"/>
                <w:spacing w:val="3"/>
                <w:sz w:val="24"/>
                <w:lang w:eastAsia="zh-CN"/>
              </w:rPr>
            </w:pPr>
            <w:r>
              <w:rPr>
                <w:rFonts w:hint="eastAsia" w:ascii="Times New Roman" w:hAnsi="Times New Roman" w:cs="Times New Roman"/>
                <w:color w:val="auto"/>
                <w:sz w:val="24"/>
                <w:szCs w:val="24"/>
                <w:lang w:val="en-US" w:eastAsia="zh-CN"/>
              </w:rPr>
              <w:t>煤库为封闭库房，装卸料粉尘在车间内自然沉降，车间地面洒水抑尘，使车间内无可视粉尘产生，</w:t>
            </w:r>
            <w:r>
              <w:rPr>
                <w:rFonts w:hint="default" w:ascii="Times New Roman" w:hAnsi="Times New Roman" w:cs="Times New Roman"/>
                <w:color w:val="auto"/>
                <w:sz w:val="24"/>
                <w:szCs w:val="24"/>
              </w:rPr>
              <w:t>可有效的控制</w:t>
            </w:r>
            <w:r>
              <w:rPr>
                <w:rFonts w:hint="default" w:ascii="Times New Roman" w:hAnsi="Times New Roman" w:cs="Times New Roman"/>
                <w:color w:val="auto"/>
                <w:kern w:val="44"/>
                <w:sz w:val="24"/>
                <w:szCs w:val="24"/>
              </w:rPr>
              <w:t>粉尘</w:t>
            </w:r>
            <w:r>
              <w:rPr>
                <w:rFonts w:hint="default" w:ascii="Times New Roman" w:hAnsi="Times New Roman" w:cs="Times New Roman"/>
                <w:color w:val="auto"/>
                <w:sz w:val="24"/>
                <w:szCs w:val="24"/>
              </w:rPr>
              <w:t>的产生与排放</w:t>
            </w:r>
            <w:r>
              <w:rPr>
                <w:rFonts w:hint="eastAsia" w:ascii="Times New Roman" w:hAnsi="Times New Roman" w:cs="Times New Roman"/>
                <w:color w:val="auto"/>
                <w:spacing w:val="3"/>
                <w:sz w:val="24"/>
                <w:lang w:eastAsia="zh-CN"/>
              </w:rPr>
              <w:t>。</w:t>
            </w:r>
          </w:p>
          <w:p>
            <w:pPr>
              <w:snapToGrid w:val="0"/>
              <w:spacing w:line="360" w:lineRule="auto"/>
              <w:ind w:firstLine="480" w:firstLineChars="200"/>
              <w:rPr>
                <w:rFonts w:hint="eastAsia" w:ascii="Times New Roman" w:hAnsi="Times New Roman" w:cs="Times New Roman"/>
                <w:color w:val="auto"/>
                <w:spacing w:val="3"/>
                <w:sz w:val="24"/>
                <w:lang w:val="en-US" w:eastAsia="zh-CN"/>
              </w:rPr>
            </w:pPr>
            <w:r>
              <w:rPr>
                <w:rFonts w:hint="default" w:ascii="Times New Roman" w:hAnsi="Times New Roman" w:cs="Times New Roman"/>
                <w:color w:val="auto"/>
                <w:sz w:val="24"/>
                <w:szCs w:val="24"/>
                <w:highlight w:val="none"/>
              </w:rPr>
              <w:t>根据《环境影响评价技术导则大气环境》（HJ2.2-2018），选择项目污染源正常排放的主要污染物及排放参数，采用附录A推荐模型中估算模型分别计算项目各</w:t>
            </w:r>
            <w:r>
              <w:rPr>
                <w:rFonts w:hint="default" w:ascii="Times New Roman" w:hAnsi="Times New Roman" w:cs="Times New Roman"/>
                <w:color w:val="auto"/>
                <w:sz w:val="24"/>
                <w:szCs w:val="24"/>
                <w:highlight w:val="none"/>
                <w:lang w:val="en-US" w:eastAsia="zh-CN"/>
              </w:rPr>
              <w:t>面源</w:t>
            </w:r>
            <w:r>
              <w:rPr>
                <w:rFonts w:hint="default" w:ascii="Times New Roman" w:hAnsi="Times New Roman" w:cs="Times New Roman"/>
                <w:color w:val="auto"/>
                <w:sz w:val="24"/>
                <w:szCs w:val="24"/>
                <w:highlight w:val="none"/>
              </w:rPr>
              <w:t>污染源</w:t>
            </w:r>
            <w:r>
              <w:rPr>
                <w:rFonts w:hint="default" w:ascii="Times New Roman" w:hAnsi="Times New Roman" w:cs="Times New Roman"/>
                <w:color w:val="auto"/>
                <w:sz w:val="24"/>
                <w:szCs w:val="24"/>
                <w:highlight w:val="none"/>
                <w:lang w:val="en-US" w:eastAsia="zh-CN"/>
              </w:rPr>
              <w:t>厂界落</w:t>
            </w:r>
            <w:r>
              <w:rPr>
                <w:rFonts w:hint="default" w:ascii="Times New Roman" w:hAnsi="Times New Roman" w:cs="Times New Roman"/>
                <w:color w:val="auto"/>
                <w:sz w:val="24"/>
                <w:szCs w:val="24"/>
                <w:highlight w:val="none"/>
              </w:rPr>
              <w:t>地浓度</w:t>
            </w:r>
            <w:r>
              <w:rPr>
                <w:rFonts w:hint="default" w:ascii="Times New Roman" w:hAnsi="Times New Roman" w:cs="Times New Roman"/>
                <w:color w:val="auto"/>
                <w:sz w:val="24"/>
                <w:szCs w:val="24"/>
                <w:highlight w:val="none"/>
                <w:lang w:eastAsia="zh-CN"/>
              </w:rPr>
              <w:t>。</w:t>
            </w:r>
          </w:p>
          <w:p>
            <w:pPr>
              <w:snapToGrid w:val="0"/>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w:t>
            </w:r>
            <w:r>
              <w:rPr>
                <w:rFonts w:hint="eastAsia" w:ascii="Times New Roman" w:hAnsi="Times New Roman" w:cs="Times New Roman"/>
                <w:b/>
                <w:bCs/>
                <w:color w:val="auto"/>
                <w:sz w:val="21"/>
                <w:szCs w:val="21"/>
                <w:lang w:val="en-US" w:eastAsia="zh-CN"/>
              </w:rPr>
              <w:t>4-9</w:t>
            </w:r>
            <w:r>
              <w:rPr>
                <w:rFonts w:hint="default" w:ascii="Times New Roman" w:hAnsi="Times New Roman" w:cs="Times New Roman"/>
                <w:b/>
                <w:bCs/>
                <w:color w:val="auto"/>
                <w:sz w:val="21"/>
                <w:szCs w:val="21"/>
                <w:lang w:val="en-US" w:eastAsia="zh-CN"/>
              </w:rPr>
              <w:t xml:space="preserve">  项目</w:t>
            </w:r>
            <w:r>
              <w:rPr>
                <w:rFonts w:hint="eastAsia" w:ascii="Times New Roman" w:hAnsi="Times New Roman" w:cs="Times New Roman"/>
                <w:b/>
                <w:bCs/>
                <w:color w:val="auto"/>
                <w:sz w:val="21"/>
                <w:szCs w:val="21"/>
                <w:lang w:val="en-US" w:eastAsia="zh-CN"/>
              </w:rPr>
              <w:t>无</w:t>
            </w:r>
            <w:r>
              <w:rPr>
                <w:rFonts w:hint="default" w:ascii="Times New Roman" w:hAnsi="Times New Roman" w:cs="Times New Roman"/>
                <w:b/>
                <w:bCs/>
                <w:color w:val="auto"/>
                <w:sz w:val="21"/>
                <w:szCs w:val="21"/>
                <w:lang w:val="en-US" w:eastAsia="zh-CN"/>
              </w:rPr>
              <w:t>组织废气排放情况</w:t>
            </w:r>
          </w:p>
          <w:tbl>
            <w:tblPr>
              <w:tblStyle w:val="21"/>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91"/>
              <w:gridCol w:w="1142"/>
              <w:gridCol w:w="1260"/>
              <w:gridCol w:w="1259"/>
              <w:gridCol w:w="1266"/>
              <w:gridCol w:w="1112"/>
              <w:gridCol w:w="111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64" w:type="pct"/>
                  <w:vMerge w:val="restart"/>
                  <w:tcBorders>
                    <w:right w:val="single" w:color="auto" w:sz="4" w:space="0"/>
                  </w:tcBorders>
                  <w:noWrap w:val="0"/>
                  <w:vAlign w:val="center"/>
                </w:tcPr>
                <w:p>
                  <w:pPr>
                    <w:pStyle w:val="44"/>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eastAsia="宋体" w:cs="Times New Roman"/>
                      <w:b/>
                      <w:bCs/>
                      <w:color w:val="auto"/>
                      <w:lang w:eastAsia="zh-CN"/>
                    </w:rPr>
                  </w:pPr>
                  <w:r>
                    <w:rPr>
                      <w:rFonts w:hint="default" w:ascii="Times New Roman" w:hAnsi="Times New Roman" w:cs="Times New Roman"/>
                      <w:b/>
                      <w:bCs/>
                      <w:color w:val="auto"/>
                      <w:lang w:val="en-US" w:eastAsia="zh-CN"/>
                    </w:rPr>
                    <w:t>污染源</w:t>
                  </w:r>
                </w:p>
              </w:tc>
              <w:tc>
                <w:tcPr>
                  <w:tcW w:w="676" w:type="pct"/>
                  <w:vMerge w:val="restart"/>
                  <w:tcBorders>
                    <w:left w:val="single" w:color="auto" w:sz="4" w:space="0"/>
                  </w:tcBorders>
                  <w:noWrap w:val="0"/>
                  <w:vAlign w:val="center"/>
                </w:tcPr>
                <w:p>
                  <w:pPr>
                    <w:pStyle w:val="44"/>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预测因子</w:t>
                  </w:r>
                </w:p>
              </w:tc>
              <w:tc>
                <w:tcPr>
                  <w:tcW w:w="3558" w:type="pct"/>
                  <w:gridSpan w:val="5"/>
                  <w:tcBorders>
                    <w:right w:val="single" w:color="auto" w:sz="4" w:space="0"/>
                  </w:tcBorders>
                  <w:noWrap w:val="0"/>
                  <w:vAlign w:val="center"/>
                </w:tcPr>
                <w:p>
                  <w:pPr>
                    <w:pStyle w:val="44"/>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w:t>
                  </w:r>
                  <w:r>
                    <w:rPr>
                      <w:rFonts w:hint="eastAsia" w:ascii="Times New Roman" w:hAnsi="Times New Roman" w:cs="Times New Roman"/>
                      <w:b/>
                      <w:color w:val="auto"/>
                      <w:sz w:val="21"/>
                      <w:szCs w:val="21"/>
                      <w:lang w:eastAsia="zh-CN"/>
                    </w:rPr>
                    <w:t>浓度</w:t>
                  </w:r>
                  <w:r>
                    <w:rPr>
                      <w:rFonts w:hint="default" w:ascii="Times New Roman" w:hAnsi="Times New Roman" w:cs="Times New Roman"/>
                      <w:b/>
                      <w:color w:val="auto"/>
                      <w:szCs w:val="21"/>
                    </w:rPr>
                    <w:t>mg/m</w:t>
                  </w:r>
                  <w:r>
                    <w:rPr>
                      <w:rFonts w:hint="default" w:ascii="Times New Roman" w:hAnsi="Times New Roman" w:cs="Times New Roman"/>
                      <w:b/>
                      <w:color w:val="auto"/>
                      <w:szCs w:val="21"/>
                      <w:vertAlign w:val="superscript"/>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64" w:type="pct"/>
                  <w:vMerge w:val="continue"/>
                  <w:tcBorders>
                    <w:right w:val="single" w:color="auto" w:sz="4" w:space="0"/>
                  </w:tcBorders>
                  <w:noWrap w:val="0"/>
                  <w:vAlign w:val="center"/>
                </w:tcPr>
                <w:p>
                  <w:pPr>
                    <w:pStyle w:val="44"/>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color w:val="auto"/>
                    </w:rPr>
                  </w:pPr>
                </w:p>
              </w:tc>
              <w:tc>
                <w:tcPr>
                  <w:tcW w:w="676" w:type="pct"/>
                  <w:vMerge w:val="continue"/>
                  <w:tcBorders>
                    <w:left w:val="single" w:color="auto" w:sz="4" w:space="0"/>
                  </w:tcBorders>
                  <w:noWrap w:val="0"/>
                  <w:vAlign w:val="center"/>
                </w:tcPr>
                <w:p>
                  <w:pPr>
                    <w:pStyle w:val="44"/>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color w:val="auto"/>
                    </w:rPr>
                  </w:pPr>
                </w:p>
              </w:tc>
              <w:tc>
                <w:tcPr>
                  <w:tcW w:w="746" w:type="pct"/>
                  <w:noWrap w:val="0"/>
                  <w:vAlign w:val="center"/>
                </w:tcPr>
                <w:p>
                  <w:pPr>
                    <w:pStyle w:val="44"/>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北厂界</w:t>
                  </w:r>
                </w:p>
              </w:tc>
              <w:tc>
                <w:tcPr>
                  <w:tcW w:w="745" w:type="pct"/>
                  <w:noWrap w:val="0"/>
                  <w:vAlign w:val="center"/>
                </w:tcPr>
                <w:p>
                  <w:pPr>
                    <w:pStyle w:val="44"/>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东厂界</w:t>
                  </w:r>
                </w:p>
              </w:tc>
              <w:tc>
                <w:tcPr>
                  <w:tcW w:w="749" w:type="pct"/>
                  <w:noWrap w:val="0"/>
                  <w:vAlign w:val="center"/>
                </w:tcPr>
                <w:p>
                  <w:pPr>
                    <w:pStyle w:val="44"/>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南厂界</w:t>
                  </w:r>
                </w:p>
              </w:tc>
              <w:tc>
                <w:tcPr>
                  <w:tcW w:w="658" w:type="pct"/>
                  <w:tcBorders>
                    <w:right w:val="single" w:color="auto" w:sz="4" w:space="0"/>
                  </w:tcBorders>
                  <w:noWrap w:val="0"/>
                  <w:vAlign w:val="center"/>
                </w:tcPr>
                <w:p>
                  <w:pPr>
                    <w:pStyle w:val="44"/>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西厂界</w:t>
                  </w:r>
                </w:p>
              </w:tc>
              <w:tc>
                <w:tcPr>
                  <w:tcW w:w="658" w:type="pct"/>
                  <w:tcBorders>
                    <w:right w:val="single" w:color="auto" w:sz="4" w:space="0"/>
                  </w:tcBorders>
                  <w:noWrap w:val="0"/>
                  <w:vAlign w:val="center"/>
                </w:tcPr>
                <w:p>
                  <w:pPr>
                    <w:pStyle w:val="44"/>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二十三号村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64" w:type="pct"/>
                  <w:tcBorders>
                    <w:right w:val="single" w:color="auto" w:sz="4" w:space="0"/>
                  </w:tcBorders>
                  <w:noWrap w:val="0"/>
                  <w:vAlign w:val="center"/>
                </w:tcPr>
                <w:p>
                  <w:pPr>
                    <w:pStyle w:val="44"/>
                    <w:keepNext w:val="0"/>
                    <w:keepLines w:val="0"/>
                    <w:pageBreakBefore w:val="0"/>
                    <w:widowControl w:val="0"/>
                    <w:kinsoku/>
                    <w:wordWrap/>
                    <w:overflowPunct/>
                    <w:topLinePunct w:val="0"/>
                    <w:autoSpaceDE/>
                    <w:autoSpaceDN/>
                    <w:bidi w:val="0"/>
                    <w:adjustRightInd/>
                    <w:snapToGrid/>
                    <w:textAlignment w:val="auto"/>
                    <w:outlineLvl w:val="9"/>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距离</w:t>
                  </w:r>
                </w:p>
              </w:tc>
              <w:tc>
                <w:tcPr>
                  <w:tcW w:w="676" w:type="pct"/>
                  <w:tcBorders>
                    <w:left w:val="single" w:color="auto" w:sz="4" w:space="0"/>
                  </w:tcBorders>
                  <w:noWrap w:val="0"/>
                  <w:vAlign w:val="center"/>
                </w:tcPr>
                <w:p>
                  <w:pPr>
                    <w:pStyle w:val="44"/>
                    <w:keepNext w:val="0"/>
                    <w:keepLines w:val="0"/>
                    <w:pageBreakBefore w:val="0"/>
                    <w:widowControl w:val="0"/>
                    <w:kinsoku/>
                    <w:wordWrap/>
                    <w:overflowPunct/>
                    <w:topLinePunct w:val="0"/>
                    <w:autoSpaceDE/>
                    <w:autoSpaceDN/>
                    <w:bidi w:val="0"/>
                    <w:adjustRightInd/>
                    <w:snapToGrid/>
                    <w:textAlignment w:val="auto"/>
                    <w:outlineLvl w:val="9"/>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颗粒物</w:t>
                  </w:r>
                </w:p>
              </w:tc>
              <w:tc>
                <w:tcPr>
                  <w:tcW w:w="12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color w:val="000000"/>
                      <w:sz w:val="21"/>
                      <w:szCs w:val="21"/>
                      <w:lang w:val="en-US" w:eastAsia="zh-CN"/>
                    </w:rPr>
                    <w:t>66</w:t>
                  </w:r>
                </w:p>
              </w:tc>
              <w:tc>
                <w:tcPr>
                  <w:tcW w:w="12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color w:val="000000"/>
                      <w:sz w:val="21"/>
                      <w:szCs w:val="21"/>
                      <w:lang w:val="en-US" w:eastAsia="zh-CN"/>
                    </w:rPr>
                    <w:t>98</w:t>
                  </w:r>
                </w:p>
              </w:tc>
              <w:tc>
                <w:tcPr>
                  <w:tcW w:w="12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lang w:val="en-US" w:eastAsia="zh-CN"/>
                    </w:rPr>
                  </w:pPr>
                  <w:r>
                    <w:rPr>
                      <w:rFonts w:hint="eastAsia" w:ascii="Times New Roman" w:hAnsi="Times New Roman" w:eastAsia="宋体" w:cs="Times New Roman"/>
                      <w:color w:val="000000"/>
                      <w:sz w:val="21"/>
                      <w:szCs w:val="21"/>
                      <w:lang w:val="en-US" w:eastAsia="zh-CN"/>
                    </w:rPr>
                    <w:t>32</w:t>
                  </w:r>
                </w:p>
              </w:tc>
              <w:tc>
                <w:tcPr>
                  <w:tcW w:w="1112"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lang w:val="en-US" w:eastAsia="zh-CN"/>
                    </w:rPr>
                  </w:pPr>
                  <w:r>
                    <w:rPr>
                      <w:rFonts w:hint="eastAsia" w:ascii="Times New Roman" w:hAnsi="Times New Roman" w:eastAsia="宋体" w:cs="Times New Roman"/>
                      <w:color w:val="000000"/>
                      <w:sz w:val="21"/>
                      <w:szCs w:val="21"/>
                      <w:lang w:val="en-US" w:eastAsia="zh-CN"/>
                    </w:rPr>
                    <w:t>50</w:t>
                  </w:r>
                </w:p>
              </w:tc>
              <w:tc>
                <w:tcPr>
                  <w:tcW w:w="1115"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lang w:val="en-US" w:eastAsia="zh-CN"/>
                    </w:rPr>
                  </w:pPr>
                  <w:r>
                    <w:rPr>
                      <w:rFonts w:hint="eastAsia" w:ascii="Times New Roman" w:hAnsi="Times New Roman" w:eastAsia="宋体" w:cs="Times New Roman"/>
                      <w:color w:val="000000"/>
                      <w:sz w:val="21"/>
                      <w:szCs w:val="21"/>
                      <w:lang w:val="en-US" w:eastAsia="zh-CN"/>
                    </w:rPr>
                    <w:t>91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64" w:type="pct"/>
                  <w:tcBorders>
                    <w:right w:val="single" w:color="auto" w:sz="4" w:space="0"/>
                  </w:tcBorders>
                  <w:noWrap w:val="0"/>
                  <w:vAlign w:val="center"/>
                </w:tcPr>
                <w:p>
                  <w:pPr>
                    <w:pStyle w:val="2"/>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煤库</w:t>
                  </w:r>
                </w:p>
              </w:tc>
              <w:tc>
                <w:tcPr>
                  <w:tcW w:w="676" w:type="pct"/>
                  <w:tcBorders>
                    <w:left w:val="single" w:color="auto" w:sz="4" w:space="0"/>
                  </w:tcBorders>
                  <w:noWrap w:val="0"/>
                  <w:vAlign w:val="center"/>
                </w:tcPr>
                <w:p>
                  <w:pPr>
                    <w:spacing w:line="280" w:lineRule="exact"/>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lang w:val="en-US" w:eastAsia="zh-CN"/>
                    </w:rPr>
                    <w:t>颗粒物</w:t>
                  </w:r>
                </w:p>
              </w:tc>
              <w:tc>
                <w:tcPr>
                  <w:tcW w:w="12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color w:val="000000"/>
                      <w:sz w:val="21"/>
                      <w:szCs w:val="21"/>
                      <w:lang w:val="en-US" w:eastAsia="zh-CN"/>
                    </w:rPr>
                    <w:t>0.083861</w:t>
                  </w:r>
                </w:p>
              </w:tc>
              <w:tc>
                <w:tcPr>
                  <w:tcW w:w="12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color w:val="000000"/>
                      <w:sz w:val="21"/>
                      <w:szCs w:val="21"/>
                      <w:lang w:val="en-US" w:eastAsia="zh-CN"/>
                    </w:rPr>
                    <w:t>0.082235</w:t>
                  </w:r>
                </w:p>
              </w:tc>
              <w:tc>
                <w:tcPr>
                  <w:tcW w:w="12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lang w:val="en-US" w:eastAsia="zh-CN"/>
                    </w:rPr>
                  </w:pPr>
                  <w:r>
                    <w:rPr>
                      <w:rFonts w:hint="default" w:ascii="Times New Roman" w:hAnsi="Times New Roman" w:eastAsia="宋体" w:cs="Times New Roman"/>
                      <w:color w:val="000000"/>
                      <w:sz w:val="21"/>
                      <w:szCs w:val="21"/>
                      <w:lang w:val="en-US" w:eastAsia="zh-CN"/>
                    </w:rPr>
                    <w:t>0.067713</w:t>
                  </w:r>
                </w:p>
              </w:tc>
              <w:tc>
                <w:tcPr>
                  <w:tcW w:w="1112"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lang w:val="en-US" w:eastAsia="zh-CN"/>
                    </w:rPr>
                  </w:pPr>
                  <w:r>
                    <w:rPr>
                      <w:rFonts w:hint="default" w:ascii="Times New Roman" w:hAnsi="Times New Roman" w:eastAsia="宋体" w:cs="Times New Roman"/>
                      <w:color w:val="000000"/>
                      <w:sz w:val="21"/>
                      <w:szCs w:val="21"/>
                      <w:lang w:val="en-US" w:eastAsia="zh-CN"/>
                    </w:rPr>
                    <w:t>0.080754</w:t>
                  </w:r>
                </w:p>
              </w:tc>
              <w:tc>
                <w:tcPr>
                  <w:tcW w:w="1115"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lang w:val="en-US" w:eastAsia="zh-CN"/>
                    </w:rPr>
                  </w:pPr>
                  <w:r>
                    <w:rPr>
                      <w:rFonts w:hint="default" w:ascii="Times New Roman" w:hAnsi="Times New Roman" w:eastAsia="宋体" w:cs="Times New Roman"/>
                      <w:color w:val="000000"/>
                      <w:sz w:val="21"/>
                      <w:szCs w:val="21"/>
                      <w:lang w:val="en-US" w:eastAsia="zh-CN"/>
                    </w:rPr>
                    <w:t>0.082618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64" w:type="pct"/>
                  <w:tcBorders>
                    <w:right w:val="single" w:color="auto" w:sz="4" w:space="0"/>
                  </w:tcBorders>
                  <w:noWrap w:val="0"/>
                  <w:vAlign w:val="center"/>
                </w:tcPr>
                <w:p>
                  <w:pPr>
                    <w:pStyle w:val="2"/>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标准</w:t>
                  </w:r>
                  <w:r>
                    <w:rPr>
                      <w:rFonts w:hint="eastAsia" w:ascii="Times New Roman" w:hAnsi="Times New Roman" w:eastAsia="宋体" w:cs="Times New Roman"/>
                      <w:color w:val="auto"/>
                      <w:kern w:val="2"/>
                      <w:sz w:val="21"/>
                      <w:szCs w:val="21"/>
                      <w:lang w:val="en-US" w:eastAsia="zh-CN" w:bidi="ar-SA"/>
                    </w:rPr>
                    <w:t>值</w:t>
                  </w:r>
                </w:p>
              </w:tc>
              <w:tc>
                <w:tcPr>
                  <w:tcW w:w="676" w:type="pct"/>
                  <w:tcBorders>
                    <w:left w:val="single" w:color="auto" w:sz="4" w:space="0"/>
                  </w:tcBorders>
                  <w:noWrap w:val="0"/>
                  <w:vAlign w:val="center"/>
                </w:tcPr>
                <w:p>
                  <w:pPr>
                    <w:spacing w:line="280" w:lineRule="exact"/>
                    <w:jc w:val="center"/>
                    <w:rPr>
                      <w:rFonts w:hint="eastAsia" w:ascii="Times New Roman" w:cs="Times New Roman"/>
                      <w:color w:val="auto"/>
                      <w:kern w:val="2"/>
                      <w:sz w:val="21"/>
                      <w:szCs w:val="21"/>
                      <w:lang w:eastAsia="zh-CN"/>
                    </w:rPr>
                  </w:pPr>
                  <w:r>
                    <w:rPr>
                      <w:rFonts w:hint="eastAsia" w:ascii="Times New Roman" w:hAnsi="Times New Roman" w:cs="Times New Roman"/>
                      <w:color w:val="auto"/>
                      <w:lang w:val="en-US" w:eastAsia="zh-CN"/>
                    </w:rPr>
                    <w:t>颗粒物</w:t>
                  </w:r>
                </w:p>
              </w:tc>
              <w:tc>
                <w:tcPr>
                  <w:tcW w:w="12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i w:val="0"/>
                      <w:color w:val="auto"/>
                      <w:kern w:val="0"/>
                      <w:sz w:val="21"/>
                      <w:szCs w:val="21"/>
                      <w:u w:val="none"/>
                      <w:lang w:val="en-US" w:eastAsia="zh-CN" w:bidi="ar"/>
                    </w:rPr>
                  </w:pPr>
                  <w:r>
                    <w:rPr>
                      <w:rFonts w:hint="eastAsia" w:ascii="Times New Roman" w:hAnsi="Times New Roman" w:eastAsia="宋体" w:cs="Times New Roman"/>
                      <w:color w:val="000000"/>
                      <w:sz w:val="21"/>
                      <w:szCs w:val="21"/>
                      <w:lang w:val="en-US" w:eastAsia="zh-CN"/>
                    </w:rPr>
                    <w:t>1.0</w:t>
                  </w:r>
                </w:p>
              </w:tc>
              <w:tc>
                <w:tcPr>
                  <w:tcW w:w="12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i w:val="0"/>
                      <w:color w:val="auto"/>
                      <w:kern w:val="0"/>
                      <w:sz w:val="21"/>
                      <w:szCs w:val="21"/>
                      <w:u w:val="none"/>
                      <w:lang w:val="en-US" w:eastAsia="zh-CN" w:bidi="ar"/>
                    </w:rPr>
                  </w:pPr>
                  <w:r>
                    <w:rPr>
                      <w:rFonts w:hint="eastAsia" w:ascii="Times New Roman" w:hAnsi="Times New Roman" w:eastAsia="宋体" w:cs="Times New Roman"/>
                      <w:color w:val="000000"/>
                      <w:sz w:val="21"/>
                      <w:szCs w:val="21"/>
                      <w:lang w:val="en-US" w:eastAsia="zh-CN"/>
                    </w:rPr>
                    <w:t>1.0</w:t>
                  </w:r>
                </w:p>
              </w:tc>
              <w:tc>
                <w:tcPr>
                  <w:tcW w:w="12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i w:val="0"/>
                      <w:color w:val="auto"/>
                      <w:kern w:val="0"/>
                      <w:sz w:val="21"/>
                      <w:szCs w:val="21"/>
                      <w:u w:val="none"/>
                      <w:lang w:val="en-US" w:eastAsia="zh-CN" w:bidi="ar"/>
                    </w:rPr>
                  </w:pPr>
                  <w:r>
                    <w:rPr>
                      <w:rFonts w:hint="eastAsia" w:ascii="Times New Roman" w:hAnsi="Times New Roman" w:eastAsia="宋体" w:cs="Times New Roman"/>
                      <w:color w:val="000000"/>
                      <w:sz w:val="21"/>
                      <w:szCs w:val="21"/>
                      <w:lang w:val="en-US" w:eastAsia="zh-CN"/>
                    </w:rPr>
                    <w:t>1.0</w:t>
                  </w:r>
                </w:p>
              </w:tc>
              <w:tc>
                <w:tcPr>
                  <w:tcW w:w="1112"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i w:val="0"/>
                      <w:color w:val="auto"/>
                      <w:kern w:val="0"/>
                      <w:sz w:val="21"/>
                      <w:szCs w:val="21"/>
                      <w:u w:val="none"/>
                      <w:lang w:val="en-US" w:eastAsia="zh-CN" w:bidi="ar"/>
                    </w:rPr>
                  </w:pPr>
                  <w:r>
                    <w:rPr>
                      <w:rFonts w:hint="eastAsia" w:ascii="Times New Roman" w:hAnsi="Times New Roman" w:eastAsia="宋体" w:cs="Times New Roman"/>
                      <w:color w:val="000000"/>
                      <w:sz w:val="21"/>
                      <w:szCs w:val="21"/>
                      <w:lang w:val="en-US" w:eastAsia="zh-CN"/>
                    </w:rPr>
                    <w:t>1.0</w:t>
                  </w:r>
                </w:p>
              </w:tc>
              <w:tc>
                <w:tcPr>
                  <w:tcW w:w="1120"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000000"/>
                      <w:sz w:val="21"/>
                      <w:szCs w:val="21"/>
                      <w:lang w:val="en-US" w:eastAsia="zh-CN"/>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64" w:type="pct"/>
                  <w:tcBorders>
                    <w:right w:val="single" w:color="auto" w:sz="4" w:space="0"/>
                  </w:tcBorders>
                  <w:noWrap w:val="0"/>
                  <w:vAlign w:val="center"/>
                </w:tcPr>
                <w:p>
                  <w:pPr>
                    <w:pStyle w:val="2"/>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达标情况</w:t>
                  </w:r>
                </w:p>
              </w:tc>
              <w:tc>
                <w:tcPr>
                  <w:tcW w:w="676" w:type="pct"/>
                  <w:tcBorders>
                    <w:left w:val="single" w:color="auto" w:sz="4" w:space="0"/>
                  </w:tcBorders>
                  <w:noWrap w:val="0"/>
                  <w:vAlign w:val="center"/>
                </w:tcPr>
                <w:p>
                  <w:pPr>
                    <w:spacing w:line="280" w:lineRule="exact"/>
                    <w:jc w:val="center"/>
                    <w:rPr>
                      <w:rFonts w:hint="eastAsia" w:ascii="Times New Roman" w:cs="Times New Roman"/>
                      <w:color w:val="auto"/>
                      <w:kern w:val="2"/>
                      <w:sz w:val="21"/>
                      <w:szCs w:val="21"/>
                      <w:lang w:eastAsia="zh-CN"/>
                    </w:rPr>
                  </w:pPr>
                  <w:r>
                    <w:rPr>
                      <w:rFonts w:hint="eastAsia" w:ascii="Times New Roman" w:hAnsi="Times New Roman" w:cs="Times New Roman"/>
                      <w:color w:val="auto"/>
                      <w:lang w:val="en-US" w:eastAsia="zh-CN"/>
                    </w:rPr>
                    <w:t>颗粒物</w:t>
                  </w:r>
                </w:p>
              </w:tc>
              <w:tc>
                <w:tcPr>
                  <w:tcW w:w="12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i w:val="0"/>
                      <w:color w:val="auto"/>
                      <w:kern w:val="0"/>
                      <w:sz w:val="21"/>
                      <w:szCs w:val="21"/>
                      <w:u w:val="none"/>
                      <w:lang w:val="en-US" w:eastAsia="zh-CN" w:bidi="ar"/>
                    </w:rPr>
                  </w:pPr>
                  <w:r>
                    <w:rPr>
                      <w:rFonts w:hint="eastAsia" w:ascii="Times New Roman" w:hAnsi="Times New Roman" w:eastAsia="宋体" w:cs="Times New Roman"/>
                      <w:color w:val="000000"/>
                      <w:sz w:val="21"/>
                      <w:szCs w:val="21"/>
                      <w:lang w:val="en-US" w:eastAsia="zh-CN"/>
                    </w:rPr>
                    <w:t>达标</w:t>
                  </w:r>
                </w:p>
              </w:tc>
              <w:tc>
                <w:tcPr>
                  <w:tcW w:w="12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i w:val="0"/>
                      <w:color w:val="auto"/>
                      <w:kern w:val="0"/>
                      <w:sz w:val="21"/>
                      <w:szCs w:val="21"/>
                      <w:u w:val="none"/>
                      <w:lang w:val="en-US" w:eastAsia="zh-CN" w:bidi="ar"/>
                    </w:rPr>
                  </w:pPr>
                  <w:r>
                    <w:rPr>
                      <w:rFonts w:hint="eastAsia" w:ascii="Times New Roman" w:hAnsi="Times New Roman" w:eastAsia="宋体" w:cs="Times New Roman"/>
                      <w:color w:val="000000"/>
                      <w:sz w:val="21"/>
                      <w:szCs w:val="21"/>
                      <w:lang w:val="en-US" w:eastAsia="zh-CN"/>
                    </w:rPr>
                    <w:t>达标</w:t>
                  </w:r>
                </w:p>
              </w:tc>
              <w:tc>
                <w:tcPr>
                  <w:tcW w:w="12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i w:val="0"/>
                      <w:color w:val="auto"/>
                      <w:kern w:val="0"/>
                      <w:sz w:val="21"/>
                      <w:szCs w:val="21"/>
                      <w:u w:val="none"/>
                      <w:lang w:val="en-US" w:eastAsia="zh-CN" w:bidi="ar"/>
                    </w:rPr>
                  </w:pPr>
                  <w:r>
                    <w:rPr>
                      <w:rFonts w:hint="eastAsia" w:ascii="Times New Roman" w:hAnsi="Times New Roman" w:eastAsia="宋体" w:cs="Times New Roman"/>
                      <w:color w:val="000000"/>
                      <w:sz w:val="21"/>
                      <w:szCs w:val="21"/>
                      <w:lang w:val="en-US" w:eastAsia="zh-CN"/>
                    </w:rPr>
                    <w:t>达标</w:t>
                  </w:r>
                </w:p>
              </w:tc>
              <w:tc>
                <w:tcPr>
                  <w:tcW w:w="1112"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i w:val="0"/>
                      <w:color w:val="auto"/>
                      <w:kern w:val="0"/>
                      <w:sz w:val="21"/>
                      <w:szCs w:val="21"/>
                      <w:u w:val="none"/>
                      <w:lang w:val="en-US" w:eastAsia="zh-CN" w:bidi="ar"/>
                    </w:rPr>
                  </w:pPr>
                  <w:r>
                    <w:rPr>
                      <w:rFonts w:hint="eastAsia" w:ascii="Times New Roman" w:hAnsi="Times New Roman" w:eastAsia="宋体" w:cs="Times New Roman"/>
                      <w:color w:val="000000"/>
                      <w:sz w:val="21"/>
                      <w:szCs w:val="21"/>
                      <w:lang w:val="en-US" w:eastAsia="zh-CN"/>
                    </w:rPr>
                    <w:t>达标</w:t>
                  </w:r>
                </w:p>
              </w:tc>
              <w:tc>
                <w:tcPr>
                  <w:tcW w:w="1120"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eastAsia="宋体" w:cs="Times New Roman"/>
                      <w:color w:val="000000"/>
                      <w:sz w:val="21"/>
                      <w:szCs w:val="21"/>
                      <w:lang w:val="en-US" w:eastAsia="zh-CN"/>
                    </w:rPr>
                    <w:t>达标</w:t>
                  </w:r>
                </w:p>
              </w:tc>
            </w:tr>
          </w:tbl>
          <w:p>
            <w:pPr>
              <w:snapToGrid w:val="0"/>
              <w:spacing w:line="360" w:lineRule="auto"/>
              <w:ind w:firstLine="492" w:firstLineChars="200"/>
              <w:rPr>
                <w:rFonts w:hint="eastAsia" w:ascii="Times New Roman" w:hAnsi="Times New Roman" w:cs="Times New Roman"/>
                <w:color w:val="auto"/>
                <w:spacing w:val="3"/>
                <w:sz w:val="24"/>
                <w:lang w:val="en-US" w:eastAsia="zh-CN"/>
              </w:rPr>
            </w:pPr>
          </w:p>
          <w:p>
            <w:pPr>
              <w:snapToGrid w:val="0"/>
              <w:spacing w:line="360" w:lineRule="auto"/>
              <w:ind w:firstLine="492" w:firstLineChars="200"/>
              <w:rPr>
                <w:rFonts w:ascii="Times New Roman" w:hAnsi="Times New Roman" w:cs="Times New Roman"/>
                <w:b/>
                <w:bCs/>
                <w:color w:val="auto"/>
                <w:sz w:val="24"/>
              </w:rPr>
            </w:pPr>
            <w:r>
              <w:rPr>
                <w:rFonts w:hint="eastAsia" w:ascii="Times New Roman" w:hAnsi="Times New Roman" w:cs="Times New Roman"/>
                <w:color w:val="auto"/>
                <w:spacing w:val="3"/>
                <w:sz w:val="24"/>
                <w:lang w:val="en-US" w:eastAsia="zh-CN"/>
              </w:rPr>
              <w:t>综上所述，建设单位采取上述措施后，</w:t>
            </w:r>
            <w:r>
              <w:rPr>
                <w:rFonts w:ascii="Times New Roman" w:hAnsi="Times New Roman" w:cs="Times New Roman"/>
                <w:color w:val="auto"/>
                <w:sz w:val="24"/>
                <w:highlight w:val="none"/>
              </w:rPr>
              <w:t>厂界</w:t>
            </w:r>
            <w:r>
              <w:rPr>
                <w:rFonts w:hint="eastAsia" w:ascii="Times New Roman" w:hAnsi="Times New Roman" w:cs="Times New Roman"/>
                <w:color w:val="auto"/>
                <w:sz w:val="24"/>
                <w:szCs w:val="24"/>
                <w:lang w:val="en-US" w:eastAsia="zh-CN"/>
              </w:rPr>
              <w:t>无组织排放</w:t>
            </w:r>
            <w:r>
              <w:rPr>
                <w:rFonts w:ascii="Times New Roman" w:hAnsi="Times New Roman" w:cs="Times New Roman"/>
                <w:color w:val="auto"/>
                <w:sz w:val="24"/>
                <w:highlight w:val="none"/>
              </w:rPr>
              <w:t>颗粒物</w:t>
            </w:r>
            <w:r>
              <w:rPr>
                <w:rFonts w:hint="eastAsia" w:ascii="Times New Roman" w:hAnsi="Times New Roman" w:cs="Times New Roman"/>
                <w:color w:val="auto"/>
                <w:sz w:val="24"/>
                <w:highlight w:val="none"/>
                <w:lang w:val="en-US" w:eastAsia="zh-CN"/>
              </w:rPr>
              <w:t>可</w:t>
            </w:r>
            <w:r>
              <w:rPr>
                <w:rFonts w:ascii="Times New Roman" w:hAnsi="Times New Roman" w:cs="Times New Roman"/>
                <w:color w:val="auto"/>
                <w:sz w:val="24"/>
                <w:highlight w:val="none"/>
              </w:rPr>
              <w:t>满足</w:t>
            </w:r>
            <w:r>
              <w:rPr>
                <w:rFonts w:hint="default" w:ascii="Times New Roman" w:hAnsi="Times New Roman" w:eastAsia="宋体" w:cs="Times New Roman"/>
                <w:color w:val="auto"/>
                <w:sz w:val="24"/>
                <w:szCs w:val="24"/>
                <w:lang w:val="en-US" w:eastAsia="zh-CN"/>
              </w:rPr>
              <w:t>《大气污染物综合排放标准》（GB16297-1996）表2无组织排放监控浓度限值</w:t>
            </w:r>
            <w:r>
              <w:rPr>
                <w:rFonts w:ascii="Times New Roman" w:hAnsi="Times New Roman" w:cs="Times New Roman"/>
                <w:color w:val="auto"/>
                <w:sz w:val="24"/>
                <w:highlight w:val="none"/>
              </w:rPr>
              <w:t>。</w:t>
            </w:r>
          </w:p>
          <w:p>
            <w:pPr>
              <w:snapToGrid w:val="0"/>
              <w:spacing w:line="360" w:lineRule="auto"/>
              <w:ind w:firstLine="482" w:firstLineChars="200"/>
              <w:rPr>
                <w:rFonts w:ascii="Times New Roman" w:hAnsi="Times New Roman" w:cs="Times New Roman"/>
                <w:b/>
                <w:bCs/>
                <w:color w:val="auto"/>
                <w:sz w:val="24"/>
              </w:rPr>
            </w:pPr>
            <w:r>
              <w:rPr>
                <w:rFonts w:ascii="Times New Roman" w:hAnsi="Times New Roman" w:cs="Times New Roman"/>
                <w:b/>
                <w:bCs/>
                <w:color w:val="auto"/>
                <w:sz w:val="24"/>
              </w:rPr>
              <w:t>（</w:t>
            </w:r>
            <w:r>
              <w:rPr>
                <w:rFonts w:hint="eastAsia" w:ascii="Times New Roman" w:hAnsi="Times New Roman" w:cs="Times New Roman"/>
                <w:b/>
                <w:bCs/>
                <w:color w:val="auto"/>
                <w:sz w:val="24"/>
                <w:lang w:val="en-US" w:eastAsia="zh-CN"/>
              </w:rPr>
              <w:t>7</w:t>
            </w:r>
            <w:r>
              <w:rPr>
                <w:rFonts w:ascii="Times New Roman" w:hAnsi="Times New Roman" w:cs="Times New Roman"/>
                <w:b/>
                <w:bCs/>
                <w:color w:val="auto"/>
                <w:sz w:val="24"/>
              </w:rPr>
              <w:t>）大气环境影响评价结论</w:t>
            </w:r>
          </w:p>
          <w:p>
            <w:pPr>
              <w:pStyle w:val="16"/>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olor w:val="auto"/>
                <w:highlight w:val="yellow"/>
              </w:rPr>
            </w:pPr>
            <w:r>
              <w:rPr>
                <w:rFonts w:ascii="Times New Roman" w:hAnsi="Times New Roman" w:cs="Times New Roman"/>
                <w:color w:val="auto"/>
                <w:sz w:val="24"/>
              </w:rPr>
              <w:t>项目所在区域为达标区，</w:t>
            </w:r>
            <w:r>
              <w:rPr>
                <w:rFonts w:ascii="Times New Roman" w:hAnsi="Times New Roman" w:cs="Times New Roman"/>
                <w:bCs/>
                <w:color w:val="auto"/>
                <w:sz w:val="24"/>
              </w:rPr>
              <w:t>项目所在厂区</w:t>
            </w:r>
            <w:r>
              <w:rPr>
                <w:rFonts w:ascii="Times New Roman" w:hAnsi="Times New Roman" w:cs="Times New Roman"/>
                <w:color w:val="auto"/>
                <w:sz w:val="24"/>
              </w:rPr>
              <w:t>周边500m范围内的大气环境保护目标详见表3-</w:t>
            </w:r>
            <w:r>
              <w:rPr>
                <w:rFonts w:hint="eastAsia" w:ascii="Times New Roman" w:hAnsi="Times New Roman" w:cs="Times New Roman"/>
                <w:color w:val="auto"/>
                <w:sz w:val="24"/>
                <w:lang w:val="en-US" w:eastAsia="zh-CN"/>
              </w:rPr>
              <w:t>7</w:t>
            </w:r>
            <w:r>
              <w:rPr>
                <w:rFonts w:ascii="Times New Roman" w:hAnsi="Times New Roman" w:cs="Times New Roman"/>
                <w:color w:val="auto"/>
                <w:sz w:val="24"/>
              </w:rPr>
              <w:t>。</w:t>
            </w:r>
            <w:r>
              <w:rPr>
                <w:rFonts w:hint="eastAsia" w:ascii="Times New Roman" w:hAnsi="Times New Roman" w:eastAsia="宋体" w:cs="Times New Roman"/>
                <w:color w:val="auto"/>
                <w:sz w:val="24"/>
                <w:lang w:val="en-US" w:eastAsia="zh-CN"/>
              </w:rPr>
              <w:t>本项目</w:t>
            </w:r>
            <w:r>
              <w:rPr>
                <w:rFonts w:hint="eastAsia" w:ascii="Times New Roman" w:hAnsi="Times New Roman" w:cs="Times New Roman"/>
                <w:color w:val="auto"/>
                <w:sz w:val="24"/>
                <w:lang w:val="en-US" w:eastAsia="zh-CN"/>
              </w:rPr>
              <w:t>燃煤锅炉产生的废气经</w:t>
            </w:r>
            <w:r>
              <w:rPr>
                <w:rFonts w:hint="default" w:ascii="Times New Roman" w:hAnsi="Times New Roman" w:eastAsia="宋体" w:cs="Times New Roman"/>
                <w:color w:val="auto"/>
                <w:sz w:val="24"/>
                <w:szCs w:val="24"/>
                <w:highlight w:val="none"/>
                <w:lang w:val="en-US" w:eastAsia="zh-CN"/>
              </w:rPr>
              <w:t>炉内脱硫、SNCR炉内脱硝系统+SCR炉外脱硝系统＋湿法脱硫系统+布袋除尘器对锅炉烟气进行治理，治理后经一根80m高烟囱排放</w:t>
            </w:r>
            <w:r>
              <w:rPr>
                <w:rFonts w:hint="eastAsia" w:ascii="Times New Roman" w:hAnsi="Times New Roman" w:eastAsia="宋体" w:cs="Times New Roman"/>
                <w:color w:val="auto"/>
                <w:sz w:val="24"/>
                <w:szCs w:val="24"/>
                <w:highlight w:val="none"/>
                <w:lang w:val="en-US" w:eastAsia="zh-CN"/>
              </w:rPr>
              <w:t>，各污染物满足</w:t>
            </w:r>
            <w:r>
              <w:rPr>
                <w:rFonts w:hint="default" w:ascii="Times New Roman" w:hAnsi="Times New Roman" w:eastAsia="宋体" w:cs="Times New Roman"/>
                <w:color w:val="auto"/>
                <w:sz w:val="24"/>
                <w:szCs w:val="24"/>
                <w:lang w:val="en-US" w:eastAsia="zh-CN"/>
              </w:rPr>
              <w:t>《锅炉大气污染物排放标准》（</w:t>
            </w:r>
            <w:r>
              <w:rPr>
                <w:rFonts w:hint="eastAsia" w:cs="Times New Roman"/>
                <w:color w:val="auto"/>
                <w:sz w:val="24"/>
                <w:szCs w:val="24"/>
                <w:lang w:val="en-US" w:eastAsia="zh-CN"/>
              </w:rPr>
              <w:t>D</w:t>
            </w:r>
            <w:r>
              <w:rPr>
                <w:rFonts w:hint="eastAsia" w:ascii="Times New Roman" w:hAnsi="Times New Roman" w:eastAsia="宋体" w:cs="Times New Roman"/>
                <w:color w:val="auto"/>
                <w:sz w:val="24"/>
                <w:szCs w:val="24"/>
                <w:lang w:val="en-US" w:eastAsia="zh-CN"/>
              </w:rPr>
              <w:t>B13/5161-2020</w:t>
            </w:r>
            <w:r>
              <w:rPr>
                <w:rFonts w:hint="default" w:ascii="Times New Roman" w:hAnsi="Times New Roman" w:eastAsia="宋体" w:cs="Times New Roman"/>
                <w:color w:val="auto"/>
                <w:sz w:val="24"/>
                <w:szCs w:val="24"/>
                <w:lang w:val="en-US" w:eastAsia="zh-CN"/>
              </w:rPr>
              <w:t>）中表</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中限值</w:t>
            </w:r>
            <w:r>
              <w:rPr>
                <w:rFonts w:hint="eastAsia" w:ascii="Times New Roman" w:hAnsi="Times New Roman" w:eastAsia="宋体" w:cs="Times New Roman"/>
                <w:color w:val="auto"/>
                <w:sz w:val="24"/>
                <w:szCs w:val="24"/>
                <w:lang w:val="en-US" w:eastAsia="zh-CN"/>
              </w:rPr>
              <w:t>要求；</w:t>
            </w:r>
            <w:r>
              <w:rPr>
                <w:rFonts w:ascii="Times New Roman" w:hAnsi="Times New Roman"/>
                <w:color w:val="auto"/>
                <w:sz w:val="24"/>
                <w:szCs w:val="24"/>
              </w:rPr>
              <w:t>项目无组织排放的污染物经采取</w:t>
            </w:r>
            <w:r>
              <w:rPr>
                <w:rFonts w:hint="eastAsia" w:ascii="Times New Roman" w:hAnsi="Times New Roman"/>
                <w:color w:val="auto"/>
                <w:sz w:val="24"/>
                <w:szCs w:val="24"/>
              </w:rPr>
              <w:t>相应</w:t>
            </w:r>
            <w:r>
              <w:rPr>
                <w:rFonts w:ascii="Times New Roman" w:hAnsi="Times New Roman"/>
                <w:color w:val="auto"/>
                <w:sz w:val="24"/>
                <w:szCs w:val="24"/>
              </w:rPr>
              <w:t>措施治理后，</w:t>
            </w:r>
            <w:r>
              <w:rPr>
                <w:rFonts w:hint="default" w:ascii="Times New Roman" w:hAnsi="Times New Roman" w:cs="Times New Roman"/>
                <w:color w:val="auto"/>
                <w:sz w:val="24"/>
                <w:lang w:val="en-US" w:eastAsia="zh-CN"/>
              </w:rPr>
              <w:t>厂界颗粒物可</w:t>
            </w:r>
            <w:r>
              <w:rPr>
                <w:rFonts w:hint="default" w:ascii="Times New Roman" w:hAnsi="Times New Roman" w:cs="Times New Roman"/>
                <w:color w:val="auto"/>
                <w:sz w:val="24"/>
                <w:szCs w:val="24"/>
              </w:rPr>
              <w:t>满足</w:t>
            </w:r>
            <w:r>
              <w:rPr>
                <w:rFonts w:hint="default" w:ascii="Times New Roman" w:hAnsi="Times New Roman" w:eastAsia="宋体" w:cs="Times New Roman"/>
                <w:color w:val="auto"/>
                <w:sz w:val="24"/>
                <w:szCs w:val="24"/>
                <w:lang w:val="en-US" w:eastAsia="zh-CN"/>
              </w:rPr>
              <w:t>《大气污染物综合排放标准》（GB16297-1996）表2无组织排放监控浓度限值</w:t>
            </w:r>
            <w:r>
              <w:rPr>
                <w:rFonts w:ascii="Times New Roman" w:hAnsi="Times New Roman" w:cs="Times New Roman"/>
                <w:color w:val="auto"/>
                <w:sz w:val="24"/>
              </w:rPr>
              <w:t>。</w:t>
            </w:r>
          </w:p>
          <w:p>
            <w:pPr>
              <w:pStyle w:val="16"/>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b/>
                <w:color w:val="auto"/>
                <w:kern w:val="2"/>
                <w:highlight w:val="none"/>
                <w:lang w:val="en-US" w:eastAsia="zh-CN"/>
              </w:rPr>
            </w:pPr>
            <w:r>
              <w:rPr>
                <w:rFonts w:hint="default" w:ascii="Times New Roman" w:hAnsi="Times New Roman"/>
                <w:b/>
                <w:color w:val="auto"/>
                <w:kern w:val="2"/>
                <w:highlight w:val="none"/>
              </w:rPr>
              <w:t>2、</w:t>
            </w:r>
            <w:r>
              <w:rPr>
                <w:rFonts w:hint="eastAsia" w:ascii="Times New Roman" w:hAnsi="Times New Roman"/>
                <w:b/>
                <w:color w:val="auto"/>
                <w:kern w:val="2"/>
                <w:highlight w:val="none"/>
                <w:lang w:val="en-US" w:eastAsia="zh-CN"/>
              </w:rPr>
              <w:t>水环境影响和保护措施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（1）废水产生情况</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本项目废水主要是生产废水和生活污水。</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生产废水主要是软水站树脂交换器反冲洗水、锅炉定期排水、供暖期末锅炉停止运行后的间接循环水、锅炉清洗水。其中，软化废水产生量为18</w:t>
            </w:r>
            <w:r>
              <w:rPr>
                <w:rFonts w:hint="default" w:ascii="Times New Roman" w:hAnsi="Times New Roman" w:eastAsia="宋体" w:cs="Times New Roman"/>
                <w:color w:val="auto"/>
                <w:sz w:val="24"/>
                <w:szCs w:val="24"/>
                <w:highlight w:val="none"/>
                <w:lang w:val="zh-CN" w:eastAsia="zh-CN"/>
              </w:rPr>
              <w:t>m</w:t>
            </w:r>
            <w:r>
              <w:rPr>
                <w:rFonts w:hint="default" w:ascii="Times New Roman" w:hAnsi="Times New Roman" w:eastAsia="宋体" w:cs="Times New Roman"/>
                <w:color w:val="auto"/>
                <w:sz w:val="24"/>
                <w:szCs w:val="24"/>
                <w:highlight w:val="none"/>
                <w:vertAlign w:val="superscript"/>
                <w:lang w:val="zh-CN" w:eastAsia="zh-CN"/>
              </w:rPr>
              <w:t>3</w:t>
            </w:r>
            <w:r>
              <w:rPr>
                <w:rFonts w:hint="default" w:ascii="Times New Roman" w:hAnsi="Times New Roman" w:eastAsia="宋体" w:cs="Times New Roman"/>
                <w:color w:val="auto"/>
                <w:sz w:val="24"/>
                <w:szCs w:val="24"/>
                <w:highlight w:val="none"/>
                <w:lang w:val="en-US" w:eastAsia="zh-CN"/>
              </w:rPr>
              <w:t>/d，作为脱硫系统用水，不外排。锅炉定期排水占锅炉补水的5%，为8.31m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/d，作为脱硫系统用水，不外排。供暖结束后，间接循环冷却水需排放，年产生量为40</w:t>
            </w:r>
            <w:r>
              <w:rPr>
                <w:rFonts w:hint="default" w:ascii="Times New Roman" w:hAnsi="Times New Roman" w:eastAsia="宋体" w:cs="Times New Roman"/>
                <w:color w:val="auto"/>
                <w:sz w:val="24"/>
                <w:szCs w:val="24"/>
                <w:highlight w:val="none"/>
                <w:lang w:val="zh-CN" w:eastAsia="zh-CN"/>
              </w:rPr>
              <w:t>m</w:t>
            </w:r>
            <w:r>
              <w:rPr>
                <w:rFonts w:hint="default" w:ascii="Times New Roman" w:hAnsi="Times New Roman" w:eastAsia="宋体" w:cs="Times New Roman"/>
                <w:color w:val="auto"/>
                <w:sz w:val="24"/>
                <w:szCs w:val="24"/>
                <w:highlight w:val="none"/>
                <w:vertAlign w:val="superscript"/>
                <w:lang w:val="zh-CN" w:eastAsia="zh-CN"/>
              </w:rPr>
              <w:t>3</w:t>
            </w:r>
            <w:r>
              <w:rPr>
                <w:rFonts w:hint="default" w:ascii="Times New Roman" w:hAnsi="Times New Roman" w:eastAsia="宋体" w:cs="Times New Roman"/>
                <w:color w:val="auto"/>
                <w:sz w:val="24"/>
                <w:szCs w:val="24"/>
                <w:highlight w:val="none"/>
                <w:lang w:val="en-US" w:eastAsia="zh-CN"/>
              </w:rPr>
              <w:t>，暂存于集水池中，用于锅炉清洗水配制和夏季厂区绿化。</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生活污水主要为职工日常盥洗、洗浴、冲厕污水和食堂污水，食堂废水经油水分离器隔油后与其他生活污水一同排入化粪池，经污水管网排放至围场县污水处理厂处理。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本项目水污染物产生情况详见下表：</w:t>
            </w:r>
          </w:p>
          <w:p>
            <w:pPr>
              <w:snapToGrid w:val="0"/>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w:t>
            </w:r>
            <w:r>
              <w:rPr>
                <w:rFonts w:hint="eastAsia" w:ascii="Times New Roman" w:hAnsi="Times New Roman" w:cs="Times New Roman"/>
                <w:b/>
                <w:bCs/>
                <w:color w:val="auto"/>
                <w:sz w:val="21"/>
                <w:szCs w:val="21"/>
                <w:lang w:val="en-US" w:eastAsia="zh-CN"/>
              </w:rPr>
              <w:t>4-10</w:t>
            </w:r>
            <w:r>
              <w:rPr>
                <w:rFonts w:hint="default" w:ascii="Times New Roman" w:hAnsi="Times New Roman" w:cs="Times New Roman"/>
                <w:b/>
                <w:bCs/>
                <w:color w:val="auto"/>
                <w:sz w:val="21"/>
                <w:szCs w:val="21"/>
                <w:lang w:val="en-US" w:eastAsia="zh-CN"/>
              </w:rPr>
              <w:t xml:space="preserve">  废水类别、污染物及污染治理设施信息表</w:t>
            </w:r>
          </w:p>
          <w:tbl>
            <w:tblPr>
              <w:tblStyle w:val="2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01"/>
              <w:gridCol w:w="762"/>
              <w:gridCol w:w="790"/>
              <w:gridCol w:w="873"/>
              <w:gridCol w:w="787"/>
              <w:gridCol w:w="948"/>
              <w:gridCol w:w="806"/>
              <w:gridCol w:w="863"/>
              <w:gridCol w:w="667"/>
              <w:gridCol w:w="728"/>
              <w:gridCol w:w="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78" w:type="pct"/>
                  <w:vMerge w:val="restar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450" w:type="pct"/>
                  <w:vMerge w:val="restar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废水类别</w:t>
                  </w:r>
                </w:p>
              </w:tc>
              <w:tc>
                <w:tcPr>
                  <w:tcW w:w="467" w:type="pct"/>
                  <w:vMerge w:val="restar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污染物种类</w:t>
                  </w:r>
                </w:p>
              </w:tc>
              <w:tc>
                <w:tcPr>
                  <w:tcW w:w="516" w:type="pct"/>
                  <w:vMerge w:val="restar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排放去向</w:t>
                  </w:r>
                </w:p>
              </w:tc>
              <w:tc>
                <w:tcPr>
                  <w:tcW w:w="465" w:type="pct"/>
                  <w:vMerge w:val="restar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排放规律</w:t>
                  </w:r>
                </w:p>
              </w:tc>
              <w:tc>
                <w:tcPr>
                  <w:tcW w:w="1546" w:type="pct"/>
                  <w:gridSpan w:val="3"/>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污染治理设施</w:t>
                  </w:r>
                </w:p>
              </w:tc>
              <w:tc>
                <w:tcPr>
                  <w:tcW w:w="394" w:type="pct"/>
                  <w:vMerge w:val="restar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排放口编号</w:t>
                  </w:r>
                </w:p>
              </w:tc>
              <w:tc>
                <w:tcPr>
                  <w:tcW w:w="430" w:type="pct"/>
                  <w:vMerge w:val="restar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排放口设置是否符合要求</w:t>
                  </w:r>
                </w:p>
              </w:tc>
              <w:tc>
                <w:tcPr>
                  <w:tcW w:w="548" w:type="pct"/>
                  <w:vMerge w:val="restar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78"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p>
              </w:tc>
              <w:tc>
                <w:tcPr>
                  <w:tcW w:w="450"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p>
              </w:tc>
              <w:tc>
                <w:tcPr>
                  <w:tcW w:w="467"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p>
              </w:tc>
              <w:tc>
                <w:tcPr>
                  <w:tcW w:w="516"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p>
              </w:tc>
              <w:tc>
                <w:tcPr>
                  <w:tcW w:w="465"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p>
              </w:tc>
              <w:tc>
                <w:tcPr>
                  <w:tcW w:w="560"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xml:space="preserve">污染治理设施编号 </w:t>
                  </w:r>
                </w:p>
              </w:tc>
              <w:tc>
                <w:tcPr>
                  <w:tcW w:w="476"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污染治理设施名称</w:t>
                  </w:r>
                </w:p>
              </w:tc>
              <w:tc>
                <w:tcPr>
                  <w:tcW w:w="509"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污染治理设施工艺</w:t>
                  </w:r>
                </w:p>
              </w:tc>
              <w:tc>
                <w:tcPr>
                  <w:tcW w:w="394"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p>
              </w:tc>
              <w:tc>
                <w:tcPr>
                  <w:tcW w:w="430"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p>
              </w:tc>
              <w:tc>
                <w:tcPr>
                  <w:tcW w:w="548"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78"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50"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生活污水</w:t>
                  </w:r>
                </w:p>
              </w:tc>
              <w:tc>
                <w:tcPr>
                  <w:tcW w:w="467"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COD、氨氮、SS、BOD</w:t>
                  </w:r>
                  <w:r>
                    <w:rPr>
                      <w:rFonts w:hint="default" w:ascii="Times New Roman" w:hAnsi="Times New Roman" w:cs="Times New Roman"/>
                      <w:color w:val="auto"/>
                      <w:sz w:val="21"/>
                      <w:szCs w:val="21"/>
                      <w:vertAlign w:val="subscript"/>
                      <w:lang w:val="en-US" w:eastAsia="zh-CN"/>
                    </w:rPr>
                    <w:t>5</w:t>
                  </w:r>
                  <w:r>
                    <w:rPr>
                      <w:rFonts w:hint="default" w:ascii="Times New Roman" w:hAnsi="Times New Roman" w:cs="Times New Roman"/>
                      <w:color w:val="auto"/>
                      <w:sz w:val="21"/>
                      <w:szCs w:val="21"/>
                      <w:lang w:val="en-US" w:eastAsia="zh-CN"/>
                    </w:rPr>
                    <w:t>、动植物油</w:t>
                  </w:r>
                </w:p>
              </w:tc>
              <w:tc>
                <w:tcPr>
                  <w:tcW w:w="516"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围场县污水处理厂</w:t>
                  </w:r>
                </w:p>
              </w:tc>
              <w:tc>
                <w:tcPr>
                  <w:tcW w:w="465"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间断排放，排放期间流量稳定</w:t>
                  </w:r>
                </w:p>
              </w:tc>
              <w:tc>
                <w:tcPr>
                  <w:tcW w:w="560"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476"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09"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94"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DW001</w:t>
                  </w:r>
                </w:p>
              </w:tc>
              <w:tc>
                <w:tcPr>
                  <w:tcW w:w="430"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c>
                <w:tcPr>
                  <w:tcW w:w="548"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企业总排口</w:t>
                  </w:r>
                </w:p>
              </w:tc>
            </w:tr>
          </w:tbl>
          <w:p>
            <w:pPr>
              <w:pStyle w:val="8"/>
              <w:spacing w:before="156" w:beforeLines="50" w:after="0" w:line="360" w:lineRule="auto"/>
              <w:ind w:firstLine="480" w:firstLineChars="200"/>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eastAsiaTheme="minorEastAsia"/>
                <w:color w:val="auto"/>
                <w:kern w:val="2"/>
                <w:sz w:val="24"/>
                <w:szCs w:val="24"/>
                <w:highlight w:val="none"/>
                <w:lang w:val="en-US" w:eastAsia="zh-CN" w:bidi="ar-SA"/>
              </w:rPr>
              <w:t>废水污染物排放执行标准见下表4-11：</w:t>
            </w:r>
          </w:p>
          <w:p>
            <w:pPr>
              <w:snapToGrid w:val="0"/>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w:t>
            </w:r>
            <w:r>
              <w:rPr>
                <w:rFonts w:hint="eastAsia" w:ascii="Times New Roman" w:hAnsi="Times New Roman" w:cs="Times New Roman"/>
                <w:b/>
                <w:bCs/>
                <w:color w:val="auto"/>
                <w:sz w:val="21"/>
                <w:szCs w:val="21"/>
                <w:lang w:val="en-US" w:eastAsia="zh-CN"/>
              </w:rPr>
              <w:t>4-11</w:t>
            </w:r>
            <w:r>
              <w:rPr>
                <w:rFonts w:hint="default" w:ascii="Times New Roman" w:hAnsi="Times New Roman" w:cs="Times New Roman"/>
                <w:b/>
                <w:bCs/>
                <w:color w:val="auto"/>
                <w:sz w:val="21"/>
                <w:szCs w:val="21"/>
                <w:lang w:val="en-US" w:eastAsia="zh-CN"/>
              </w:rPr>
              <w:t xml:space="preserve"> 废水污染物排放执行标准表</w:t>
            </w:r>
          </w:p>
          <w:tbl>
            <w:tblPr>
              <w:tblStyle w:val="2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85"/>
              <w:gridCol w:w="1099"/>
              <w:gridCol w:w="1225"/>
              <w:gridCol w:w="2950"/>
              <w:gridCol w:w="1399"/>
              <w:gridCol w:w="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64" w:type="pct"/>
                  <w:vMerge w:val="restar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650" w:type="pct"/>
                  <w:vMerge w:val="restar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排放口编号</w:t>
                  </w:r>
                </w:p>
              </w:tc>
              <w:tc>
                <w:tcPr>
                  <w:tcW w:w="724" w:type="pct"/>
                  <w:vMerge w:val="restar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污染物种类</w:t>
                  </w:r>
                </w:p>
              </w:tc>
              <w:tc>
                <w:tcPr>
                  <w:tcW w:w="3160" w:type="pct"/>
                  <w:gridSpan w:val="3"/>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国家或地方污染物排放标准及其他按规定商定的排放协议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64"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p>
              </w:tc>
              <w:tc>
                <w:tcPr>
                  <w:tcW w:w="650"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p>
              </w:tc>
              <w:tc>
                <w:tcPr>
                  <w:tcW w:w="724"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p>
              </w:tc>
              <w:tc>
                <w:tcPr>
                  <w:tcW w:w="1745"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1415" w:type="pct"/>
                  <w:gridSpan w:val="2"/>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64" w:type="pct"/>
                  <w:vMerge w:val="restar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50" w:type="pct"/>
                  <w:vMerge w:val="restar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DW001</w:t>
                  </w:r>
                </w:p>
              </w:tc>
              <w:tc>
                <w:tcPr>
                  <w:tcW w:w="724" w:type="pct"/>
                  <w:vMerge w:val="restar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cs="Times New Roman"/>
                      <w:color w:val="auto"/>
                      <w:sz w:val="21"/>
                      <w:szCs w:val="21"/>
                      <w:lang w:val="en-US" w:eastAsia="zh-CN"/>
                    </w:rPr>
                    <w:t>COD、氨氮、SS、BOD</w:t>
                  </w:r>
                  <w:r>
                    <w:rPr>
                      <w:rFonts w:hint="default" w:ascii="Times New Roman" w:hAnsi="Times New Roman" w:cs="Times New Roman"/>
                      <w:color w:val="auto"/>
                      <w:sz w:val="21"/>
                      <w:szCs w:val="21"/>
                      <w:vertAlign w:val="subscript"/>
                      <w:lang w:val="en-US" w:eastAsia="zh-CN"/>
                    </w:rPr>
                    <w:t>5</w:t>
                  </w:r>
                  <w:r>
                    <w:rPr>
                      <w:rFonts w:hint="default" w:ascii="Times New Roman" w:hAnsi="Times New Roman" w:cs="Times New Roman"/>
                      <w:color w:val="auto"/>
                      <w:sz w:val="21"/>
                      <w:szCs w:val="21"/>
                      <w:lang w:val="en-US" w:eastAsia="zh-CN"/>
                    </w:rPr>
                    <w:t>、动植物油</w:t>
                  </w:r>
                </w:p>
              </w:tc>
              <w:tc>
                <w:tcPr>
                  <w:tcW w:w="1745" w:type="pct"/>
                  <w:vMerge w:val="restar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《污水综合排放标准》（GB2978-1996）表4中三级标准</w:t>
                  </w:r>
                </w:p>
              </w:tc>
              <w:tc>
                <w:tcPr>
                  <w:tcW w:w="827"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pH</w:t>
                  </w:r>
                </w:p>
              </w:tc>
              <w:tc>
                <w:tcPr>
                  <w:tcW w:w="588"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64"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650"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724"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1745"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827" w:type="pct"/>
                  <w:noWrap w:val="0"/>
                  <w:vAlign w:val="center"/>
                </w:tcPr>
                <w:p>
                  <w:pPr>
                    <w:pStyle w:val="11"/>
                    <w:spacing w:line="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588" w:type="pct"/>
                  <w:noWrap w:val="0"/>
                  <w:vAlign w:val="center"/>
                </w:tcPr>
                <w:p>
                  <w:pPr>
                    <w:pStyle w:val="11"/>
                    <w:spacing w:line="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rPr>
                    <w:t>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64"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650"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724"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1745"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827" w:type="pct"/>
                  <w:noWrap w:val="0"/>
                  <w:vAlign w:val="center"/>
                </w:tcPr>
                <w:p>
                  <w:pPr>
                    <w:pStyle w:val="11"/>
                    <w:spacing w:line="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588" w:type="pct"/>
                  <w:noWrap w:val="0"/>
                  <w:vAlign w:val="center"/>
                </w:tcPr>
                <w:p>
                  <w:pPr>
                    <w:pStyle w:val="11"/>
                    <w:spacing w:line="0" w:lineRule="atLeas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64"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650"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724"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1745"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827" w:type="pct"/>
                  <w:noWrap w:val="0"/>
                  <w:vAlign w:val="center"/>
                </w:tcPr>
                <w:p>
                  <w:pPr>
                    <w:pStyle w:val="11"/>
                    <w:spacing w:line="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SS</w:t>
                  </w:r>
                </w:p>
              </w:tc>
              <w:tc>
                <w:tcPr>
                  <w:tcW w:w="588" w:type="pct"/>
                  <w:noWrap w:val="0"/>
                  <w:vAlign w:val="center"/>
                </w:tcPr>
                <w:p>
                  <w:pPr>
                    <w:pStyle w:val="11"/>
                    <w:spacing w:line="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40</w:t>
                  </w:r>
                  <w:r>
                    <w:rPr>
                      <w:rFonts w:hint="default" w:ascii="Times New Roman" w:hAnsi="Times New Roman" w:eastAsia="宋体" w:cs="Times New Roman"/>
                      <w:color w:val="auto"/>
                      <w:sz w:val="21"/>
                      <w:szCs w:val="21"/>
                    </w:rPr>
                    <w:t>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64"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650"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724"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1745"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827" w:type="pct"/>
                  <w:noWrap w:val="0"/>
                  <w:vAlign w:val="center"/>
                </w:tcPr>
                <w:p>
                  <w:pPr>
                    <w:pStyle w:val="11"/>
                    <w:spacing w:line="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动植物油</w:t>
                  </w:r>
                </w:p>
              </w:tc>
              <w:tc>
                <w:tcPr>
                  <w:tcW w:w="588" w:type="pct"/>
                  <w:noWrap w:val="0"/>
                  <w:vAlign w:val="center"/>
                </w:tcPr>
                <w:p>
                  <w:pPr>
                    <w:topLinePunct/>
                    <w:adjustRightIn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64"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650"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724"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1745"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827" w:type="pct"/>
                  <w:noWrap w:val="0"/>
                  <w:vAlign w:val="center"/>
                </w:tcPr>
                <w:p>
                  <w:pPr>
                    <w:pStyle w:val="11"/>
                    <w:spacing w:line="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588" w:type="pct"/>
                  <w:noWrap w:val="0"/>
                  <w:vAlign w:val="center"/>
                </w:tcPr>
                <w:p>
                  <w:pPr>
                    <w:topLinePunct/>
                    <w:adjustRightIn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64"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650"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724"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1745" w:type="pct"/>
                  <w:vMerge w:val="restar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围场县污水处理厂</w:t>
                  </w:r>
                  <w:r>
                    <w:rPr>
                      <w:rFonts w:hint="default" w:ascii="Times New Roman" w:hAnsi="Times New Roman" w:eastAsia="宋体" w:cs="Times New Roman"/>
                      <w:color w:val="auto"/>
                      <w:sz w:val="21"/>
                      <w:szCs w:val="21"/>
                    </w:rPr>
                    <w:t>进水水质指标</w:t>
                  </w:r>
                </w:p>
              </w:tc>
              <w:tc>
                <w:tcPr>
                  <w:tcW w:w="827"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pH</w:t>
                  </w:r>
                </w:p>
              </w:tc>
              <w:tc>
                <w:tcPr>
                  <w:tcW w:w="588" w:type="pct"/>
                  <w:noWrap w:val="0"/>
                  <w:vAlign w:val="center"/>
                </w:tcPr>
                <w:p>
                  <w:pPr>
                    <w:widowControl/>
                    <w:topLinePunct/>
                    <w:adjustRightInd w:val="0"/>
                    <w:spacing w:line="240" w:lineRule="auto"/>
                    <w:ind w:firstLine="0" w:firstLineChars="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cs="Times New Roman"/>
                      <w:b w:val="0"/>
                      <w:bCs/>
                      <w:color w:val="auto"/>
                      <w:sz w:val="21"/>
                      <w:szCs w:val="21"/>
                      <w:lang w:val="en-US" w:eastAsia="zh-CN"/>
                    </w:rPr>
                    <w:t>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64"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650"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724"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1745"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827" w:type="pct"/>
                  <w:noWrap w:val="0"/>
                  <w:vAlign w:val="center"/>
                </w:tcPr>
                <w:p>
                  <w:pPr>
                    <w:pStyle w:val="11"/>
                    <w:spacing w:line="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588" w:type="pct"/>
                  <w:noWrap w:val="0"/>
                  <w:vAlign w:val="center"/>
                </w:tcPr>
                <w:p>
                  <w:pPr>
                    <w:pStyle w:val="11"/>
                    <w:spacing w:line="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64"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650"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724"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1745"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827" w:type="pct"/>
                  <w:noWrap w:val="0"/>
                  <w:vAlign w:val="center"/>
                </w:tcPr>
                <w:p>
                  <w:pPr>
                    <w:pStyle w:val="11"/>
                    <w:spacing w:line="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588" w:type="pct"/>
                  <w:noWrap w:val="0"/>
                  <w:vAlign w:val="center"/>
                </w:tcPr>
                <w:p>
                  <w:pPr>
                    <w:pStyle w:val="11"/>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64"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650"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724"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1745"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827" w:type="pct"/>
                  <w:noWrap w:val="0"/>
                  <w:vAlign w:val="center"/>
                </w:tcPr>
                <w:p>
                  <w:pPr>
                    <w:pStyle w:val="11"/>
                    <w:spacing w:line="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588" w:type="pct"/>
                  <w:noWrap w:val="0"/>
                  <w:vAlign w:val="center"/>
                </w:tcPr>
                <w:p>
                  <w:pPr>
                    <w:topLinePunct/>
                    <w:adjustRightInd w:val="0"/>
                    <w:spacing w:line="240" w:lineRule="auto"/>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64"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650"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724"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1745"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827" w:type="pct"/>
                  <w:noWrap w:val="0"/>
                  <w:vAlign w:val="center"/>
                </w:tcPr>
                <w:p>
                  <w:pPr>
                    <w:pStyle w:val="11"/>
                    <w:spacing w:line="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动植物油</w:t>
                  </w:r>
                </w:p>
              </w:tc>
              <w:tc>
                <w:tcPr>
                  <w:tcW w:w="588" w:type="pct"/>
                  <w:noWrap w:val="0"/>
                  <w:vAlign w:val="center"/>
                </w:tcPr>
                <w:p>
                  <w:pPr>
                    <w:topLinePunct/>
                    <w:adjustRightInd w:val="0"/>
                    <w:spacing w:line="240" w:lineRule="auto"/>
                    <w:ind w:firstLine="0" w:firstLineChars="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64"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650"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724"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1745"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827" w:type="pct"/>
                  <w:noWrap w:val="0"/>
                  <w:vAlign w:val="center"/>
                </w:tcPr>
                <w:p>
                  <w:pPr>
                    <w:pStyle w:val="11"/>
                    <w:spacing w:line="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588" w:type="pct"/>
                  <w:noWrap w:val="0"/>
                  <w:vAlign w:val="center"/>
                </w:tcPr>
                <w:p>
                  <w:pPr>
                    <w:topLinePunct/>
                    <w:adjustRightIn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35</w:t>
                  </w:r>
                </w:p>
              </w:tc>
            </w:tr>
          </w:tbl>
          <w:p>
            <w:pPr>
              <w:pStyle w:val="8"/>
              <w:spacing w:before="156" w:beforeLines="50" w:after="0" w:line="360" w:lineRule="auto"/>
              <w:ind w:firstLine="480" w:firstLineChars="200"/>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eastAsiaTheme="minorEastAsia"/>
                <w:color w:val="auto"/>
                <w:kern w:val="2"/>
                <w:sz w:val="24"/>
                <w:szCs w:val="24"/>
                <w:highlight w:val="none"/>
                <w:lang w:val="en-US" w:eastAsia="zh-CN" w:bidi="ar-SA"/>
              </w:rPr>
              <w:t>新建项目废水污染物排放信息表见下表</w:t>
            </w:r>
            <w:r>
              <w:rPr>
                <w:rFonts w:hint="eastAsia" w:ascii="Times New Roman" w:hAnsi="Times New Roman" w:cs="Times New Roman"/>
                <w:color w:val="auto"/>
                <w:kern w:val="2"/>
                <w:sz w:val="24"/>
                <w:szCs w:val="24"/>
                <w:highlight w:val="none"/>
                <w:lang w:val="en-US" w:eastAsia="zh-CN" w:bidi="ar-SA"/>
              </w:rPr>
              <w:t>4-12</w:t>
            </w:r>
            <w:r>
              <w:rPr>
                <w:rFonts w:hint="default" w:ascii="Times New Roman" w:hAnsi="Times New Roman" w:cs="Times New Roman" w:eastAsiaTheme="minorEastAsia"/>
                <w:color w:val="auto"/>
                <w:kern w:val="2"/>
                <w:sz w:val="24"/>
                <w:szCs w:val="24"/>
                <w:highlight w:val="none"/>
                <w:lang w:val="en-US" w:eastAsia="zh-CN" w:bidi="ar-SA"/>
              </w:rPr>
              <w:t>：</w:t>
            </w:r>
          </w:p>
          <w:p>
            <w:pPr>
              <w:snapToGrid w:val="0"/>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w:t>
            </w:r>
            <w:r>
              <w:rPr>
                <w:rFonts w:hint="eastAsia" w:ascii="Times New Roman" w:hAnsi="Times New Roman" w:cs="Times New Roman"/>
                <w:b/>
                <w:bCs/>
                <w:color w:val="auto"/>
                <w:sz w:val="21"/>
                <w:szCs w:val="21"/>
                <w:lang w:val="en-US" w:eastAsia="zh-CN"/>
              </w:rPr>
              <w:t>4-12</w:t>
            </w:r>
            <w:r>
              <w:rPr>
                <w:rFonts w:hint="default" w:ascii="Times New Roman" w:hAnsi="Times New Roman" w:cs="Times New Roman"/>
                <w:b/>
                <w:bCs/>
                <w:color w:val="auto"/>
                <w:sz w:val="21"/>
                <w:szCs w:val="21"/>
                <w:lang w:val="en-US" w:eastAsia="zh-CN"/>
              </w:rPr>
              <w:t xml:space="preserve">  废水污染物排放信息表</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7"/>
              <w:gridCol w:w="1270"/>
              <w:gridCol w:w="1089"/>
              <w:gridCol w:w="1768"/>
              <w:gridCol w:w="1811"/>
              <w:gridCol w:w="1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8"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751"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排放口编号</w:t>
                  </w:r>
                </w:p>
              </w:tc>
              <w:tc>
                <w:tcPr>
                  <w:tcW w:w="644"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污染物种类</w:t>
                  </w:r>
                </w:p>
              </w:tc>
              <w:tc>
                <w:tcPr>
                  <w:tcW w:w="1045"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排放浓度/（mg/L）</w:t>
                  </w:r>
                </w:p>
              </w:tc>
              <w:tc>
                <w:tcPr>
                  <w:tcW w:w="1071"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日排放量/（</w:t>
                  </w:r>
                  <w:r>
                    <w:rPr>
                      <w:rFonts w:hint="default" w:ascii="Times New Roman" w:hAnsi="Times New Roman" w:cs="Times New Roman"/>
                      <w:b/>
                      <w:bCs/>
                      <w:color w:val="auto"/>
                      <w:sz w:val="21"/>
                      <w:szCs w:val="21"/>
                      <w:highlight w:val="none"/>
                      <w:lang w:val="en-US" w:eastAsia="zh-CN"/>
                    </w:rPr>
                    <w:t>kg</w:t>
                  </w:r>
                  <w:r>
                    <w:rPr>
                      <w:rFonts w:hint="default" w:ascii="Times New Roman" w:hAnsi="Times New Roman" w:eastAsia="宋体" w:cs="Times New Roman"/>
                      <w:b/>
                      <w:bCs/>
                      <w:color w:val="auto"/>
                      <w:sz w:val="21"/>
                      <w:szCs w:val="21"/>
                      <w:highlight w:val="none"/>
                    </w:rPr>
                    <w:t>/d）</w:t>
                  </w:r>
                </w:p>
              </w:tc>
              <w:tc>
                <w:tcPr>
                  <w:tcW w:w="1068"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8" w:type="pct"/>
                  <w:vMerge w:val="restar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751" w:type="pct"/>
                  <w:vMerge w:val="restar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DW001</w:t>
                  </w:r>
                </w:p>
              </w:tc>
              <w:tc>
                <w:tcPr>
                  <w:tcW w:w="1179" w:type="dxa"/>
                  <w:noWrap w:val="0"/>
                  <w:vAlign w:val="center"/>
                </w:tcPr>
                <w:p>
                  <w:pPr>
                    <w:snapToGrid w:val="0"/>
                    <w:spacing w:line="29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COD</w:t>
                  </w:r>
                </w:p>
              </w:tc>
              <w:tc>
                <w:tcPr>
                  <w:tcW w:w="1045"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300</w:t>
                  </w:r>
                </w:p>
              </w:tc>
              <w:tc>
                <w:tcPr>
                  <w:tcW w:w="1071"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0.96</w:t>
                  </w:r>
                </w:p>
              </w:tc>
              <w:tc>
                <w:tcPr>
                  <w:tcW w:w="1068"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8"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highlight w:val="none"/>
                    </w:rPr>
                  </w:pPr>
                </w:p>
              </w:tc>
              <w:tc>
                <w:tcPr>
                  <w:tcW w:w="751"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1179" w:type="dxa"/>
                  <w:noWrap w:val="0"/>
                  <w:vAlign w:val="center"/>
                </w:tcPr>
                <w:p>
                  <w:pPr>
                    <w:snapToGrid w:val="0"/>
                    <w:spacing w:line="29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氨氮</w:t>
                  </w:r>
                </w:p>
              </w:tc>
              <w:tc>
                <w:tcPr>
                  <w:tcW w:w="1045"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w:t>
                  </w:r>
                </w:p>
              </w:tc>
              <w:tc>
                <w:tcPr>
                  <w:tcW w:w="1071"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0.096</w:t>
                  </w:r>
                </w:p>
              </w:tc>
              <w:tc>
                <w:tcPr>
                  <w:tcW w:w="1068"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8"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highlight w:val="none"/>
                    </w:rPr>
                  </w:pPr>
                </w:p>
              </w:tc>
              <w:tc>
                <w:tcPr>
                  <w:tcW w:w="751"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1179" w:type="dxa"/>
                  <w:noWrap w:val="0"/>
                  <w:vAlign w:val="center"/>
                </w:tcPr>
                <w:p>
                  <w:pPr>
                    <w:snapToGrid w:val="0"/>
                    <w:spacing w:line="29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SS</w:t>
                  </w:r>
                </w:p>
              </w:tc>
              <w:tc>
                <w:tcPr>
                  <w:tcW w:w="1045" w:type="pct"/>
                  <w:noWrap w:val="0"/>
                  <w:vAlign w:val="center"/>
                </w:tcPr>
                <w:p>
                  <w:pPr>
                    <w:topLinePunct/>
                    <w:adjustRightInd w:val="0"/>
                    <w:spacing w:line="3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180</w:t>
                  </w:r>
                </w:p>
              </w:tc>
              <w:tc>
                <w:tcPr>
                  <w:tcW w:w="1071" w:type="pct"/>
                  <w:noWrap w:val="0"/>
                  <w:vAlign w:val="center"/>
                </w:tcPr>
                <w:p>
                  <w:pPr>
                    <w:topLinePunct/>
                    <w:adjustRightInd w:val="0"/>
                    <w:spacing w:line="3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0.55</w:t>
                  </w:r>
                </w:p>
              </w:tc>
              <w:tc>
                <w:tcPr>
                  <w:tcW w:w="1068" w:type="pct"/>
                  <w:noWrap w:val="0"/>
                  <w:vAlign w:val="center"/>
                </w:tcPr>
                <w:p>
                  <w:pPr>
                    <w:topLinePunct/>
                    <w:adjustRightInd w:val="0"/>
                    <w:spacing w:line="3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8"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highlight w:val="none"/>
                    </w:rPr>
                  </w:pPr>
                </w:p>
              </w:tc>
              <w:tc>
                <w:tcPr>
                  <w:tcW w:w="751"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1179" w:type="dxa"/>
                  <w:noWrap w:val="0"/>
                  <w:vAlign w:val="center"/>
                </w:tcPr>
                <w:p>
                  <w:pPr>
                    <w:snapToGrid w:val="0"/>
                    <w:spacing w:line="29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BOD</w:t>
                  </w:r>
                  <w:r>
                    <w:rPr>
                      <w:rFonts w:hint="default" w:ascii="Times New Roman" w:hAnsi="Times New Roman" w:cs="Times New Roman" w:eastAsiaTheme="minorEastAsia"/>
                      <w:color w:val="auto"/>
                      <w:sz w:val="21"/>
                      <w:szCs w:val="21"/>
                      <w:highlight w:val="none"/>
                      <w:vertAlign w:val="subscript"/>
                      <w:lang w:val="en-US" w:eastAsia="zh-CN"/>
                    </w:rPr>
                    <w:t>5</w:t>
                  </w:r>
                </w:p>
              </w:tc>
              <w:tc>
                <w:tcPr>
                  <w:tcW w:w="1045" w:type="pct"/>
                  <w:noWrap w:val="0"/>
                  <w:vAlign w:val="center"/>
                </w:tcPr>
                <w:p>
                  <w:pPr>
                    <w:topLinePunct/>
                    <w:adjustRightInd w:val="0"/>
                    <w:spacing w:line="3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150</w:t>
                  </w:r>
                </w:p>
              </w:tc>
              <w:tc>
                <w:tcPr>
                  <w:tcW w:w="1071" w:type="pct"/>
                  <w:noWrap w:val="0"/>
                  <w:vAlign w:val="center"/>
                </w:tcPr>
                <w:p>
                  <w:pPr>
                    <w:topLinePunct/>
                    <w:adjustRightInd w:val="0"/>
                    <w:spacing w:line="3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0.48</w:t>
                  </w:r>
                </w:p>
              </w:tc>
              <w:tc>
                <w:tcPr>
                  <w:tcW w:w="1068" w:type="pct"/>
                  <w:noWrap w:val="0"/>
                  <w:vAlign w:val="center"/>
                </w:tcPr>
                <w:p>
                  <w:pPr>
                    <w:topLinePunct/>
                    <w:adjustRightInd w:val="0"/>
                    <w:spacing w:line="3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8"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highlight w:val="none"/>
                    </w:rPr>
                  </w:pPr>
                </w:p>
              </w:tc>
              <w:tc>
                <w:tcPr>
                  <w:tcW w:w="751"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1179" w:type="dxa"/>
                  <w:noWrap w:val="0"/>
                  <w:vAlign w:val="center"/>
                </w:tcPr>
                <w:p>
                  <w:pPr>
                    <w:snapToGrid w:val="0"/>
                    <w:spacing w:line="29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动植物油</w:t>
                  </w:r>
                </w:p>
              </w:tc>
              <w:tc>
                <w:tcPr>
                  <w:tcW w:w="1045" w:type="pct"/>
                  <w:noWrap w:val="0"/>
                  <w:vAlign w:val="center"/>
                </w:tcPr>
                <w:p>
                  <w:pPr>
                    <w:topLinePunct/>
                    <w:adjustRightInd w:val="0"/>
                    <w:spacing w:line="3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w:t>
                  </w:r>
                </w:p>
              </w:tc>
              <w:tc>
                <w:tcPr>
                  <w:tcW w:w="1071" w:type="pct"/>
                  <w:noWrap w:val="0"/>
                  <w:vAlign w:val="center"/>
                </w:tcPr>
                <w:p>
                  <w:pPr>
                    <w:topLinePunct/>
                    <w:adjustRightInd w:val="0"/>
                    <w:spacing w:line="3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0.05</w:t>
                  </w:r>
                </w:p>
              </w:tc>
              <w:tc>
                <w:tcPr>
                  <w:tcW w:w="1068" w:type="pct"/>
                  <w:noWrap w:val="0"/>
                  <w:vAlign w:val="center"/>
                </w:tcPr>
                <w:p>
                  <w:pPr>
                    <w:topLinePunct/>
                    <w:adjustRightInd w:val="0"/>
                    <w:spacing w:line="3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0.007</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44"/>
                <w:sz w:val="24"/>
                <w:szCs w:val="24"/>
                <w:highlight w:val="none"/>
                <w:lang w:val="en-US" w:eastAsia="zh-CN"/>
              </w:rPr>
            </w:pPr>
            <w:r>
              <w:rPr>
                <w:rFonts w:hint="default" w:ascii="Times New Roman" w:hAnsi="Times New Roman" w:eastAsia="宋体" w:cs="Times New Roman"/>
                <w:color w:val="auto"/>
                <w:kern w:val="44"/>
                <w:sz w:val="24"/>
                <w:szCs w:val="24"/>
                <w:highlight w:val="none"/>
                <w:lang w:val="en-US" w:eastAsia="zh-CN"/>
              </w:rPr>
              <w:t>（2）废水污染治理设施可行性分析</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围场县污水处理厂</w:t>
            </w:r>
            <w:r>
              <w:rPr>
                <w:rFonts w:hint="default" w:ascii="Times New Roman" w:hAnsi="Times New Roman" w:eastAsia="宋体" w:cs="Times New Roman"/>
                <w:color w:val="auto"/>
                <w:sz w:val="24"/>
                <w:szCs w:val="24"/>
                <w:highlight w:val="none"/>
                <w:lang w:val="en-US" w:eastAsia="zh-CN"/>
              </w:rPr>
              <w:t>处理能力为</w:t>
            </w:r>
            <w:r>
              <w:rPr>
                <w:rFonts w:hint="default" w:ascii="Times New Roman" w:hAnsi="Times New Roman"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万t/d，</w:t>
            </w:r>
            <w:r>
              <w:rPr>
                <w:rFonts w:hint="default" w:ascii="Times New Roman" w:hAnsi="Times New Roman" w:cs="Times New Roman"/>
                <w:color w:val="auto"/>
                <w:sz w:val="24"/>
              </w:rPr>
              <w:t>采用倒置A</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/O工艺＋沉淀过滤，污水处理厂的进水水质COD为300 mg/L、BOD</w:t>
            </w:r>
            <w:r>
              <w:rPr>
                <w:rFonts w:hint="default" w:ascii="Times New Roman" w:hAnsi="Times New Roman" w:cs="Times New Roman"/>
                <w:color w:val="auto"/>
                <w:sz w:val="24"/>
                <w:vertAlign w:val="subscript"/>
              </w:rPr>
              <w:t>5</w:t>
            </w:r>
            <w:r>
              <w:rPr>
                <w:rFonts w:hint="default" w:ascii="Times New Roman" w:hAnsi="Times New Roman" w:cs="Times New Roman"/>
                <w:color w:val="auto"/>
                <w:sz w:val="24"/>
              </w:rPr>
              <w:t>为150 mg/L、SS为180 mg/L、NH</w:t>
            </w:r>
            <w:r>
              <w:rPr>
                <w:rFonts w:hint="default" w:ascii="Times New Roman" w:hAnsi="Times New Roman" w:cs="Times New Roman"/>
                <w:color w:val="auto"/>
                <w:sz w:val="24"/>
                <w:vertAlign w:val="subscript"/>
              </w:rPr>
              <w:t>4</w:t>
            </w:r>
            <w:r>
              <w:rPr>
                <w:rFonts w:hint="default" w:ascii="Times New Roman" w:hAnsi="Times New Roman" w:cs="Times New Roman"/>
                <w:color w:val="auto"/>
                <w:sz w:val="24"/>
                <w:vertAlign w:val="superscript"/>
              </w:rPr>
              <w:t>+</w:t>
            </w:r>
            <w:r>
              <w:rPr>
                <w:rFonts w:hint="default" w:ascii="Times New Roman" w:hAnsi="Times New Roman" w:cs="Times New Roman"/>
                <w:color w:val="auto"/>
                <w:sz w:val="24"/>
              </w:rPr>
              <w:t>-N为35 mg/L、TP为3 mg/L</w:t>
            </w:r>
            <w:r>
              <w:rPr>
                <w:rFonts w:hint="default" w:ascii="Times New Roman" w:hAnsi="Times New Roman" w:cs="Times New Roman"/>
                <w:color w:val="auto"/>
                <w:sz w:val="24"/>
                <w:lang w:eastAsia="zh-CN"/>
              </w:rPr>
              <w:t>，</w:t>
            </w:r>
            <w:r>
              <w:rPr>
                <w:rFonts w:hint="default" w:ascii="Times New Roman" w:hAnsi="Times New Roman" w:eastAsia="宋体" w:cs="Times New Roman"/>
                <w:color w:val="auto"/>
                <w:sz w:val="24"/>
                <w:szCs w:val="24"/>
                <w:highlight w:val="none"/>
                <w:lang w:eastAsia="zh-CN"/>
              </w:rPr>
              <w:t>处理后污水出水水质达到《城镇污水处理厂污染物排放标准》（GB/18918-2002）及修改单中一级A标准要求后，排入</w:t>
            </w:r>
            <w:r>
              <w:rPr>
                <w:rFonts w:hint="default" w:ascii="Times New Roman" w:hAnsi="Times New Roman" w:cs="Times New Roman"/>
                <w:color w:val="auto"/>
                <w:sz w:val="24"/>
                <w:szCs w:val="24"/>
                <w:highlight w:val="none"/>
                <w:lang w:val="en-US" w:eastAsia="zh-CN"/>
              </w:rPr>
              <w:t>伊逊河</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目前围场县污水处理厂尚有余量，可接纳本项目废水。</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480" w:leftChars="0" w:right="0" w:rightChars="0"/>
              <w:textAlignment w:val="auto"/>
              <w:rPr>
                <w:rFonts w:hint="default" w:ascii="Times New Roman" w:hAnsi="Times New Roman" w:cs="Times New Roman"/>
                <w:color w:val="auto"/>
                <w:kern w:val="44"/>
                <w:sz w:val="24"/>
                <w:szCs w:val="24"/>
              </w:rPr>
            </w:pPr>
            <w:r>
              <w:rPr>
                <w:rFonts w:hint="default" w:ascii="Times New Roman" w:hAnsi="Times New Roman" w:cs="Times New Roman"/>
                <w:color w:val="auto"/>
                <w:kern w:val="44"/>
                <w:sz w:val="24"/>
                <w:szCs w:val="24"/>
                <w:lang w:eastAsia="zh-CN"/>
              </w:rPr>
              <w:t>（</w:t>
            </w:r>
            <w:r>
              <w:rPr>
                <w:rFonts w:hint="default" w:ascii="Times New Roman" w:hAnsi="Times New Roman" w:cs="Times New Roman"/>
                <w:color w:val="auto"/>
                <w:kern w:val="44"/>
                <w:sz w:val="24"/>
                <w:szCs w:val="24"/>
                <w:lang w:val="en-US" w:eastAsia="zh-CN"/>
              </w:rPr>
              <w:t>3</w:t>
            </w:r>
            <w:r>
              <w:rPr>
                <w:rFonts w:hint="default" w:ascii="Times New Roman" w:hAnsi="Times New Roman" w:cs="Times New Roman"/>
                <w:color w:val="auto"/>
                <w:kern w:val="44"/>
                <w:sz w:val="24"/>
                <w:szCs w:val="24"/>
                <w:lang w:eastAsia="zh-CN"/>
              </w:rPr>
              <w:t>）</w:t>
            </w:r>
            <w:r>
              <w:rPr>
                <w:rFonts w:hint="default" w:ascii="Times New Roman" w:hAnsi="Times New Roman" w:cs="Times New Roman"/>
                <w:color w:val="auto"/>
                <w:kern w:val="44"/>
                <w:sz w:val="24"/>
                <w:szCs w:val="24"/>
              </w:rPr>
              <w:t>地表水环境影响评价结论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kern w:val="44"/>
                <w:sz w:val="24"/>
                <w:szCs w:val="24"/>
                <w:lang w:val="en-US" w:eastAsia="zh-CN"/>
              </w:rPr>
            </w:pPr>
            <w:r>
              <w:rPr>
                <w:rFonts w:hint="default" w:ascii="Times New Roman" w:hAnsi="Times New Roman" w:cs="Times New Roman"/>
                <w:color w:val="auto"/>
                <w:kern w:val="44"/>
                <w:sz w:val="24"/>
                <w:szCs w:val="24"/>
              </w:rPr>
              <w:t>综上，项目采取的水污染控制措施合理、有效，项目的生产运营期对地表水环境影响可接受</w:t>
            </w:r>
            <w:r>
              <w:rPr>
                <w:rFonts w:hint="default" w:ascii="Times New Roman" w:hAnsi="Times New Roman" w:cs="Times New Roman"/>
                <w:color w:val="auto"/>
                <w:kern w:val="44"/>
                <w:sz w:val="24"/>
                <w:szCs w:val="24"/>
                <w:lang w:eastAsia="zh-CN"/>
              </w:rPr>
              <w:t>。</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rPr>
              <w:t>（</w:t>
            </w:r>
            <w:r>
              <w:rPr>
                <w:rFonts w:hint="eastAsia" w:ascii="Times New Roman" w:hAnsi="Times New Roman" w:cs="Times New Roman"/>
                <w:b w:val="0"/>
                <w:bCs w:val="0"/>
                <w:color w:val="auto"/>
                <w:sz w:val="24"/>
                <w:lang w:val="en-US" w:eastAsia="zh-CN"/>
              </w:rPr>
              <w:t>4</w:t>
            </w:r>
            <w:r>
              <w:rPr>
                <w:rFonts w:hint="default" w:ascii="Times New Roman" w:hAnsi="Times New Roman" w:cs="Times New Roman"/>
                <w:b w:val="0"/>
                <w:bCs w:val="0"/>
                <w:color w:val="auto"/>
                <w:sz w:val="24"/>
              </w:rPr>
              <w:t>）监测要求</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项目</w:t>
            </w:r>
            <w:r>
              <w:rPr>
                <w:rFonts w:hint="eastAsia" w:ascii="Times New Roman" w:hAnsi="Times New Roman" w:cs="Times New Roman"/>
                <w:b w:val="0"/>
                <w:bCs w:val="0"/>
                <w:color w:val="auto"/>
                <w:sz w:val="24"/>
                <w:szCs w:val="24"/>
                <w:highlight w:val="none"/>
                <w:lang w:val="en-US" w:eastAsia="zh-CN"/>
              </w:rPr>
              <w:t>废水</w:t>
            </w:r>
            <w:r>
              <w:rPr>
                <w:rFonts w:hint="default" w:ascii="Times New Roman" w:hAnsi="Times New Roman" w:cs="Times New Roman"/>
                <w:b w:val="0"/>
                <w:bCs w:val="0"/>
                <w:color w:val="auto"/>
                <w:sz w:val="24"/>
                <w:szCs w:val="24"/>
                <w:highlight w:val="none"/>
                <w:lang w:val="en-US" w:eastAsia="zh-CN"/>
              </w:rPr>
              <w:t>监测要求详见下表：</w:t>
            </w:r>
          </w:p>
          <w:p>
            <w:pPr>
              <w:snapToGrid w:val="0"/>
              <w:spacing w:line="240" w:lineRule="auto"/>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 xml:space="preserve">表4-13  </w:t>
            </w:r>
            <w:r>
              <w:rPr>
                <w:rFonts w:hint="default" w:ascii="Times New Roman" w:hAnsi="Times New Roman" w:cs="Times New Roman"/>
                <w:b/>
                <w:bCs/>
                <w:color w:val="auto"/>
                <w:sz w:val="21"/>
                <w:szCs w:val="21"/>
                <w:lang w:val="en-US" w:eastAsia="zh-CN"/>
              </w:rPr>
              <w:t>项目</w:t>
            </w:r>
            <w:r>
              <w:rPr>
                <w:rFonts w:hint="eastAsia" w:ascii="Times New Roman" w:hAnsi="Times New Roman" w:cs="Times New Roman"/>
                <w:b/>
                <w:bCs/>
                <w:color w:val="auto"/>
                <w:sz w:val="21"/>
                <w:szCs w:val="21"/>
                <w:lang w:val="en-US" w:eastAsia="zh-CN"/>
              </w:rPr>
              <w:t>废水</w:t>
            </w:r>
            <w:r>
              <w:rPr>
                <w:rFonts w:hint="default" w:ascii="Times New Roman" w:hAnsi="Times New Roman" w:cs="Times New Roman"/>
                <w:b/>
                <w:bCs/>
                <w:color w:val="auto"/>
                <w:sz w:val="21"/>
                <w:szCs w:val="21"/>
                <w:lang w:val="en-US" w:eastAsia="zh-CN"/>
              </w:rPr>
              <w:t>监测要求一览表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1"/>
              <w:gridCol w:w="1729"/>
              <w:gridCol w:w="1171"/>
              <w:gridCol w:w="1613"/>
              <w:gridCol w:w="2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环境要素</w:t>
                  </w:r>
                </w:p>
              </w:tc>
              <w:tc>
                <w:tcPr>
                  <w:tcW w:w="102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cs="Times New Roman" w:eastAsiaTheme="minorEastAsia"/>
                      <w:b/>
                      <w:color w:val="auto"/>
                      <w:szCs w:val="21"/>
                      <w:highlight w:val="none"/>
                      <w:lang w:val="en-US" w:eastAsia="zh-CN"/>
                    </w:rPr>
                  </w:pPr>
                  <w:r>
                    <w:rPr>
                      <w:rFonts w:hint="default" w:ascii="Times New Roman" w:hAnsi="Times New Roman" w:cs="Times New Roman"/>
                      <w:b/>
                      <w:color w:val="auto"/>
                      <w:szCs w:val="21"/>
                      <w:highlight w:val="none"/>
                    </w:rPr>
                    <w:t>监测</w:t>
                  </w:r>
                  <w:r>
                    <w:rPr>
                      <w:rFonts w:hint="default" w:ascii="Times New Roman" w:hAnsi="Times New Roman" w:cs="Times New Roman"/>
                      <w:b/>
                      <w:color w:val="auto"/>
                      <w:szCs w:val="21"/>
                      <w:highlight w:val="none"/>
                      <w:lang w:val="en-US" w:eastAsia="zh-CN"/>
                    </w:rPr>
                    <w:t>点位</w:t>
                  </w:r>
                </w:p>
              </w:tc>
              <w:tc>
                <w:tcPr>
                  <w:tcW w:w="69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cs="Times New Roman" w:eastAsiaTheme="minorEastAsia"/>
                      <w:b/>
                      <w:color w:val="auto"/>
                      <w:szCs w:val="21"/>
                      <w:highlight w:val="none"/>
                      <w:lang w:eastAsia="zh-CN"/>
                    </w:rPr>
                  </w:pPr>
                  <w:r>
                    <w:rPr>
                      <w:rFonts w:hint="default" w:ascii="Times New Roman" w:hAnsi="Times New Roman" w:cs="Times New Roman"/>
                      <w:b/>
                      <w:color w:val="auto"/>
                      <w:szCs w:val="21"/>
                      <w:highlight w:val="none"/>
                    </w:rPr>
                    <w:t>监测</w:t>
                  </w:r>
                  <w:r>
                    <w:rPr>
                      <w:rFonts w:hint="default" w:ascii="Times New Roman" w:hAnsi="Times New Roman" w:cs="Times New Roman"/>
                      <w:b/>
                      <w:color w:val="auto"/>
                      <w:szCs w:val="21"/>
                      <w:highlight w:val="none"/>
                      <w:lang w:val="en-US" w:eastAsia="zh-CN"/>
                    </w:rPr>
                    <w:t>因子</w:t>
                  </w:r>
                </w:p>
              </w:tc>
              <w:tc>
                <w:tcPr>
                  <w:tcW w:w="95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lang w:val="en-US" w:eastAsia="zh-CN"/>
                    </w:rPr>
                    <w:t>检测</w:t>
                  </w:r>
                  <w:r>
                    <w:rPr>
                      <w:rFonts w:hint="default" w:ascii="Times New Roman" w:hAnsi="Times New Roman" w:cs="Times New Roman"/>
                      <w:b/>
                      <w:color w:val="auto"/>
                      <w:szCs w:val="21"/>
                      <w:highlight w:val="none"/>
                    </w:rPr>
                    <w:t>频次</w:t>
                  </w:r>
                </w:p>
              </w:tc>
              <w:tc>
                <w:tcPr>
                  <w:tcW w:w="159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color w:val="auto"/>
                      <w:szCs w:val="21"/>
                      <w:highlight w:val="none"/>
                      <w:lang w:eastAsia="zh-CN"/>
                    </w:rPr>
                  </w:pPr>
                  <w:r>
                    <w:rPr>
                      <w:rFonts w:hint="default" w:ascii="Times New Roman" w:hAnsi="Times New Roman" w:cs="Times New Roman"/>
                      <w:b/>
                      <w:color w:val="auto"/>
                      <w:szCs w:val="21"/>
                      <w:highlight w:val="none"/>
                      <w:lang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3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szCs w:val="21"/>
                      <w:highlight w:val="none"/>
                      <w:lang w:val="en-US" w:eastAsia="zh-CN"/>
                    </w:rPr>
                    <w:t>生活污水</w:t>
                  </w:r>
                </w:p>
              </w:tc>
              <w:tc>
                <w:tcPr>
                  <w:tcW w:w="102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lang w:val="en-US" w:eastAsia="zh-CN"/>
                    </w:rPr>
                    <w:t>生活污水排放口</w:t>
                  </w:r>
                  <w:r>
                    <w:rPr>
                      <w:rFonts w:hint="default" w:ascii="Times New Roman" w:hAnsi="Times New Roman" w:cs="Times New Roman"/>
                      <w:color w:val="auto"/>
                      <w:szCs w:val="21"/>
                      <w:lang w:val="en-US" w:eastAsia="zh-CN"/>
                    </w:rPr>
                    <w:t>DW001</w:t>
                  </w:r>
                </w:p>
              </w:tc>
              <w:tc>
                <w:tcPr>
                  <w:tcW w:w="69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cs="Times New Roman" w:eastAsiaTheme="minorEastAsia"/>
                      <w:color w:val="auto"/>
                      <w:szCs w:val="21"/>
                      <w:highlight w:val="none"/>
                      <w:vertAlign w:val="baseline"/>
                      <w:lang w:eastAsia="zh-CN"/>
                    </w:rPr>
                  </w:pPr>
                  <w:r>
                    <w:rPr>
                      <w:rFonts w:hint="default" w:ascii="Times New Roman" w:hAnsi="Times New Roman" w:cs="Times New Roman"/>
                      <w:color w:val="auto"/>
                      <w:szCs w:val="21"/>
                    </w:rPr>
                    <w:t>pH</w:t>
                  </w:r>
                  <w:r>
                    <w:rPr>
                      <w:rFonts w:hint="default" w:ascii="Times New Roman" w:hAnsi="Times New Roman" w:cs="Times New Roman"/>
                      <w:color w:val="auto"/>
                      <w:szCs w:val="21"/>
                      <w:lang w:eastAsia="zh-CN"/>
                    </w:rPr>
                    <w:t>、</w:t>
                  </w:r>
                  <w:r>
                    <w:rPr>
                      <w:rFonts w:hint="default" w:ascii="Times New Roman" w:hAnsi="Times New Roman" w:cs="Times New Roman"/>
                      <w:color w:val="auto"/>
                      <w:sz w:val="21"/>
                      <w:szCs w:val="21"/>
                      <w:lang w:val="en-US" w:eastAsia="zh-CN"/>
                    </w:rPr>
                    <w:t>COD、氨氮、SS、BOD</w:t>
                  </w:r>
                  <w:r>
                    <w:rPr>
                      <w:rFonts w:hint="default" w:ascii="Times New Roman" w:hAnsi="Times New Roman" w:cs="Times New Roman"/>
                      <w:color w:val="auto"/>
                      <w:sz w:val="21"/>
                      <w:szCs w:val="21"/>
                      <w:vertAlign w:val="subscript"/>
                      <w:lang w:val="en-US" w:eastAsia="zh-CN"/>
                    </w:rPr>
                    <w:t>5</w:t>
                  </w:r>
                  <w:r>
                    <w:rPr>
                      <w:rFonts w:hint="default" w:ascii="Times New Roman" w:hAnsi="Times New Roman" w:cs="Times New Roman"/>
                      <w:color w:val="auto"/>
                      <w:sz w:val="21"/>
                      <w:szCs w:val="21"/>
                      <w:lang w:val="en-US" w:eastAsia="zh-CN"/>
                    </w:rPr>
                    <w:t>、动植物油</w:t>
                  </w:r>
                </w:p>
              </w:tc>
              <w:tc>
                <w:tcPr>
                  <w:tcW w:w="95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cs="Times New Roman"/>
                      <w:color w:val="auto"/>
                      <w:szCs w:val="21"/>
                      <w:highlight w:val="none"/>
                      <w:lang w:val="en-US"/>
                    </w:rPr>
                  </w:pPr>
                  <w:r>
                    <w:rPr>
                      <w:rFonts w:hint="eastAsia" w:ascii="Times New Roman" w:hAnsi="Times New Roman" w:cs="Times New Roman"/>
                      <w:color w:val="auto"/>
                      <w:szCs w:val="21"/>
                      <w:highlight w:val="none"/>
                      <w:lang w:val="en-US" w:eastAsia="zh-CN"/>
                    </w:rPr>
                    <w:t>1次/年</w:t>
                  </w:r>
                </w:p>
              </w:tc>
              <w:tc>
                <w:tcPr>
                  <w:tcW w:w="159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《污水综合排放标准》(GB8978－1996)三级标准和</w:t>
                  </w:r>
                  <w:r>
                    <w:rPr>
                      <w:rFonts w:hint="default" w:ascii="Times New Roman" w:hAnsi="Times New Roman" w:cs="Times New Roman"/>
                      <w:color w:val="auto"/>
                      <w:sz w:val="21"/>
                      <w:szCs w:val="21"/>
                      <w:lang w:val="en-US" w:eastAsia="zh-CN"/>
                    </w:rPr>
                    <w:t>围场县污水处理厂</w:t>
                  </w:r>
                  <w:r>
                    <w:rPr>
                      <w:rFonts w:hint="default" w:ascii="Times New Roman" w:hAnsi="Times New Roman" w:eastAsia="宋体" w:cs="Times New Roman"/>
                      <w:color w:val="auto"/>
                      <w:sz w:val="21"/>
                      <w:szCs w:val="21"/>
                    </w:rPr>
                    <w:t>进水水质指标</w:t>
                  </w:r>
                </w:p>
              </w:tc>
            </w:tr>
          </w:tbl>
          <w:p>
            <w:pPr>
              <w:pStyle w:val="16"/>
              <w:keepNext w:val="0"/>
              <w:keepLines w:val="0"/>
              <w:pageBreakBefore w:val="0"/>
              <w:widowControl w:val="0"/>
              <w:kinsoku/>
              <w:wordWrap/>
              <w:overflowPunct/>
              <w:topLinePunct w:val="0"/>
              <w:autoSpaceDE/>
              <w:autoSpaceDN/>
              <w:bidi w:val="0"/>
              <w:adjustRightInd w:val="0"/>
              <w:snapToGrid w:val="0"/>
              <w:spacing w:before="156" w:beforeLines="50" w:line="360" w:lineRule="auto"/>
              <w:ind w:left="0" w:leftChars="0" w:firstLine="482" w:firstLineChars="200"/>
              <w:textAlignment w:val="auto"/>
              <w:rPr>
                <w:rFonts w:hint="default" w:ascii="Times New Roman" w:hAnsi="Times New Roman"/>
                <w:b/>
                <w:color w:val="auto"/>
                <w:kern w:val="2"/>
              </w:rPr>
            </w:pPr>
            <w:r>
              <w:rPr>
                <w:rFonts w:hint="default" w:ascii="Times New Roman" w:hAnsi="Times New Roman"/>
                <w:b/>
                <w:color w:val="auto"/>
                <w:kern w:val="2"/>
              </w:rPr>
              <w:t>3、噪声</w:t>
            </w:r>
          </w:p>
          <w:p>
            <w:pPr>
              <w:spacing w:line="360" w:lineRule="auto"/>
              <w:ind w:firstLine="482" w:firstLineChars="200"/>
              <w:rPr>
                <w:rFonts w:hint="default" w:ascii="Times New Roman" w:hAnsi="Times New Roman" w:cs="Times New Roman" w:eastAsiaTheme="minorEastAsia"/>
                <w:b/>
                <w:bCs/>
                <w:color w:val="auto"/>
                <w:sz w:val="24"/>
                <w:lang w:val="en-US" w:eastAsia="zh-CN"/>
              </w:rPr>
            </w:pP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lang w:val="en-US" w:eastAsia="zh-CN"/>
              </w:rPr>
              <w:t>1</w:t>
            </w: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lang w:val="en-US" w:eastAsia="zh-CN"/>
              </w:rPr>
              <w:t>噪声源强分析</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kern w:val="0"/>
                <w:sz w:val="24"/>
                <w:szCs w:val="21"/>
              </w:rPr>
              <w:t>项目</w:t>
            </w:r>
            <w:r>
              <w:rPr>
                <w:rFonts w:hint="default" w:ascii="Times New Roman" w:hAnsi="Times New Roman" w:cs="Times New Roman"/>
                <w:color w:val="auto"/>
                <w:sz w:val="24"/>
                <w:szCs w:val="24"/>
              </w:rPr>
              <w:t>运营期主要噪声为生产设备噪声和运输噪声。</w:t>
            </w:r>
            <w:r>
              <w:rPr>
                <w:rFonts w:hint="default" w:ascii="Times New Roman" w:hAnsi="Times New Roman" w:cs="Times New Roman"/>
                <w:color w:val="auto"/>
                <w:kern w:val="0"/>
                <w:sz w:val="24"/>
                <w:szCs w:val="21"/>
              </w:rPr>
              <w:t>生产设备噪声主要为</w:t>
            </w:r>
            <w:r>
              <w:rPr>
                <w:rFonts w:hint="default" w:ascii="Times New Roman" w:hAnsi="Times New Roman" w:cs="Times New Roman"/>
                <w:color w:val="auto"/>
                <w:sz w:val="24"/>
                <w:szCs w:val="22"/>
                <w:lang w:eastAsia="zh-CN"/>
              </w:rPr>
              <w:t>水泵、锅炉</w:t>
            </w:r>
            <w:r>
              <w:rPr>
                <w:rFonts w:hint="default" w:ascii="Times New Roman" w:hAnsi="Times New Roman" w:cs="Times New Roman"/>
                <w:color w:val="auto"/>
                <w:sz w:val="24"/>
                <w:szCs w:val="22"/>
                <w:lang w:val="en-US" w:eastAsia="zh-CN"/>
              </w:rPr>
              <w:t>等设备</w:t>
            </w:r>
            <w:r>
              <w:rPr>
                <w:rFonts w:hint="default" w:ascii="Times New Roman" w:hAnsi="Times New Roman" w:cs="Times New Roman"/>
                <w:color w:val="auto"/>
                <w:sz w:val="24"/>
                <w:szCs w:val="22"/>
                <w:lang w:eastAsia="zh-CN"/>
              </w:rPr>
              <w:t>产生的噪声</w:t>
            </w:r>
            <w:r>
              <w:rPr>
                <w:rFonts w:hint="default" w:ascii="Times New Roman" w:hAnsi="Times New Roman" w:cs="Times New Roman"/>
                <w:color w:val="auto"/>
                <w:kern w:val="0"/>
                <w:sz w:val="24"/>
                <w:szCs w:val="21"/>
              </w:rPr>
              <w:t>，</w:t>
            </w:r>
            <w:r>
              <w:rPr>
                <w:rFonts w:hint="default" w:ascii="Times New Roman" w:hAnsi="Times New Roman" w:cs="Times New Roman"/>
                <w:color w:val="auto"/>
                <w:sz w:val="24"/>
                <w:szCs w:val="24"/>
              </w:rPr>
              <w:t>源强为75-85dB（A）。</w:t>
            </w:r>
            <w:r>
              <w:rPr>
                <w:rFonts w:hint="default" w:ascii="Times New Roman" w:hAnsi="Times New Roman" w:cs="Times New Roman"/>
                <w:color w:val="auto"/>
                <w:kern w:val="44"/>
                <w:sz w:val="24"/>
                <w:lang w:val="en-US" w:eastAsia="zh-CN"/>
              </w:rPr>
              <w:t>本项目</w:t>
            </w:r>
            <w:r>
              <w:rPr>
                <w:rFonts w:hint="default" w:ascii="Times New Roman" w:hAnsi="Times New Roman" w:cs="Times New Roman"/>
                <w:color w:val="auto"/>
                <w:sz w:val="24"/>
              </w:rPr>
              <w:t>噪声源强见下表。</w:t>
            </w:r>
          </w:p>
          <w:p>
            <w:pPr>
              <w:snapToGrid w:val="0"/>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w:t>
            </w:r>
            <w:r>
              <w:rPr>
                <w:rFonts w:hint="eastAsia" w:ascii="Times New Roman" w:hAnsi="Times New Roman" w:cs="Times New Roman"/>
                <w:b/>
                <w:bCs/>
                <w:color w:val="auto"/>
                <w:sz w:val="21"/>
                <w:szCs w:val="21"/>
                <w:lang w:val="en-US" w:eastAsia="zh-CN"/>
              </w:rPr>
              <w:t>14</w:t>
            </w:r>
            <w:r>
              <w:rPr>
                <w:rFonts w:hint="default" w:ascii="Times New Roman" w:hAnsi="Times New Roman" w:cs="Times New Roman"/>
                <w:b/>
                <w:bCs/>
                <w:color w:val="auto"/>
                <w:sz w:val="21"/>
                <w:szCs w:val="21"/>
                <w:lang w:val="en-US" w:eastAsia="zh-CN"/>
              </w:rPr>
              <w:t xml:space="preserve">  主要噪声源一览表</w:t>
            </w:r>
          </w:p>
          <w:tbl>
            <w:tblPr>
              <w:tblStyle w:val="21"/>
              <w:tblW w:w="4994"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94"/>
              <w:gridCol w:w="1703"/>
              <w:gridCol w:w="1062"/>
              <w:gridCol w:w="1670"/>
              <w:gridCol w:w="1849"/>
              <w:gridCol w:w="147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10" w:type="pct"/>
                  <w:tcBorders>
                    <w:top w:val="single" w:color="auto" w:sz="4" w:space="0"/>
                    <w:left w:val="single" w:color="auto" w:sz="4" w:space="0"/>
                    <w:bottom w:val="single" w:color="auto" w:sz="4" w:space="0"/>
                    <w:right w:val="single" w:color="auto" w:sz="4" w:space="0"/>
                  </w:tcBorders>
                  <w:noWrap w:val="0"/>
                  <w:vAlign w:val="center"/>
                </w:tcPr>
                <w:p>
                  <w:pPr>
                    <w:pStyle w:val="54"/>
                    <w:snapToGrid w:val="0"/>
                    <w:spacing w:before="0" w:after="0" w:line="240" w:lineRule="auto"/>
                    <w:ind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1007" w:type="pct"/>
                  <w:tcBorders>
                    <w:top w:val="single" w:color="auto" w:sz="4" w:space="0"/>
                    <w:left w:val="single" w:color="auto" w:sz="4" w:space="0"/>
                    <w:bottom w:val="single" w:color="auto" w:sz="4" w:space="0"/>
                    <w:right w:val="single" w:color="auto" w:sz="4" w:space="0"/>
                  </w:tcBorders>
                  <w:noWrap w:val="0"/>
                  <w:vAlign w:val="center"/>
                </w:tcPr>
                <w:p>
                  <w:pPr>
                    <w:pStyle w:val="54"/>
                    <w:snapToGrid w:val="0"/>
                    <w:spacing w:before="0" w:after="0" w:line="240" w:lineRule="auto"/>
                    <w:ind w:firstLine="0"/>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eastAsia="zh-CN"/>
                    </w:rPr>
                    <w:t>噪声源</w:t>
                  </w:r>
                </w:p>
              </w:tc>
              <w:tc>
                <w:tcPr>
                  <w:tcW w:w="628" w:type="pct"/>
                  <w:tcBorders>
                    <w:top w:val="single" w:color="auto" w:sz="4" w:space="0"/>
                    <w:left w:val="single" w:color="auto" w:sz="4" w:space="0"/>
                    <w:bottom w:val="single" w:color="auto" w:sz="4" w:space="0"/>
                    <w:right w:val="single" w:color="auto" w:sz="4" w:space="0"/>
                  </w:tcBorders>
                  <w:noWrap w:val="0"/>
                  <w:vAlign w:val="center"/>
                </w:tcPr>
                <w:p>
                  <w:pPr>
                    <w:pStyle w:val="54"/>
                    <w:snapToGrid w:val="0"/>
                    <w:spacing w:before="0" w:after="0" w:line="240" w:lineRule="auto"/>
                    <w:ind w:firstLine="0"/>
                    <w:jc w:val="center"/>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b/>
                      <w:bCs/>
                      <w:color w:val="auto"/>
                      <w:sz w:val="21"/>
                      <w:szCs w:val="21"/>
                      <w:lang w:val="en-US" w:eastAsia="zh-CN"/>
                    </w:rPr>
                    <w:t>数量</w:t>
                  </w:r>
                </w:p>
              </w:tc>
              <w:tc>
                <w:tcPr>
                  <w:tcW w:w="988" w:type="pct"/>
                  <w:tcBorders>
                    <w:top w:val="single" w:color="auto" w:sz="4" w:space="0"/>
                    <w:left w:val="single" w:color="auto" w:sz="4" w:space="0"/>
                    <w:bottom w:val="single" w:color="auto" w:sz="4" w:space="0"/>
                    <w:right w:val="single" w:color="auto" w:sz="4" w:space="0"/>
                  </w:tcBorders>
                  <w:noWrap w:val="0"/>
                  <w:vAlign w:val="center"/>
                </w:tcPr>
                <w:p>
                  <w:pPr>
                    <w:pStyle w:val="54"/>
                    <w:snapToGrid w:val="0"/>
                    <w:spacing w:before="0" w:after="0"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噪声等级</w:t>
                  </w:r>
                </w:p>
              </w:tc>
              <w:tc>
                <w:tcPr>
                  <w:tcW w:w="1094" w:type="pct"/>
                  <w:tcBorders>
                    <w:top w:val="single" w:color="auto" w:sz="4" w:space="0"/>
                    <w:left w:val="single" w:color="auto" w:sz="4" w:space="0"/>
                    <w:bottom w:val="single" w:color="auto" w:sz="4" w:space="0"/>
                    <w:right w:val="single" w:color="auto" w:sz="4" w:space="0"/>
                  </w:tcBorders>
                  <w:noWrap w:val="0"/>
                  <w:vAlign w:val="center"/>
                </w:tcPr>
                <w:p>
                  <w:pPr>
                    <w:pStyle w:val="54"/>
                    <w:snapToGrid w:val="0"/>
                    <w:spacing w:before="0" w:after="0" w:line="240" w:lineRule="auto"/>
                    <w:ind w:firstLine="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采取的措施</w:t>
                  </w:r>
                </w:p>
              </w:tc>
              <w:tc>
                <w:tcPr>
                  <w:tcW w:w="870" w:type="pct"/>
                  <w:tcBorders>
                    <w:top w:val="single" w:color="auto" w:sz="4" w:space="0"/>
                    <w:left w:val="single" w:color="auto" w:sz="4" w:space="0"/>
                    <w:bottom w:val="single" w:color="auto" w:sz="4" w:space="0"/>
                    <w:right w:val="single" w:color="auto" w:sz="4" w:space="0"/>
                  </w:tcBorders>
                  <w:noWrap w:val="0"/>
                  <w:vAlign w:val="center"/>
                </w:tcPr>
                <w:p>
                  <w:pPr>
                    <w:pStyle w:val="54"/>
                    <w:snapToGrid w:val="0"/>
                    <w:spacing w:before="0" w:after="0" w:line="240" w:lineRule="auto"/>
                    <w:ind w:firstLine="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降噪效果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10" w:type="pct"/>
                  <w:tcBorders>
                    <w:top w:val="single" w:color="auto" w:sz="4" w:space="0"/>
                    <w:left w:val="single" w:color="auto" w:sz="4" w:space="0"/>
                    <w:bottom w:val="single" w:color="auto" w:sz="4" w:space="0"/>
                    <w:right w:val="single" w:color="auto" w:sz="4" w:space="0"/>
                  </w:tcBorders>
                  <w:noWrap w:val="0"/>
                  <w:vAlign w:val="center"/>
                </w:tcPr>
                <w:p>
                  <w:pPr>
                    <w:pStyle w:val="54"/>
                    <w:snapToGrid w:val="0"/>
                    <w:spacing w:before="0" w:after="0"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007" w:type="pct"/>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highlight w:val="none"/>
                      <w:lang w:val="en-US" w:eastAsia="zh-CN"/>
                    </w:rPr>
                    <w:t>风机</w:t>
                  </w:r>
                </w:p>
              </w:tc>
              <w:tc>
                <w:tcPr>
                  <w:tcW w:w="628" w:type="pct"/>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lang w:val="en-US" w:eastAsia="zh-CN"/>
                    </w:rPr>
                    <w:t>1</w:t>
                  </w:r>
                </w:p>
              </w:tc>
              <w:tc>
                <w:tcPr>
                  <w:tcW w:w="988" w:type="pct"/>
                  <w:tcBorders>
                    <w:top w:val="single" w:color="auto" w:sz="4" w:space="0"/>
                    <w:left w:val="single" w:color="auto" w:sz="4" w:space="0"/>
                    <w:bottom w:val="single" w:color="auto" w:sz="4" w:space="0"/>
                    <w:right w:val="single" w:color="auto" w:sz="4" w:space="0"/>
                  </w:tcBorders>
                  <w:noWrap w:val="0"/>
                  <w:vAlign w:val="center"/>
                </w:tcPr>
                <w:p>
                  <w:pPr>
                    <w:pStyle w:val="54"/>
                    <w:snapToGrid w:val="0"/>
                    <w:spacing w:before="0" w:after="0" w:line="240" w:lineRule="auto"/>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85</w:t>
                  </w:r>
                  <w:r>
                    <w:rPr>
                      <w:rFonts w:hint="default" w:ascii="Times New Roman" w:hAnsi="Times New Roman" w:cs="Times New Roman"/>
                      <w:bCs/>
                      <w:color w:val="auto"/>
                      <w:sz w:val="21"/>
                      <w:szCs w:val="21"/>
                    </w:rPr>
                    <w:t>dB（A）</w:t>
                  </w:r>
                </w:p>
              </w:tc>
              <w:tc>
                <w:tcPr>
                  <w:tcW w:w="1094" w:type="pct"/>
                  <w:vMerge w:val="restart"/>
                  <w:tcBorders>
                    <w:top w:val="single" w:color="auto" w:sz="4" w:space="0"/>
                    <w:left w:val="single" w:color="auto" w:sz="4" w:space="0"/>
                    <w:right w:val="single" w:color="auto" w:sz="4" w:space="0"/>
                  </w:tcBorders>
                  <w:noWrap w:val="0"/>
                  <w:vAlign w:val="center"/>
                </w:tcPr>
                <w:p>
                  <w:pPr>
                    <w:pStyle w:val="54"/>
                    <w:snapToGrid w:val="0"/>
                    <w:spacing w:before="0" w:after="0"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选用低噪声设备、生产车间封闭、进行基础减振</w:t>
                  </w:r>
                </w:p>
              </w:tc>
              <w:tc>
                <w:tcPr>
                  <w:tcW w:w="870" w:type="pct"/>
                  <w:vMerge w:val="restart"/>
                  <w:tcBorders>
                    <w:top w:val="single" w:color="auto" w:sz="4" w:space="0"/>
                    <w:left w:val="single" w:color="auto" w:sz="4" w:space="0"/>
                    <w:right w:val="single" w:color="auto" w:sz="4" w:space="0"/>
                  </w:tcBorders>
                  <w:noWrap w:val="0"/>
                  <w:vAlign w:val="center"/>
                </w:tcPr>
                <w:p>
                  <w:pPr>
                    <w:pStyle w:val="54"/>
                    <w:snapToGrid w:val="0"/>
                    <w:spacing w:before="0" w:after="0" w:line="240" w:lineRule="auto"/>
                    <w:ind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降噪25-30dB</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10" w:type="pct"/>
                  <w:tcBorders>
                    <w:top w:val="single" w:color="auto" w:sz="4" w:space="0"/>
                    <w:left w:val="single" w:color="auto" w:sz="4" w:space="0"/>
                    <w:bottom w:val="single" w:color="auto" w:sz="4" w:space="0"/>
                    <w:right w:val="single" w:color="auto" w:sz="4" w:space="0"/>
                  </w:tcBorders>
                  <w:noWrap w:val="0"/>
                  <w:vAlign w:val="center"/>
                </w:tcPr>
                <w:p>
                  <w:pPr>
                    <w:pStyle w:val="54"/>
                    <w:snapToGrid w:val="0"/>
                    <w:spacing w:before="0" w:after="0" w:line="240" w:lineRule="auto"/>
                    <w:ind w:firstLine="0" w:firstLineChars="0"/>
                    <w:jc w:val="center"/>
                    <w:rPr>
                      <w:rFonts w:hint="default" w:ascii="Times New Roman" w:hAnsi="Times New Roman" w:cs="Times New Roman" w:eastAsiaTheme="minorEastAsia"/>
                      <w:color w:val="auto"/>
                      <w:kern w:val="21"/>
                      <w:sz w:val="21"/>
                      <w:szCs w:val="21"/>
                      <w:lang w:val="en-US" w:eastAsia="zh-CN" w:bidi="ar-SA"/>
                    </w:rPr>
                  </w:pPr>
                  <w:r>
                    <w:rPr>
                      <w:rFonts w:hint="default" w:ascii="Times New Roman" w:hAnsi="Times New Roman" w:cs="Times New Roman"/>
                      <w:color w:val="auto"/>
                      <w:sz w:val="21"/>
                      <w:szCs w:val="21"/>
                    </w:rPr>
                    <w:t>2</w:t>
                  </w:r>
                </w:p>
              </w:tc>
              <w:tc>
                <w:tcPr>
                  <w:tcW w:w="1007" w:type="pct"/>
                  <w:tcBorders>
                    <w:top w:val="single" w:color="auto" w:sz="4" w:space="0"/>
                    <w:left w:val="single" w:color="auto" w:sz="4" w:space="0"/>
                    <w:bottom w:val="single" w:color="auto" w:sz="4" w:space="0"/>
                    <w:right w:val="single" w:color="auto" w:sz="4" w:space="0"/>
                  </w:tcBorders>
                  <w:noWrap w:val="0"/>
                  <w:vAlign w:val="center"/>
                </w:tcPr>
                <w:p>
                  <w:pPr>
                    <w:pStyle w:val="17"/>
                    <w:spacing w:line="280" w:lineRule="exact"/>
                    <w:jc w:val="center"/>
                    <w:rPr>
                      <w:rFonts w:hint="default" w:ascii="Times New Roman" w:hAnsi="Times New Roman" w:cs="Times New Roman" w:eastAsiaTheme="minorEastAsia"/>
                      <w:color w:val="auto"/>
                      <w:kern w:val="21"/>
                      <w:sz w:val="21"/>
                      <w:szCs w:val="21"/>
                      <w:lang w:val="en-US" w:eastAsia="zh-CN" w:bidi="ar-SA"/>
                    </w:rPr>
                  </w:pPr>
                  <w:r>
                    <w:rPr>
                      <w:rFonts w:hint="eastAsia" w:ascii="Times New Roman" w:hAnsi="Times New Roman" w:cs="Times New Roman" w:eastAsiaTheme="minorEastAsia"/>
                      <w:color w:val="auto"/>
                      <w:kern w:val="21"/>
                      <w:sz w:val="21"/>
                      <w:szCs w:val="21"/>
                      <w:lang w:val="en-US" w:eastAsia="zh-CN" w:bidi="ar-SA"/>
                    </w:rPr>
                    <w:t>水泵</w:t>
                  </w:r>
                </w:p>
              </w:tc>
              <w:tc>
                <w:tcPr>
                  <w:tcW w:w="628" w:type="pct"/>
                  <w:tcBorders>
                    <w:top w:val="single" w:color="auto" w:sz="4" w:space="0"/>
                    <w:left w:val="single" w:color="auto" w:sz="4" w:space="0"/>
                    <w:bottom w:val="single" w:color="auto" w:sz="4" w:space="0"/>
                    <w:right w:val="single" w:color="auto" w:sz="4" w:space="0"/>
                  </w:tcBorders>
                  <w:noWrap w:val="0"/>
                  <w:vAlign w:val="center"/>
                </w:tcPr>
                <w:p>
                  <w:pPr>
                    <w:pStyle w:val="17"/>
                    <w:spacing w:line="280" w:lineRule="exact"/>
                    <w:jc w:val="center"/>
                    <w:rPr>
                      <w:rFonts w:hint="default" w:ascii="Times New Roman" w:hAnsi="Times New Roman" w:cs="Times New Roman" w:eastAsiaTheme="minorEastAsia"/>
                      <w:color w:val="auto"/>
                      <w:kern w:val="21"/>
                      <w:sz w:val="21"/>
                      <w:szCs w:val="21"/>
                      <w:lang w:val="en-US" w:eastAsia="zh-CN" w:bidi="ar-SA"/>
                    </w:rPr>
                  </w:pPr>
                  <w:r>
                    <w:rPr>
                      <w:rFonts w:hint="eastAsia" w:ascii="Times New Roman" w:hAnsi="Times New Roman" w:eastAsia="宋体" w:cs="Times New Roman"/>
                      <w:color w:val="auto"/>
                      <w:sz w:val="21"/>
                      <w:szCs w:val="21"/>
                      <w:highlight w:val="none"/>
                      <w:lang w:val="en-US" w:eastAsia="zh-CN" w:bidi="ar"/>
                    </w:rPr>
                    <w:t>1</w:t>
                  </w:r>
                </w:p>
              </w:tc>
              <w:tc>
                <w:tcPr>
                  <w:tcW w:w="988" w:type="pct"/>
                  <w:tcBorders>
                    <w:top w:val="single" w:color="auto" w:sz="4" w:space="0"/>
                    <w:left w:val="single" w:color="auto" w:sz="4" w:space="0"/>
                    <w:bottom w:val="single" w:color="auto" w:sz="4" w:space="0"/>
                    <w:right w:val="single" w:color="auto" w:sz="4" w:space="0"/>
                  </w:tcBorders>
                  <w:noWrap w:val="0"/>
                  <w:vAlign w:val="center"/>
                </w:tcPr>
                <w:p>
                  <w:pPr>
                    <w:pStyle w:val="54"/>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bCs/>
                      <w:color w:val="auto"/>
                      <w:sz w:val="21"/>
                      <w:szCs w:val="21"/>
                      <w:lang w:val="en-US" w:eastAsia="zh-CN"/>
                    </w:rPr>
                    <w:t>75</w:t>
                  </w:r>
                  <w:r>
                    <w:rPr>
                      <w:rFonts w:hint="default" w:ascii="Times New Roman" w:hAnsi="Times New Roman" w:cs="Times New Roman"/>
                      <w:bCs/>
                      <w:color w:val="auto"/>
                      <w:sz w:val="21"/>
                      <w:szCs w:val="21"/>
                    </w:rPr>
                    <w:t>dB（A）</w:t>
                  </w:r>
                </w:p>
              </w:tc>
              <w:tc>
                <w:tcPr>
                  <w:tcW w:w="1094" w:type="pct"/>
                  <w:vMerge w:val="continue"/>
                  <w:tcBorders>
                    <w:left w:val="single" w:color="auto" w:sz="4" w:space="0"/>
                    <w:right w:val="single" w:color="auto" w:sz="4" w:space="0"/>
                  </w:tcBorders>
                  <w:noWrap w:val="0"/>
                  <w:vAlign w:val="center"/>
                </w:tcPr>
                <w:p>
                  <w:pPr>
                    <w:pStyle w:val="54"/>
                    <w:snapToGrid w:val="0"/>
                    <w:spacing w:before="0" w:after="0" w:line="240" w:lineRule="auto"/>
                    <w:ind w:firstLine="0"/>
                    <w:jc w:val="center"/>
                    <w:rPr>
                      <w:rFonts w:hint="default" w:ascii="Times New Roman" w:hAnsi="Times New Roman" w:cs="Times New Roman"/>
                      <w:color w:val="auto"/>
                      <w:sz w:val="21"/>
                      <w:szCs w:val="21"/>
                      <w:lang w:val="en-US" w:eastAsia="zh-CN"/>
                    </w:rPr>
                  </w:pPr>
                </w:p>
              </w:tc>
              <w:tc>
                <w:tcPr>
                  <w:tcW w:w="870" w:type="pct"/>
                  <w:vMerge w:val="continue"/>
                  <w:tcBorders>
                    <w:left w:val="single" w:color="auto" w:sz="4" w:space="0"/>
                    <w:right w:val="single" w:color="auto" w:sz="4" w:space="0"/>
                  </w:tcBorders>
                  <w:noWrap w:val="0"/>
                  <w:vAlign w:val="center"/>
                </w:tcPr>
                <w:p>
                  <w:pPr>
                    <w:pStyle w:val="54"/>
                    <w:snapToGrid w:val="0"/>
                    <w:spacing w:before="0" w:after="0" w:line="240" w:lineRule="auto"/>
                    <w:ind w:firstLine="0"/>
                    <w:jc w:val="center"/>
                    <w:rPr>
                      <w:rFonts w:hint="default" w:ascii="Times New Roman" w:hAnsi="Times New Roman" w:cs="Times New Roman"/>
                      <w:color w:val="auto"/>
                      <w:sz w:val="21"/>
                      <w:szCs w:val="21"/>
                      <w:lang w:val="en-US" w:eastAsia="zh-CN"/>
                    </w:rPr>
                  </w:pPr>
                </w:p>
              </w:tc>
            </w:tr>
          </w:tbl>
          <w:p>
            <w:pPr>
              <w:keepNext w:val="0"/>
              <w:keepLines w:val="0"/>
              <w:pageBreakBefore w:val="0"/>
              <w:widowControl w:val="0"/>
              <w:kinsoku/>
              <w:wordWrap/>
              <w:overflowPunct/>
              <w:topLinePunct w:val="0"/>
              <w:bidi w:val="0"/>
              <w:adjustRightInd w:val="0"/>
              <w:snapToGrid w:val="0"/>
              <w:spacing w:line="360" w:lineRule="auto"/>
              <w:ind w:firstLine="482"/>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w:t>
            </w:r>
            <w:r>
              <w:rPr>
                <w:rFonts w:hint="default" w:ascii="Times New Roman" w:hAnsi="Times New Roman" w:cs="Times New Roman"/>
                <w:b/>
                <w:bCs/>
                <w:color w:val="auto"/>
                <w:sz w:val="24"/>
                <w:lang w:val="en-US" w:eastAsia="zh-CN"/>
              </w:rPr>
              <w:t>2</w:t>
            </w:r>
            <w:r>
              <w:rPr>
                <w:rFonts w:hint="default" w:ascii="Times New Roman" w:hAnsi="Times New Roman" w:cs="Times New Roman"/>
                <w:b/>
                <w:bCs/>
                <w:color w:val="auto"/>
                <w:sz w:val="24"/>
              </w:rPr>
              <w:t>）</w:t>
            </w:r>
            <w:r>
              <w:rPr>
                <w:rFonts w:hint="default" w:ascii="Times New Roman" w:hAnsi="Times New Roman" w:cs="Times New Roman"/>
                <w:b/>
                <w:bCs/>
                <w:color w:val="auto"/>
                <w:sz w:val="24"/>
                <w:lang w:val="en-US" w:eastAsia="zh-CN"/>
              </w:rPr>
              <w:t>噪声</w:t>
            </w:r>
            <w:r>
              <w:rPr>
                <w:rFonts w:hint="default" w:ascii="Times New Roman" w:hAnsi="Times New Roman" w:cs="Times New Roman"/>
                <w:b/>
                <w:bCs/>
                <w:color w:val="auto"/>
                <w:sz w:val="24"/>
              </w:rPr>
              <w:t>达标情况分析</w:t>
            </w:r>
          </w:p>
          <w:p>
            <w:pPr>
              <w:adjustRightInd w:val="0"/>
              <w:snapToGrid w:val="0"/>
              <w:spacing w:line="360" w:lineRule="auto"/>
              <w:ind w:firstLine="480"/>
              <w:rPr>
                <w:rFonts w:ascii="Times New Roman" w:hAnsi="Times New Roman" w:cs="Times New Roman"/>
                <w:color w:val="auto"/>
                <w:sz w:val="24"/>
              </w:rPr>
            </w:pPr>
            <w:r>
              <w:rPr>
                <w:rFonts w:ascii="Times New Roman" w:hAnsi="Times New Roman" w:cs="Times New Roman"/>
                <w:color w:val="auto"/>
                <w:sz w:val="24"/>
              </w:rPr>
              <w:t>项目声环境影响预测使用石家庄环安科技有限公司的噪声环境影响评价系统进行噪声预测，预测过程中，各噪声设备在一定的距离处可以被视作点源，设备所处位置、与墙壁的距离、房间常数、与预测点的距离、隔墙厚度等均按实际布设确定，同时考虑了地形因素的影响。</w:t>
            </w:r>
          </w:p>
          <w:p>
            <w:pPr>
              <w:adjustRightInd w:val="0"/>
              <w:snapToGrid w:val="0"/>
              <w:spacing w:line="360" w:lineRule="auto"/>
              <w:ind w:firstLine="480"/>
              <w:rPr>
                <w:rFonts w:ascii="Times New Roman" w:hAnsi="Times New Roman" w:cs="Times New Roman"/>
                <w:color w:val="auto"/>
                <w:sz w:val="24"/>
              </w:rPr>
            </w:pPr>
            <w:r>
              <w:rPr>
                <w:rFonts w:ascii="Times New Roman" w:hAnsi="Times New Roman" w:cs="Times New Roman"/>
                <w:color w:val="auto"/>
                <w:sz w:val="24"/>
              </w:rPr>
              <w:t>项目四厂界及敏感点噪声预测结果如下表所示：</w:t>
            </w:r>
          </w:p>
          <w:p>
            <w:pPr>
              <w:snapToGrid w:val="0"/>
              <w:spacing w:line="240" w:lineRule="auto"/>
              <w:jc w:val="center"/>
              <w:rPr>
                <w:rFonts w:hint="eastAsia" w:ascii="Times New Roman" w:hAnsi="Times New Roman" w:cs="Times New Roman"/>
                <w:b/>
                <w:bCs/>
                <w:color w:val="auto"/>
                <w:szCs w:val="21"/>
                <w:highlight w:val="none"/>
              </w:rPr>
            </w:pPr>
            <w:r>
              <w:rPr>
                <w:rFonts w:hint="eastAsia" w:ascii="Times New Roman" w:hAnsi="Times New Roman" w:cs="Times New Roman"/>
                <w:b/>
                <w:bCs/>
                <w:color w:val="auto"/>
                <w:szCs w:val="21"/>
                <w:highlight w:val="none"/>
                <w:lang w:val="en-US" w:eastAsia="zh-CN"/>
              </w:rPr>
              <w:t xml:space="preserve">表4-15  </w:t>
            </w:r>
            <w:r>
              <w:rPr>
                <w:rFonts w:hint="eastAsia" w:ascii="Times New Roman" w:hAnsi="Times New Roman" w:cs="Times New Roman"/>
                <w:b/>
                <w:bCs/>
                <w:color w:val="auto"/>
                <w:szCs w:val="21"/>
                <w:highlight w:val="none"/>
              </w:rPr>
              <w:t>项目噪声预测结果一览表  单位：dB(A)</w:t>
            </w:r>
          </w:p>
          <w:tbl>
            <w:tblPr>
              <w:tblStyle w:val="2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9"/>
              <w:gridCol w:w="2818"/>
              <w:gridCol w:w="2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noWrap w:val="0"/>
                  <w:vAlign w:val="center"/>
                </w:tcPr>
                <w:p>
                  <w:pPr>
                    <w:pStyle w:val="2"/>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点位</w:t>
                  </w:r>
                </w:p>
              </w:tc>
              <w:tc>
                <w:tcPr>
                  <w:tcW w:w="1666" w:type="pct"/>
                  <w:noWrap w:val="0"/>
                  <w:vAlign w:val="center"/>
                </w:tcPr>
                <w:p>
                  <w:pPr>
                    <w:pStyle w:val="2"/>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昼间贡献值</w:t>
                  </w:r>
                </w:p>
              </w:tc>
              <w:tc>
                <w:tcPr>
                  <w:tcW w:w="1666" w:type="pct"/>
                  <w:noWrap w:val="0"/>
                  <w:vAlign w:val="center"/>
                </w:tcPr>
                <w:p>
                  <w:pPr>
                    <w:pStyle w:val="2"/>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夜间贡献值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noWrap w:val="0"/>
                  <w:vAlign w:val="center"/>
                </w:tcPr>
                <w:p>
                  <w:pPr>
                    <w:pStyle w:val="2"/>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北厂界</w:t>
                  </w:r>
                </w:p>
              </w:tc>
              <w:tc>
                <w:tcPr>
                  <w:tcW w:w="1666" w:type="pct"/>
                  <w:noWrap w:val="0"/>
                  <w:vAlign w:val="center"/>
                </w:tcPr>
                <w:p>
                  <w:pPr>
                    <w:pStyle w:val="2"/>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31.48</w:t>
                  </w:r>
                </w:p>
              </w:tc>
              <w:tc>
                <w:tcPr>
                  <w:tcW w:w="3145" w:type="dxa"/>
                  <w:noWrap w:val="0"/>
                  <w:vAlign w:val="center"/>
                </w:tcPr>
                <w:p>
                  <w:pPr>
                    <w:pStyle w:val="2"/>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31.48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noWrap w:val="0"/>
                  <w:vAlign w:val="center"/>
                </w:tcPr>
                <w:p>
                  <w:pPr>
                    <w:pStyle w:val="2"/>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东厂界</w:t>
                  </w:r>
                </w:p>
              </w:tc>
              <w:tc>
                <w:tcPr>
                  <w:tcW w:w="1666" w:type="pct"/>
                  <w:noWrap w:val="0"/>
                  <w:vAlign w:val="center"/>
                </w:tcPr>
                <w:p>
                  <w:pPr>
                    <w:pStyle w:val="2"/>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29.02</w:t>
                  </w:r>
                </w:p>
              </w:tc>
              <w:tc>
                <w:tcPr>
                  <w:tcW w:w="3145" w:type="dxa"/>
                  <w:noWrap w:val="0"/>
                  <w:vAlign w:val="center"/>
                </w:tcPr>
                <w:p>
                  <w:pPr>
                    <w:pStyle w:val="2"/>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29.02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noWrap w:val="0"/>
                  <w:vAlign w:val="center"/>
                </w:tcPr>
                <w:p>
                  <w:pPr>
                    <w:pStyle w:val="2"/>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南厂界</w:t>
                  </w:r>
                </w:p>
              </w:tc>
              <w:tc>
                <w:tcPr>
                  <w:tcW w:w="1666" w:type="pct"/>
                  <w:noWrap w:val="0"/>
                  <w:vAlign w:val="center"/>
                </w:tcPr>
                <w:p>
                  <w:pPr>
                    <w:pStyle w:val="2"/>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37.62</w:t>
                  </w:r>
                </w:p>
              </w:tc>
              <w:tc>
                <w:tcPr>
                  <w:tcW w:w="3145" w:type="dxa"/>
                  <w:noWrap w:val="0"/>
                  <w:vAlign w:val="center"/>
                </w:tcPr>
                <w:p>
                  <w:pPr>
                    <w:pStyle w:val="2"/>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37.62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noWrap w:val="0"/>
                  <w:vAlign w:val="center"/>
                </w:tcPr>
                <w:p>
                  <w:pPr>
                    <w:pStyle w:val="2"/>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西厂界</w:t>
                  </w:r>
                </w:p>
              </w:tc>
              <w:tc>
                <w:tcPr>
                  <w:tcW w:w="1666" w:type="pct"/>
                  <w:noWrap w:val="0"/>
                  <w:vAlign w:val="center"/>
                </w:tcPr>
                <w:p>
                  <w:pPr>
                    <w:pStyle w:val="2"/>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28.40</w:t>
                  </w:r>
                </w:p>
              </w:tc>
              <w:tc>
                <w:tcPr>
                  <w:tcW w:w="3145" w:type="dxa"/>
                  <w:noWrap w:val="0"/>
                  <w:vAlign w:val="center"/>
                </w:tcPr>
                <w:p>
                  <w:pPr>
                    <w:pStyle w:val="2"/>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28.40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noWrap w:val="0"/>
                  <w:vAlign w:val="center"/>
                </w:tcPr>
                <w:p>
                  <w:pPr>
                    <w:pStyle w:val="2"/>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二十三号村</w:t>
                  </w:r>
                </w:p>
              </w:tc>
              <w:tc>
                <w:tcPr>
                  <w:tcW w:w="1666" w:type="pct"/>
                  <w:noWrap w:val="0"/>
                  <w:vAlign w:val="center"/>
                </w:tcPr>
                <w:p>
                  <w:pPr>
                    <w:pStyle w:val="2"/>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30.74</w:t>
                  </w:r>
                </w:p>
              </w:tc>
              <w:tc>
                <w:tcPr>
                  <w:tcW w:w="3145" w:type="dxa"/>
                  <w:noWrap w:val="0"/>
                  <w:vAlign w:val="center"/>
                </w:tcPr>
                <w:p>
                  <w:pPr>
                    <w:pStyle w:val="2"/>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30.74</w:t>
                  </w:r>
                </w:p>
              </w:tc>
            </w:tr>
          </w:tbl>
          <w:p>
            <w:pPr>
              <w:adjustRightInd w:val="0"/>
              <w:snapToGrid w:val="0"/>
              <w:spacing w:before="156" w:beforeLines="50" w:line="360" w:lineRule="auto"/>
              <w:ind w:firstLine="482"/>
              <w:rPr>
                <w:rFonts w:ascii="Times New Roman" w:hAnsi="Times New Roman" w:cs="Times New Roman"/>
                <w:color w:val="auto"/>
                <w:sz w:val="24"/>
                <w:highlight w:val="none"/>
              </w:rPr>
            </w:pPr>
            <w:r>
              <w:rPr>
                <w:rFonts w:ascii="Times New Roman" w:hAnsi="Times New Roman" w:cs="Times New Roman"/>
                <w:color w:val="auto"/>
                <w:kern w:val="0"/>
                <w:sz w:val="24"/>
                <w:highlight w:val="none"/>
                <w:lang w:val="zh-CN"/>
              </w:rPr>
              <w:t>项目运营期声级等值线（贡献值）</w:t>
            </w:r>
            <w:r>
              <w:rPr>
                <w:rFonts w:ascii="Times New Roman" w:hAnsi="Times New Roman" w:cs="Times New Roman"/>
                <w:color w:val="auto"/>
                <w:sz w:val="24"/>
                <w:highlight w:val="none"/>
              </w:rPr>
              <w:t>见下图。</w:t>
            </w:r>
          </w:p>
          <w:p>
            <w:pPr>
              <w:adjustRightInd w:val="0"/>
              <w:snapToGrid w:val="0"/>
              <w:spacing w:before="156" w:beforeLines="50" w:line="360" w:lineRule="auto"/>
              <w:jc w:val="center"/>
              <w:rPr>
                <w:rFonts w:hint="eastAsia" w:ascii="Times New Roman" w:hAnsi="Times New Roman" w:cs="Times New Roman" w:eastAsiaTheme="minorEastAsia"/>
                <w:color w:val="auto"/>
                <w:sz w:val="24"/>
                <w:highlight w:val="yellow"/>
                <w:lang w:eastAsia="zh-CN"/>
              </w:rPr>
            </w:pPr>
            <w:r>
              <w:rPr>
                <w:color w:val="auto"/>
              </w:rPr>
              <w:drawing>
                <wp:inline distT="0" distB="0" distL="114300" distR="114300">
                  <wp:extent cx="4411345" cy="3056255"/>
                  <wp:effectExtent l="0" t="0" r="8255" b="1079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6"/>
                          <a:stretch>
                            <a:fillRect/>
                          </a:stretch>
                        </pic:blipFill>
                        <pic:spPr>
                          <a:xfrm>
                            <a:off x="0" y="0"/>
                            <a:ext cx="4411345" cy="3056255"/>
                          </a:xfrm>
                          <a:prstGeom prst="rect">
                            <a:avLst/>
                          </a:prstGeom>
                          <a:noFill/>
                          <a:ln>
                            <a:noFill/>
                          </a:ln>
                        </pic:spPr>
                      </pic:pic>
                    </a:graphicData>
                  </a:graphic>
                </wp:inline>
              </w:drawing>
            </w:r>
          </w:p>
          <w:p>
            <w:pPr>
              <w:adjustRightInd w:val="0"/>
              <w:snapToGrid w:val="0"/>
              <w:spacing w:line="360" w:lineRule="auto"/>
              <w:ind w:firstLine="482"/>
              <w:jc w:val="center"/>
              <w:rPr>
                <w:rFonts w:hint="default" w:ascii="Times New Roman" w:hAnsi="Times New Roman" w:cs="Times New Roman" w:eastAsiaTheme="minorEastAsia"/>
                <w:color w:val="auto"/>
                <w:sz w:val="24"/>
                <w:highlight w:val="none"/>
                <w:lang w:val="en-US" w:eastAsia="zh-CN"/>
              </w:rPr>
            </w:pPr>
            <w:r>
              <w:rPr>
                <w:rFonts w:ascii="Times New Roman" w:hAnsi="Times New Roman" w:cs="Times New Roman"/>
                <w:b/>
                <w:color w:val="auto"/>
                <w:szCs w:val="21"/>
                <w:highlight w:val="none"/>
              </w:rPr>
              <w:t>图4-1  噪声</w:t>
            </w:r>
            <w:r>
              <w:rPr>
                <w:rFonts w:hint="eastAsia" w:ascii="Times New Roman" w:hAnsi="Times New Roman" w:cs="Times New Roman"/>
                <w:b/>
                <w:color w:val="auto"/>
                <w:szCs w:val="21"/>
                <w:highlight w:val="none"/>
                <w:lang w:val="en-US" w:eastAsia="zh-CN"/>
              </w:rPr>
              <w:t>贡献值等声值线图</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cs="Times New Roman"/>
                <w:color w:val="auto"/>
                <w:sz w:val="24"/>
              </w:rPr>
            </w:pPr>
            <w:r>
              <w:rPr>
                <w:rFonts w:hint="default" w:ascii="Times New Roman" w:hAnsi="Times New Roman" w:cs="Times New Roman"/>
                <w:color w:val="auto"/>
                <w:kern w:val="0"/>
                <w:sz w:val="24"/>
              </w:rPr>
              <w:t>通过采取上述隔音、减振等降噪措施，可有效的降低噪声对周围环境的影响，</w:t>
            </w:r>
            <w:r>
              <w:rPr>
                <w:rFonts w:hint="default" w:ascii="Times New Roman" w:hAnsi="Times New Roman" w:cs="Times New Roman"/>
                <w:color w:val="auto"/>
                <w:sz w:val="24"/>
                <w:szCs w:val="24"/>
              </w:rPr>
              <w:t>使噪声降低20</w:t>
            </w:r>
            <w:r>
              <w:rPr>
                <w:rFonts w:hint="eastAsia" w:ascii="Times New Roman" w:hAnsi="Times New Roman" w:cs="Times New Roman"/>
                <w:color w:val="auto"/>
                <w:sz w:val="24"/>
                <w:szCs w:val="24"/>
                <w:lang w:val="en-US" w:eastAsia="zh-CN"/>
              </w:rPr>
              <w:t>~30</w:t>
            </w:r>
            <w:r>
              <w:rPr>
                <w:rFonts w:hint="default" w:ascii="Times New Roman" w:hAnsi="Times New Roman" w:cs="Times New Roman"/>
                <w:color w:val="auto"/>
                <w:sz w:val="24"/>
                <w:szCs w:val="24"/>
              </w:rPr>
              <w:t>dB(A)左右，再经过距离的衰减、厂界围墙隔声，项目厂界环境可以满足《工业企业厂界环境噪声排放标准》(GB12348-2008)中的2类标准要求，实现达标排放。项目排放的噪声在</w:t>
            </w:r>
            <w:r>
              <w:rPr>
                <w:rFonts w:hint="default" w:ascii="Times New Roman" w:hAnsi="Times New Roman" w:cs="Times New Roman"/>
                <w:color w:val="auto"/>
                <w:sz w:val="24"/>
                <w:szCs w:val="24"/>
                <w:lang w:val="en-US" w:eastAsia="zh-CN"/>
              </w:rPr>
              <w:t>二十三号村</w:t>
            </w:r>
            <w:r>
              <w:rPr>
                <w:rFonts w:hint="default" w:ascii="Times New Roman" w:hAnsi="Times New Roman" w:cs="Times New Roman"/>
                <w:color w:val="auto"/>
                <w:sz w:val="24"/>
                <w:szCs w:val="24"/>
              </w:rPr>
              <w:t>的贡献值满足《声环境质量标准》(GB3096-2008)中的2类区标准。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b/>
                <w:bCs/>
                <w:color w:val="auto"/>
                <w:sz w:val="24"/>
              </w:rPr>
            </w:pPr>
            <w:r>
              <w:rPr>
                <w:rFonts w:hint="eastAsia" w:ascii="Times New Roman" w:hAnsi="Times New Roman" w:cs="Times New Roman"/>
                <w:b/>
                <w:bCs/>
                <w:color w:val="auto"/>
                <w:sz w:val="24"/>
              </w:rPr>
              <w:t>（</w:t>
            </w:r>
            <w:r>
              <w:rPr>
                <w:rFonts w:hint="eastAsia" w:ascii="Times New Roman" w:hAnsi="Times New Roman" w:cs="Times New Roman"/>
                <w:b/>
                <w:bCs/>
                <w:color w:val="auto"/>
                <w:sz w:val="24"/>
                <w:lang w:val="en-US" w:eastAsia="zh-CN"/>
              </w:rPr>
              <w:t>3</w:t>
            </w:r>
            <w:r>
              <w:rPr>
                <w:rFonts w:hint="eastAsia" w:ascii="Times New Roman" w:hAnsi="Times New Roman" w:cs="Times New Roman"/>
                <w:b/>
                <w:bCs/>
                <w:color w:val="auto"/>
                <w:sz w:val="24"/>
              </w:rPr>
              <w:t>）监测要求</w:t>
            </w:r>
          </w:p>
          <w:p>
            <w:pPr>
              <w:adjustRightInd w:val="0"/>
              <w:snapToGrid w:val="0"/>
              <w:spacing w:line="360" w:lineRule="auto"/>
              <w:ind w:firstLine="480"/>
              <w:rPr>
                <w:rFonts w:ascii="Times New Roman" w:hAnsi="Times New Roman" w:cs="Times New Roman"/>
                <w:color w:val="auto"/>
                <w:sz w:val="24"/>
              </w:rPr>
            </w:pPr>
            <w:r>
              <w:rPr>
                <w:rFonts w:ascii="Times New Roman" w:hAnsi="Times New Roman" w:cs="Times New Roman"/>
                <w:color w:val="auto"/>
                <w:sz w:val="24"/>
              </w:rPr>
              <w:t>项目</w:t>
            </w:r>
            <w:r>
              <w:rPr>
                <w:rFonts w:hint="eastAsia" w:ascii="Times New Roman" w:hAnsi="Times New Roman" w:cs="Times New Roman"/>
                <w:color w:val="auto"/>
                <w:sz w:val="24"/>
              </w:rPr>
              <w:t>噪声源</w:t>
            </w:r>
            <w:r>
              <w:rPr>
                <w:rFonts w:ascii="Times New Roman" w:hAnsi="Times New Roman" w:cs="Times New Roman"/>
                <w:color w:val="auto"/>
                <w:sz w:val="24"/>
              </w:rPr>
              <w:t>监测要求详见下表：</w:t>
            </w:r>
          </w:p>
          <w:p>
            <w:pPr>
              <w:snapToGrid w:val="0"/>
              <w:spacing w:line="240" w:lineRule="auto"/>
              <w:jc w:val="center"/>
              <w:rPr>
                <w:rFonts w:ascii="Times New Roman" w:hAnsi="Times New Roman" w:cs="Times New Roman"/>
                <w:b/>
                <w:bCs/>
                <w:color w:val="auto"/>
                <w:szCs w:val="21"/>
              </w:rPr>
            </w:pPr>
            <w:r>
              <w:rPr>
                <w:rFonts w:hint="eastAsia" w:ascii="Times New Roman" w:hAnsi="Times New Roman" w:cs="Times New Roman"/>
                <w:b/>
                <w:bCs/>
                <w:color w:val="auto"/>
                <w:szCs w:val="21"/>
              </w:rPr>
              <w:t>表4-</w:t>
            </w:r>
            <w:r>
              <w:rPr>
                <w:rFonts w:hint="eastAsia" w:ascii="Times New Roman" w:hAnsi="Times New Roman" w:cs="Times New Roman"/>
                <w:b/>
                <w:bCs/>
                <w:color w:val="auto"/>
                <w:szCs w:val="21"/>
                <w:lang w:val="en-US" w:eastAsia="zh-CN"/>
              </w:rPr>
              <w:t>16</w:t>
            </w:r>
            <w:r>
              <w:rPr>
                <w:rFonts w:hint="eastAsia" w:ascii="Times New Roman" w:hAnsi="Times New Roman" w:cs="Times New Roman"/>
                <w:b/>
                <w:bCs/>
                <w:color w:val="auto"/>
                <w:szCs w:val="21"/>
              </w:rPr>
              <w:t xml:space="preserve">  项目噪声源监测要求一览表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1370"/>
              <w:gridCol w:w="1148"/>
              <w:gridCol w:w="1162"/>
              <w:gridCol w:w="3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环境要素</w:t>
                  </w:r>
                </w:p>
              </w:tc>
              <w:tc>
                <w:tcPr>
                  <w:tcW w:w="810" w:type="pct"/>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监测位置</w:t>
                  </w:r>
                </w:p>
              </w:tc>
              <w:tc>
                <w:tcPr>
                  <w:tcW w:w="679" w:type="pct"/>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监测项目</w:t>
                  </w:r>
                </w:p>
              </w:tc>
              <w:tc>
                <w:tcPr>
                  <w:tcW w:w="687" w:type="pct"/>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频次</w:t>
                  </w:r>
                </w:p>
              </w:tc>
              <w:tc>
                <w:tcPr>
                  <w:tcW w:w="2161" w:type="pct"/>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cs="Times New Roman"/>
                      <w:b/>
                      <w:color w:val="auto"/>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661" w:type="pc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810" w:type="pc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四厂界外1m处</w:t>
                  </w:r>
                </w:p>
              </w:tc>
              <w:tc>
                <w:tcPr>
                  <w:tcW w:w="679" w:type="pc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Leq</w:t>
                  </w:r>
                </w:p>
              </w:tc>
              <w:tc>
                <w:tcPr>
                  <w:tcW w:w="687" w:type="pct"/>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次</w:t>
                  </w:r>
                  <w:r>
                    <w:rPr>
                      <w:rFonts w:hint="eastAsia" w:ascii="Times New Roman" w:hAnsi="Times New Roman" w:cs="Times New Roman"/>
                      <w:color w:val="auto"/>
                      <w:sz w:val="21"/>
                      <w:szCs w:val="21"/>
                      <w:lang w:val="en-US" w:eastAsia="zh-CN"/>
                    </w:rPr>
                    <w:t>/季度</w:t>
                  </w:r>
                </w:p>
              </w:tc>
              <w:tc>
                <w:tcPr>
                  <w:tcW w:w="2161" w:type="pc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《工业企业厂界环境噪声排放标准》（GB12348-2008）中</w:t>
                  </w: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类标准要求</w:t>
                  </w:r>
                </w:p>
              </w:tc>
            </w:tr>
          </w:tbl>
          <w:p>
            <w:pPr>
              <w:keepNext w:val="0"/>
              <w:keepLines w:val="0"/>
              <w:pageBreakBefore w:val="0"/>
              <w:widowControl w:val="0"/>
              <w:kinsoku/>
              <w:wordWrap/>
              <w:overflowPunct/>
              <w:topLinePunct w:val="0"/>
              <w:autoSpaceDE/>
              <w:autoSpaceDN/>
              <w:bidi w:val="0"/>
              <w:adjustRightInd w:val="0"/>
              <w:snapToGrid w:val="0"/>
              <w:spacing w:before="156" w:beforeLines="50" w:line="360" w:lineRule="auto"/>
              <w:ind w:firstLine="482" w:firstLineChars="200"/>
              <w:textAlignment w:val="auto"/>
              <w:rPr>
                <w:rFonts w:ascii="Times New Roman" w:hAnsi="Times New Roman" w:cs="Times New Roman"/>
                <w:b/>
                <w:bCs/>
                <w:color w:val="auto"/>
                <w:sz w:val="24"/>
              </w:rPr>
            </w:pPr>
            <w:r>
              <w:rPr>
                <w:rFonts w:ascii="Times New Roman" w:hAnsi="Times New Roman" w:cs="Times New Roman"/>
                <w:b/>
                <w:bCs/>
                <w:color w:val="auto"/>
                <w:sz w:val="24"/>
              </w:rPr>
              <w:t>4、固体废物</w:t>
            </w:r>
          </w:p>
          <w:p>
            <w:pPr>
              <w:snapToGrid w:val="0"/>
              <w:spacing w:line="360" w:lineRule="auto"/>
              <w:ind w:firstLine="482" w:firstLineChars="200"/>
              <w:rPr>
                <w:rFonts w:hint="default" w:ascii="Times New Roman" w:hAnsi="Times New Roman" w:cs="Times New Roman" w:eastAsiaTheme="minorEastAsia"/>
                <w:b/>
                <w:bCs/>
                <w:color w:val="auto"/>
                <w:sz w:val="24"/>
                <w:lang w:val="en-US" w:eastAsia="zh-CN"/>
              </w:rPr>
            </w:pPr>
            <w:r>
              <w:rPr>
                <w:rFonts w:hint="eastAsia" w:ascii="Times New Roman" w:hAnsi="Times New Roman" w:cs="Times New Roman"/>
                <w:b/>
                <w:bCs/>
                <w:color w:val="auto"/>
                <w:sz w:val="24"/>
                <w:lang w:eastAsia="zh-CN"/>
              </w:rPr>
              <w:t>（</w:t>
            </w:r>
            <w:r>
              <w:rPr>
                <w:rFonts w:hint="eastAsia" w:ascii="Times New Roman" w:hAnsi="Times New Roman" w:cs="Times New Roman"/>
                <w:b/>
                <w:bCs/>
                <w:color w:val="auto"/>
                <w:sz w:val="24"/>
                <w:lang w:val="en-US" w:eastAsia="zh-CN"/>
              </w:rPr>
              <w:t>1</w:t>
            </w:r>
            <w:r>
              <w:rPr>
                <w:rFonts w:hint="eastAsia" w:ascii="Times New Roman" w:hAnsi="Times New Roman" w:cs="Times New Roman"/>
                <w:b/>
                <w:bCs/>
                <w:color w:val="auto"/>
                <w:sz w:val="24"/>
                <w:lang w:eastAsia="zh-CN"/>
              </w:rPr>
              <w:t>）</w:t>
            </w:r>
            <w:r>
              <w:rPr>
                <w:rFonts w:hint="eastAsia" w:ascii="Times New Roman" w:hAnsi="Times New Roman" w:cs="Times New Roman"/>
                <w:b/>
                <w:bCs/>
                <w:color w:val="auto"/>
                <w:sz w:val="24"/>
                <w:lang w:val="en-US" w:eastAsia="zh-CN"/>
              </w:rPr>
              <w:t>固体废物产生情况</w:t>
            </w:r>
          </w:p>
          <w:p>
            <w:pPr>
              <w:snapToGrid w:val="0"/>
              <w:spacing w:line="360" w:lineRule="auto"/>
              <w:ind w:firstLine="480" w:firstLineChars="200"/>
              <w:rPr>
                <w:rFonts w:hint="eastAsia" w:ascii="Times New Roman" w:hAnsi="Times New Roman" w:cs="Times New Roman"/>
                <w:b/>
                <w:bCs/>
                <w:color w:val="auto"/>
                <w:sz w:val="24"/>
                <w:szCs w:val="24"/>
                <w:highlight w:val="yellow"/>
                <w:lang w:val="en-US" w:eastAsia="zh-CN"/>
              </w:rPr>
            </w:pPr>
            <w:r>
              <w:rPr>
                <w:rFonts w:ascii="Times New Roman" w:hAnsi="Times New Roman" w:cs="Times New Roman"/>
                <w:color w:val="auto"/>
                <w:sz w:val="24"/>
              </w:rPr>
              <w:t>项目生产运行阶段产生的固体废物包括一般工业固废和危险废物。</w:t>
            </w:r>
          </w:p>
          <w:p>
            <w:pPr>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①一般工业固废</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color w:val="auto"/>
                <w:sz w:val="24"/>
                <w:szCs w:val="22"/>
                <w:lang w:val="en-US" w:eastAsia="zh-CN"/>
              </w:rPr>
              <w:t>（1）</w:t>
            </w:r>
            <w:r>
              <w:rPr>
                <w:rFonts w:hint="default" w:ascii="Times New Roman" w:hAnsi="Times New Roman" w:eastAsia="宋体" w:cs="Times New Roman"/>
                <w:color w:val="auto"/>
                <w:sz w:val="24"/>
                <w:szCs w:val="22"/>
              </w:rPr>
              <w:t>锅炉炉渣</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color w:val="auto"/>
                <w:sz w:val="24"/>
                <w:szCs w:val="22"/>
                <w:lang w:val="en-US" w:eastAsia="zh-CN"/>
              </w:rPr>
              <w:t>煤质中</w:t>
            </w:r>
            <w:r>
              <w:rPr>
                <w:rFonts w:hint="default" w:ascii="Times New Roman" w:hAnsi="Times New Roman" w:eastAsia="宋体" w:cs="Times New Roman"/>
                <w:color w:val="auto"/>
                <w:sz w:val="24"/>
                <w:szCs w:val="22"/>
              </w:rPr>
              <w:t>收到基灰份</w:t>
            </w:r>
            <w:r>
              <w:rPr>
                <w:rFonts w:hint="default" w:ascii="Times New Roman" w:hAnsi="Times New Roman" w:eastAsia="宋体" w:cs="Times New Roman"/>
                <w:color w:val="auto"/>
                <w:sz w:val="24"/>
                <w:szCs w:val="22"/>
                <w:lang w:val="en-US" w:eastAsia="zh-CN"/>
              </w:rPr>
              <w:t>A为6.43%，</w:t>
            </w:r>
            <w:r>
              <w:rPr>
                <w:rFonts w:hint="default" w:ascii="Times New Roman" w:hAnsi="Times New Roman" w:eastAsia="宋体" w:cs="Times New Roman"/>
                <w:color w:val="auto"/>
                <w:sz w:val="24"/>
                <w:szCs w:val="22"/>
              </w:rPr>
              <w:t>根据《第一次全国污染源普查工业污染源产排污系数手册》燃煤工业锅炉产排污系数表，炉渣</w:t>
            </w:r>
            <w:r>
              <w:rPr>
                <w:rFonts w:hint="default" w:ascii="Times New Roman" w:hAnsi="Times New Roman" w:eastAsia="宋体" w:cs="Times New Roman"/>
                <w:color w:val="auto"/>
                <w:sz w:val="24"/>
                <w:szCs w:val="22"/>
                <w:lang w:val="en-US" w:eastAsia="zh-CN"/>
              </w:rPr>
              <w:t>产生量为5.25A千克/吨原料，即</w:t>
            </w:r>
            <w:r>
              <w:rPr>
                <w:rFonts w:hint="default" w:ascii="Times New Roman" w:hAnsi="Times New Roman" w:eastAsia="宋体" w:cs="Times New Roman"/>
                <w:color w:val="auto"/>
                <w:sz w:val="24"/>
                <w:szCs w:val="22"/>
              </w:rPr>
              <w:t>炉渣</w:t>
            </w:r>
            <w:r>
              <w:rPr>
                <w:rFonts w:hint="default" w:ascii="Times New Roman" w:hAnsi="Times New Roman" w:eastAsia="宋体" w:cs="Times New Roman"/>
                <w:color w:val="auto"/>
                <w:sz w:val="24"/>
                <w:szCs w:val="22"/>
                <w:lang w:val="en-US" w:eastAsia="zh-CN"/>
              </w:rPr>
              <w:t>产生量为356.14t/a，集中收集后外售。</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color w:val="auto"/>
                <w:sz w:val="24"/>
                <w:szCs w:val="22"/>
                <w:lang w:val="en-US" w:eastAsia="zh-CN"/>
              </w:rPr>
              <w:t>（2）锅炉除尘器粉煤灰</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color w:val="auto"/>
                <w:sz w:val="24"/>
                <w:szCs w:val="22"/>
                <w:lang w:val="en-US" w:eastAsia="zh-CN"/>
              </w:rPr>
              <w:t>项目烟尘产生量为352.07t/a，烟尘排放量为</w:t>
            </w:r>
            <w:r>
              <w:rPr>
                <w:rFonts w:hint="default" w:ascii="Times New Roman" w:hAnsi="Times New Roman" w:cs="Times New Roman"/>
                <w:color w:val="auto"/>
                <w:sz w:val="24"/>
                <w:szCs w:val="22"/>
                <w:lang w:val="en-US" w:eastAsia="zh-CN"/>
              </w:rPr>
              <w:t>1.06</w:t>
            </w:r>
            <w:r>
              <w:rPr>
                <w:rFonts w:hint="default" w:ascii="Times New Roman" w:hAnsi="Times New Roman" w:eastAsia="宋体" w:cs="Times New Roman"/>
                <w:color w:val="auto"/>
                <w:sz w:val="24"/>
                <w:szCs w:val="22"/>
                <w:lang w:val="en-US" w:eastAsia="zh-CN"/>
              </w:rPr>
              <w:t>t/a，粉煤灰产生量为351.</w:t>
            </w:r>
            <w:r>
              <w:rPr>
                <w:rFonts w:hint="default" w:ascii="Times New Roman" w:hAnsi="Times New Roman" w:cs="Times New Roman"/>
                <w:color w:val="auto"/>
                <w:sz w:val="24"/>
                <w:szCs w:val="22"/>
                <w:lang w:val="en-US" w:eastAsia="zh-CN"/>
              </w:rPr>
              <w:t>01</w:t>
            </w:r>
            <w:r>
              <w:rPr>
                <w:rFonts w:hint="default" w:ascii="Times New Roman" w:hAnsi="Times New Roman" w:eastAsia="宋体" w:cs="Times New Roman"/>
                <w:color w:val="auto"/>
                <w:sz w:val="24"/>
                <w:szCs w:val="22"/>
                <w:lang w:val="en-US" w:eastAsia="zh-CN"/>
              </w:rPr>
              <w:t>t/a。粉煤灰集中收集后外售。</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color w:val="auto"/>
                <w:sz w:val="24"/>
                <w:szCs w:val="22"/>
                <w:lang w:val="en-US" w:eastAsia="zh-CN"/>
              </w:rPr>
              <w:t>（3）</w:t>
            </w:r>
            <w:r>
              <w:rPr>
                <w:rFonts w:hint="default" w:ascii="Times New Roman" w:hAnsi="Times New Roman" w:cs="Times New Roman"/>
                <w:color w:val="auto"/>
                <w:sz w:val="24"/>
                <w:szCs w:val="22"/>
                <w:lang w:val="en-US" w:eastAsia="zh-CN"/>
              </w:rPr>
              <w:t>MgSO</w:t>
            </w:r>
            <w:r>
              <w:rPr>
                <w:rFonts w:hint="default" w:ascii="Times New Roman" w:hAnsi="Times New Roman" w:cs="Times New Roman"/>
                <w:color w:val="auto"/>
                <w:sz w:val="24"/>
                <w:szCs w:val="22"/>
                <w:vertAlign w:val="subscript"/>
                <w:lang w:val="en-US" w:eastAsia="zh-CN"/>
              </w:rPr>
              <w:t>4</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color w:val="auto"/>
                <w:sz w:val="24"/>
                <w:szCs w:val="22"/>
                <w:lang w:val="en-US" w:eastAsia="zh-CN"/>
              </w:rPr>
              <w:t>本项目产生</w:t>
            </w:r>
            <w:r>
              <w:rPr>
                <w:rFonts w:hint="default" w:ascii="Times New Roman" w:hAnsi="Times New Roman" w:cs="Times New Roman"/>
                <w:color w:val="auto"/>
                <w:sz w:val="24"/>
                <w:szCs w:val="22"/>
                <w:lang w:val="en-US" w:eastAsia="zh-CN"/>
              </w:rPr>
              <w:t>MgSO</w:t>
            </w:r>
            <w:r>
              <w:rPr>
                <w:rFonts w:hint="default" w:ascii="Times New Roman" w:hAnsi="Times New Roman" w:cs="Times New Roman"/>
                <w:color w:val="auto"/>
                <w:sz w:val="24"/>
                <w:szCs w:val="22"/>
                <w:vertAlign w:val="subscript"/>
                <w:lang w:val="en-US" w:eastAsia="zh-CN"/>
              </w:rPr>
              <w:t>4</w:t>
            </w:r>
            <w:r>
              <w:rPr>
                <w:rFonts w:hint="default" w:ascii="Times New Roman" w:hAnsi="Times New Roman" w:cs="Times New Roman"/>
                <w:color w:val="auto"/>
                <w:sz w:val="24"/>
                <w:szCs w:val="22"/>
                <w:lang w:val="en-US" w:eastAsia="zh-CN"/>
              </w:rPr>
              <w:t>198</w:t>
            </w:r>
            <w:r>
              <w:rPr>
                <w:rFonts w:hint="default" w:ascii="Times New Roman" w:hAnsi="Times New Roman" w:eastAsia="宋体" w:cs="Times New Roman"/>
                <w:color w:val="auto"/>
                <w:sz w:val="24"/>
                <w:szCs w:val="22"/>
                <w:lang w:val="en-US" w:eastAsia="zh-CN"/>
              </w:rPr>
              <w:t>t/a，集中收集后外售。</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color w:val="auto"/>
                <w:sz w:val="24"/>
                <w:szCs w:val="22"/>
                <w:lang w:val="en-US" w:eastAsia="zh-CN"/>
              </w:rPr>
              <w:t>（4）废离子交换树脂</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lang w:val="en-US" w:eastAsia="zh-CN"/>
              </w:rPr>
            </w:pPr>
            <w:r>
              <w:rPr>
                <w:rFonts w:hint="default" w:ascii="Times New Roman" w:hAnsi="Times New Roman" w:eastAsia="宋体" w:cs="Times New Roman"/>
                <w:color w:val="auto"/>
                <w:sz w:val="24"/>
                <w:szCs w:val="22"/>
                <w:lang w:val="en-US" w:eastAsia="zh-CN"/>
              </w:rPr>
              <w:t>软水站废离子交换树脂产生量为1.25t/a，定期由厂家更换回收。</w:t>
            </w:r>
          </w:p>
          <w:p>
            <w:pPr>
              <w:snapToGrid w:val="0"/>
              <w:spacing w:line="360" w:lineRule="auto"/>
              <w:ind w:firstLine="480" w:firstLineChars="200"/>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②危险废物</w:t>
            </w:r>
          </w:p>
          <w:p>
            <w:pPr>
              <w:snapToGrid w:val="0"/>
              <w:spacing w:line="360" w:lineRule="auto"/>
              <w:ind w:firstLine="480" w:firstLineChars="200"/>
              <w:rPr>
                <w:rFonts w:hint="eastAsia" w:ascii="Times New Roman" w:hAnsi="Times New Roman" w:cs="Times New Roman"/>
                <w:color w:val="auto"/>
                <w:sz w:val="24"/>
                <w:lang w:val="en-US" w:eastAsia="zh-CN"/>
              </w:rPr>
            </w:pPr>
            <w:r>
              <w:rPr>
                <w:rFonts w:ascii="Times New Roman" w:hAnsi="Times New Roman" w:cs="Times New Roman"/>
                <w:color w:val="auto"/>
                <w:sz w:val="24"/>
              </w:rPr>
              <w:t>根据《国家危险废物名录》（2021年版），本项目产生的危险废物为</w:t>
            </w:r>
            <w:r>
              <w:rPr>
                <w:rFonts w:hint="eastAsia" w:ascii="Times New Roman" w:hAnsi="Times New Roman" w:cs="Times New Roman"/>
                <w:color w:val="auto"/>
                <w:sz w:val="24"/>
                <w:lang w:val="en-US" w:eastAsia="zh-CN"/>
              </w:rPr>
              <w:t>废催化剂</w:t>
            </w:r>
            <w:r>
              <w:rPr>
                <w:rFonts w:ascii="Times New Roman" w:hAnsi="Times New Roman" w:cs="Times New Roman"/>
                <w:color w:val="auto"/>
                <w:sz w:val="24"/>
              </w:rPr>
              <w:t>，产生量分别</w:t>
            </w:r>
            <w:r>
              <w:rPr>
                <w:rFonts w:hint="eastAsia" w:ascii="Times New Roman" w:hAnsi="Times New Roman" w:cs="Times New Roman"/>
                <w:color w:val="auto"/>
                <w:sz w:val="24"/>
                <w:lang w:val="en-US" w:eastAsia="zh-CN"/>
              </w:rPr>
              <w:t>0.2t/a</w:t>
            </w:r>
            <w:r>
              <w:rPr>
                <w:rFonts w:ascii="Times New Roman" w:hAnsi="Times New Roman" w:cs="Times New Roman"/>
                <w:color w:val="auto"/>
                <w:sz w:val="24"/>
              </w:rPr>
              <w:t>，贮存于危险废物贮存间内，定期委托</w:t>
            </w:r>
            <w:r>
              <w:rPr>
                <w:rFonts w:hint="eastAsia" w:ascii="Times New Roman" w:hAnsi="Times New Roman" w:cs="Times New Roman"/>
                <w:color w:val="auto"/>
                <w:sz w:val="24"/>
                <w:lang w:val="en-US" w:eastAsia="zh-CN"/>
              </w:rPr>
              <w:t>有资质单位进行收集、</w:t>
            </w:r>
            <w:r>
              <w:rPr>
                <w:rFonts w:ascii="Times New Roman" w:hAnsi="Times New Roman" w:cs="Times New Roman"/>
                <w:color w:val="auto"/>
                <w:sz w:val="24"/>
              </w:rPr>
              <w:t>转运和处置。</w:t>
            </w:r>
          </w:p>
          <w:p>
            <w:pPr>
              <w:snapToGrid w:val="0"/>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③生活垃圾</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lang w:val="en-US" w:eastAsia="zh-CN"/>
              </w:rPr>
            </w:pPr>
            <w:r>
              <w:rPr>
                <w:rFonts w:hint="default" w:ascii="Times New Roman" w:hAnsi="Times New Roman" w:eastAsia="宋体" w:cs="Times New Roman"/>
                <w:color w:val="auto"/>
                <w:sz w:val="24"/>
                <w:szCs w:val="22"/>
                <w:lang w:val="en-US" w:eastAsia="zh-CN"/>
              </w:rPr>
              <w:t>项目劳动定员为56人，生活垃圾产生量按0.5kg/人·d计算，则生活垃圾产生量为4.06t/a，集中收集后由环卫部门收集处置。</w:t>
            </w:r>
          </w:p>
          <w:p>
            <w:pPr>
              <w:snapToGrid w:val="0"/>
              <w:spacing w:line="360" w:lineRule="auto"/>
              <w:ind w:firstLine="480" w:firstLineChars="200"/>
              <w:rPr>
                <w:rFonts w:hint="eastAsia" w:ascii="Times New Roman" w:hAnsi="Times New Roman" w:cs="Times New Roman"/>
                <w:color w:val="auto"/>
                <w:sz w:val="24"/>
                <w:highlight w:val="none"/>
                <w:lang w:eastAsia="zh-CN"/>
              </w:rPr>
            </w:pPr>
            <w:r>
              <w:rPr>
                <w:rFonts w:ascii="Times New Roman" w:hAnsi="Times New Roman" w:cs="Times New Roman"/>
                <w:color w:val="auto"/>
                <w:sz w:val="24"/>
                <w:highlight w:val="none"/>
              </w:rPr>
              <w:t>项目</w:t>
            </w:r>
            <w:r>
              <w:rPr>
                <w:rFonts w:hint="eastAsia" w:ascii="Times New Roman" w:hAnsi="Times New Roman" w:cs="Times New Roman"/>
                <w:color w:val="auto"/>
                <w:sz w:val="24"/>
                <w:highlight w:val="none"/>
                <w:lang w:eastAsia="zh-CN"/>
              </w:rPr>
              <w:t>运营期</w:t>
            </w:r>
            <w:r>
              <w:rPr>
                <w:rFonts w:ascii="Times New Roman" w:hAnsi="Times New Roman" w:cs="Times New Roman"/>
                <w:color w:val="auto"/>
                <w:sz w:val="24"/>
                <w:highlight w:val="none"/>
              </w:rPr>
              <w:t>固体废物产生情况详见下表</w:t>
            </w:r>
            <w:r>
              <w:rPr>
                <w:rFonts w:hint="eastAsia" w:ascii="Times New Roman" w:hAnsi="Times New Roman" w:cs="Times New Roman"/>
                <w:color w:val="auto"/>
                <w:sz w:val="24"/>
                <w:highlight w:val="none"/>
                <w:lang w:eastAsia="zh-CN"/>
              </w:rPr>
              <w:t>。</w:t>
            </w:r>
          </w:p>
          <w:p>
            <w:pPr>
              <w:snapToGrid w:val="0"/>
              <w:spacing w:line="240" w:lineRule="auto"/>
              <w:jc w:val="center"/>
              <w:rPr>
                <w:rFonts w:hint="eastAsia" w:ascii="Times New Roman" w:hAnsi="Times New Roman" w:cs="Times New Roman"/>
                <w:b/>
                <w:bCs/>
                <w:color w:val="auto"/>
                <w:szCs w:val="21"/>
              </w:rPr>
            </w:pPr>
            <w:r>
              <w:rPr>
                <w:rFonts w:hint="eastAsia" w:ascii="Times New Roman" w:hAnsi="Times New Roman" w:cs="Times New Roman"/>
                <w:b/>
                <w:bCs/>
                <w:color w:val="auto"/>
                <w:szCs w:val="21"/>
              </w:rPr>
              <w:t>表4-</w:t>
            </w:r>
            <w:r>
              <w:rPr>
                <w:rFonts w:hint="eastAsia" w:ascii="Times New Roman" w:hAnsi="Times New Roman" w:cs="Times New Roman"/>
                <w:b/>
                <w:bCs/>
                <w:color w:val="auto"/>
                <w:szCs w:val="21"/>
                <w:lang w:val="en-US" w:eastAsia="zh-CN"/>
              </w:rPr>
              <w:t>17</w:t>
            </w:r>
            <w:r>
              <w:rPr>
                <w:rFonts w:hint="eastAsia" w:ascii="Times New Roman" w:hAnsi="Times New Roman" w:cs="Times New Roman"/>
                <w:b/>
                <w:bCs/>
                <w:color w:val="auto"/>
                <w:szCs w:val="21"/>
              </w:rPr>
              <w:t xml:space="preserve">  固体废物产生情况一览表</w:t>
            </w:r>
          </w:p>
          <w:tbl>
            <w:tblPr>
              <w:tblStyle w:val="22"/>
              <w:tblW w:w="83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
              <w:gridCol w:w="690"/>
              <w:gridCol w:w="717"/>
              <w:gridCol w:w="693"/>
              <w:gridCol w:w="795"/>
              <w:gridCol w:w="447"/>
              <w:gridCol w:w="768"/>
              <w:gridCol w:w="927"/>
              <w:gridCol w:w="720"/>
              <w:gridCol w:w="1380"/>
              <w:gridCol w:w="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472" w:type="dxa"/>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产生环节</w:t>
                  </w:r>
                </w:p>
              </w:tc>
              <w:tc>
                <w:tcPr>
                  <w:tcW w:w="690" w:type="dxa"/>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名称</w:t>
                  </w:r>
                </w:p>
              </w:tc>
              <w:tc>
                <w:tcPr>
                  <w:tcW w:w="717" w:type="dxa"/>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属性</w:t>
                  </w:r>
                </w:p>
              </w:tc>
              <w:tc>
                <w:tcPr>
                  <w:tcW w:w="693" w:type="dxa"/>
                  <w:vAlign w:val="center"/>
                </w:tcPr>
                <w:p>
                  <w:pPr>
                    <w:jc w:val="center"/>
                    <w:rPr>
                      <w:rFonts w:hint="default" w:ascii="Times New Roman" w:hAnsi="Times New Roman" w:cs="Times New Roman"/>
                      <w:b/>
                      <w:bCs/>
                      <w:color w:val="auto"/>
                      <w:sz w:val="21"/>
                      <w:szCs w:val="21"/>
                      <w:highlight w:val="yellow"/>
                    </w:rPr>
                  </w:pPr>
                  <w:r>
                    <w:rPr>
                      <w:rFonts w:hint="default" w:ascii="Times New Roman" w:hAnsi="Times New Roman" w:cs="Times New Roman"/>
                      <w:b/>
                      <w:bCs/>
                      <w:color w:val="auto"/>
                      <w:sz w:val="21"/>
                      <w:szCs w:val="21"/>
                      <w:highlight w:val="none"/>
                    </w:rPr>
                    <w:t>编码</w:t>
                  </w:r>
                </w:p>
              </w:tc>
              <w:tc>
                <w:tcPr>
                  <w:tcW w:w="795" w:type="dxa"/>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主要有毒有害物质名称</w:t>
                  </w:r>
                </w:p>
              </w:tc>
              <w:tc>
                <w:tcPr>
                  <w:tcW w:w="447" w:type="dxa"/>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物理性状</w:t>
                  </w:r>
                </w:p>
              </w:tc>
              <w:tc>
                <w:tcPr>
                  <w:tcW w:w="768" w:type="dxa"/>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环境危险特性</w:t>
                  </w:r>
                </w:p>
              </w:tc>
              <w:tc>
                <w:tcPr>
                  <w:tcW w:w="927" w:type="dxa"/>
                  <w:vAlign w:val="center"/>
                </w:tcPr>
                <w:p>
                  <w:pPr>
                    <w:jc w:val="center"/>
                    <w:rPr>
                      <w:rFonts w:hint="default" w:ascii="Times New Roman" w:hAnsi="Times New Roman" w:cs="Times New Roman" w:eastAsiaTheme="minorEastAsia"/>
                      <w:b/>
                      <w:bCs/>
                      <w:color w:val="auto"/>
                      <w:sz w:val="21"/>
                      <w:szCs w:val="21"/>
                      <w:lang w:eastAsia="zh-CN"/>
                    </w:rPr>
                  </w:pPr>
                  <w:r>
                    <w:rPr>
                      <w:rFonts w:hint="default" w:ascii="Times New Roman" w:hAnsi="Times New Roman" w:cs="Times New Roman"/>
                      <w:b/>
                      <w:bCs/>
                      <w:color w:val="auto"/>
                      <w:sz w:val="21"/>
                      <w:szCs w:val="21"/>
                    </w:rPr>
                    <w:t>年度产生量</w:t>
                  </w:r>
                  <w:r>
                    <w:rPr>
                      <w:rFonts w:hint="default" w:ascii="Times New Roman" w:hAnsi="Times New Roman" w:cs="Times New Roman"/>
                      <w:b/>
                      <w:bCs/>
                      <w:color w:val="auto"/>
                      <w:sz w:val="21"/>
                      <w:szCs w:val="21"/>
                      <w:lang w:eastAsia="zh-CN"/>
                    </w:rPr>
                    <w:t>（</w:t>
                  </w:r>
                  <w:r>
                    <w:rPr>
                      <w:rFonts w:hint="default" w:ascii="Times New Roman" w:hAnsi="Times New Roman" w:cs="Times New Roman"/>
                      <w:b/>
                      <w:bCs/>
                      <w:i w:val="0"/>
                      <w:iCs w:val="0"/>
                      <w:color w:val="auto"/>
                      <w:sz w:val="21"/>
                      <w:szCs w:val="21"/>
                    </w:rPr>
                    <w:t>t/a</w:t>
                  </w:r>
                  <w:r>
                    <w:rPr>
                      <w:rFonts w:hint="default" w:ascii="Times New Roman" w:hAnsi="Times New Roman" w:cs="Times New Roman"/>
                      <w:b/>
                      <w:bCs/>
                      <w:color w:val="auto"/>
                      <w:sz w:val="21"/>
                      <w:szCs w:val="21"/>
                      <w:lang w:eastAsia="zh-CN"/>
                    </w:rPr>
                    <w:t>）</w:t>
                  </w:r>
                </w:p>
              </w:tc>
              <w:tc>
                <w:tcPr>
                  <w:tcW w:w="720" w:type="dxa"/>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贮存方式</w:t>
                  </w:r>
                </w:p>
              </w:tc>
              <w:tc>
                <w:tcPr>
                  <w:tcW w:w="1380" w:type="dxa"/>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处置方式及去向</w:t>
                  </w:r>
                </w:p>
              </w:tc>
              <w:tc>
                <w:tcPr>
                  <w:tcW w:w="778" w:type="dxa"/>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用或处置量</w:t>
                  </w:r>
                  <w:r>
                    <w:rPr>
                      <w:rFonts w:hint="default" w:ascii="Times New Roman" w:hAnsi="Times New Roman" w:cs="Times New Roman"/>
                      <w:b/>
                      <w:bCs/>
                      <w:color w:val="auto"/>
                      <w:sz w:val="21"/>
                      <w:szCs w:val="21"/>
                      <w:lang w:eastAsia="zh-CN"/>
                    </w:rPr>
                    <w:t>（</w:t>
                  </w:r>
                  <w:r>
                    <w:rPr>
                      <w:rFonts w:hint="default" w:ascii="Times New Roman" w:hAnsi="Times New Roman" w:cs="Times New Roman"/>
                      <w:b/>
                      <w:bCs/>
                      <w:i w:val="0"/>
                      <w:iCs w:val="0"/>
                      <w:color w:val="auto"/>
                      <w:sz w:val="21"/>
                      <w:szCs w:val="21"/>
                    </w:rPr>
                    <w:t>t/a</w:t>
                  </w:r>
                  <w:r>
                    <w:rPr>
                      <w:rFonts w:hint="default" w:ascii="Times New Roman" w:hAnsi="Times New Roman" w:cs="Times New Roman"/>
                      <w:b/>
                      <w:bCs/>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dxa"/>
                  <w:vMerge w:val="restart"/>
                  <w:vAlign w:val="center"/>
                </w:tcPr>
                <w:p>
                  <w:pPr>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燃煤锅炉</w:t>
                  </w:r>
                </w:p>
              </w:tc>
              <w:tc>
                <w:tcPr>
                  <w:tcW w:w="690" w:type="dxa"/>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color w:val="auto"/>
                      <w:sz w:val="21"/>
                      <w:szCs w:val="21"/>
                    </w:rPr>
                    <w:t>锅炉炉渣</w:t>
                  </w:r>
                </w:p>
              </w:tc>
              <w:tc>
                <w:tcPr>
                  <w:tcW w:w="717" w:type="dxa"/>
                  <w:vMerge w:val="restart"/>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一般固体废物</w:t>
                  </w:r>
                </w:p>
              </w:tc>
              <w:tc>
                <w:tcPr>
                  <w:tcW w:w="6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443-001-64</w:t>
                  </w:r>
                </w:p>
              </w:tc>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w:t>
                  </w:r>
                </w:p>
              </w:tc>
              <w:tc>
                <w:tcPr>
                  <w:tcW w:w="447" w:type="dxa"/>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固态</w:t>
                  </w:r>
                </w:p>
              </w:tc>
              <w:tc>
                <w:tcPr>
                  <w:tcW w:w="76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lang w:val="en-US" w:eastAsia="zh-CN"/>
                    </w:rPr>
                    <w:t>/</w:t>
                  </w:r>
                </w:p>
              </w:tc>
              <w:tc>
                <w:tcPr>
                  <w:tcW w:w="927" w:type="dxa"/>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356.14</w:t>
                  </w:r>
                </w:p>
              </w:tc>
              <w:tc>
                <w:tcPr>
                  <w:tcW w:w="72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w:t>
                  </w:r>
                </w:p>
              </w:tc>
              <w:tc>
                <w:tcPr>
                  <w:tcW w:w="1380" w:type="dxa"/>
                  <w:vMerge w:val="restart"/>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color w:val="auto"/>
                      <w:sz w:val="21"/>
                      <w:szCs w:val="21"/>
                      <w:lang w:val="en-US" w:eastAsia="zh-CN"/>
                    </w:rPr>
                    <w:t>集中收集后外售</w:t>
                  </w:r>
                </w:p>
              </w:tc>
              <w:tc>
                <w:tcPr>
                  <w:tcW w:w="778" w:type="dxa"/>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356.14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dxa"/>
                  <w:vMerge w:val="continue"/>
                  <w:vAlign w:val="center"/>
                </w:tcPr>
                <w:p>
                  <w:pPr>
                    <w:jc w:val="center"/>
                    <w:rPr>
                      <w:rFonts w:hint="default" w:ascii="Times New Roman" w:hAnsi="Times New Roman" w:cs="Times New Roman"/>
                      <w:color w:val="auto"/>
                      <w:sz w:val="21"/>
                      <w:szCs w:val="21"/>
                      <w:lang w:val="en-US" w:eastAsia="zh-CN"/>
                    </w:rPr>
                  </w:pPr>
                </w:p>
              </w:tc>
              <w:tc>
                <w:tcPr>
                  <w:tcW w:w="690"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锅炉除尘器粉煤灰</w:t>
                  </w:r>
                </w:p>
              </w:tc>
              <w:tc>
                <w:tcPr>
                  <w:tcW w:w="717" w:type="dxa"/>
                  <w:vMerge w:val="continue"/>
                  <w:vAlign w:val="center"/>
                </w:tcPr>
                <w:p>
                  <w:pPr>
                    <w:jc w:val="center"/>
                    <w:rPr>
                      <w:rFonts w:hint="default" w:ascii="Times New Roman" w:hAnsi="Times New Roman" w:cs="Times New Roman"/>
                      <w:color w:val="auto"/>
                      <w:sz w:val="21"/>
                      <w:szCs w:val="21"/>
                    </w:rPr>
                  </w:pPr>
                </w:p>
              </w:tc>
              <w:tc>
                <w:tcPr>
                  <w:tcW w:w="6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443-001-63</w:t>
                  </w:r>
                </w:p>
              </w:tc>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w:t>
                  </w:r>
                </w:p>
              </w:tc>
              <w:tc>
                <w:tcPr>
                  <w:tcW w:w="447"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固态</w:t>
                  </w:r>
                </w:p>
              </w:tc>
              <w:tc>
                <w:tcPr>
                  <w:tcW w:w="76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lang w:val="en-US" w:eastAsia="zh-CN"/>
                    </w:rPr>
                    <w:t>/</w:t>
                  </w:r>
                </w:p>
              </w:tc>
              <w:tc>
                <w:tcPr>
                  <w:tcW w:w="927" w:type="dxa"/>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351.01</w:t>
                  </w:r>
                </w:p>
              </w:tc>
              <w:tc>
                <w:tcPr>
                  <w:tcW w:w="72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w:t>
                  </w:r>
                </w:p>
              </w:tc>
              <w:tc>
                <w:tcPr>
                  <w:tcW w:w="1380" w:type="dxa"/>
                  <w:vMerge w:val="continue"/>
                  <w:vAlign w:val="center"/>
                </w:tcPr>
                <w:p>
                  <w:pPr>
                    <w:jc w:val="center"/>
                    <w:rPr>
                      <w:rFonts w:hint="default" w:ascii="Times New Roman" w:hAnsi="Times New Roman" w:cs="Times New Roman"/>
                      <w:color w:val="auto"/>
                      <w:sz w:val="21"/>
                      <w:szCs w:val="21"/>
                    </w:rPr>
                  </w:pPr>
                </w:p>
              </w:tc>
              <w:tc>
                <w:tcPr>
                  <w:tcW w:w="778" w:type="dxa"/>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351.01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dxa"/>
                  <w:vMerge w:val="continue"/>
                  <w:vAlign w:val="center"/>
                </w:tcPr>
                <w:p>
                  <w:pPr>
                    <w:jc w:val="center"/>
                    <w:rPr>
                      <w:rFonts w:hint="default" w:ascii="Times New Roman" w:hAnsi="Times New Roman" w:cs="Times New Roman"/>
                      <w:color w:val="auto"/>
                      <w:sz w:val="21"/>
                      <w:szCs w:val="21"/>
                      <w:lang w:val="en-US" w:eastAsia="zh-CN"/>
                    </w:rPr>
                  </w:pPr>
                </w:p>
              </w:tc>
              <w:tc>
                <w:tcPr>
                  <w:tcW w:w="690"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MgSO</w:t>
                  </w:r>
                  <w:r>
                    <w:rPr>
                      <w:rFonts w:hint="default" w:ascii="Times New Roman" w:hAnsi="Times New Roman" w:cs="Times New Roman"/>
                      <w:color w:val="auto"/>
                      <w:sz w:val="21"/>
                      <w:szCs w:val="21"/>
                      <w:vertAlign w:val="subscript"/>
                      <w:lang w:val="en-US" w:eastAsia="zh-CN"/>
                    </w:rPr>
                    <w:t>4</w:t>
                  </w:r>
                </w:p>
              </w:tc>
              <w:tc>
                <w:tcPr>
                  <w:tcW w:w="717" w:type="dxa"/>
                  <w:vMerge w:val="continue"/>
                  <w:vAlign w:val="center"/>
                </w:tcPr>
                <w:p>
                  <w:pPr>
                    <w:jc w:val="center"/>
                    <w:rPr>
                      <w:rFonts w:hint="default" w:ascii="Times New Roman" w:hAnsi="Times New Roman" w:cs="Times New Roman"/>
                      <w:color w:val="auto"/>
                      <w:sz w:val="21"/>
                      <w:szCs w:val="21"/>
                    </w:rPr>
                  </w:pPr>
                </w:p>
              </w:tc>
              <w:tc>
                <w:tcPr>
                  <w:tcW w:w="6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443-001-65</w:t>
                  </w:r>
                </w:p>
              </w:tc>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p>
              </w:tc>
              <w:tc>
                <w:tcPr>
                  <w:tcW w:w="44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半固态</w:t>
                  </w:r>
                </w:p>
              </w:tc>
              <w:tc>
                <w:tcPr>
                  <w:tcW w:w="76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92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198</w:t>
                  </w:r>
                </w:p>
              </w:tc>
              <w:tc>
                <w:tcPr>
                  <w:tcW w:w="72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380" w:type="dxa"/>
                  <w:vMerge w:val="continue"/>
                  <w:vAlign w:val="center"/>
                </w:tcPr>
                <w:p>
                  <w:pPr>
                    <w:jc w:val="center"/>
                    <w:rPr>
                      <w:rFonts w:hint="default" w:ascii="Times New Roman" w:hAnsi="Times New Roman" w:cs="Times New Roman"/>
                      <w:color w:val="auto"/>
                      <w:sz w:val="21"/>
                      <w:szCs w:val="21"/>
                    </w:rPr>
                  </w:pPr>
                </w:p>
              </w:tc>
              <w:tc>
                <w:tcPr>
                  <w:tcW w:w="778"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dxa"/>
                  <w:vMerge w:val="continue"/>
                  <w:vAlign w:val="center"/>
                </w:tcPr>
                <w:p>
                  <w:pPr>
                    <w:jc w:val="center"/>
                    <w:rPr>
                      <w:rFonts w:hint="default" w:ascii="Times New Roman" w:hAnsi="Times New Roman" w:cs="Times New Roman"/>
                      <w:color w:val="auto"/>
                      <w:sz w:val="21"/>
                      <w:szCs w:val="21"/>
                      <w:lang w:val="en-US" w:eastAsia="zh-CN"/>
                    </w:rPr>
                  </w:pPr>
                </w:p>
              </w:tc>
              <w:tc>
                <w:tcPr>
                  <w:tcW w:w="690"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废离子交换树脂</w:t>
                  </w:r>
                </w:p>
              </w:tc>
              <w:tc>
                <w:tcPr>
                  <w:tcW w:w="717" w:type="dxa"/>
                  <w:vMerge w:val="continue"/>
                  <w:vAlign w:val="center"/>
                </w:tcPr>
                <w:p>
                  <w:pPr>
                    <w:jc w:val="center"/>
                    <w:rPr>
                      <w:rFonts w:hint="default" w:ascii="Times New Roman" w:hAnsi="Times New Roman" w:cs="Times New Roman"/>
                      <w:color w:val="auto"/>
                      <w:sz w:val="21"/>
                      <w:szCs w:val="21"/>
                    </w:rPr>
                  </w:pPr>
                </w:p>
              </w:tc>
              <w:tc>
                <w:tcPr>
                  <w:tcW w:w="6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443-001-99</w:t>
                  </w:r>
                </w:p>
              </w:tc>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w:t>
                  </w:r>
                </w:p>
              </w:tc>
              <w:tc>
                <w:tcPr>
                  <w:tcW w:w="447" w:type="dxa"/>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固态</w:t>
                  </w:r>
                </w:p>
              </w:tc>
              <w:tc>
                <w:tcPr>
                  <w:tcW w:w="76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lang w:val="en-US" w:eastAsia="zh-CN"/>
                    </w:rPr>
                    <w:t>/</w:t>
                  </w:r>
                </w:p>
              </w:tc>
              <w:tc>
                <w:tcPr>
                  <w:tcW w:w="927" w:type="dxa"/>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1.25</w:t>
                  </w:r>
                </w:p>
              </w:tc>
              <w:tc>
                <w:tcPr>
                  <w:tcW w:w="72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w:t>
                  </w:r>
                </w:p>
              </w:tc>
              <w:tc>
                <w:tcPr>
                  <w:tcW w:w="1380" w:type="dxa"/>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color w:val="auto"/>
                      <w:sz w:val="21"/>
                      <w:szCs w:val="21"/>
                      <w:lang w:val="en-US" w:eastAsia="zh-CN"/>
                    </w:rPr>
                    <w:t>定期由厂家更换回收</w:t>
                  </w:r>
                </w:p>
              </w:tc>
              <w:tc>
                <w:tcPr>
                  <w:tcW w:w="778" w:type="dxa"/>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dxa"/>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脱硝系统</w:t>
                  </w:r>
                </w:p>
              </w:tc>
              <w:tc>
                <w:tcPr>
                  <w:tcW w:w="690"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废催化剂</w:t>
                  </w:r>
                </w:p>
              </w:tc>
              <w:tc>
                <w:tcPr>
                  <w:tcW w:w="717"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w:t>
                  </w:r>
                </w:p>
              </w:tc>
              <w:tc>
                <w:tcPr>
                  <w:tcW w:w="693" w:type="dxa"/>
                  <w:vAlign w:val="center"/>
                </w:tcPr>
                <w:p>
                  <w:pPr>
                    <w:spacing w:line="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772-007-50</w:t>
                  </w:r>
                </w:p>
              </w:tc>
              <w:tc>
                <w:tcPr>
                  <w:tcW w:w="795" w:type="dxa"/>
                  <w:vAlign w:val="center"/>
                </w:tcPr>
                <w:p>
                  <w:pPr>
                    <w:pStyle w:val="17"/>
                    <w:widowControl w:val="0"/>
                    <w:snapToGrid w:val="0"/>
                    <w:jc w:val="center"/>
                    <w:rPr>
                      <w:rFonts w:hint="default" w:ascii="Times New Roman" w:hAnsi="Times New Roman" w:cs="Times New Roman"/>
                      <w:color w:val="auto"/>
                      <w:sz w:val="21"/>
                      <w:szCs w:val="21"/>
                      <w:lang w:bidi="ar-SA"/>
                    </w:rPr>
                  </w:pPr>
                  <w:r>
                    <w:rPr>
                      <w:rFonts w:hint="default" w:ascii="Times New Roman" w:hAnsi="Times New Roman" w:eastAsia="宋体" w:cs="Times New Roman"/>
                      <w:color w:val="auto"/>
                      <w:kern w:val="0"/>
                      <w:sz w:val="21"/>
                      <w:szCs w:val="21"/>
                      <w:lang w:val="en-US" w:eastAsia="zh-CN" w:bidi="ar"/>
                    </w:rPr>
                    <w:t>烟气脱硝过程中产生的废钒钛系催化剂</w:t>
                  </w:r>
                </w:p>
              </w:tc>
              <w:tc>
                <w:tcPr>
                  <w:tcW w:w="447"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液态</w:t>
                  </w:r>
                </w:p>
              </w:tc>
              <w:tc>
                <w:tcPr>
                  <w:tcW w:w="768" w:type="dxa"/>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color w:val="auto"/>
                      <w:kern w:val="0"/>
                      <w:sz w:val="21"/>
                      <w:szCs w:val="21"/>
                    </w:rPr>
                    <w:t>T</w:t>
                  </w:r>
                </w:p>
              </w:tc>
              <w:tc>
                <w:tcPr>
                  <w:tcW w:w="927" w:type="dxa"/>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0.2</w:t>
                  </w:r>
                </w:p>
              </w:tc>
              <w:tc>
                <w:tcPr>
                  <w:tcW w:w="720" w:type="dxa"/>
                  <w:vAlign w:val="center"/>
                </w:tcPr>
                <w:p>
                  <w:pPr>
                    <w:jc w:val="center"/>
                    <w:rPr>
                      <w:rStyle w:val="23"/>
                      <w:rFonts w:hint="default" w:ascii="Times New Roman" w:hAnsi="Times New Roman" w:eastAsia="宋体" w:cs="Times New Roman"/>
                      <w:color w:val="auto"/>
                      <w:kern w:val="2"/>
                      <w:sz w:val="21"/>
                      <w:szCs w:val="21"/>
                      <w:lang w:val="en-US" w:eastAsia="zh-CN" w:bidi="ar-SA"/>
                    </w:rPr>
                  </w:pPr>
                  <w:r>
                    <w:rPr>
                      <w:rStyle w:val="23"/>
                      <w:rFonts w:hint="default" w:ascii="Times New Roman" w:hAnsi="Times New Roman" w:eastAsia="宋体" w:cs="Times New Roman"/>
                      <w:color w:val="auto"/>
                      <w:kern w:val="2"/>
                      <w:sz w:val="21"/>
                      <w:szCs w:val="21"/>
                      <w:lang w:val="en-US" w:eastAsia="zh-CN" w:bidi="ar-SA"/>
                    </w:rPr>
                    <w:t>于危废间内暂存</w:t>
                  </w:r>
                </w:p>
              </w:tc>
              <w:tc>
                <w:tcPr>
                  <w:tcW w:w="1380" w:type="dxa"/>
                  <w:vAlign w:val="center"/>
                </w:tcPr>
                <w:p>
                  <w:pPr>
                    <w:jc w:val="center"/>
                    <w:rPr>
                      <w:rStyle w:val="23"/>
                      <w:rFonts w:hint="default" w:ascii="Times New Roman" w:hAnsi="Times New Roman" w:eastAsia="宋体" w:cs="Times New Roman"/>
                      <w:color w:val="auto"/>
                      <w:kern w:val="2"/>
                      <w:sz w:val="21"/>
                      <w:szCs w:val="21"/>
                      <w:lang w:val="en-US" w:eastAsia="zh-CN" w:bidi="ar-SA"/>
                    </w:rPr>
                  </w:pPr>
                  <w:r>
                    <w:rPr>
                      <w:rStyle w:val="23"/>
                      <w:rFonts w:hint="default" w:ascii="Times New Roman" w:hAnsi="Times New Roman" w:eastAsia="宋体" w:cs="Times New Roman"/>
                      <w:color w:val="auto"/>
                      <w:kern w:val="2"/>
                      <w:sz w:val="21"/>
                      <w:szCs w:val="21"/>
                      <w:lang w:val="en-US" w:eastAsia="zh-CN" w:bidi="ar-SA"/>
                    </w:rPr>
                    <w:t>危险废物暂存于符合规范要求的危险废物贮存间内，定期委托有资质的单位转运处置。</w:t>
                  </w:r>
                </w:p>
              </w:tc>
              <w:tc>
                <w:tcPr>
                  <w:tcW w:w="778" w:type="dxa"/>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0.2</w:t>
                  </w:r>
                </w:p>
              </w:tc>
            </w:tr>
          </w:tbl>
          <w:p>
            <w:pPr>
              <w:snapToGrid w:val="0"/>
              <w:spacing w:line="360" w:lineRule="auto"/>
              <w:ind w:firstLine="482" w:firstLineChars="200"/>
              <w:rPr>
                <w:rFonts w:ascii="Times New Roman" w:hAnsi="宋体"/>
                <w:b/>
                <w:bCs/>
                <w:color w:val="auto"/>
                <w:sz w:val="24"/>
                <w:highlight w:val="none"/>
              </w:rPr>
            </w:pPr>
            <w:r>
              <w:rPr>
                <w:rFonts w:ascii="Times New Roman" w:hAnsi="宋体"/>
                <w:b/>
                <w:bCs/>
                <w:color w:val="auto"/>
                <w:sz w:val="24"/>
                <w:highlight w:val="none"/>
              </w:rPr>
              <w:t>（2）固体废物环境管理要求</w:t>
            </w:r>
          </w:p>
          <w:p>
            <w:pPr>
              <w:snapToGrid w:val="0"/>
              <w:spacing w:line="360" w:lineRule="auto"/>
              <w:ind w:firstLine="480" w:firstLineChars="200"/>
              <w:rPr>
                <w:rFonts w:ascii="Times New Roman" w:hAnsi="宋体"/>
                <w:color w:val="auto"/>
                <w:sz w:val="24"/>
                <w:highlight w:val="none"/>
              </w:rPr>
            </w:pPr>
            <w:r>
              <w:rPr>
                <w:rFonts w:hint="eastAsia" w:ascii="Times New Roman" w:hAnsi="宋体"/>
                <w:color w:val="auto"/>
                <w:sz w:val="24"/>
                <w:highlight w:val="none"/>
              </w:rPr>
              <w:t>①</w:t>
            </w:r>
            <w:r>
              <w:rPr>
                <w:rFonts w:ascii="Times New Roman" w:hAnsi="宋体"/>
                <w:color w:val="auto"/>
                <w:sz w:val="24"/>
                <w:highlight w:val="none"/>
              </w:rPr>
              <w:t>项目运营期固体废物的产生、贮存、利用和处置全过程应严格遵守国家有关建设项目环境保护管理的规定。</w:t>
            </w:r>
          </w:p>
          <w:p>
            <w:pPr>
              <w:snapToGrid w:val="0"/>
              <w:spacing w:line="360" w:lineRule="auto"/>
              <w:ind w:firstLine="480" w:firstLineChars="200"/>
              <w:rPr>
                <w:rFonts w:ascii="Times New Roman" w:hAnsi="宋体"/>
                <w:color w:val="auto"/>
                <w:sz w:val="24"/>
              </w:rPr>
            </w:pPr>
            <w:r>
              <w:rPr>
                <w:rFonts w:hint="eastAsia" w:ascii="Times New Roman" w:hAnsi="宋体"/>
                <w:color w:val="auto"/>
                <w:sz w:val="24"/>
              </w:rPr>
              <w:t>②</w:t>
            </w:r>
            <w:r>
              <w:rPr>
                <w:rFonts w:ascii="Times New Roman" w:hAnsi="宋体"/>
                <w:color w:val="auto"/>
                <w:sz w:val="24"/>
              </w:rPr>
              <w:t>项目运营期产生、收集、贮存、运输、利用、处置固体废物时，应当采取防扬散、防流失、防渗漏或者其他纺织污染环境的措施，不得擅自倾倒、堆放、丢弃、遗撒固体废物；</w:t>
            </w:r>
          </w:p>
          <w:p>
            <w:pPr>
              <w:snapToGrid w:val="0"/>
              <w:spacing w:line="360" w:lineRule="auto"/>
              <w:ind w:firstLine="480" w:firstLineChars="200"/>
              <w:rPr>
                <w:rFonts w:ascii="Times New Roman" w:hAnsi="宋体"/>
                <w:color w:val="auto"/>
                <w:sz w:val="24"/>
              </w:rPr>
            </w:pPr>
            <w:r>
              <w:rPr>
                <w:rFonts w:hint="eastAsia" w:ascii="Times New Roman" w:hAnsi="宋体"/>
                <w:color w:val="auto"/>
                <w:sz w:val="24"/>
              </w:rPr>
              <w:t>③</w:t>
            </w:r>
            <w:r>
              <w:rPr>
                <w:rFonts w:ascii="Times New Roman" w:hAnsi="宋体"/>
                <w:color w:val="auto"/>
                <w:sz w:val="24"/>
              </w:rPr>
              <w:t>建设单位运营期应当建立健全工业固体废物和危险废物产生、收集、贮存、运输、利用、处置全过程的污染环境纺织责任制度，建立工业固体废物和危险废物管理台账，如实记录产生工业固体废物的种类、数量、流向、贮存、利用、处置等信息，实现工业固体废物和危险废物可追溯，可查询，并采取防治工业固体废物和危险废物污染环境的措施；</w:t>
            </w:r>
          </w:p>
          <w:p>
            <w:pPr>
              <w:snapToGrid w:val="0"/>
              <w:spacing w:line="360" w:lineRule="auto"/>
              <w:ind w:firstLine="480" w:firstLineChars="200"/>
              <w:rPr>
                <w:rFonts w:ascii="Times New Roman" w:hAnsi="宋体"/>
                <w:color w:val="auto"/>
                <w:sz w:val="24"/>
              </w:rPr>
            </w:pPr>
            <w:r>
              <w:rPr>
                <w:rFonts w:hint="eastAsia" w:ascii="Times New Roman" w:hAnsi="宋体"/>
                <w:color w:val="auto"/>
                <w:sz w:val="24"/>
              </w:rPr>
              <w:t>④</w:t>
            </w:r>
            <w:r>
              <w:rPr>
                <w:rFonts w:ascii="Times New Roman" w:hAnsi="宋体"/>
                <w:color w:val="auto"/>
                <w:sz w:val="24"/>
              </w:rPr>
              <w:t>企业对收集、贮存、运输、处置一般工业固体废物和危险废物的设施、设备和场所，应当加强管理和维护，保证其正常运行和使用。</w:t>
            </w:r>
          </w:p>
          <w:p>
            <w:pPr>
              <w:snapToGrid w:val="0"/>
              <w:spacing w:line="360" w:lineRule="auto"/>
              <w:ind w:firstLine="480" w:firstLineChars="200"/>
              <w:rPr>
                <w:rFonts w:ascii="Times New Roman" w:hAnsi="宋体"/>
                <w:color w:val="auto"/>
                <w:sz w:val="24"/>
              </w:rPr>
            </w:pPr>
            <w:r>
              <w:rPr>
                <w:rFonts w:hint="eastAsia" w:ascii="Times New Roman" w:hAnsi="宋体"/>
                <w:color w:val="auto"/>
                <w:sz w:val="24"/>
                <w:lang w:val="en-US" w:eastAsia="zh-CN"/>
              </w:rPr>
              <w:t>⑤</w:t>
            </w:r>
            <w:r>
              <w:rPr>
                <w:rFonts w:ascii="Times New Roman" w:hAnsi="宋体"/>
                <w:color w:val="auto"/>
                <w:sz w:val="24"/>
              </w:rPr>
              <w:t>严禁将生活垃圾与一般工业固体废物、危险废物混合处置。</w:t>
            </w:r>
          </w:p>
          <w:p>
            <w:pPr>
              <w:snapToGrid w:val="0"/>
              <w:spacing w:line="360" w:lineRule="auto"/>
              <w:ind w:firstLine="480" w:firstLineChars="200"/>
              <w:rPr>
                <w:rFonts w:ascii="Times New Roman" w:hAnsi="宋体"/>
                <w:color w:val="auto"/>
                <w:sz w:val="24"/>
              </w:rPr>
            </w:pPr>
            <w:r>
              <w:rPr>
                <w:rFonts w:hint="eastAsia" w:ascii="Times New Roman" w:hAnsi="宋体"/>
                <w:color w:val="auto"/>
                <w:sz w:val="24"/>
              </w:rPr>
              <w:t>⑥</w:t>
            </w:r>
            <w:r>
              <w:rPr>
                <w:rFonts w:ascii="Times New Roman" w:hAnsi="宋体"/>
                <w:color w:val="auto"/>
                <w:sz w:val="24"/>
              </w:rPr>
              <w:t>项目运营期需要终止生产的，应当事先对工业固体废物和危险废物的贮存、处置设施、场所采取污染防治措施，并对未处置的工业固体废物和危险废物做出妥善处置，防止污染环境。</w:t>
            </w:r>
          </w:p>
          <w:p>
            <w:pPr>
              <w:spacing w:line="360" w:lineRule="auto"/>
              <w:ind w:firstLine="482"/>
              <w:rPr>
                <w:rFonts w:hint="eastAsia" w:ascii="Times New Roman" w:hAnsi="Times New Roman" w:eastAsiaTheme="minorEastAsia"/>
                <w:b/>
                <w:bCs/>
                <w:color w:val="auto"/>
                <w:sz w:val="24"/>
                <w:lang w:val="en-US" w:eastAsia="zh-CN"/>
              </w:rPr>
            </w:pPr>
            <w:r>
              <w:rPr>
                <w:rFonts w:hint="eastAsia" w:ascii="Times New Roman" w:hAnsi="Times New Roman" w:cs="Times New Roman"/>
                <w:b/>
                <w:bCs/>
                <w:color w:val="auto"/>
                <w:sz w:val="24"/>
              </w:rPr>
              <w:t>（3</w:t>
            </w:r>
            <w:r>
              <w:rPr>
                <w:rFonts w:hint="eastAsia" w:ascii="Times New Roman" w:hAnsi="Times New Roman"/>
                <w:b/>
                <w:bCs/>
                <w:color w:val="auto"/>
                <w:sz w:val="24"/>
              </w:rPr>
              <w:t>）危险废物管理</w:t>
            </w:r>
            <w:r>
              <w:rPr>
                <w:rFonts w:hint="eastAsia" w:ascii="Times New Roman" w:hAnsi="Times New Roman"/>
                <w:b/>
                <w:bCs/>
                <w:color w:val="auto"/>
                <w:sz w:val="24"/>
                <w:lang w:val="en-US" w:eastAsia="zh-CN"/>
              </w:rPr>
              <w:t>要求</w:t>
            </w:r>
          </w:p>
          <w:p>
            <w:pPr>
              <w:spacing w:line="360" w:lineRule="auto"/>
              <w:ind w:firstLine="480"/>
              <w:rPr>
                <w:rFonts w:ascii="Times New Roman" w:hAnsi="Times New Roman" w:cs="Times New Roman"/>
                <w:color w:val="auto"/>
                <w:sz w:val="24"/>
              </w:rPr>
            </w:pPr>
            <w:r>
              <w:rPr>
                <w:rFonts w:ascii="Times New Roman" w:hAnsi="Times New Roman" w:cs="Times New Roman"/>
                <w:color w:val="auto"/>
                <w:kern w:val="0"/>
                <w:sz w:val="24"/>
              </w:rPr>
              <w:t>1）危险废物贮存场所（设施）</w:t>
            </w:r>
          </w:p>
          <w:p>
            <w:pPr>
              <w:spacing w:line="360" w:lineRule="auto"/>
              <w:ind w:firstLine="480"/>
              <w:rPr>
                <w:rFonts w:ascii="Times New Roman" w:hAnsi="Times New Roman"/>
                <w:color w:val="auto"/>
                <w:sz w:val="24"/>
              </w:rPr>
            </w:pPr>
            <w:r>
              <w:rPr>
                <w:rFonts w:hint="eastAsia" w:ascii="Times New Roman" w:hAnsi="Times New Roman"/>
                <w:color w:val="auto"/>
                <w:sz w:val="24"/>
                <w:lang w:val="en-US" w:eastAsia="zh-CN"/>
              </w:rPr>
              <w:t>新建</w:t>
            </w:r>
            <w:r>
              <w:rPr>
                <w:rFonts w:ascii="Times New Roman" w:hAnsi="Times New Roman"/>
                <w:color w:val="auto"/>
                <w:sz w:val="24"/>
              </w:rPr>
              <w:t>危险废物贮存间</w:t>
            </w:r>
            <w:r>
              <w:rPr>
                <w:rFonts w:hint="eastAsia" w:ascii="Times New Roman" w:hAnsi="Times New Roman"/>
                <w:color w:val="auto"/>
                <w:sz w:val="24"/>
              </w:rPr>
              <w:t>1处</w:t>
            </w:r>
            <w:r>
              <w:rPr>
                <w:rFonts w:ascii="Times New Roman" w:hAnsi="Times New Roman"/>
                <w:color w:val="auto"/>
                <w:sz w:val="24"/>
              </w:rPr>
              <w:t>，</w:t>
            </w:r>
            <w:r>
              <w:rPr>
                <w:rFonts w:hint="eastAsia" w:ascii="Times New Roman" w:hAnsi="Times New Roman" w:eastAsia="宋体" w:cs="Times New Roman"/>
                <w:color w:val="auto"/>
                <w:sz w:val="24"/>
              </w:rPr>
              <w:t>现状</w:t>
            </w:r>
            <w:r>
              <w:rPr>
                <w:rFonts w:ascii="Times New Roman" w:hAnsi="Times New Roman" w:cs="Times New Roman"/>
                <w:color w:val="auto"/>
                <w:sz w:val="24"/>
              </w:rPr>
              <w:t>地面防渗、防腐</w:t>
            </w:r>
            <w:r>
              <w:rPr>
                <w:rFonts w:hint="eastAsia" w:ascii="Times New Roman" w:hAnsi="Times New Roman" w:cs="Times New Roman"/>
                <w:color w:val="auto"/>
                <w:sz w:val="24"/>
              </w:rPr>
              <w:t>、</w:t>
            </w:r>
            <w:r>
              <w:rPr>
                <w:rFonts w:ascii="Times New Roman" w:hAnsi="Times New Roman" w:cs="Times New Roman"/>
                <w:color w:val="auto"/>
                <w:sz w:val="24"/>
              </w:rPr>
              <w:t>标识</w:t>
            </w:r>
            <w:r>
              <w:rPr>
                <w:rFonts w:hint="eastAsia" w:ascii="Times New Roman" w:hAnsi="Times New Roman" w:cs="Times New Roman"/>
                <w:color w:val="auto"/>
                <w:sz w:val="24"/>
              </w:rPr>
              <w:t>等</w:t>
            </w:r>
            <w:r>
              <w:rPr>
                <w:rFonts w:hint="eastAsia" w:ascii="Times New Roman" w:hAnsi="Times New Roman" w:eastAsia="宋体" w:cs="Times New Roman"/>
                <w:color w:val="auto"/>
                <w:sz w:val="24"/>
              </w:rPr>
              <w:t>满足</w:t>
            </w:r>
            <w:r>
              <w:rPr>
                <w:rFonts w:ascii="Times New Roman" w:hAnsi="Times New Roman"/>
                <w:color w:val="auto"/>
                <w:sz w:val="24"/>
              </w:rPr>
              <w:t>相关要求</w:t>
            </w:r>
            <w:r>
              <w:rPr>
                <w:rFonts w:hint="eastAsia" w:ascii="Times New Roman" w:hAnsi="Times New Roman"/>
                <w:color w:val="auto"/>
                <w:sz w:val="24"/>
              </w:rPr>
              <w:t>，需</w:t>
            </w:r>
            <w:r>
              <w:rPr>
                <w:rFonts w:ascii="Times New Roman" w:hAnsi="Times New Roman"/>
                <w:color w:val="auto"/>
                <w:sz w:val="24"/>
              </w:rPr>
              <w:t>按照《危险废物收集、贮存、运输技术规范》（HJ2025-2012）及《危险废物贮存污染控制标准》（GB18597-2001）相关要求制定相应危险废物管理制度。具体如下：</w:t>
            </w:r>
          </w:p>
          <w:p>
            <w:pPr>
              <w:spacing w:line="360" w:lineRule="auto"/>
              <w:ind w:firstLine="480"/>
              <w:rPr>
                <w:rFonts w:ascii="Times New Roman" w:hAnsi="Times New Roman"/>
                <w:color w:val="auto"/>
                <w:sz w:val="24"/>
              </w:rPr>
            </w:pPr>
            <w:r>
              <w:rPr>
                <w:rFonts w:hint="eastAsia" w:ascii="Times New Roman" w:hAnsi="Times New Roman"/>
                <w:color w:val="auto"/>
                <w:sz w:val="24"/>
              </w:rPr>
              <w:t>①</w:t>
            </w:r>
            <w:r>
              <w:rPr>
                <w:rFonts w:ascii="Times New Roman" w:hAnsi="Times New Roman"/>
                <w:color w:val="auto"/>
                <w:sz w:val="24"/>
              </w:rPr>
              <w:t>危险废物贮存设施的选址、设计、建设、运行管理应满足GB18597、GBZ1和GBZ2的有关要求。</w:t>
            </w:r>
          </w:p>
          <w:p>
            <w:pPr>
              <w:spacing w:line="360" w:lineRule="auto"/>
              <w:ind w:firstLine="480"/>
              <w:rPr>
                <w:rFonts w:ascii="Times New Roman" w:hAnsi="Times New Roman"/>
                <w:color w:val="auto"/>
                <w:sz w:val="24"/>
              </w:rPr>
            </w:pPr>
            <w:r>
              <w:rPr>
                <w:rFonts w:hint="eastAsia" w:ascii="Times New Roman" w:hAnsi="Times New Roman"/>
                <w:color w:val="auto"/>
                <w:sz w:val="24"/>
              </w:rPr>
              <w:t>②</w:t>
            </w:r>
            <w:r>
              <w:rPr>
                <w:rFonts w:ascii="Times New Roman" w:hAnsi="Times New Roman"/>
                <w:color w:val="auto"/>
                <w:sz w:val="24"/>
              </w:rPr>
              <w:t>危险废物贮存设施已配备通讯设备、照明设施和消防设施。</w:t>
            </w:r>
          </w:p>
          <w:p>
            <w:pPr>
              <w:spacing w:line="360" w:lineRule="auto"/>
              <w:ind w:firstLine="480"/>
              <w:rPr>
                <w:rFonts w:ascii="Times New Roman" w:hAnsi="Times New Roman"/>
                <w:color w:val="auto"/>
                <w:sz w:val="24"/>
              </w:rPr>
            </w:pPr>
            <w:r>
              <w:rPr>
                <w:rFonts w:hint="eastAsia" w:ascii="Times New Roman" w:hAnsi="Times New Roman"/>
                <w:color w:val="auto"/>
                <w:sz w:val="24"/>
              </w:rPr>
              <w:t>③危废间应设置双人双锁制；危废间应做到全封闭，应设置防盗门；危废间须设置通风口（安装排风扇）及防爆灯；危废间应设置收集池（根据企业产生危废量建设收集池尺寸）及导流渠；危废间进出口应设置拦挡，高度要求20cm至30cm。</w:t>
            </w:r>
          </w:p>
          <w:p>
            <w:pPr>
              <w:spacing w:line="360" w:lineRule="auto"/>
              <w:ind w:firstLine="480"/>
              <w:rPr>
                <w:rFonts w:ascii="Times New Roman" w:hAnsi="Times New Roman"/>
                <w:color w:val="auto"/>
                <w:sz w:val="24"/>
              </w:rPr>
            </w:pPr>
            <w:r>
              <w:rPr>
                <w:rFonts w:hint="eastAsia" w:ascii="Times New Roman" w:hAnsi="Times New Roman"/>
                <w:color w:val="auto"/>
                <w:sz w:val="24"/>
              </w:rPr>
              <w:t>④</w:t>
            </w:r>
            <w:r>
              <w:rPr>
                <w:rFonts w:ascii="Times New Roman" w:hAnsi="Times New Roman"/>
                <w:color w:val="auto"/>
                <w:sz w:val="24"/>
              </w:rPr>
              <w:t>贮存危险废物时应按危险废物的种类和特性进行分区贮存，每个贮存区域之间宜设置挡墙间隔，并设置防风、防雨、防晒、防渗</w:t>
            </w:r>
            <w:r>
              <w:rPr>
                <w:rFonts w:hint="eastAsia" w:ascii="Times New Roman" w:hAnsi="Times New Roman"/>
                <w:color w:val="auto"/>
                <w:sz w:val="24"/>
              </w:rPr>
              <w:t>（</w:t>
            </w:r>
            <w:r>
              <w:rPr>
                <w:rFonts w:ascii="Times New Roman" w:hAnsi="Times New Roman"/>
                <w:color w:val="auto"/>
                <w:sz w:val="24"/>
              </w:rPr>
              <w:t>渗透系数≤10</w:t>
            </w:r>
            <w:r>
              <w:rPr>
                <w:rFonts w:ascii="Times New Roman" w:hAnsi="Times New Roman"/>
                <w:color w:val="auto"/>
                <w:sz w:val="24"/>
                <w:vertAlign w:val="superscript"/>
              </w:rPr>
              <w:t>-10</w:t>
            </w:r>
            <w:r>
              <w:rPr>
                <w:rFonts w:ascii="Times New Roman" w:hAnsi="Times New Roman"/>
                <w:color w:val="auto"/>
                <w:sz w:val="24"/>
              </w:rPr>
              <w:t>cm/s）</w:t>
            </w:r>
            <w:r>
              <w:rPr>
                <w:rFonts w:hint="eastAsia" w:ascii="Times New Roman" w:hAnsi="Times New Roman"/>
                <w:color w:val="auto"/>
                <w:sz w:val="24"/>
              </w:rPr>
              <w:t>。</w:t>
            </w:r>
          </w:p>
          <w:p>
            <w:pPr>
              <w:spacing w:line="360" w:lineRule="auto"/>
              <w:ind w:firstLine="480"/>
              <w:rPr>
                <w:rFonts w:ascii="Times New Roman" w:hAnsi="Times New Roman"/>
                <w:color w:val="auto"/>
                <w:sz w:val="24"/>
              </w:rPr>
            </w:pPr>
            <w:r>
              <w:rPr>
                <w:rFonts w:hint="eastAsia" w:ascii="Times New Roman" w:hAnsi="Times New Roman"/>
                <w:color w:val="auto"/>
                <w:sz w:val="24"/>
              </w:rPr>
              <w:t>⑤危废间地面、裙脚（1.2m高）、拦挡及收集池应采取防渗措施（防渗层厚度不小于2mm 厚）</w:t>
            </w:r>
            <w:r>
              <w:rPr>
                <w:rFonts w:ascii="Times New Roman" w:hAnsi="Times New Roman"/>
                <w:color w:val="auto"/>
                <w:sz w:val="24"/>
              </w:rPr>
              <w:t>。</w:t>
            </w:r>
          </w:p>
          <w:p>
            <w:pPr>
              <w:spacing w:line="360" w:lineRule="auto"/>
              <w:ind w:firstLine="480"/>
              <w:rPr>
                <w:rFonts w:ascii="Times New Roman" w:hAnsi="Times New Roman"/>
                <w:color w:val="auto"/>
                <w:sz w:val="24"/>
              </w:rPr>
            </w:pPr>
            <w:r>
              <w:rPr>
                <w:rFonts w:hint="eastAsia" w:ascii="Times New Roman" w:hAnsi="Times New Roman"/>
                <w:color w:val="auto"/>
                <w:sz w:val="24"/>
              </w:rPr>
              <w:t>⑥</w:t>
            </w:r>
            <w:r>
              <w:rPr>
                <w:rFonts w:ascii="Times New Roman" w:hAnsi="Times New Roman"/>
                <w:color w:val="auto"/>
                <w:sz w:val="24"/>
              </w:rPr>
              <w:t>危险废物贮存期限按《中华人民共和国固体废物污染环境防治法》的有关规定，及时交由资质单位集中处置。</w:t>
            </w:r>
          </w:p>
          <w:p>
            <w:pPr>
              <w:spacing w:line="360" w:lineRule="auto"/>
              <w:ind w:firstLine="480"/>
              <w:rPr>
                <w:rFonts w:ascii="Times New Roman" w:hAnsi="Times New Roman"/>
                <w:color w:val="auto"/>
                <w:sz w:val="24"/>
              </w:rPr>
            </w:pPr>
            <w:r>
              <w:rPr>
                <w:rFonts w:hint="eastAsia" w:ascii="Times New Roman" w:hAnsi="Times New Roman"/>
                <w:color w:val="auto"/>
                <w:sz w:val="24"/>
              </w:rPr>
              <w:t>⑦</w:t>
            </w:r>
            <w:r>
              <w:rPr>
                <w:rFonts w:ascii="Times New Roman" w:hAnsi="Times New Roman"/>
                <w:color w:val="auto"/>
                <w:sz w:val="24"/>
              </w:rPr>
              <w:t>危险废物贮存单位应建立危险废物贮存的台帐制度，并做好危险废物出入库交接记录。</w:t>
            </w:r>
          </w:p>
          <w:p>
            <w:pPr>
              <w:spacing w:line="360" w:lineRule="auto"/>
              <w:ind w:firstLine="480"/>
              <w:rPr>
                <w:rFonts w:ascii="Times New Roman" w:hAnsi="Times New Roman"/>
                <w:color w:val="auto"/>
                <w:sz w:val="24"/>
              </w:rPr>
            </w:pPr>
            <w:r>
              <w:rPr>
                <w:rFonts w:hint="eastAsia" w:ascii="Times New Roman" w:hAnsi="Times New Roman"/>
                <w:color w:val="auto"/>
                <w:sz w:val="24"/>
              </w:rPr>
              <w:t>⑧</w:t>
            </w:r>
            <w:r>
              <w:rPr>
                <w:rFonts w:ascii="Times New Roman" w:hAnsi="Times New Roman"/>
                <w:color w:val="auto"/>
                <w:sz w:val="24"/>
              </w:rPr>
              <w:t>存放装载液体、半固体危险废物容器位置，有耐腐蚀的硬化地面，且表面无裂隙。</w:t>
            </w:r>
          </w:p>
          <w:p>
            <w:pPr>
              <w:spacing w:line="360" w:lineRule="auto"/>
              <w:ind w:firstLine="480"/>
              <w:rPr>
                <w:rFonts w:ascii="Times New Roman" w:hAnsi="Times New Roman"/>
                <w:color w:val="auto"/>
                <w:sz w:val="24"/>
              </w:rPr>
            </w:pPr>
            <w:r>
              <w:rPr>
                <w:rFonts w:hint="eastAsia" w:ascii="Times New Roman" w:hAnsi="Times New Roman"/>
                <w:color w:val="auto"/>
                <w:sz w:val="24"/>
              </w:rPr>
              <w:t>⑨</w:t>
            </w:r>
            <w:r>
              <w:rPr>
                <w:rFonts w:ascii="Times New Roman" w:hAnsi="Times New Roman"/>
                <w:color w:val="auto"/>
                <w:sz w:val="24"/>
              </w:rPr>
              <w:t>危险废物暂存场所设置符合《环境保护图形标志——固体废物贮存（处置）场》（GB15562.2-1995）的专用标志。</w:t>
            </w:r>
          </w:p>
          <w:p>
            <w:pPr>
              <w:spacing w:line="360" w:lineRule="auto"/>
              <w:ind w:firstLine="480"/>
              <w:rPr>
                <w:rFonts w:ascii="Times New Roman" w:hAnsi="Times New Roman"/>
                <w:color w:val="auto"/>
                <w:sz w:val="24"/>
              </w:rPr>
            </w:pPr>
            <w:r>
              <w:rPr>
                <w:rFonts w:ascii="Times New Roman" w:hAnsi="Times New Roman"/>
                <w:color w:val="auto"/>
                <w:sz w:val="24"/>
              </w:rPr>
              <w:t>危险废物贮存间基本情况列表如下。</w:t>
            </w:r>
          </w:p>
          <w:p>
            <w:pPr>
              <w:snapToGrid w:val="0"/>
              <w:spacing w:line="240" w:lineRule="auto"/>
              <w:jc w:val="center"/>
              <w:rPr>
                <w:rFonts w:hint="eastAsia" w:ascii="Times New Roman" w:hAnsi="Times New Roman" w:cs="Times New Roman"/>
                <w:b/>
                <w:bCs/>
                <w:color w:val="auto"/>
                <w:szCs w:val="21"/>
              </w:rPr>
            </w:pPr>
            <w:r>
              <w:rPr>
                <w:rFonts w:hint="eastAsia" w:ascii="Times New Roman" w:hAnsi="Times New Roman" w:cs="Times New Roman"/>
                <w:b/>
                <w:bCs/>
                <w:color w:val="auto"/>
                <w:szCs w:val="21"/>
                <w:lang w:val="en-US" w:eastAsia="zh-CN"/>
              </w:rPr>
              <w:t xml:space="preserve">表4-18  </w:t>
            </w:r>
            <w:r>
              <w:rPr>
                <w:rFonts w:hint="eastAsia" w:ascii="Times New Roman" w:hAnsi="Times New Roman" w:cs="Times New Roman"/>
                <w:b/>
                <w:bCs/>
                <w:color w:val="auto"/>
                <w:szCs w:val="21"/>
              </w:rPr>
              <w:t>危险废物贮存场所基本情况一览表</w:t>
            </w:r>
          </w:p>
          <w:tbl>
            <w:tblPr>
              <w:tblStyle w:val="21"/>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1180"/>
              <w:gridCol w:w="935"/>
              <w:gridCol w:w="952"/>
              <w:gridCol w:w="791"/>
              <w:gridCol w:w="717"/>
              <w:gridCol w:w="1103"/>
              <w:gridCol w:w="987"/>
              <w:gridCol w:w="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Align w:val="center"/>
                </w:tcPr>
                <w:p>
                  <w:pPr>
                    <w:adjustRightInd w:val="0"/>
                    <w:snapToGrid w:val="0"/>
                    <w:jc w:val="center"/>
                    <w:rPr>
                      <w:rFonts w:ascii="Times New Roman" w:hAnsi="Times New Roman" w:cs="Times New Roman"/>
                      <w:b/>
                      <w:color w:val="auto"/>
                      <w:szCs w:val="21"/>
                    </w:rPr>
                  </w:pPr>
                  <w:r>
                    <w:rPr>
                      <w:rFonts w:ascii="Times New Roman" w:hAnsi="Times New Roman" w:cs="Times New Roman"/>
                      <w:b/>
                      <w:color w:val="auto"/>
                      <w:szCs w:val="21"/>
                    </w:rPr>
                    <w:t>贮存场所（设施）名称</w:t>
                  </w:r>
                </w:p>
              </w:tc>
              <w:tc>
                <w:tcPr>
                  <w:tcW w:w="698" w:type="pct"/>
                  <w:vAlign w:val="center"/>
                </w:tcPr>
                <w:p>
                  <w:pPr>
                    <w:adjustRightInd w:val="0"/>
                    <w:snapToGrid w:val="0"/>
                    <w:jc w:val="center"/>
                    <w:rPr>
                      <w:rFonts w:ascii="Times New Roman" w:hAnsi="Times New Roman" w:cs="Times New Roman"/>
                      <w:b/>
                      <w:color w:val="auto"/>
                      <w:szCs w:val="21"/>
                    </w:rPr>
                  </w:pPr>
                  <w:r>
                    <w:rPr>
                      <w:rFonts w:ascii="Times New Roman" w:hAnsi="Times New Roman" w:cs="Times New Roman"/>
                      <w:b/>
                      <w:color w:val="auto"/>
                      <w:szCs w:val="21"/>
                    </w:rPr>
                    <w:t>废物名称</w:t>
                  </w:r>
                </w:p>
              </w:tc>
              <w:tc>
                <w:tcPr>
                  <w:tcW w:w="553" w:type="pct"/>
                  <w:vAlign w:val="center"/>
                </w:tcPr>
                <w:p>
                  <w:pPr>
                    <w:adjustRightInd w:val="0"/>
                    <w:snapToGrid w:val="0"/>
                    <w:jc w:val="center"/>
                    <w:rPr>
                      <w:rFonts w:ascii="Times New Roman" w:hAnsi="Times New Roman" w:cs="Times New Roman"/>
                      <w:b/>
                      <w:color w:val="auto"/>
                      <w:szCs w:val="21"/>
                    </w:rPr>
                  </w:pPr>
                  <w:r>
                    <w:rPr>
                      <w:rFonts w:ascii="Times New Roman" w:hAnsi="Times New Roman" w:cs="Times New Roman"/>
                      <w:b/>
                      <w:color w:val="auto"/>
                      <w:szCs w:val="21"/>
                    </w:rPr>
                    <w:t>危险废物类别</w:t>
                  </w:r>
                </w:p>
              </w:tc>
              <w:tc>
                <w:tcPr>
                  <w:tcW w:w="563" w:type="pct"/>
                  <w:vAlign w:val="center"/>
                </w:tcPr>
                <w:p>
                  <w:pPr>
                    <w:adjustRightInd w:val="0"/>
                    <w:snapToGrid w:val="0"/>
                    <w:jc w:val="center"/>
                    <w:rPr>
                      <w:rFonts w:ascii="Times New Roman" w:hAnsi="Times New Roman" w:cs="Times New Roman"/>
                      <w:b/>
                      <w:color w:val="auto"/>
                      <w:szCs w:val="21"/>
                    </w:rPr>
                  </w:pPr>
                  <w:r>
                    <w:rPr>
                      <w:rFonts w:ascii="Times New Roman" w:hAnsi="Times New Roman" w:cs="Times New Roman"/>
                      <w:b/>
                      <w:color w:val="auto"/>
                      <w:szCs w:val="21"/>
                    </w:rPr>
                    <w:t>危险废物代码</w:t>
                  </w:r>
                </w:p>
              </w:tc>
              <w:tc>
                <w:tcPr>
                  <w:tcW w:w="468" w:type="pct"/>
                  <w:vAlign w:val="center"/>
                </w:tcPr>
                <w:p>
                  <w:pPr>
                    <w:adjustRightInd w:val="0"/>
                    <w:snapToGrid w:val="0"/>
                    <w:jc w:val="center"/>
                    <w:rPr>
                      <w:rFonts w:ascii="Times New Roman" w:hAnsi="Times New Roman" w:cs="Times New Roman"/>
                      <w:b/>
                      <w:color w:val="auto"/>
                      <w:szCs w:val="21"/>
                    </w:rPr>
                  </w:pPr>
                  <w:r>
                    <w:rPr>
                      <w:rFonts w:ascii="Times New Roman" w:hAnsi="Times New Roman" w:cs="Times New Roman"/>
                      <w:b/>
                      <w:color w:val="auto"/>
                      <w:szCs w:val="21"/>
                    </w:rPr>
                    <w:t>位置</w:t>
                  </w:r>
                </w:p>
              </w:tc>
              <w:tc>
                <w:tcPr>
                  <w:tcW w:w="424" w:type="pct"/>
                  <w:vAlign w:val="center"/>
                </w:tcPr>
                <w:p>
                  <w:pPr>
                    <w:adjustRightInd w:val="0"/>
                    <w:snapToGrid w:val="0"/>
                    <w:jc w:val="center"/>
                    <w:rPr>
                      <w:rFonts w:ascii="Times New Roman" w:hAnsi="Times New Roman" w:cs="Times New Roman"/>
                      <w:b/>
                      <w:color w:val="auto"/>
                      <w:szCs w:val="21"/>
                    </w:rPr>
                  </w:pPr>
                  <w:r>
                    <w:rPr>
                      <w:rFonts w:ascii="Times New Roman" w:hAnsi="Times New Roman" w:cs="Times New Roman"/>
                      <w:b/>
                      <w:color w:val="auto"/>
                      <w:szCs w:val="21"/>
                    </w:rPr>
                    <w:t>占地面积</w:t>
                  </w:r>
                </w:p>
              </w:tc>
              <w:tc>
                <w:tcPr>
                  <w:tcW w:w="652" w:type="pct"/>
                  <w:vAlign w:val="center"/>
                </w:tcPr>
                <w:p>
                  <w:pPr>
                    <w:adjustRightInd w:val="0"/>
                    <w:snapToGrid w:val="0"/>
                    <w:jc w:val="center"/>
                    <w:rPr>
                      <w:rFonts w:ascii="Times New Roman" w:hAnsi="Times New Roman" w:cs="Times New Roman"/>
                      <w:b/>
                      <w:color w:val="auto"/>
                      <w:szCs w:val="21"/>
                    </w:rPr>
                  </w:pPr>
                  <w:r>
                    <w:rPr>
                      <w:rFonts w:ascii="Times New Roman" w:hAnsi="Times New Roman" w:cs="Times New Roman"/>
                      <w:b/>
                      <w:color w:val="auto"/>
                      <w:szCs w:val="21"/>
                    </w:rPr>
                    <w:t>贮存方式</w:t>
                  </w:r>
                </w:p>
              </w:tc>
              <w:tc>
                <w:tcPr>
                  <w:tcW w:w="584" w:type="pct"/>
                  <w:vAlign w:val="center"/>
                </w:tcPr>
                <w:p>
                  <w:pPr>
                    <w:adjustRightInd w:val="0"/>
                    <w:snapToGrid w:val="0"/>
                    <w:jc w:val="center"/>
                    <w:rPr>
                      <w:rFonts w:ascii="Times New Roman" w:hAnsi="Times New Roman" w:cs="Times New Roman"/>
                      <w:b/>
                      <w:color w:val="auto"/>
                      <w:szCs w:val="21"/>
                    </w:rPr>
                  </w:pPr>
                  <w:r>
                    <w:rPr>
                      <w:rFonts w:ascii="Times New Roman" w:hAnsi="Times New Roman" w:cs="Times New Roman"/>
                      <w:b/>
                      <w:color w:val="auto"/>
                      <w:szCs w:val="21"/>
                    </w:rPr>
                    <w:t>贮存能力</w:t>
                  </w:r>
                  <w:r>
                    <w:rPr>
                      <w:rFonts w:hint="eastAsia" w:ascii="Times New Roman" w:hAnsi="Times New Roman" w:cs="Times New Roman"/>
                      <w:b/>
                      <w:color w:val="auto"/>
                      <w:szCs w:val="21"/>
                    </w:rPr>
                    <w:t>（t</w:t>
                  </w:r>
                  <w:r>
                    <w:rPr>
                      <w:rFonts w:ascii="Times New Roman" w:hAnsi="Times New Roman" w:cs="Times New Roman"/>
                      <w:b/>
                      <w:color w:val="auto"/>
                      <w:szCs w:val="21"/>
                    </w:rPr>
                    <w:t>/a</w:t>
                  </w:r>
                  <w:r>
                    <w:rPr>
                      <w:rFonts w:hint="eastAsia" w:ascii="Times New Roman" w:hAnsi="Times New Roman" w:cs="Times New Roman"/>
                      <w:b/>
                      <w:color w:val="auto"/>
                      <w:szCs w:val="21"/>
                    </w:rPr>
                    <w:t>）</w:t>
                  </w:r>
                </w:p>
              </w:tc>
              <w:tc>
                <w:tcPr>
                  <w:tcW w:w="396" w:type="pct"/>
                  <w:vAlign w:val="center"/>
                </w:tcPr>
                <w:p>
                  <w:pPr>
                    <w:adjustRightInd w:val="0"/>
                    <w:snapToGrid w:val="0"/>
                    <w:jc w:val="center"/>
                    <w:rPr>
                      <w:rFonts w:ascii="Times New Roman" w:hAnsi="Times New Roman" w:cs="Times New Roman"/>
                      <w:b/>
                      <w:color w:val="auto"/>
                      <w:szCs w:val="21"/>
                    </w:rPr>
                  </w:pPr>
                  <w:r>
                    <w:rPr>
                      <w:rFonts w:ascii="Times New Roman" w:hAnsi="Times New Roman" w:cs="Times New Roman"/>
                      <w:b/>
                      <w:color w:val="auto"/>
                      <w:szCs w:val="21"/>
                    </w:rPr>
                    <w:t>贮存周期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危险废物贮存间</w:t>
                  </w:r>
                </w:p>
              </w:tc>
              <w:tc>
                <w:tcPr>
                  <w:tcW w:w="698" w:type="pct"/>
                  <w:vAlign w:val="center"/>
                </w:tcPr>
                <w:p>
                  <w:pPr>
                    <w:jc w:val="center"/>
                    <w:rPr>
                      <w:rFonts w:ascii="Times New Roman" w:hAnsi="Times New Roman" w:cs="Times New Roman"/>
                      <w:color w:val="auto"/>
                      <w:szCs w:val="21"/>
                    </w:rPr>
                  </w:pPr>
                  <w:r>
                    <w:rPr>
                      <w:rFonts w:hint="eastAsia" w:cs="Times New Roman"/>
                      <w:color w:val="auto"/>
                      <w:szCs w:val="21"/>
                      <w:lang w:val="en-US" w:eastAsia="zh-CN"/>
                    </w:rPr>
                    <w:t>废催化剂</w:t>
                  </w:r>
                </w:p>
              </w:tc>
              <w:tc>
                <w:tcPr>
                  <w:tcW w:w="553" w:type="pct"/>
                  <w:vAlign w:val="center"/>
                </w:tcPr>
                <w:p>
                  <w:pPr>
                    <w:adjustRightInd w:val="0"/>
                    <w:snapToGrid w:val="0"/>
                    <w:jc w:val="center"/>
                    <w:rPr>
                      <w:rFonts w:hint="default" w:ascii="Times New Roman" w:hAnsi="Times New Roman" w:cs="Times New Roman" w:eastAsiaTheme="minorEastAsia"/>
                      <w:color w:val="auto"/>
                      <w:szCs w:val="21"/>
                      <w:lang w:val="en-US" w:eastAsia="zh-CN"/>
                    </w:rPr>
                  </w:pPr>
                  <w:r>
                    <w:rPr>
                      <w:rFonts w:ascii="Times New Roman" w:hAnsi="Times New Roman" w:cs="Times New Roman"/>
                      <w:color w:val="auto"/>
                      <w:szCs w:val="21"/>
                    </w:rPr>
                    <w:t>HW</w:t>
                  </w:r>
                  <w:r>
                    <w:rPr>
                      <w:rFonts w:hint="eastAsia" w:ascii="Times New Roman" w:hAnsi="Times New Roman" w:cs="Times New Roman"/>
                      <w:color w:val="auto"/>
                      <w:szCs w:val="21"/>
                      <w:lang w:val="en-US" w:eastAsia="zh-CN"/>
                    </w:rPr>
                    <w:t>50废催化剂</w:t>
                  </w:r>
                </w:p>
              </w:tc>
              <w:tc>
                <w:tcPr>
                  <w:tcW w:w="563" w:type="pct"/>
                  <w:vAlign w:val="center"/>
                </w:tcPr>
                <w:p>
                  <w:pPr>
                    <w:pStyle w:val="44"/>
                    <w:spacing w:line="240" w:lineRule="auto"/>
                    <w:rPr>
                      <w:rFonts w:hint="default" w:ascii="Times New Roman" w:hAnsi="Times New Roman" w:cs="Times New Roman" w:eastAsiaTheme="minorEastAsia"/>
                      <w:color w:val="auto"/>
                      <w:szCs w:val="21"/>
                      <w:lang w:val="en-US" w:eastAsia="zh-CN"/>
                    </w:rPr>
                  </w:pPr>
                  <w:r>
                    <w:rPr>
                      <w:rFonts w:hint="eastAsia"/>
                      <w:color w:val="auto"/>
                      <w:lang w:val="en-US" w:eastAsia="zh-CN"/>
                    </w:rPr>
                    <w:t>772-00750</w:t>
                  </w:r>
                </w:p>
              </w:tc>
              <w:tc>
                <w:tcPr>
                  <w:tcW w:w="468" w:type="pct"/>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厂区北侧</w:t>
                  </w:r>
                </w:p>
              </w:tc>
              <w:tc>
                <w:tcPr>
                  <w:tcW w:w="424" w:type="pct"/>
                  <w:vAlign w:val="center"/>
                </w:tcPr>
                <w:p>
                  <w:pPr>
                    <w:adjustRightInd w:val="0"/>
                    <w:snapToGrid w:val="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10</w:t>
                  </w:r>
                  <w:r>
                    <w:rPr>
                      <w:rFonts w:ascii="Times New Roman" w:hAnsi="Times New Roman" w:cs="Times New Roman"/>
                      <w:color w:val="auto"/>
                      <w:szCs w:val="21"/>
                      <w:highlight w:val="none"/>
                    </w:rPr>
                    <w:t>m</w:t>
                  </w:r>
                  <w:r>
                    <w:rPr>
                      <w:rFonts w:ascii="Times New Roman" w:hAnsi="Times New Roman" w:cs="Times New Roman"/>
                      <w:color w:val="auto"/>
                      <w:szCs w:val="21"/>
                      <w:highlight w:val="none"/>
                      <w:vertAlign w:val="superscript"/>
                    </w:rPr>
                    <w:t>2</w:t>
                  </w:r>
                </w:p>
              </w:tc>
              <w:tc>
                <w:tcPr>
                  <w:tcW w:w="652" w:type="pc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液态</w:t>
                  </w:r>
                </w:p>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桶装</w:t>
                  </w:r>
                </w:p>
              </w:tc>
              <w:tc>
                <w:tcPr>
                  <w:tcW w:w="584" w:type="pct"/>
                  <w:vAlign w:val="center"/>
                </w:tcPr>
                <w:p>
                  <w:pPr>
                    <w:adjustRightInd w:val="0"/>
                    <w:snapToGrid w:val="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0.2</w:t>
                  </w:r>
                </w:p>
              </w:tc>
              <w:tc>
                <w:tcPr>
                  <w:tcW w:w="396" w:type="pct"/>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1年</w:t>
                  </w:r>
                </w:p>
              </w:tc>
            </w:tr>
          </w:tbl>
          <w:p>
            <w:pPr>
              <w:autoSpaceDE w:val="0"/>
              <w:autoSpaceDN w:val="0"/>
              <w:adjustRightInd w:val="0"/>
              <w:snapToGrid w:val="0"/>
              <w:spacing w:line="360" w:lineRule="auto"/>
              <w:ind w:firstLine="480" w:firstLineChars="200"/>
              <w:rPr>
                <w:rFonts w:ascii="Times New Roman" w:hAnsi="Times New Roman" w:cs="Times New Roman"/>
                <w:color w:val="auto"/>
                <w:kern w:val="0"/>
                <w:sz w:val="24"/>
              </w:rPr>
            </w:pPr>
            <w:r>
              <w:rPr>
                <w:rFonts w:ascii="Times New Roman" w:hAnsi="Times New Roman" w:cs="Times New Roman"/>
                <w:bCs/>
                <w:color w:val="auto"/>
                <w:kern w:val="0"/>
                <w:sz w:val="24"/>
              </w:rPr>
              <w:t>2</w:t>
            </w:r>
            <w:r>
              <w:rPr>
                <w:rFonts w:ascii="Times New Roman" w:hAnsi="Times New Roman" w:cs="Times New Roman"/>
                <w:color w:val="auto"/>
                <w:kern w:val="0"/>
                <w:sz w:val="24"/>
              </w:rPr>
              <w:t>）运输过程的环境影响分析</w:t>
            </w:r>
          </w:p>
          <w:p>
            <w:pPr>
              <w:autoSpaceDE w:val="0"/>
              <w:autoSpaceDN w:val="0"/>
              <w:adjustRightInd w:val="0"/>
              <w:snapToGrid w:val="0"/>
              <w:spacing w:line="360" w:lineRule="auto"/>
              <w:ind w:firstLine="480" w:firstLineChars="200"/>
              <w:rPr>
                <w:rFonts w:ascii="Times New Roman" w:hAnsi="Times New Roman" w:cs="Times New Roman"/>
                <w:color w:val="auto"/>
                <w:kern w:val="0"/>
                <w:sz w:val="24"/>
              </w:rPr>
            </w:pPr>
            <w:r>
              <w:rPr>
                <w:rFonts w:ascii="Times New Roman" w:hAnsi="Times New Roman" w:cs="Times New Roman"/>
                <w:color w:val="auto"/>
                <w:kern w:val="0"/>
                <w:sz w:val="24"/>
              </w:rPr>
              <w:t>从厂区内产生工艺环节运输到危险</w:t>
            </w:r>
            <w:r>
              <w:rPr>
                <w:rFonts w:hint="eastAsia" w:ascii="Times New Roman" w:hAnsi="Times New Roman" w:cs="Times New Roman"/>
                <w:color w:val="auto"/>
                <w:kern w:val="0"/>
                <w:sz w:val="24"/>
              </w:rPr>
              <w:t>贮</w:t>
            </w:r>
            <w:r>
              <w:rPr>
                <w:rFonts w:ascii="Times New Roman" w:hAnsi="Times New Roman" w:cs="Times New Roman"/>
                <w:color w:val="auto"/>
                <w:kern w:val="0"/>
                <w:sz w:val="24"/>
              </w:rPr>
              <w:t>存间可能产生散落、泄漏，有可能污染土壤和地下水，因此从厂区内产生的环节运输到危险废物贮存间，采用专用设备进行运输，并派专人负责运输转运，加强对运输人员的培训，减少运输过程的散落、泄露。从厂区内产生工艺环节运输到危险暂存间运输路线沿线已经进行硬化，没有耕地、园地、牧草地、饮用水源地或居民区、学校、医院、疗养院、养老院等环境敏感点。</w:t>
            </w:r>
          </w:p>
          <w:p>
            <w:pPr>
              <w:autoSpaceDE w:val="0"/>
              <w:autoSpaceDN w:val="0"/>
              <w:adjustRightInd w:val="0"/>
              <w:snapToGrid w:val="0"/>
              <w:spacing w:line="360" w:lineRule="auto"/>
              <w:ind w:firstLine="480" w:firstLineChars="200"/>
              <w:rPr>
                <w:rFonts w:ascii="Times New Roman" w:hAnsi="Times New Roman" w:cs="Times New Roman"/>
                <w:color w:val="auto"/>
                <w:kern w:val="0"/>
                <w:sz w:val="24"/>
              </w:rPr>
            </w:pPr>
            <w:r>
              <w:rPr>
                <w:rFonts w:ascii="Times New Roman" w:hAnsi="Times New Roman" w:cs="Times New Roman"/>
                <w:color w:val="auto"/>
                <w:kern w:val="0"/>
                <w:sz w:val="24"/>
              </w:rPr>
              <w:t>本项目危险废物运输由建设单位委托有资质的危险废物处置单位进行运输，建设单位应配合运输单位员工进行危险废物中转作业，中转装卸及运输过程应遵守如下技术要求：</w:t>
            </w:r>
          </w:p>
          <w:p>
            <w:pPr>
              <w:autoSpaceDE w:val="0"/>
              <w:autoSpaceDN w:val="0"/>
              <w:adjustRightInd w:val="0"/>
              <w:snapToGrid w:val="0"/>
              <w:spacing w:line="360" w:lineRule="auto"/>
              <w:ind w:firstLine="480" w:firstLineChars="200"/>
              <w:rPr>
                <w:rFonts w:ascii="Times New Roman" w:hAnsi="Times New Roman" w:cs="Times New Roman"/>
                <w:color w:val="auto"/>
                <w:kern w:val="0"/>
                <w:sz w:val="24"/>
              </w:rPr>
            </w:pPr>
            <w:r>
              <w:rPr>
                <w:rFonts w:ascii="Times New Roman" w:hAnsi="Times New Roman" w:cs="Times New Roman"/>
                <w:color w:val="auto"/>
                <w:kern w:val="0"/>
                <w:sz w:val="24"/>
              </w:rPr>
              <w:t>①装卸危险废物的工作人员应熟悉危险废物的属性，并配备适当的个人防护装备，装卸剧毒废物应配备特殊的防护装备。</w:t>
            </w:r>
          </w:p>
          <w:p>
            <w:pPr>
              <w:adjustRightIn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②装卸区应配备必要的消防设备和设施，并设置明显的指示标志。</w:t>
            </w:r>
          </w:p>
          <w:p>
            <w:pPr>
              <w:autoSpaceDE w:val="0"/>
              <w:autoSpaceDN w:val="0"/>
              <w:adjustRightInd w:val="0"/>
              <w:spacing w:line="360" w:lineRule="auto"/>
              <w:ind w:firstLine="480" w:firstLineChars="200"/>
              <w:rPr>
                <w:rFonts w:ascii="Times New Roman" w:hAnsi="Times New Roman" w:cs="Times New Roman"/>
                <w:color w:val="auto"/>
                <w:kern w:val="0"/>
                <w:sz w:val="24"/>
              </w:rPr>
            </w:pPr>
            <w:r>
              <w:rPr>
                <w:rFonts w:ascii="Times New Roman" w:hAnsi="Times New Roman" w:cs="Times New Roman"/>
                <w:color w:val="auto"/>
                <w:kern w:val="0"/>
                <w:sz w:val="24"/>
              </w:rPr>
              <w:t>③危险废物装卸区应设置必要的隔离设施，液态废物卸载区应设置收集槽和缓冲罐等必要的应急设施。</w:t>
            </w:r>
          </w:p>
          <w:p>
            <w:pPr>
              <w:adjustRightIn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3）委托利用或者处置的环境影响分析</w:t>
            </w:r>
          </w:p>
          <w:p>
            <w:pPr>
              <w:adjustRightInd w:val="0"/>
              <w:spacing w:line="360" w:lineRule="auto"/>
              <w:ind w:firstLine="480" w:firstLineChars="200"/>
              <w:rPr>
                <w:rFonts w:hint="eastAsia" w:ascii="Times New Roman" w:hAnsi="Times New Roman" w:cs="Times New Roman"/>
                <w:color w:val="auto"/>
                <w:sz w:val="24"/>
                <w:highlight w:val="none"/>
                <w:lang w:eastAsia="zh-CN"/>
              </w:rPr>
            </w:pPr>
            <w:r>
              <w:rPr>
                <w:rFonts w:ascii="Times New Roman" w:hAnsi="Times New Roman" w:cs="Times New Roman"/>
                <w:color w:val="auto"/>
                <w:sz w:val="24"/>
              </w:rPr>
              <w:t>本项目产生的危险废物分类收集暂存于危险废物贮存间内，定期交由</w:t>
            </w:r>
            <w:r>
              <w:rPr>
                <w:rFonts w:hint="eastAsia" w:ascii="Times New Roman" w:hAnsi="Times New Roman" w:cs="Times New Roman"/>
                <w:color w:val="auto"/>
                <w:sz w:val="24"/>
                <w:highlight w:val="none"/>
                <w:lang w:val="en-US" w:eastAsia="zh-CN"/>
              </w:rPr>
              <w:t>有资质的单位进行转运、处置</w:t>
            </w:r>
            <w:r>
              <w:rPr>
                <w:rFonts w:hint="eastAsia" w:ascii="Times New Roman" w:hAnsi="Times New Roman" w:cs="Times New Roman"/>
                <w:color w:val="auto"/>
                <w:sz w:val="24"/>
                <w:highlight w:val="none"/>
                <w:lang w:eastAsia="zh-CN"/>
              </w:rPr>
              <w:t>。</w:t>
            </w:r>
          </w:p>
          <w:p>
            <w:pPr>
              <w:spacing w:line="360" w:lineRule="auto"/>
              <w:ind w:firstLine="480" w:firstLineChars="200"/>
              <w:jc w:val="left"/>
              <w:rPr>
                <w:rFonts w:ascii="Times New Roman" w:hAnsi="Times New Roman"/>
                <w:color w:val="auto"/>
                <w:sz w:val="24"/>
              </w:rPr>
            </w:pPr>
            <w:r>
              <w:rPr>
                <w:rFonts w:hint="eastAsia" w:ascii="Times New Roman" w:hAnsi="Times New Roman"/>
                <w:color w:val="auto"/>
                <w:sz w:val="24"/>
              </w:rPr>
              <w:t>各委托处置单位情况如下：</w:t>
            </w:r>
          </w:p>
          <w:p>
            <w:pPr>
              <w:spacing w:line="360" w:lineRule="auto"/>
              <w:ind w:firstLine="480" w:firstLineChars="200"/>
              <w:jc w:val="left"/>
              <w:rPr>
                <w:rFonts w:ascii="Times New Roman" w:hAnsi="Times New Roman"/>
                <w:color w:val="auto"/>
                <w:sz w:val="24"/>
              </w:rPr>
            </w:pPr>
            <w:r>
              <w:rPr>
                <w:rFonts w:hint="eastAsia" w:ascii="Times New Roman" w:hAnsi="Times New Roman"/>
                <w:color w:val="auto"/>
                <w:sz w:val="24"/>
              </w:rPr>
              <w:t>a.</w:t>
            </w:r>
            <w:r>
              <w:rPr>
                <w:rFonts w:hint="eastAsia" w:ascii="Times New Roman" w:hAnsi="Times New Roman"/>
                <w:color w:val="auto"/>
                <w:sz w:val="24"/>
              </w:rPr>
              <w:tab/>
            </w:r>
            <w:r>
              <w:rPr>
                <w:rFonts w:hint="eastAsia" w:ascii="Times New Roman" w:hAnsi="Times New Roman"/>
                <w:color w:val="auto"/>
                <w:sz w:val="24"/>
              </w:rPr>
              <w:t>唐山浩昌杰环保科技发展有限公司</w:t>
            </w:r>
          </w:p>
          <w:p>
            <w:pPr>
              <w:spacing w:line="360" w:lineRule="auto"/>
              <w:ind w:firstLine="480" w:firstLineChars="200"/>
              <w:jc w:val="left"/>
              <w:rPr>
                <w:rFonts w:ascii="Times New Roman" w:hAnsi="Times New Roman"/>
                <w:color w:val="auto"/>
                <w:sz w:val="24"/>
              </w:rPr>
            </w:pPr>
            <w:r>
              <w:rPr>
                <w:rFonts w:hint="eastAsia" w:ascii="Times New Roman" w:hAnsi="Times New Roman"/>
                <w:color w:val="auto"/>
                <w:sz w:val="24"/>
              </w:rPr>
              <w:t>年度核准经营规模为：焚烧6592t/年；综合利用140100t/年，可处理承德双然环保科技有限公司收集的HW02、HW03、HW04、HW05、HW06、HW08、HW09、HW12、HW13、HW16、HW49类废物。</w:t>
            </w:r>
          </w:p>
          <w:p>
            <w:pPr>
              <w:spacing w:line="360" w:lineRule="auto"/>
              <w:ind w:firstLine="480" w:firstLineChars="200"/>
              <w:jc w:val="left"/>
              <w:rPr>
                <w:rFonts w:ascii="Times New Roman" w:hAnsi="Times New Roman"/>
                <w:color w:val="auto"/>
                <w:sz w:val="24"/>
              </w:rPr>
            </w:pPr>
            <w:r>
              <w:rPr>
                <w:rFonts w:hint="eastAsia" w:ascii="Times New Roman" w:hAnsi="Times New Roman"/>
                <w:color w:val="auto"/>
                <w:sz w:val="24"/>
              </w:rPr>
              <w:t>b.</w:t>
            </w:r>
            <w:r>
              <w:rPr>
                <w:rFonts w:hint="eastAsia" w:ascii="Times New Roman" w:hAnsi="Times New Roman"/>
                <w:color w:val="auto"/>
                <w:sz w:val="24"/>
              </w:rPr>
              <w:tab/>
            </w:r>
            <w:r>
              <w:rPr>
                <w:rFonts w:hint="eastAsia" w:ascii="Times New Roman" w:hAnsi="Times New Roman"/>
                <w:color w:val="auto"/>
                <w:sz w:val="24"/>
              </w:rPr>
              <w:t>承德金隅水泥有限责任公司</w:t>
            </w:r>
          </w:p>
          <w:p>
            <w:pPr>
              <w:spacing w:line="360" w:lineRule="auto"/>
              <w:ind w:firstLine="480" w:firstLineChars="200"/>
              <w:jc w:val="left"/>
              <w:rPr>
                <w:rFonts w:ascii="Times New Roman" w:hAnsi="Times New Roman"/>
                <w:color w:val="auto"/>
                <w:sz w:val="24"/>
              </w:rPr>
            </w:pPr>
            <w:r>
              <w:rPr>
                <w:rFonts w:hint="eastAsia" w:ascii="Times New Roman" w:hAnsi="Times New Roman"/>
                <w:color w:val="auto"/>
                <w:sz w:val="24"/>
              </w:rPr>
              <w:t>年度核准经营规模为：30000t/年；可处理承德双然环保科技有限公司收集的HW02、HW03、HW04、HW05、HW06、HW08、HW09、HW11、HW12、HW13、HW16、HW17、HW32、HW34、HW35、HW37、HW49、HW50类废物。</w:t>
            </w:r>
          </w:p>
          <w:p>
            <w:pPr>
              <w:spacing w:line="360" w:lineRule="auto"/>
              <w:ind w:firstLine="480" w:firstLineChars="200"/>
              <w:jc w:val="left"/>
              <w:rPr>
                <w:rFonts w:ascii="Times New Roman" w:hAnsi="Times New Roman"/>
                <w:color w:val="auto"/>
                <w:sz w:val="24"/>
              </w:rPr>
            </w:pPr>
            <w:r>
              <w:rPr>
                <w:rFonts w:hint="eastAsia" w:ascii="Times New Roman" w:hAnsi="Times New Roman"/>
                <w:color w:val="auto"/>
                <w:sz w:val="24"/>
              </w:rPr>
              <w:t>c.</w:t>
            </w:r>
            <w:r>
              <w:rPr>
                <w:rFonts w:hint="eastAsia" w:ascii="Times New Roman" w:hAnsi="Times New Roman"/>
                <w:color w:val="auto"/>
                <w:sz w:val="24"/>
              </w:rPr>
              <w:tab/>
            </w:r>
            <w:r>
              <w:rPr>
                <w:rFonts w:hint="eastAsia" w:ascii="Times New Roman" w:hAnsi="Times New Roman"/>
                <w:color w:val="auto"/>
                <w:sz w:val="24"/>
              </w:rPr>
              <w:t>乐亭县海畅环保科技有限公司</w:t>
            </w:r>
          </w:p>
          <w:p>
            <w:pPr>
              <w:adjustRightInd w:val="0"/>
              <w:spacing w:line="360" w:lineRule="auto"/>
              <w:ind w:firstLine="480" w:firstLineChars="200"/>
              <w:rPr>
                <w:rFonts w:hint="eastAsia" w:ascii="Times New Roman" w:hAnsi="Times New Roman" w:cs="Times New Roman"/>
                <w:color w:val="auto"/>
                <w:sz w:val="24"/>
              </w:rPr>
            </w:pPr>
            <w:r>
              <w:rPr>
                <w:rFonts w:hint="eastAsia" w:ascii="Times New Roman" w:hAnsi="Times New Roman" w:cs="Times New Roman"/>
                <w:color w:val="auto"/>
                <w:sz w:val="24"/>
              </w:rPr>
              <w:t>年度核准经营规模为：焚烧处置规模9000t；可处理承德双然环保科技有限公司收集的HW08、HW09、HW49类废物。</w:t>
            </w:r>
          </w:p>
          <w:p>
            <w:pPr>
              <w:adjustRightInd w:val="0"/>
              <w:spacing w:line="360" w:lineRule="auto"/>
              <w:ind w:firstLine="480" w:firstLineChars="200"/>
              <w:rPr>
                <w:rFonts w:hint="eastAsia" w:ascii="Times New Roman" w:hAnsi="Times New Roman" w:cs="Times New Roman"/>
                <w:color w:val="auto"/>
                <w:sz w:val="24"/>
              </w:rPr>
            </w:pPr>
            <w:r>
              <w:rPr>
                <w:rFonts w:hint="eastAsia" w:ascii="Times New Roman" w:hAnsi="Times New Roman" w:cs="Times New Roman"/>
                <w:color w:val="auto"/>
                <w:sz w:val="24"/>
              </w:rPr>
              <w:t>4）危险废物收集、储存、转运过程应急预案</w:t>
            </w:r>
          </w:p>
          <w:p>
            <w:pPr>
              <w:adjustRightInd w:val="0"/>
              <w:spacing w:line="360" w:lineRule="auto"/>
              <w:ind w:firstLine="480" w:firstLineChars="200"/>
              <w:rPr>
                <w:rFonts w:hint="eastAsia" w:ascii="Times New Roman" w:hAnsi="Times New Roman" w:cs="Times New Roman"/>
                <w:color w:val="auto"/>
                <w:sz w:val="24"/>
              </w:rPr>
            </w:pPr>
            <w:r>
              <w:rPr>
                <w:rFonts w:hint="eastAsia" w:ascii="Times New Roman" w:hAnsi="Times New Roman" w:cs="Times New Roman"/>
                <w:color w:val="auto"/>
                <w:sz w:val="24"/>
              </w:rPr>
              <w:t>危险废物收集、储存、转运过程应编制相应的应急预案及意外事故风险防范措施，针对危险废物收集、储运、中转过程产生的事故易发环节应定期组织应急演练。</w:t>
            </w:r>
          </w:p>
          <w:p>
            <w:pPr>
              <w:adjustRightInd w:val="0"/>
              <w:spacing w:line="360" w:lineRule="auto"/>
              <w:ind w:firstLine="480" w:firstLineChars="200"/>
              <w:rPr>
                <w:rFonts w:hint="eastAsia" w:ascii="Times New Roman" w:hAnsi="Times New Roman" w:cs="Times New Roman"/>
                <w:color w:val="auto"/>
                <w:sz w:val="24"/>
              </w:rPr>
            </w:pPr>
            <w:r>
              <w:rPr>
                <w:rFonts w:hint="eastAsia" w:ascii="Times New Roman" w:hAnsi="Times New Roman" w:cs="Times New Roman"/>
                <w:color w:val="auto"/>
                <w:sz w:val="24"/>
              </w:rPr>
              <w:t>危险废物收集、储运、中转过程一旦发生意外事故，建设单位应根据风险应急预案立即采取如下措施：</w:t>
            </w:r>
          </w:p>
          <w:p>
            <w:pPr>
              <w:adjustRightInd w:val="0"/>
              <w:spacing w:line="360" w:lineRule="auto"/>
              <w:ind w:firstLine="480" w:firstLineChars="200"/>
              <w:rPr>
                <w:rFonts w:hint="eastAsia" w:ascii="Times New Roman" w:hAnsi="Times New Roman" w:cs="Times New Roman"/>
                <w:color w:val="auto"/>
                <w:sz w:val="24"/>
              </w:rPr>
            </w:pPr>
            <w:r>
              <w:rPr>
                <w:rFonts w:hint="eastAsia" w:ascii="Times New Roman" w:hAnsi="Times New Roman" w:cs="Times New Roman"/>
                <w:color w:val="auto"/>
                <w:sz w:val="24"/>
              </w:rPr>
              <w:t>①设立事故警戒线，启动应急预案，并按要求向环保主管部门进行报告。</w:t>
            </w:r>
          </w:p>
          <w:p>
            <w:pPr>
              <w:adjustRightInd w:val="0"/>
              <w:spacing w:line="360" w:lineRule="auto"/>
              <w:ind w:firstLine="480" w:firstLineChars="200"/>
              <w:rPr>
                <w:rFonts w:hint="eastAsia" w:ascii="Times New Roman" w:hAnsi="Times New Roman" w:cs="Times New Roman"/>
                <w:color w:val="auto"/>
                <w:sz w:val="24"/>
              </w:rPr>
            </w:pPr>
            <w:r>
              <w:rPr>
                <w:rFonts w:hint="eastAsia" w:ascii="Times New Roman" w:hAnsi="Times New Roman" w:cs="Times New Roman"/>
                <w:color w:val="auto"/>
                <w:sz w:val="24"/>
              </w:rPr>
              <w:t>②对事故受到污染的土壤和水体等进行相应的清理和修复。</w:t>
            </w:r>
          </w:p>
          <w:p>
            <w:pPr>
              <w:adjustRightInd w:val="0"/>
              <w:spacing w:line="360" w:lineRule="auto"/>
              <w:ind w:firstLine="480" w:firstLineChars="200"/>
              <w:rPr>
                <w:rFonts w:hint="eastAsia" w:ascii="Times New Roman" w:hAnsi="Times New Roman" w:cs="Times New Roman"/>
                <w:color w:val="auto"/>
                <w:sz w:val="24"/>
              </w:rPr>
            </w:pPr>
            <w:r>
              <w:rPr>
                <w:rFonts w:hint="eastAsia" w:ascii="Times New Roman" w:hAnsi="Times New Roman" w:cs="Times New Roman"/>
                <w:color w:val="auto"/>
                <w:sz w:val="24"/>
              </w:rPr>
              <w:t>③清理过程产生的所有废物均应按危险废物进行管理和处置。</w:t>
            </w:r>
          </w:p>
          <w:p>
            <w:pPr>
              <w:adjustRightInd w:val="0"/>
              <w:spacing w:line="360" w:lineRule="auto"/>
              <w:ind w:firstLine="480" w:firstLineChars="200"/>
              <w:rPr>
                <w:rFonts w:hint="eastAsia" w:ascii="Times New Roman" w:hAnsi="Times New Roman" w:cs="Times New Roman"/>
                <w:color w:val="auto"/>
                <w:sz w:val="24"/>
              </w:rPr>
            </w:pPr>
            <w:r>
              <w:rPr>
                <w:rFonts w:hint="eastAsia" w:ascii="Times New Roman" w:hAnsi="Times New Roman" w:cs="Times New Roman"/>
                <w:color w:val="auto"/>
                <w:sz w:val="24"/>
              </w:rPr>
              <w:t>④进入现场清理和包装危险废物的人员应受过专业培训，穿着防护服，佩戴防护用具。</w:t>
            </w:r>
          </w:p>
          <w:p>
            <w:pPr>
              <w:ind w:firstLine="482"/>
              <w:rPr>
                <w:color w:val="auto"/>
                <w:sz w:val="24"/>
              </w:rPr>
            </w:pPr>
            <w:r>
              <w:rPr>
                <w:rFonts w:ascii="Times New Roman" w:hAnsi="Times New Roman" w:cs="Times New Roman"/>
                <w:color w:val="auto"/>
                <w:sz w:val="24"/>
              </w:rPr>
              <w:t>综上所述，项目生产运行阶段固体废物均得到合理处置，对区域环境影响较小。</w:t>
            </w:r>
          </w:p>
          <w:p>
            <w:pPr>
              <w:spacing w:line="360" w:lineRule="auto"/>
              <w:ind w:firstLine="482" w:firstLineChars="200"/>
              <w:rPr>
                <w:rFonts w:ascii="Times New Roman" w:hAnsi="Times New Roman" w:cs="Times New Roman"/>
                <w:b/>
                <w:bCs/>
                <w:color w:val="auto"/>
                <w:sz w:val="24"/>
                <w:shd w:val="clear" w:color="auto" w:fill="FFFFFF"/>
              </w:rPr>
            </w:pPr>
            <w:r>
              <w:rPr>
                <w:rFonts w:hint="eastAsia" w:ascii="Times New Roman" w:hAnsi="Times New Roman" w:cs="Times New Roman"/>
                <w:b/>
                <w:bCs/>
                <w:color w:val="auto"/>
                <w:sz w:val="24"/>
                <w:shd w:val="clear" w:color="auto" w:fill="FFFFFF"/>
                <w:lang w:val="en-US" w:eastAsia="zh-CN"/>
              </w:rPr>
              <w:t>5</w:t>
            </w:r>
            <w:r>
              <w:rPr>
                <w:rFonts w:ascii="Times New Roman" w:hAnsi="Times New Roman" w:cs="Times New Roman"/>
                <w:b/>
                <w:bCs/>
                <w:color w:val="auto"/>
                <w:sz w:val="24"/>
                <w:shd w:val="clear" w:color="auto" w:fill="FFFFFF"/>
              </w:rPr>
              <w:t>、土壤</w:t>
            </w:r>
            <w:r>
              <w:rPr>
                <w:rFonts w:ascii="Times New Roman" w:hAnsi="Times New Roman" w:cs="Times New Roman"/>
                <w:b/>
                <w:color w:val="auto"/>
                <w:sz w:val="24"/>
                <w:szCs w:val="32"/>
              </w:rPr>
              <w:t>环境影响和保护措施</w:t>
            </w:r>
          </w:p>
          <w:p>
            <w:pPr>
              <w:spacing w:line="360" w:lineRule="auto"/>
              <w:ind w:firstLine="480"/>
              <w:rPr>
                <w:rFonts w:ascii="Times New Roman" w:hAnsi="Times New Roman" w:cs="Times New Roman"/>
                <w:b/>
                <w:bCs/>
                <w:color w:val="auto"/>
                <w:sz w:val="24"/>
              </w:rPr>
            </w:pPr>
            <w:r>
              <w:rPr>
                <w:rFonts w:ascii="Times New Roman" w:hAnsi="Times New Roman" w:cs="Times New Roman"/>
                <w:b/>
                <w:bCs/>
                <w:color w:val="auto"/>
                <w:sz w:val="24"/>
              </w:rPr>
              <w:t>（1）污染源、污染物类型和污染途径</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根据工程分析可知，</w:t>
            </w:r>
            <w:r>
              <w:rPr>
                <w:rFonts w:hint="eastAsia" w:ascii="Times New Roman" w:hAnsi="Times New Roman" w:cs="Times New Roman"/>
                <w:color w:val="auto"/>
                <w:sz w:val="24"/>
                <w:lang w:val="en-US" w:eastAsia="zh-CN"/>
              </w:rPr>
              <w:t>全厂</w:t>
            </w:r>
            <w:r>
              <w:rPr>
                <w:rFonts w:ascii="Times New Roman" w:hAnsi="Times New Roman" w:cs="Times New Roman"/>
                <w:color w:val="auto"/>
                <w:sz w:val="24"/>
              </w:rPr>
              <w:t>对土壤可能产生的潜在污染包括：</w:t>
            </w:r>
          </w:p>
          <w:p>
            <w:pPr>
              <w:spacing w:line="360" w:lineRule="auto"/>
              <w:ind w:firstLine="480" w:firstLineChars="200"/>
              <w:rPr>
                <w:rFonts w:ascii="Times New Roman" w:hAnsi="Times New Roman" w:cs="Times New Roman"/>
                <w:color w:val="auto"/>
                <w:sz w:val="24"/>
              </w:rPr>
            </w:pPr>
            <w:r>
              <w:rPr>
                <w:rFonts w:hint="eastAsia" w:ascii="Times New Roman" w:hAnsi="Times New Roman" w:cs="Times New Roman"/>
                <w:bCs/>
                <w:color w:val="auto"/>
                <w:sz w:val="24"/>
                <w:szCs w:val="32"/>
                <w:lang w:val="en-US" w:eastAsia="zh-CN"/>
              </w:rPr>
              <w:t>地面</w:t>
            </w:r>
            <w:r>
              <w:rPr>
                <w:rFonts w:ascii="Times New Roman" w:hAnsi="Times New Roman" w:cs="Times New Roman"/>
                <w:bCs/>
                <w:color w:val="auto"/>
                <w:sz w:val="24"/>
                <w:szCs w:val="32"/>
              </w:rPr>
              <w:t>破损</w:t>
            </w:r>
            <w:r>
              <w:rPr>
                <w:rFonts w:ascii="Times New Roman" w:hAnsi="Times New Roman" w:cs="Times New Roman"/>
                <w:color w:val="auto"/>
                <w:sz w:val="24"/>
              </w:rPr>
              <w:t>，污染土壤环境，</w:t>
            </w:r>
            <w:r>
              <w:rPr>
                <w:rFonts w:ascii="Times New Roman" w:hAnsi="Times New Roman" w:cs="Times New Roman"/>
                <w:bCs/>
                <w:color w:val="auto"/>
                <w:sz w:val="24"/>
              </w:rPr>
              <w:t>主要污染物为SS、氨氮、COD、BOD</w:t>
            </w:r>
            <w:r>
              <w:rPr>
                <w:rFonts w:ascii="Times New Roman" w:hAnsi="Times New Roman" w:cs="Times New Roman"/>
                <w:bCs/>
                <w:color w:val="auto"/>
                <w:sz w:val="24"/>
                <w:vertAlign w:val="subscript"/>
              </w:rPr>
              <w:t>5</w:t>
            </w:r>
            <w:r>
              <w:rPr>
                <w:rFonts w:ascii="Times New Roman" w:hAnsi="Times New Roman" w:cs="Times New Roman"/>
                <w:color w:val="auto"/>
                <w:sz w:val="24"/>
              </w:rPr>
              <w:t>等，污染途径为垂直入渗。</w:t>
            </w:r>
          </w:p>
          <w:p>
            <w:pPr>
              <w:adjustRightInd w:val="0"/>
              <w:snapToGrid w:val="0"/>
              <w:spacing w:line="360" w:lineRule="auto"/>
              <w:ind w:firstLine="482" w:firstLineChars="200"/>
              <w:rPr>
                <w:rFonts w:ascii="Times New Roman" w:hAnsi="Times New Roman" w:cs="Times New Roman"/>
                <w:b/>
                <w:bCs/>
                <w:color w:val="auto"/>
                <w:sz w:val="24"/>
              </w:rPr>
            </w:pPr>
            <w:r>
              <w:rPr>
                <w:rFonts w:ascii="Times New Roman" w:hAnsi="Times New Roman" w:cs="Times New Roman"/>
                <w:b/>
                <w:bCs/>
                <w:color w:val="auto"/>
                <w:sz w:val="24"/>
              </w:rPr>
              <w:t>（2）污染防治措施</w:t>
            </w:r>
          </w:p>
          <w:p>
            <w:pPr>
              <w:adjustRightInd w:val="0"/>
              <w:snapToGrid w:val="0"/>
              <w:spacing w:line="360" w:lineRule="auto"/>
              <w:ind w:firstLine="480" w:firstLineChars="200"/>
              <w:rPr>
                <w:rFonts w:ascii="Times New Roman" w:hAnsi="Times New Roman" w:cs="Times New Roman"/>
                <w:color w:val="auto"/>
                <w:sz w:val="24"/>
              </w:rPr>
            </w:pPr>
            <w:r>
              <w:rPr>
                <w:rFonts w:ascii="Times New Roman" w:hAnsi="Times New Roman" w:eastAsia="宋体" w:cs="Times New Roman"/>
                <w:color w:val="auto"/>
                <w:sz w:val="24"/>
              </w:rPr>
              <w:t>厂区</w:t>
            </w:r>
            <w:r>
              <w:rPr>
                <w:rFonts w:hint="eastAsia" w:ascii="Times New Roman" w:hAnsi="Times New Roman" w:eastAsia="宋体" w:cs="Times New Roman"/>
                <w:color w:val="auto"/>
                <w:sz w:val="24"/>
                <w:lang w:val="en-US" w:eastAsia="zh-CN"/>
              </w:rPr>
              <w:t>已</w:t>
            </w:r>
            <w:r>
              <w:rPr>
                <w:rFonts w:ascii="Times New Roman" w:hAnsi="Times New Roman" w:eastAsia="宋体" w:cs="Times New Roman"/>
                <w:color w:val="auto"/>
                <w:sz w:val="24"/>
              </w:rPr>
              <w:t>做好分区防渗，发生泄漏事故的可能性极小。其中</w:t>
            </w:r>
            <w:r>
              <w:rPr>
                <w:rFonts w:ascii="Times New Roman" w:hAnsi="Times New Roman" w:cs="Times New Roman"/>
                <w:color w:val="auto"/>
                <w:sz w:val="24"/>
              </w:rPr>
              <w:t>危险废物贮存间为重点防渗区，</w:t>
            </w:r>
            <w:r>
              <w:rPr>
                <w:rFonts w:ascii="Times New Roman" w:hAnsi="Times New Roman" w:cs="Times New Roman"/>
                <w:color w:val="auto"/>
                <w:kern w:val="0"/>
                <w:sz w:val="24"/>
              </w:rPr>
              <w:t>防渗系数K≤10</w:t>
            </w:r>
            <w:r>
              <w:rPr>
                <w:rFonts w:ascii="Times New Roman" w:hAnsi="Times New Roman" w:cs="Times New Roman"/>
                <w:color w:val="auto"/>
                <w:kern w:val="0"/>
                <w:sz w:val="24"/>
                <w:vertAlign w:val="superscript"/>
              </w:rPr>
              <w:t>-10</w:t>
            </w:r>
            <w:r>
              <w:rPr>
                <w:rFonts w:ascii="Times New Roman" w:hAnsi="Times New Roman" w:cs="Times New Roman"/>
                <w:color w:val="auto"/>
                <w:kern w:val="0"/>
                <w:sz w:val="24"/>
              </w:rPr>
              <w:t>cm/s；</w:t>
            </w:r>
            <w:r>
              <w:rPr>
                <w:rFonts w:ascii="Times New Roman" w:hAnsi="Times New Roman" w:eastAsia="宋体" w:cs="Times New Roman"/>
                <w:color w:val="auto"/>
                <w:sz w:val="24"/>
              </w:rPr>
              <w:t>一般防渗区包括</w:t>
            </w:r>
            <w:r>
              <w:rPr>
                <w:rFonts w:hint="eastAsia" w:ascii="Times New Roman" w:hAnsi="Times New Roman" w:eastAsia="宋体" w:cs="Times New Roman"/>
                <w:color w:val="auto"/>
                <w:sz w:val="24"/>
                <w:lang w:val="en-US" w:eastAsia="zh-CN"/>
              </w:rPr>
              <w:t>煤库、灰库、渣库、锅炉房</w:t>
            </w:r>
            <w:r>
              <w:rPr>
                <w:rFonts w:ascii="Times New Roman" w:hAnsi="Times New Roman" w:eastAsia="宋体" w:cs="Times New Roman"/>
                <w:color w:val="auto"/>
                <w:sz w:val="24"/>
              </w:rPr>
              <w:t>，</w:t>
            </w:r>
            <w:r>
              <w:rPr>
                <w:rFonts w:ascii="Times New Roman" w:hAnsi="Times New Roman" w:cs="Times New Roman"/>
                <w:bCs/>
                <w:color w:val="auto"/>
                <w:sz w:val="24"/>
              </w:rPr>
              <w:t>具体防渗措施参照《环境影响评价技术导则 地下水环境》（HJ610-2016）要求进行，采用天然或人工材料构筑防渗层，达到等效黏土防渗层Mb≥1.5m、k≤1.0×10</w:t>
            </w:r>
            <w:r>
              <w:rPr>
                <w:rFonts w:ascii="Times New Roman" w:hAnsi="Times New Roman" w:cs="Times New Roman"/>
                <w:bCs/>
                <w:color w:val="auto"/>
                <w:sz w:val="24"/>
                <w:vertAlign w:val="superscript"/>
              </w:rPr>
              <w:t>-7</w:t>
            </w:r>
            <w:r>
              <w:rPr>
                <w:rFonts w:ascii="Times New Roman" w:hAnsi="Times New Roman" w:cs="Times New Roman"/>
                <w:bCs/>
                <w:color w:val="auto"/>
                <w:sz w:val="24"/>
              </w:rPr>
              <w:t>cm/s的防渗技术要求，或参照GB16889执行</w:t>
            </w:r>
            <w:r>
              <w:rPr>
                <w:rFonts w:ascii="Times New Roman" w:hAnsi="Times New Roman" w:eastAsia="宋体" w:cs="Times New Roman"/>
                <w:color w:val="auto"/>
                <w:sz w:val="24"/>
              </w:rPr>
              <w:t>；简单防渗区包括其他区域，进行一般水泥地面硬化。</w:t>
            </w:r>
            <w:r>
              <w:rPr>
                <w:rFonts w:ascii="Times New Roman" w:hAnsi="Times New Roman" w:cs="Times New Roman"/>
                <w:color w:val="auto"/>
                <w:sz w:val="24"/>
                <w:szCs w:val="22"/>
              </w:rPr>
              <w:t>项目采取严格防渗措施后，对土壤环境影响可接受。</w:t>
            </w:r>
          </w:p>
          <w:p>
            <w:pPr>
              <w:spacing w:line="360" w:lineRule="auto"/>
              <w:ind w:firstLine="482" w:firstLineChars="200"/>
              <w:rPr>
                <w:rFonts w:hint="eastAsia" w:ascii="Times New Roman" w:hAnsi="Times New Roman" w:cs="Times New Roman"/>
                <w:b/>
                <w:bCs/>
                <w:color w:val="auto"/>
                <w:sz w:val="24"/>
                <w:shd w:val="clear" w:color="auto" w:fill="FFFFFF"/>
                <w:lang w:val="en-US" w:eastAsia="zh-CN"/>
              </w:rPr>
            </w:pPr>
            <w:r>
              <w:rPr>
                <w:rFonts w:hint="eastAsia" w:ascii="Times New Roman" w:hAnsi="Times New Roman" w:cs="Times New Roman"/>
                <w:b/>
                <w:bCs/>
                <w:color w:val="auto"/>
                <w:sz w:val="24"/>
                <w:shd w:val="clear" w:color="auto" w:fill="FFFFFF"/>
                <w:lang w:val="en-US" w:eastAsia="zh-CN"/>
              </w:rPr>
              <w:t>6、环境风险</w:t>
            </w:r>
          </w:p>
          <w:p>
            <w:pPr>
              <w:spacing w:line="360" w:lineRule="auto"/>
              <w:ind w:firstLine="482" w:firstLineChars="200"/>
              <w:rPr>
                <w:rFonts w:hint="eastAsia" w:ascii="Times New Roman" w:hAnsi="Times New Roman" w:cs="Times New Roman" w:eastAsiaTheme="minorEastAsia"/>
                <w:b/>
                <w:bCs/>
                <w:color w:val="auto"/>
                <w:sz w:val="24"/>
                <w:lang w:eastAsia="zh-CN"/>
              </w:rPr>
            </w:pPr>
            <w:r>
              <w:rPr>
                <w:rFonts w:hint="default" w:ascii="Times New Roman" w:hAnsi="Times New Roman" w:cs="Times New Roman"/>
                <w:b/>
                <w:bCs/>
                <w:color w:val="auto"/>
                <w:sz w:val="24"/>
              </w:rPr>
              <w:t>（</w:t>
            </w:r>
            <w:r>
              <w:rPr>
                <w:rFonts w:hint="eastAsia" w:ascii="Times New Roman" w:hAnsi="Times New Roman" w:cs="Times New Roman"/>
                <w:b/>
                <w:bCs/>
                <w:color w:val="auto"/>
                <w:sz w:val="24"/>
                <w:lang w:val="en-US" w:eastAsia="zh-CN"/>
              </w:rPr>
              <w:t>1</w:t>
            </w:r>
            <w:r>
              <w:rPr>
                <w:rFonts w:hint="default" w:ascii="Times New Roman" w:hAnsi="Times New Roman" w:cs="Times New Roman"/>
                <w:b/>
                <w:bCs/>
                <w:color w:val="auto"/>
                <w:sz w:val="24"/>
              </w:rPr>
              <w:t>）风险</w:t>
            </w:r>
            <w:r>
              <w:rPr>
                <w:rFonts w:hint="eastAsia" w:ascii="Times New Roman" w:hAnsi="Times New Roman" w:cs="Times New Roman"/>
                <w:b/>
                <w:bCs/>
                <w:color w:val="auto"/>
                <w:sz w:val="24"/>
                <w:lang w:val="en-US" w:eastAsia="zh-CN"/>
              </w:rPr>
              <w:t>源</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本项目涉及环境风险的物质主要为</w:t>
            </w:r>
            <w:r>
              <w:rPr>
                <w:rFonts w:hint="eastAsia" w:ascii="Times New Roman" w:hAnsi="Times New Roman" w:cs="Times New Roman"/>
                <w:color w:val="auto"/>
                <w:sz w:val="24"/>
                <w:lang w:val="en-US" w:eastAsia="zh-CN"/>
              </w:rPr>
              <w:t>废催化剂</w:t>
            </w:r>
            <w:r>
              <w:rPr>
                <w:rFonts w:hint="eastAsia" w:ascii="Times New Roman" w:hAnsi="Times New Roman" w:cs="Times New Roman"/>
                <w:color w:val="auto"/>
                <w:sz w:val="24"/>
                <w:lang w:eastAsia="zh-CN"/>
              </w:rPr>
              <w:t>，</w:t>
            </w:r>
            <w:r>
              <w:rPr>
                <w:rFonts w:ascii="Times New Roman" w:hAnsi="Times New Roman" w:cs="Times New Roman"/>
                <w:color w:val="auto"/>
                <w:sz w:val="24"/>
              </w:rPr>
              <w:t>产生量0.</w:t>
            </w:r>
            <w:r>
              <w:rPr>
                <w:rFonts w:hint="eastAsia" w:ascii="Times New Roman" w:hAnsi="Times New Roman" w:cs="Times New Roman"/>
                <w:color w:val="auto"/>
                <w:sz w:val="24"/>
                <w:lang w:val="en-US" w:eastAsia="zh-CN"/>
              </w:rPr>
              <w:t>2</w:t>
            </w:r>
            <w:r>
              <w:rPr>
                <w:rFonts w:ascii="Times New Roman" w:hAnsi="Times New Roman" w:cs="Times New Roman"/>
                <w:color w:val="auto"/>
                <w:sz w:val="24"/>
              </w:rPr>
              <w:t>t/a。</w:t>
            </w:r>
          </w:p>
          <w:p>
            <w:pPr>
              <w:pStyle w:val="2"/>
              <w:rPr>
                <w:rFonts w:ascii="Times New Roman" w:hAnsi="Times New Roman" w:cs="Times New Roman"/>
                <w:color w:val="auto"/>
                <w:sz w:val="24"/>
              </w:rPr>
            </w:pPr>
          </w:p>
          <w:p>
            <w:pPr>
              <w:pStyle w:val="2"/>
              <w:rPr>
                <w:rFonts w:ascii="Times New Roman" w:hAnsi="Times New Roman" w:cs="Times New Roman"/>
                <w:color w:val="auto"/>
                <w:sz w:val="24"/>
              </w:rPr>
            </w:pPr>
          </w:p>
          <w:p>
            <w:pPr>
              <w:snapToGrid w:val="0"/>
              <w:spacing w:line="240" w:lineRule="auto"/>
              <w:jc w:val="center"/>
              <w:rPr>
                <w:rFonts w:hint="eastAsia" w:ascii="Times New Roman" w:hAnsi="Times New Roman" w:cs="Times New Roman"/>
                <w:b/>
                <w:bCs/>
                <w:color w:val="auto"/>
                <w:szCs w:val="21"/>
                <w:lang w:val="en-US" w:eastAsia="zh-CN"/>
              </w:rPr>
            </w:pPr>
            <w:r>
              <w:rPr>
                <w:rFonts w:hint="eastAsia" w:ascii="Times New Roman" w:hAnsi="Times New Roman" w:cs="Times New Roman"/>
                <w:b/>
                <w:bCs/>
                <w:color w:val="auto"/>
                <w:szCs w:val="21"/>
                <w:lang w:val="en-US" w:eastAsia="zh-CN"/>
              </w:rPr>
              <w:t>表4-19  环境风险物质与临界量比值</w:t>
            </w:r>
          </w:p>
          <w:tbl>
            <w:tblPr>
              <w:tblStyle w:val="21"/>
              <w:tblW w:w="0" w:type="auto"/>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
            <w:tblGrid>
              <w:gridCol w:w="525"/>
              <w:gridCol w:w="2048"/>
              <w:gridCol w:w="528"/>
              <w:gridCol w:w="973"/>
              <w:gridCol w:w="739"/>
              <w:gridCol w:w="978"/>
              <w:gridCol w:w="2705"/>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525" w:type="dxa"/>
                </w:tcPr>
                <w:p>
                  <w:pPr>
                    <w:pStyle w:val="42"/>
                    <w:spacing w:line="269" w:lineRule="exact"/>
                    <w:ind w:left="101" w:right="73"/>
                    <w:jc w:val="center"/>
                    <w:rPr>
                      <w:rFonts w:ascii="Times New Roman" w:hAnsi="Times New Roman" w:cs="Times New Roman"/>
                      <w:b/>
                      <w:bCs/>
                      <w:color w:val="auto"/>
                      <w:szCs w:val="21"/>
                    </w:rPr>
                  </w:pPr>
                  <w:r>
                    <w:rPr>
                      <w:rFonts w:ascii="Times New Roman" w:hAnsi="Times New Roman" w:cs="Times New Roman"/>
                      <w:b/>
                      <w:bCs/>
                      <w:color w:val="auto"/>
                      <w:szCs w:val="21"/>
                    </w:rPr>
                    <w:t>序号</w:t>
                  </w:r>
                </w:p>
              </w:tc>
              <w:tc>
                <w:tcPr>
                  <w:tcW w:w="2048" w:type="dxa"/>
                  <w:vAlign w:val="center"/>
                </w:tcPr>
                <w:p>
                  <w:pPr>
                    <w:pStyle w:val="42"/>
                    <w:spacing w:line="269" w:lineRule="exact"/>
                    <w:ind w:left="101" w:right="73"/>
                    <w:jc w:val="center"/>
                    <w:rPr>
                      <w:rFonts w:ascii="Times New Roman" w:hAnsi="Times New Roman" w:cs="Times New Roman"/>
                      <w:b/>
                      <w:bCs/>
                      <w:color w:val="auto"/>
                      <w:szCs w:val="21"/>
                    </w:rPr>
                  </w:pPr>
                  <w:r>
                    <w:rPr>
                      <w:rFonts w:ascii="Times New Roman" w:hAnsi="Times New Roman" w:cs="Times New Roman"/>
                      <w:b/>
                      <w:bCs/>
                      <w:color w:val="auto"/>
                      <w:szCs w:val="21"/>
                    </w:rPr>
                    <w:t>风险物质</w:t>
                  </w:r>
                </w:p>
              </w:tc>
              <w:tc>
                <w:tcPr>
                  <w:tcW w:w="528" w:type="dxa"/>
                  <w:vAlign w:val="center"/>
                </w:tcPr>
                <w:p>
                  <w:pPr>
                    <w:pStyle w:val="42"/>
                    <w:spacing w:line="269" w:lineRule="exact"/>
                    <w:ind w:left="101" w:right="73"/>
                    <w:jc w:val="center"/>
                    <w:rPr>
                      <w:rFonts w:ascii="Times New Roman" w:hAnsi="Times New Roman" w:cs="Times New Roman"/>
                      <w:b/>
                      <w:bCs/>
                      <w:color w:val="auto"/>
                      <w:szCs w:val="21"/>
                    </w:rPr>
                  </w:pPr>
                  <w:r>
                    <w:rPr>
                      <w:rFonts w:ascii="Times New Roman" w:hAnsi="Times New Roman" w:cs="Times New Roman"/>
                      <w:b/>
                      <w:bCs/>
                      <w:color w:val="auto"/>
                      <w:szCs w:val="21"/>
                    </w:rPr>
                    <w:t>单位</w:t>
                  </w:r>
                </w:p>
              </w:tc>
              <w:tc>
                <w:tcPr>
                  <w:tcW w:w="973" w:type="dxa"/>
                  <w:vAlign w:val="center"/>
                </w:tcPr>
                <w:p>
                  <w:pPr>
                    <w:pStyle w:val="42"/>
                    <w:spacing w:line="269" w:lineRule="exact"/>
                    <w:ind w:left="101" w:right="73"/>
                    <w:jc w:val="center"/>
                    <w:rPr>
                      <w:rFonts w:ascii="Times New Roman" w:hAnsi="Times New Roman" w:cs="Times New Roman"/>
                      <w:b/>
                      <w:bCs/>
                      <w:color w:val="auto"/>
                      <w:szCs w:val="21"/>
                    </w:rPr>
                  </w:pPr>
                  <w:r>
                    <w:rPr>
                      <w:rFonts w:ascii="Times New Roman" w:hAnsi="Times New Roman" w:cs="Times New Roman"/>
                      <w:b/>
                      <w:bCs/>
                      <w:color w:val="auto"/>
                      <w:szCs w:val="21"/>
                    </w:rPr>
                    <w:t>最大存储量</w:t>
                  </w:r>
                </w:p>
              </w:tc>
              <w:tc>
                <w:tcPr>
                  <w:tcW w:w="739" w:type="dxa"/>
                </w:tcPr>
                <w:p>
                  <w:pPr>
                    <w:pStyle w:val="42"/>
                    <w:spacing w:line="269" w:lineRule="exact"/>
                    <w:ind w:left="101" w:right="73"/>
                    <w:jc w:val="center"/>
                    <w:rPr>
                      <w:rFonts w:ascii="Times New Roman" w:hAnsi="Times New Roman" w:cs="Times New Roman"/>
                      <w:b/>
                      <w:bCs/>
                      <w:color w:val="auto"/>
                      <w:szCs w:val="21"/>
                    </w:rPr>
                  </w:pPr>
                  <w:r>
                    <w:rPr>
                      <w:rFonts w:ascii="Times New Roman" w:hAnsi="Times New Roman" w:cs="Times New Roman"/>
                      <w:b/>
                      <w:bCs/>
                      <w:color w:val="auto"/>
                      <w:szCs w:val="21"/>
                    </w:rPr>
                    <w:t>临界量</w:t>
                  </w:r>
                </w:p>
              </w:tc>
              <w:tc>
                <w:tcPr>
                  <w:tcW w:w="978" w:type="dxa"/>
                </w:tcPr>
                <w:p>
                  <w:pPr>
                    <w:pStyle w:val="42"/>
                    <w:spacing w:line="269" w:lineRule="exact"/>
                    <w:ind w:left="101" w:right="73"/>
                    <w:jc w:val="center"/>
                    <w:rPr>
                      <w:rFonts w:ascii="Times New Roman" w:hAnsi="Times New Roman" w:cs="Times New Roman"/>
                      <w:b/>
                      <w:bCs/>
                      <w:color w:val="auto"/>
                      <w:szCs w:val="21"/>
                    </w:rPr>
                  </w:pPr>
                  <w:r>
                    <w:rPr>
                      <w:rFonts w:ascii="Times New Roman" w:hAnsi="Times New Roman" w:cs="Times New Roman"/>
                      <w:b/>
                      <w:bCs/>
                      <w:color w:val="auto"/>
                      <w:szCs w:val="21"/>
                    </w:rPr>
                    <w:t>q</w:t>
                  </w:r>
                </w:p>
              </w:tc>
              <w:tc>
                <w:tcPr>
                  <w:tcW w:w="2705" w:type="dxa"/>
                </w:tcPr>
                <w:p>
                  <w:pPr>
                    <w:pStyle w:val="42"/>
                    <w:spacing w:line="269" w:lineRule="exact"/>
                    <w:ind w:left="101" w:right="73"/>
                    <w:jc w:val="center"/>
                    <w:rPr>
                      <w:rFonts w:ascii="Times New Roman" w:hAnsi="Times New Roman" w:cs="Times New Roman"/>
                      <w:b/>
                      <w:bCs/>
                      <w:color w:val="auto"/>
                      <w:szCs w:val="21"/>
                    </w:rPr>
                  </w:pPr>
                  <w:r>
                    <w:rPr>
                      <w:rFonts w:ascii="Times New Roman" w:hAnsi="Times New Roman" w:cs="Times New Roman"/>
                      <w:b/>
                      <w:bCs/>
                      <w:color w:val="auto"/>
                      <w:szCs w:val="21"/>
                    </w:rPr>
                    <w:t>备注</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525" w:type="dxa"/>
                </w:tcPr>
                <w:p>
                  <w:pPr>
                    <w:pStyle w:val="42"/>
                    <w:spacing w:line="269" w:lineRule="exact"/>
                    <w:ind w:left="101" w:right="73"/>
                    <w:jc w:val="center"/>
                    <w:rPr>
                      <w:rFonts w:hint="eastAsia" w:ascii="Times New Roman" w:hAnsi="Times New Roman" w:cs="Times New Roman" w:eastAsiaTheme="minorEastAsia"/>
                      <w:color w:val="auto"/>
                      <w:szCs w:val="21"/>
                      <w:lang w:eastAsia="zh-CN"/>
                    </w:rPr>
                  </w:pPr>
                  <w:r>
                    <w:rPr>
                      <w:rFonts w:hint="eastAsia" w:ascii="Times New Roman" w:hAnsi="Times New Roman" w:cs="Times New Roman"/>
                      <w:color w:val="auto"/>
                      <w:szCs w:val="21"/>
                      <w:lang w:val="en-US" w:eastAsia="zh-CN"/>
                    </w:rPr>
                    <w:t>1</w:t>
                  </w:r>
                </w:p>
              </w:tc>
              <w:tc>
                <w:tcPr>
                  <w:tcW w:w="2048" w:type="dxa"/>
                  <w:vAlign w:val="center"/>
                </w:tcPr>
                <w:p>
                  <w:pPr>
                    <w:pStyle w:val="42"/>
                    <w:spacing w:line="269" w:lineRule="exact"/>
                    <w:ind w:left="101" w:right="73"/>
                    <w:jc w:val="center"/>
                    <w:rPr>
                      <w:rFonts w:hint="eastAsia" w:ascii="Times New Roman" w:hAnsi="Times New Roman" w:cs="Times New Roman" w:eastAsiaTheme="minorEastAsia"/>
                      <w:color w:val="auto"/>
                      <w:szCs w:val="21"/>
                      <w:lang w:eastAsia="zh-CN"/>
                    </w:rPr>
                  </w:pPr>
                  <w:r>
                    <w:rPr>
                      <w:rFonts w:hint="eastAsia" w:ascii="Times New Roman" w:hAnsi="Times New Roman" w:cs="Times New Roman"/>
                      <w:color w:val="auto"/>
                      <w:szCs w:val="21"/>
                      <w:lang w:val="en-US" w:eastAsia="zh-CN"/>
                    </w:rPr>
                    <w:t>废催化剂</w:t>
                  </w:r>
                </w:p>
              </w:tc>
              <w:tc>
                <w:tcPr>
                  <w:tcW w:w="528" w:type="dxa"/>
                  <w:vAlign w:val="center"/>
                </w:tcPr>
                <w:p>
                  <w:pPr>
                    <w:pStyle w:val="42"/>
                    <w:spacing w:line="269" w:lineRule="exact"/>
                    <w:ind w:left="101" w:right="73"/>
                    <w:jc w:val="center"/>
                    <w:rPr>
                      <w:rFonts w:ascii="Times New Roman" w:hAnsi="Times New Roman" w:cs="Times New Roman"/>
                      <w:color w:val="auto"/>
                      <w:szCs w:val="21"/>
                    </w:rPr>
                  </w:pPr>
                  <w:r>
                    <w:rPr>
                      <w:rFonts w:ascii="Times New Roman" w:hAnsi="Times New Roman" w:cs="Times New Roman"/>
                      <w:color w:val="auto"/>
                      <w:szCs w:val="21"/>
                    </w:rPr>
                    <w:t>t/a</w:t>
                  </w:r>
                </w:p>
              </w:tc>
              <w:tc>
                <w:tcPr>
                  <w:tcW w:w="973" w:type="dxa"/>
                  <w:vAlign w:val="center"/>
                </w:tcPr>
                <w:p>
                  <w:pPr>
                    <w:pStyle w:val="42"/>
                    <w:spacing w:line="269" w:lineRule="exact"/>
                    <w:ind w:left="101" w:right="73"/>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0.2</w:t>
                  </w:r>
                </w:p>
              </w:tc>
              <w:tc>
                <w:tcPr>
                  <w:tcW w:w="739" w:type="dxa"/>
                </w:tcPr>
                <w:p>
                  <w:pPr>
                    <w:pStyle w:val="42"/>
                    <w:spacing w:line="269" w:lineRule="exact"/>
                    <w:ind w:left="101" w:right="73"/>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100</w:t>
                  </w:r>
                </w:p>
              </w:tc>
              <w:tc>
                <w:tcPr>
                  <w:tcW w:w="978" w:type="dxa"/>
                </w:tcPr>
                <w:p>
                  <w:pPr>
                    <w:pStyle w:val="42"/>
                    <w:spacing w:line="269" w:lineRule="exact"/>
                    <w:ind w:left="101" w:right="73"/>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0.002</w:t>
                  </w:r>
                </w:p>
              </w:tc>
              <w:tc>
                <w:tcPr>
                  <w:tcW w:w="2705" w:type="dxa"/>
                </w:tcPr>
                <w:p>
                  <w:pPr>
                    <w:pStyle w:val="42"/>
                    <w:spacing w:line="269" w:lineRule="exact"/>
                    <w:ind w:left="101" w:right="73"/>
                    <w:jc w:val="center"/>
                    <w:rPr>
                      <w:rFonts w:ascii="Times New Roman" w:hAnsi="Times New Roman" w:cs="Times New Roman"/>
                      <w:color w:val="auto"/>
                      <w:szCs w:val="21"/>
                    </w:rPr>
                  </w:pPr>
                </w:p>
              </w:tc>
            </w:tr>
          </w:tbl>
          <w:p>
            <w:pPr>
              <w:spacing w:line="360" w:lineRule="auto"/>
              <w:ind w:firstLine="480" w:firstLineChars="200"/>
              <w:rPr>
                <w:rFonts w:hint="default" w:ascii="Times New Roman" w:hAnsi="Times New Roman" w:cs="Times New Roman"/>
                <w:color w:val="auto"/>
                <w:sz w:val="24"/>
              </w:rPr>
            </w:pPr>
            <w:r>
              <w:rPr>
                <w:rFonts w:ascii="Times New Roman" w:hAnsi="Times New Roman" w:cs="Times New Roman"/>
                <w:color w:val="auto"/>
                <w:kern w:val="0"/>
                <w:sz w:val="24"/>
              </w:rPr>
              <w:t>经计算，危险物质数量与临界量的比值Q=</w:t>
            </w:r>
            <w:r>
              <w:rPr>
                <w:rFonts w:hint="eastAsia" w:ascii="Times New Roman" w:hAnsi="Times New Roman" w:cs="Times New Roman"/>
                <w:color w:val="auto"/>
                <w:kern w:val="0"/>
                <w:sz w:val="24"/>
                <w:lang w:val="en-US" w:eastAsia="zh-CN"/>
              </w:rPr>
              <w:t>0.002</w:t>
            </w:r>
            <w:r>
              <w:rPr>
                <w:rFonts w:ascii="Times New Roman" w:hAnsi="Times New Roman" w:cs="Times New Roman"/>
                <w:color w:val="auto"/>
                <w:kern w:val="0"/>
                <w:sz w:val="24"/>
              </w:rPr>
              <w:t>，Q＜1，则根据导则附录C的规定，当Q＜1时，项目的环境风险潜势为Ⅰ。</w:t>
            </w:r>
          </w:p>
          <w:p>
            <w:pPr>
              <w:autoSpaceDE w:val="0"/>
              <w:autoSpaceDN w:val="0"/>
              <w:adjustRightInd w:val="0"/>
              <w:spacing w:line="360" w:lineRule="auto"/>
              <w:ind w:firstLine="482" w:firstLineChars="200"/>
              <w:rPr>
                <w:rFonts w:hint="default" w:ascii="Times New Roman" w:hAnsi="Times New Roman" w:cs="Times New Roman" w:eastAsiaTheme="minorEastAsia"/>
                <w:b/>
                <w:bCs/>
                <w:color w:val="auto"/>
                <w:kern w:val="0"/>
                <w:sz w:val="24"/>
                <w:lang w:val="en-US" w:eastAsia="zh-CN"/>
              </w:rPr>
            </w:pPr>
            <w:r>
              <w:rPr>
                <w:rFonts w:hint="eastAsia" w:ascii="Times New Roman" w:hAnsi="Times New Roman" w:cs="Times New Roman"/>
                <w:b/>
                <w:bCs/>
                <w:color w:val="auto"/>
                <w:kern w:val="0"/>
                <w:sz w:val="24"/>
                <w:lang w:eastAsia="zh-CN"/>
              </w:rPr>
              <w:t>（</w:t>
            </w:r>
            <w:r>
              <w:rPr>
                <w:rFonts w:hint="eastAsia" w:ascii="Times New Roman" w:hAnsi="Times New Roman" w:cs="Times New Roman"/>
                <w:b/>
                <w:bCs/>
                <w:color w:val="auto"/>
                <w:kern w:val="0"/>
                <w:sz w:val="24"/>
                <w:lang w:val="en-US" w:eastAsia="zh-CN"/>
              </w:rPr>
              <w:t>2</w:t>
            </w:r>
            <w:r>
              <w:rPr>
                <w:rFonts w:hint="eastAsia" w:ascii="Times New Roman" w:hAnsi="Times New Roman" w:cs="Times New Roman"/>
                <w:b/>
                <w:bCs/>
                <w:color w:val="auto"/>
                <w:kern w:val="0"/>
                <w:sz w:val="24"/>
                <w:lang w:eastAsia="zh-CN"/>
              </w:rPr>
              <w:t>）</w:t>
            </w:r>
            <w:r>
              <w:rPr>
                <w:rFonts w:hint="eastAsia" w:ascii="Times New Roman" w:hAnsi="Times New Roman" w:cs="Times New Roman"/>
                <w:b/>
                <w:bCs/>
                <w:color w:val="auto"/>
                <w:kern w:val="0"/>
                <w:sz w:val="24"/>
                <w:lang w:val="en-US" w:eastAsia="zh-CN"/>
              </w:rPr>
              <w:t>影响途径</w:t>
            </w:r>
          </w:p>
          <w:p>
            <w:pPr>
              <w:autoSpaceDE w:val="0"/>
              <w:autoSpaceDN w:val="0"/>
              <w:adjustRightIn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泄露事故引发的次生污染</w:t>
            </w:r>
          </w:p>
          <w:p>
            <w:pPr>
              <w:autoSpaceDE w:val="0"/>
              <w:autoSpaceDN w:val="0"/>
              <w:adjustRightIn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w:t>
            </w:r>
            <w:r>
              <w:rPr>
                <w:rFonts w:hint="eastAsia" w:ascii="Times New Roman" w:hAnsi="Times New Roman" w:cs="Times New Roman"/>
                <w:color w:val="auto"/>
                <w:kern w:val="0"/>
                <w:sz w:val="24"/>
                <w:lang w:val="en-US" w:eastAsia="zh-CN"/>
              </w:rPr>
              <w:t>废催化剂</w:t>
            </w:r>
            <w:r>
              <w:rPr>
                <w:rFonts w:hint="default" w:ascii="Times New Roman" w:hAnsi="Times New Roman" w:cs="Times New Roman"/>
                <w:color w:val="auto"/>
                <w:kern w:val="0"/>
                <w:sz w:val="24"/>
              </w:rPr>
              <w:t>贮存于危险废物暂存间内，可能因为容器损坏，防渗层破裂、管理疏忽等原因导致泄漏，可能造成地下水、河流及土壤污染。</w:t>
            </w:r>
          </w:p>
          <w:p>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w:t>
            </w:r>
            <w:r>
              <w:rPr>
                <w:rFonts w:hint="eastAsia" w:ascii="Times New Roman" w:hAnsi="Times New Roman" w:cs="Times New Roman"/>
                <w:b/>
                <w:bCs/>
                <w:color w:val="auto"/>
                <w:sz w:val="24"/>
                <w:lang w:val="en-US" w:eastAsia="zh-CN"/>
              </w:rPr>
              <w:t>3</w:t>
            </w:r>
            <w:r>
              <w:rPr>
                <w:rFonts w:hint="default" w:ascii="Times New Roman" w:hAnsi="Times New Roman" w:cs="Times New Roman"/>
                <w:b/>
                <w:bCs/>
                <w:color w:val="auto"/>
                <w:sz w:val="24"/>
              </w:rPr>
              <w:t>）</w:t>
            </w:r>
            <w:r>
              <w:rPr>
                <w:rFonts w:hint="default" w:ascii="Times New Roman" w:hAnsi="Times New Roman" w:cs="Times New Roman"/>
                <w:b/>
                <w:bCs/>
                <w:color w:val="auto"/>
                <w:sz w:val="24"/>
                <w:lang w:bidi="ar"/>
              </w:rPr>
              <w:t>环境风险防范措施及应急要求</w:t>
            </w:r>
          </w:p>
          <w:p>
            <w:pPr>
              <w:snapToGrid w:val="0"/>
              <w:spacing w:line="360" w:lineRule="auto"/>
              <w:ind w:firstLine="480" w:firstLineChars="200"/>
              <w:rPr>
                <w:rFonts w:hint="default" w:ascii="Times New Roman" w:hAnsi="Times New Roman" w:cs="Times New Roman"/>
                <w:color w:val="auto"/>
                <w:sz w:val="24"/>
              </w:rPr>
            </w:pPr>
            <w:r>
              <w:rPr>
                <w:rFonts w:hint="eastAsia" w:ascii="Times New Roman" w:hAnsi="Times New Roman" w:cs="Times New Roman"/>
                <w:color w:val="auto"/>
                <w:kern w:val="0"/>
                <w:sz w:val="24"/>
                <w:lang w:val="en-US" w:eastAsia="zh-CN"/>
              </w:rPr>
              <w:t>废催化剂</w:t>
            </w:r>
            <w:r>
              <w:rPr>
                <w:rFonts w:hint="default" w:ascii="Times New Roman" w:hAnsi="Times New Roman" w:cs="Times New Roman"/>
                <w:color w:val="auto"/>
                <w:sz w:val="24"/>
              </w:rPr>
              <w:t>贮存于危险废物暂存间内，配备规定数量、质量要求的灭火器材，并有专人负责监督；贴有危险废物标识，加强对危险废物暂存间的日常检查和定期检查。</w:t>
            </w:r>
          </w:p>
          <w:p>
            <w:pPr>
              <w:snapToGrid w:val="0"/>
              <w:spacing w:line="360" w:lineRule="auto"/>
              <w:ind w:firstLine="480" w:firstLineChars="200"/>
              <w:rPr>
                <w:rFonts w:ascii="Times New Roman" w:hAnsi="Times New Roman"/>
                <w:color w:val="auto"/>
                <w:sz w:val="24"/>
                <w:szCs w:val="24"/>
              </w:rPr>
            </w:pPr>
            <w:r>
              <w:rPr>
                <w:rFonts w:hint="eastAsia" w:ascii="Times New Roman" w:hAnsi="Times New Roman"/>
                <w:color w:val="auto"/>
                <w:sz w:val="24"/>
                <w:szCs w:val="24"/>
              </w:rPr>
              <w:t>项目</w:t>
            </w:r>
            <w:r>
              <w:rPr>
                <w:rFonts w:hint="eastAsia" w:ascii="Times New Roman" w:hAnsi="Times New Roman" w:cs="Times New Roman"/>
                <w:color w:val="auto"/>
                <w:kern w:val="0"/>
                <w:sz w:val="24"/>
                <w:lang w:val="en-US" w:eastAsia="zh-CN"/>
              </w:rPr>
              <w:t>废催化剂</w:t>
            </w:r>
            <w:r>
              <w:rPr>
                <w:rFonts w:hint="eastAsia" w:ascii="Times New Roman" w:hAnsi="Times New Roman"/>
                <w:color w:val="auto"/>
                <w:sz w:val="24"/>
                <w:szCs w:val="24"/>
              </w:rPr>
              <w:t>发生泄露遗撒事故时，短时间内溢流将存于危险废物贮存间内，长时间未发现时才溢流到危险废物贮存间外，短时间不会对环境造成污染</w:t>
            </w:r>
            <w:r>
              <w:rPr>
                <w:rFonts w:hint="eastAsia" w:ascii="Times New Roman" w:hAnsi="Times New Roman"/>
                <w:color w:val="auto"/>
                <w:sz w:val="24"/>
                <w:szCs w:val="24"/>
                <w:lang w:eastAsia="zh-CN"/>
              </w:rPr>
              <w:t>，</w:t>
            </w:r>
            <w:r>
              <w:rPr>
                <w:rFonts w:hint="eastAsia" w:ascii="Times New Roman" w:hAnsi="Times New Roman"/>
                <w:color w:val="auto"/>
                <w:sz w:val="24"/>
                <w:szCs w:val="24"/>
              </w:rPr>
              <w:t>及时收集</w:t>
            </w:r>
            <w:r>
              <w:rPr>
                <w:rFonts w:hint="eastAsia" w:ascii="Times New Roman" w:hAnsi="Times New Roman" w:cs="Times New Roman"/>
                <w:color w:val="auto"/>
                <w:kern w:val="0"/>
                <w:sz w:val="24"/>
                <w:lang w:val="en-US" w:eastAsia="zh-CN"/>
              </w:rPr>
              <w:t>废催化剂</w:t>
            </w:r>
            <w:r>
              <w:rPr>
                <w:rFonts w:hint="eastAsia" w:ascii="Times New Roman" w:hAnsi="Times New Roman"/>
                <w:color w:val="auto"/>
                <w:sz w:val="24"/>
                <w:szCs w:val="24"/>
                <w:lang w:val="en-US" w:eastAsia="zh-CN"/>
              </w:rPr>
              <w:t>，</w:t>
            </w:r>
            <w:r>
              <w:rPr>
                <w:rFonts w:hint="eastAsia" w:ascii="Times New Roman" w:hAnsi="Times New Roman"/>
                <w:color w:val="auto"/>
                <w:sz w:val="24"/>
                <w:szCs w:val="24"/>
              </w:rPr>
              <w:t>用吸附物质围堵，采用专门的收集装置进行收集，交由资质单位</w:t>
            </w:r>
            <w:r>
              <w:rPr>
                <w:rFonts w:hint="eastAsia" w:ascii="Times New Roman" w:hAnsi="Times New Roman"/>
                <w:color w:val="auto"/>
                <w:sz w:val="24"/>
                <w:szCs w:val="24"/>
                <w:lang w:val="en-US" w:eastAsia="zh-CN"/>
              </w:rPr>
              <w:t>处置</w:t>
            </w:r>
            <w:r>
              <w:rPr>
                <w:rFonts w:hint="eastAsia" w:ascii="Times New Roman" w:hAnsi="Times New Roman"/>
                <w:color w:val="auto"/>
                <w:sz w:val="24"/>
                <w:szCs w:val="24"/>
              </w:rPr>
              <w:t>。</w:t>
            </w:r>
          </w:p>
          <w:p>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提高工作人员环境风险意识，制定各项环保制度。对从业人员进行岗位职工教育与培训，使他们均具备危险意识及如何应对危险的知识，并进行相关泄露事故的教育。设立应急事故专门记录，建立档案和报告制度，由专门部门或人员负责管理。</w:t>
            </w:r>
          </w:p>
          <w:p>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执行环保事故报告制度，一经发现环保事故，立即向企业负责人、当地政府或上级有关部门报告，不瞒报、漏报，及时组织进行处置。具体负责人员或部门统一指挥对事故现场的应急救援，并立即查明原因，提出对策，及时组织各方面力量处理泄露事故，控制事故的蔓延和扩大。</w:t>
            </w:r>
          </w:p>
          <w:p>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主体单位应成立本厂的突发环境事件应急小组指挥部，责任到人，确保应急小组分工明确，以有效应对突发事件的发生，同时，项目应依据《中华人民共和国突发事件应对法》、《企业事业单位突发环境事件应急预案备案管理办法》（试行）的相关要求，进行《突发环境事件应急预案》的编制及备案工作。对于本项目可能造成环境风险的突发性事故制定应急预案纲要，供项目决策人参考。</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w:t>
            </w:r>
            <w:r>
              <w:rPr>
                <w:rFonts w:hint="eastAsia" w:ascii="Times New Roman" w:hAnsi="Times New Roman" w:cs="Times New Roman"/>
                <w:b/>
                <w:bCs/>
                <w:color w:val="auto"/>
                <w:sz w:val="24"/>
                <w:lang w:val="en-US" w:eastAsia="zh-CN"/>
              </w:rPr>
              <w:t>4</w:t>
            </w:r>
            <w:r>
              <w:rPr>
                <w:rFonts w:hint="default" w:ascii="Times New Roman" w:hAnsi="Times New Roman" w:cs="Times New Roman"/>
                <w:b/>
                <w:bCs/>
                <w:color w:val="auto"/>
                <w:sz w:val="24"/>
              </w:rPr>
              <w:t>）环境风险分析结论</w:t>
            </w:r>
          </w:p>
          <w:p>
            <w:pPr>
              <w:keepNext w:val="0"/>
              <w:keepLines w:val="0"/>
              <w:pageBreakBefore w:val="0"/>
              <w:widowControl w:val="0"/>
              <w:kinsoku/>
              <w:wordWrap/>
              <w:overflowPunct/>
              <w:topLinePunct w:val="0"/>
              <w:bidi w:val="0"/>
              <w:snapToGrid w:val="0"/>
              <w:spacing w:line="360" w:lineRule="auto"/>
              <w:ind w:firstLine="480" w:firstLineChars="200"/>
              <w:textAlignment w:val="auto"/>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建设单位</w:t>
            </w:r>
            <w:r>
              <w:rPr>
                <w:rFonts w:hint="default" w:ascii="Times New Roman" w:hAnsi="Times New Roman" w:cs="Times New Roman"/>
                <w:color w:val="auto"/>
                <w:sz w:val="24"/>
              </w:rPr>
              <w:t>在加强厂区风险管理、制定事故应急预案的基础上，事故发生概率较低。基于完善风险防范措施和应急预案的前提下，本项目环境风险水平是可以接受的。</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cs="Times New Roman"/>
                <w:color w:val="auto"/>
                <w:sz w:val="24"/>
                <w:lang w:eastAsia="zh-CN"/>
              </w:rPr>
            </w:pPr>
          </w:p>
          <w:p>
            <w:pPr>
              <w:pStyle w:val="2"/>
              <w:rPr>
                <w:rFonts w:hint="eastAsia" w:ascii="Times New Roman" w:hAnsi="Times New Roman" w:cs="Times New Roman"/>
                <w:color w:val="auto"/>
                <w:sz w:val="24"/>
                <w:lang w:eastAsia="zh-CN"/>
              </w:rPr>
            </w:pPr>
          </w:p>
          <w:p>
            <w:pPr>
              <w:pStyle w:val="2"/>
              <w:rPr>
                <w:rFonts w:hint="eastAsia" w:ascii="Times New Roman" w:hAnsi="Times New Roman" w:cs="Times New Roman"/>
                <w:color w:val="auto"/>
                <w:sz w:val="24"/>
                <w:lang w:eastAsia="zh-CN"/>
              </w:rPr>
            </w:pPr>
          </w:p>
          <w:p>
            <w:pPr>
              <w:pStyle w:val="2"/>
              <w:rPr>
                <w:rFonts w:hint="eastAsia" w:ascii="Times New Roman" w:hAnsi="Times New Roman" w:cs="Times New Roman"/>
                <w:color w:val="auto"/>
                <w:sz w:val="24"/>
                <w:lang w:eastAsia="zh-CN"/>
              </w:rPr>
            </w:pPr>
          </w:p>
          <w:p>
            <w:pPr>
              <w:pStyle w:val="2"/>
              <w:rPr>
                <w:rFonts w:hint="eastAsia" w:ascii="Times New Roman" w:hAnsi="Times New Roman" w:cs="Times New Roman"/>
                <w:color w:val="auto"/>
                <w:sz w:val="24"/>
                <w:lang w:eastAsia="zh-CN"/>
              </w:rPr>
            </w:pPr>
          </w:p>
          <w:p>
            <w:pPr>
              <w:pStyle w:val="2"/>
              <w:rPr>
                <w:rFonts w:hint="eastAsia" w:ascii="Times New Roman" w:hAnsi="Times New Roman" w:cs="Times New Roman"/>
                <w:color w:val="auto"/>
                <w:sz w:val="24"/>
                <w:lang w:eastAsia="zh-CN"/>
              </w:rPr>
            </w:pPr>
          </w:p>
          <w:p>
            <w:pPr>
              <w:pStyle w:val="2"/>
              <w:rPr>
                <w:rFonts w:hint="eastAsia" w:ascii="Times New Roman" w:hAnsi="Times New Roman" w:cs="Times New Roman"/>
                <w:color w:val="auto"/>
                <w:sz w:val="24"/>
                <w:lang w:eastAsia="zh-CN"/>
              </w:rPr>
            </w:pPr>
          </w:p>
          <w:p>
            <w:pPr>
              <w:pStyle w:val="2"/>
              <w:rPr>
                <w:rFonts w:hint="eastAsia" w:ascii="Times New Roman" w:hAnsi="Times New Roman" w:cs="Times New Roman"/>
                <w:color w:val="auto"/>
                <w:sz w:val="24"/>
                <w:lang w:eastAsia="zh-CN"/>
              </w:rPr>
            </w:pPr>
          </w:p>
          <w:p>
            <w:pPr>
              <w:pStyle w:val="2"/>
              <w:rPr>
                <w:rFonts w:hint="eastAsia" w:ascii="Times New Roman" w:hAnsi="Times New Roman" w:cs="Times New Roman"/>
                <w:color w:val="auto"/>
                <w:sz w:val="24"/>
                <w:lang w:eastAsia="zh-CN"/>
              </w:rPr>
            </w:pPr>
          </w:p>
          <w:p>
            <w:pPr>
              <w:pStyle w:val="2"/>
              <w:rPr>
                <w:rFonts w:hint="eastAsia" w:ascii="Times New Roman" w:hAnsi="Times New Roman" w:cs="Times New Roman"/>
                <w:color w:val="auto"/>
                <w:sz w:val="24"/>
                <w:lang w:eastAsia="zh-CN"/>
              </w:rPr>
            </w:pPr>
          </w:p>
          <w:p>
            <w:pPr>
              <w:pStyle w:val="2"/>
              <w:rPr>
                <w:rFonts w:hint="eastAsia" w:ascii="Times New Roman" w:hAnsi="Times New Roman" w:cs="Times New Roman"/>
                <w:color w:val="auto"/>
                <w:sz w:val="24"/>
                <w:lang w:eastAsia="zh-CN"/>
              </w:rPr>
            </w:pPr>
          </w:p>
          <w:p>
            <w:pPr>
              <w:pStyle w:val="2"/>
              <w:rPr>
                <w:rFonts w:hint="eastAsia" w:ascii="Times New Roman" w:hAnsi="Times New Roman" w:cs="Times New Roman"/>
                <w:color w:val="auto"/>
                <w:sz w:val="24"/>
                <w:lang w:eastAsia="zh-CN"/>
              </w:rPr>
            </w:pPr>
          </w:p>
          <w:p>
            <w:pPr>
              <w:pStyle w:val="2"/>
              <w:rPr>
                <w:rFonts w:hint="eastAsia" w:ascii="Times New Roman" w:hAnsi="Times New Roman" w:cs="Times New Roman"/>
                <w:color w:val="auto"/>
                <w:sz w:val="24"/>
                <w:lang w:eastAsia="zh-CN"/>
              </w:rPr>
            </w:pPr>
          </w:p>
          <w:p>
            <w:pPr>
              <w:pStyle w:val="2"/>
              <w:rPr>
                <w:rFonts w:hint="eastAsia" w:ascii="Times New Roman" w:hAnsi="Times New Roman" w:cs="Times New Roman"/>
                <w:color w:val="auto"/>
                <w:sz w:val="24"/>
                <w:lang w:eastAsia="zh-CN"/>
              </w:rPr>
            </w:pPr>
          </w:p>
          <w:p>
            <w:pPr>
              <w:pStyle w:val="2"/>
              <w:rPr>
                <w:rFonts w:hint="eastAsia" w:ascii="Times New Roman" w:hAnsi="Times New Roman" w:cs="Times New Roman"/>
                <w:color w:val="auto"/>
                <w:sz w:val="24"/>
                <w:lang w:eastAsia="zh-CN"/>
              </w:rPr>
            </w:pPr>
          </w:p>
          <w:p>
            <w:pPr>
              <w:pStyle w:val="2"/>
              <w:rPr>
                <w:rFonts w:hint="eastAsia" w:ascii="Times New Roman" w:hAnsi="Times New Roman" w:cs="Times New Roman"/>
                <w:color w:val="auto"/>
                <w:sz w:val="24"/>
                <w:lang w:eastAsia="zh-CN"/>
              </w:rPr>
            </w:pPr>
          </w:p>
          <w:p>
            <w:pPr>
              <w:pStyle w:val="2"/>
              <w:rPr>
                <w:rFonts w:hint="eastAsia" w:ascii="Times New Roman" w:hAnsi="Times New Roman" w:cs="Times New Roman"/>
                <w:color w:val="auto"/>
                <w:sz w:val="24"/>
                <w:lang w:eastAsia="zh-CN"/>
              </w:rPr>
            </w:pPr>
          </w:p>
          <w:p>
            <w:pPr>
              <w:pStyle w:val="2"/>
              <w:rPr>
                <w:rFonts w:hint="eastAsia" w:ascii="Times New Roman" w:hAnsi="Times New Roman" w:cs="Times New Roman"/>
                <w:color w:val="auto"/>
                <w:sz w:val="24"/>
                <w:lang w:eastAsia="zh-CN"/>
              </w:rPr>
            </w:pPr>
          </w:p>
          <w:p>
            <w:pPr>
              <w:pStyle w:val="2"/>
              <w:rPr>
                <w:rFonts w:hint="eastAsia" w:ascii="Times New Roman" w:hAnsi="Times New Roman" w:cs="Times New Roman"/>
                <w:color w:val="auto"/>
                <w:sz w:val="24"/>
                <w:lang w:eastAsia="zh-CN"/>
              </w:rPr>
            </w:pPr>
          </w:p>
          <w:p>
            <w:pPr>
              <w:pStyle w:val="2"/>
              <w:rPr>
                <w:rFonts w:hint="eastAsia" w:ascii="Times New Roman" w:hAnsi="Times New Roman" w:cs="Times New Roman"/>
                <w:color w:val="auto"/>
                <w:sz w:val="24"/>
                <w:lang w:eastAsia="zh-CN"/>
              </w:rPr>
            </w:pPr>
          </w:p>
          <w:p>
            <w:pPr>
              <w:pStyle w:val="2"/>
              <w:rPr>
                <w:rFonts w:hint="eastAsia" w:ascii="Times New Roman" w:hAnsi="Times New Roman" w:cs="Times New Roman"/>
                <w:color w:val="auto"/>
                <w:sz w:val="24"/>
                <w:lang w:eastAsia="zh-CN"/>
              </w:rPr>
            </w:pPr>
          </w:p>
          <w:p>
            <w:pPr>
              <w:pStyle w:val="2"/>
              <w:rPr>
                <w:rFonts w:hint="eastAsia" w:ascii="Times New Roman" w:hAnsi="Times New Roman" w:cs="Times New Roman"/>
                <w:color w:val="auto"/>
                <w:sz w:val="24"/>
                <w:lang w:eastAsia="zh-CN"/>
              </w:rPr>
            </w:pPr>
          </w:p>
          <w:p>
            <w:pPr>
              <w:pStyle w:val="2"/>
              <w:rPr>
                <w:rFonts w:hint="eastAsia" w:ascii="Times New Roman" w:hAnsi="Times New Roman" w:cs="Times New Roman"/>
                <w:color w:val="auto"/>
                <w:sz w:val="24"/>
                <w:lang w:eastAsia="zh-CN"/>
              </w:rPr>
            </w:pPr>
          </w:p>
          <w:p>
            <w:pPr>
              <w:pStyle w:val="2"/>
              <w:rPr>
                <w:rFonts w:hint="eastAsia" w:ascii="Times New Roman" w:hAnsi="Times New Roman" w:cs="Times New Roman"/>
                <w:color w:val="auto"/>
                <w:sz w:val="24"/>
                <w:lang w:eastAsia="zh-CN"/>
              </w:rPr>
            </w:pP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cs="Times New Roman"/>
                <w:color w:val="auto"/>
                <w:sz w:val="24"/>
                <w:lang w:eastAsia="zh-CN"/>
              </w:rPr>
            </w:pP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cs="Times New Roman"/>
                <w:color w:val="auto"/>
                <w:sz w:val="24"/>
                <w:lang w:eastAsia="zh-CN"/>
              </w:rPr>
            </w:pP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cs="Times New Roman"/>
                <w:color w:val="auto"/>
                <w:sz w:val="24"/>
                <w:lang w:eastAsia="zh-CN"/>
              </w:rPr>
            </w:pP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cs="Times New Roman"/>
                <w:color w:val="auto"/>
                <w:sz w:val="24"/>
                <w:lang w:eastAsia="zh-CN"/>
              </w:rPr>
            </w:pP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cs="Times New Roman"/>
                <w:color w:val="auto"/>
                <w:sz w:val="24"/>
                <w:lang w:eastAsia="zh-CN"/>
              </w:rPr>
            </w:pP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cs="Times New Roman"/>
                <w:color w:val="auto"/>
                <w:sz w:val="24"/>
                <w:lang w:eastAsia="zh-CN"/>
              </w:rPr>
            </w:pP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cs="Times New Roman"/>
                <w:color w:val="auto"/>
                <w:sz w:val="24"/>
                <w:lang w:eastAsia="zh-CN"/>
              </w:rPr>
            </w:pPr>
          </w:p>
          <w:p>
            <w:pPr>
              <w:keepNext w:val="0"/>
              <w:keepLines w:val="0"/>
              <w:pageBreakBefore w:val="0"/>
              <w:widowControl w:val="0"/>
              <w:kinsoku/>
              <w:wordWrap/>
              <w:overflowPunct/>
              <w:topLinePunct w:val="0"/>
              <w:bidi w:val="0"/>
              <w:adjustRightInd w:val="0"/>
              <w:snapToGrid w:val="0"/>
              <w:spacing w:line="360" w:lineRule="auto"/>
              <w:ind w:firstLine="380" w:firstLineChars="200"/>
              <w:textAlignment w:val="auto"/>
              <w:rPr>
                <w:rFonts w:ascii="Times New Roman" w:hAnsi="Times New Roman" w:eastAsia="宋体" w:cs="Times New Roman"/>
                <w:bCs/>
                <w:color w:val="auto"/>
                <w:spacing w:val="-10"/>
                <w:szCs w:val="21"/>
              </w:rPr>
            </w:pPr>
          </w:p>
        </w:tc>
      </w:tr>
    </w:tbl>
    <w:p>
      <w:pPr>
        <w:spacing w:line="360" w:lineRule="auto"/>
        <w:rPr>
          <w:rFonts w:ascii="Times New Roman" w:hAnsi="Times New Roman" w:eastAsia="宋体" w:cs="Times New Roman"/>
          <w:b/>
          <w:color w:val="auto"/>
          <w:sz w:val="28"/>
          <w:szCs w:val="28"/>
        </w:rPr>
        <w:sectPr>
          <w:pgSz w:w="11915" w:h="16840"/>
          <w:pgMar w:top="1702" w:right="1531" w:bottom="1701" w:left="1531" w:header="851" w:footer="851" w:gutter="0"/>
          <w:cols w:space="425" w:num="1"/>
          <w:docGrid w:type="lines" w:linePitch="312" w:charSpace="0"/>
        </w:sectPr>
      </w:pPr>
    </w:p>
    <w:p>
      <w:pPr>
        <w:pStyle w:val="17"/>
        <w:spacing w:beforeAutospacing="0" w:afterAutospacing="0" w:line="360" w:lineRule="auto"/>
        <w:jc w:val="center"/>
        <w:outlineLvl w:val="0"/>
        <w:rPr>
          <w:rFonts w:hint="default" w:ascii="Times New Roman" w:hAnsi="Times New Roman" w:eastAsia="黑体"/>
          <w:snapToGrid w:val="0"/>
          <w:color w:val="auto"/>
          <w:sz w:val="30"/>
          <w:szCs w:val="30"/>
        </w:rPr>
      </w:pPr>
      <w:r>
        <w:rPr>
          <w:rFonts w:hint="default" w:ascii="Times New Roman" w:hAnsi="Times New Roman" w:eastAsia="黑体"/>
          <w:snapToGrid w:val="0"/>
          <w:color w:val="auto"/>
          <w:sz w:val="30"/>
          <w:szCs w:val="30"/>
        </w:rPr>
        <w:t>五、</w:t>
      </w:r>
      <w:bookmarkStart w:id="4" w:name="_Hlk54167917"/>
      <w:r>
        <w:rPr>
          <w:rFonts w:hint="default" w:ascii="Times New Roman" w:hAnsi="Times New Roman" w:eastAsia="黑体"/>
          <w:snapToGrid w:val="0"/>
          <w:color w:val="auto"/>
          <w:sz w:val="30"/>
          <w:szCs w:val="30"/>
        </w:rPr>
        <w:t>环境保护措施监督检查清单</w:t>
      </w:r>
      <w:bookmarkEnd w:id="4"/>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74"/>
        <w:gridCol w:w="1380"/>
        <w:gridCol w:w="1636"/>
        <w:gridCol w:w="2456"/>
        <w:gridCol w:w="22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4" w:type="dxa"/>
            <w:tcBorders>
              <w:top w:val="single" w:color="auto" w:sz="8" w:space="0"/>
              <w:left w:val="single" w:color="auto" w:sz="8" w:space="0"/>
              <w:bottom w:val="single" w:color="auto" w:sz="4" w:space="0"/>
              <w:right w:val="single" w:color="auto" w:sz="4" w:space="0"/>
              <w:tl2br w:val="single" w:color="auto" w:sz="4" w:space="0"/>
            </w:tcBorders>
            <w:shd w:val="clear" w:color="auto" w:fill="auto"/>
          </w:tcPr>
          <w:p>
            <w:pPr>
              <w:adjustRightInd w:val="0"/>
              <w:snapToGrid w:val="0"/>
              <w:spacing w:line="240" w:lineRule="atLeast"/>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内容</w:t>
            </w:r>
          </w:p>
          <w:p>
            <w:pPr>
              <w:adjustRightInd w:val="0"/>
              <w:snapToGrid w:val="0"/>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要素</w:t>
            </w:r>
          </w:p>
        </w:tc>
        <w:tc>
          <w:tcPr>
            <w:tcW w:w="1380" w:type="dxa"/>
            <w:tcBorders>
              <w:top w:val="single" w:color="auto" w:sz="8"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排放口(编号、名称)/污染源</w:t>
            </w:r>
          </w:p>
        </w:tc>
        <w:tc>
          <w:tcPr>
            <w:tcW w:w="1636" w:type="dxa"/>
            <w:tcBorders>
              <w:top w:val="single" w:color="auto" w:sz="8"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污染物项目</w:t>
            </w:r>
          </w:p>
        </w:tc>
        <w:tc>
          <w:tcPr>
            <w:tcW w:w="2456" w:type="dxa"/>
            <w:tcBorders>
              <w:top w:val="single" w:color="auto" w:sz="8"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环境保护措施</w:t>
            </w:r>
          </w:p>
        </w:tc>
        <w:tc>
          <w:tcPr>
            <w:tcW w:w="2254" w:type="dxa"/>
            <w:tcBorders>
              <w:top w:val="single" w:color="auto" w:sz="8" w:space="0"/>
              <w:left w:val="single" w:color="auto" w:sz="4" w:space="0"/>
              <w:bottom w:val="single" w:color="auto" w:sz="4" w:space="0"/>
              <w:right w:val="single" w:color="auto" w:sz="8" w:space="0"/>
            </w:tcBorders>
            <w:shd w:val="clear" w:color="auto" w:fill="auto"/>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4" w:type="dxa"/>
            <w:vMerge w:val="restart"/>
            <w:tcBorders>
              <w:left w:val="single" w:color="auto" w:sz="8" w:space="0"/>
              <w:right w:val="single" w:color="auto" w:sz="4" w:space="0"/>
            </w:tcBorders>
            <w:shd w:val="clear" w:color="auto" w:fill="auto"/>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锅炉</w:t>
            </w:r>
          </w:p>
        </w:tc>
        <w:tc>
          <w:tcPr>
            <w:tcW w:w="16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颗粒物</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SO</w:t>
            </w:r>
            <w:r>
              <w:rPr>
                <w:rFonts w:hint="default" w:ascii="Times New Roman" w:hAnsi="Times New Roman" w:cs="Times New Roman"/>
                <w:color w:val="auto"/>
                <w:kern w:val="2"/>
                <w:sz w:val="21"/>
                <w:szCs w:val="21"/>
                <w:vertAlign w:val="subscript"/>
                <w:lang w:val="en-US" w:eastAsia="zh-CN" w:bidi="ar-SA"/>
              </w:rPr>
              <w:t>2</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NO</w:t>
            </w:r>
            <w:r>
              <w:rPr>
                <w:rFonts w:hint="default" w:ascii="Times New Roman" w:hAnsi="Times New Roman" w:cs="Times New Roman"/>
                <w:color w:val="auto"/>
                <w:sz w:val="21"/>
                <w:szCs w:val="21"/>
                <w:vertAlign w:val="subscript"/>
                <w:lang w:val="en-US" w:eastAsia="zh-CN"/>
              </w:rPr>
              <w:t>X</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汞及其化合物</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氨逃逸</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烟气黑度</w:t>
            </w:r>
          </w:p>
        </w:tc>
        <w:tc>
          <w:tcPr>
            <w:tcW w:w="24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hint="default" w:ascii="Times New Roman" w:hAnsi="Times New Roman" w:eastAsia="宋体" w:cs="Times New Roman"/>
                <w:color w:val="auto"/>
                <w:sz w:val="21"/>
                <w:szCs w:val="21"/>
              </w:rPr>
            </w:pPr>
            <w:r>
              <w:rPr>
                <w:rFonts w:hint="default" w:ascii="Times New Roman" w:hAnsi="Times New Roman" w:cs="Times New Roman"/>
                <w:b w:val="0"/>
                <w:bCs/>
                <w:color w:val="auto"/>
                <w:sz w:val="21"/>
                <w:szCs w:val="21"/>
                <w:lang w:eastAsia="zh-CN"/>
              </w:rPr>
              <w:t>SNCR</w:t>
            </w:r>
            <w:r>
              <w:rPr>
                <w:rFonts w:hint="default" w:ascii="Times New Roman" w:hAnsi="Times New Roman" w:eastAsia="宋体" w:cs="Times New Roman"/>
                <w:b w:val="0"/>
                <w:bCs/>
                <w:color w:val="auto"/>
                <w:sz w:val="21"/>
                <w:szCs w:val="21"/>
              </w:rPr>
              <w:t>炉内脱硝</w:t>
            </w:r>
            <w:r>
              <w:rPr>
                <w:rFonts w:hint="default" w:ascii="Times New Roman" w:hAnsi="Times New Roman" w:eastAsia="宋体" w:cs="Times New Roman"/>
                <w:b w:val="0"/>
                <w:bCs/>
                <w:color w:val="auto"/>
                <w:sz w:val="21"/>
                <w:szCs w:val="21"/>
                <w:lang w:eastAsia="zh-CN"/>
              </w:rPr>
              <w:t>及</w:t>
            </w:r>
            <w:r>
              <w:rPr>
                <w:rFonts w:hint="default" w:ascii="Times New Roman" w:hAnsi="Times New Roman" w:eastAsia="宋体" w:cs="Times New Roman"/>
                <w:b w:val="0"/>
                <w:bCs/>
                <w:color w:val="auto"/>
                <w:sz w:val="21"/>
                <w:szCs w:val="21"/>
                <w:lang w:val="en-US" w:eastAsia="zh-CN"/>
              </w:rPr>
              <w:t>SCR炉外脱硝+脉冲布袋除尘器＋炉内脱硫及湿</w:t>
            </w:r>
            <w:r>
              <w:rPr>
                <w:rFonts w:hint="default" w:ascii="Times New Roman" w:hAnsi="Times New Roman" w:eastAsia="宋体" w:cs="Times New Roman"/>
                <w:b w:val="0"/>
                <w:bCs/>
                <w:color w:val="auto"/>
                <w:sz w:val="21"/>
                <w:szCs w:val="21"/>
                <w:lang w:eastAsia="zh-CN"/>
              </w:rPr>
              <w:t>法</w:t>
            </w:r>
            <w:r>
              <w:rPr>
                <w:rFonts w:hint="default" w:ascii="Times New Roman" w:hAnsi="Times New Roman" w:eastAsia="宋体" w:cs="Times New Roman"/>
                <w:b w:val="0"/>
                <w:bCs/>
                <w:color w:val="auto"/>
                <w:sz w:val="21"/>
                <w:szCs w:val="21"/>
              </w:rPr>
              <w:t>脱硫</w:t>
            </w:r>
            <w:r>
              <w:rPr>
                <w:rFonts w:hint="default" w:ascii="Times New Roman" w:hAnsi="Times New Roman" w:eastAsia="宋体" w:cs="Times New Roman"/>
                <w:b w:val="0"/>
                <w:bCs/>
                <w:color w:val="auto"/>
                <w:sz w:val="21"/>
                <w:szCs w:val="21"/>
                <w:lang w:val="en-US" w:eastAsia="zh-CN"/>
              </w:rPr>
              <w:t>+80m高排气筒</w:t>
            </w:r>
          </w:p>
        </w:tc>
        <w:tc>
          <w:tcPr>
            <w:tcW w:w="2254" w:type="dxa"/>
            <w:tcBorders>
              <w:left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《锅炉大气污染物排放标准》（</w:t>
            </w:r>
            <w:r>
              <w:rPr>
                <w:rFonts w:hint="default" w:ascii="Times New Roman" w:hAnsi="Times New Roman" w:cs="Times New Roman"/>
                <w:color w:val="auto"/>
                <w:kern w:val="2"/>
                <w:sz w:val="21"/>
                <w:szCs w:val="21"/>
                <w:lang w:val="en-US" w:eastAsia="zh-CN" w:bidi="ar-SA"/>
              </w:rPr>
              <w:t>D</w:t>
            </w:r>
            <w:r>
              <w:rPr>
                <w:rFonts w:hint="default" w:ascii="Times New Roman" w:hAnsi="Times New Roman" w:eastAsia="宋体" w:cs="Times New Roman"/>
                <w:color w:val="auto"/>
                <w:kern w:val="2"/>
                <w:sz w:val="21"/>
                <w:szCs w:val="21"/>
                <w:lang w:val="en-US" w:eastAsia="zh-CN" w:bidi="ar-SA"/>
              </w:rPr>
              <w:t>B13/5161-2020）中表1中限值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4" w:type="dxa"/>
            <w:vMerge w:val="continue"/>
            <w:tcBorders>
              <w:left w:val="single" w:color="auto" w:sz="8" w:space="0"/>
              <w:right w:val="single" w:color="auto" w:sz="4" w:space="0"/>
            </w:tcBorders>
            <w:shd w:val="clear" w:color="auto" w:fill="auto"/>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煤库库房及渣库</w:t>
            </w:r>
          </w:p>
        </w:tc>
        <w:tc>
          <w:tcPr>
            <w:tcW w:w="16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颗粒物</w:t>
            </w:r>
          </w:p>
        </w:tc>
        <w:tc>
          <w:tcPr>
            <w:tcW w:w="24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outlineLvl w:val="9"/>
              <w:rPr>
                <w:rFonts w:hint="default" w:ascii="Times New Roman" w:hAnsi="Times New Roman" w:cs="Times New Roman"/>
                <w:color w:val="auto"/>
                <w:sz w:val="21"/>
                <w:szCs w:val="21"/>
              </w:rPr>
            </w:pPr>
            <w:r>
              <w:rPr>
                <w:rFonts w:hint="default" w:ascii="Times New Roman" w:hAnsi="Times New Roman" w:eastAsia="宋体" w:cs="Times New Roman"/>
                <w:b w:val="0"/>
                <w:bCs/>
                <w:color w:val="auto"/>
                <w:sz w:val="21"/>
                <w:szCs w:val="21"/>
                <w:lang w:val="en-US" w:eastAsia="zh-CN"/>
              </w:rPr>
              <w:t>封闭</w:t>
            </w:r>
            <w:r>
              <w:rPr>
                <w:rFonts w:hint="default" w:ascii="Times New Roman" w:hAnsi="Times New Roman" w:eastAsia="宋体" w:cs="Times New Roman"/>
                <w:b w:val="0"/>
                <w:bCs/>
                <w:color w:val="auto"/>
                <w:sz w:val="21"/>
                <w:szCs w:val="21"/>
              </w:rPr>
              <w:t>煤库、洒水降尘</w:t>
            </w:r>
          </w:p>
        </w:tc>
        <w:tc>
          <w:tcPr>
            <w:tcW w:w="2254" w:type="dxa"/>
            <w:tcBorders>
              <w:left w:val="single" w:color="auto" w:sz="4" w:space="0"/>
              <w:right w:val="single" w:color="auto" w:sz="8" w:space="0"/>
            </w:tcBorders>
            <w:shd w:val="clear" w:color="auto" w:fill="auto"/>
            <w:vAlign w:val="center"/>
          </w:tcPr>
          <w:p>
            <w:pPr>
              <w:snapToGrid w:val="0"/>
              <w:spacing w:line="290" w:lineRule="exact"/>
              <w:jc w:val="center"/>
              <w:rPr>
                <w:rFonts w:hint="default" w:ascii="Times New Roman" w:hAnsi="Times New Roman" w:cs="Times New Roman"/>
                <w:color w:val="auto"/>
                <w:sz w:val="21"/>
                <w:szCs w:val="21"/>
              </w:rPr>
            </w:pPr>
            <w:r>
              <w:rPr>
                <w:rFonts w:hint="default" w:ascii="Times New Roman" w:hAnsi="Times New Roman" w:eastAsia="宋体" w:cs="Times New Roman"/>
                <w:b w:val="0"/>
                <w:bCs/>
                <w:color w:val="auto"/>
                <w:sz w:val="21"/>
                <w:szCs w:val="21"/>
              </w:rPr>
              <w:t>《大气污染物综合排放标准》（GB16297-1996）表2无组织排放监控浓度限值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4" w:type="dxa"/>
            <w:vMerge w:val="continue"/>
            <w:tcBorders>
              <w:left w:val="single" w:color="auto" w:sz="8" w:space="0"/>
              <w:right w:val="single" w:color="auto" w:sz="4" w:space="0"/>
            </w:tcBorders>
            <w:shd w:val="clear" w:color="auto" w:fill="auto"/>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食堂</w:t>
            </w:r>
          </w:p>
        </w:tc>
        <w:tc>
          <w:tcPr>
            <w:tcW w:w="16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油烟</w:t>
            </w:r>
          </w:p>
        </w:tc>
        <w:tc>
          <w:tcPr>
            <w:tcW w:w="24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b w:val="0"/>
                <w:bCs/>
                <w:color w:val="auto"/>
                <w:sz w:val="21"/>
                <w:szCs w:val="21"/>
                <w:lang w:val="en-US" w:eastAsia="zh-CN"/>
              </w:rPr>
              <w:t>高效</w:t>
            </w:r>
            <w:r>
              <w:rPr>
                <w:rFonts w:hint="default" w:ascii="Times New Roman" w:hAnsi="Times New Roman" w:eastAsia="宋体" w:cs="Times New Roman"/>
                <w:b w:val="0"/>
                <w:bCs/>
                <w:color w:val="auto"/>
                <w:sz w:val="21"/>
                <w:szCs w:val="21"/>
              </w:rPr>
              <w:t>油烟净化器</w:t>
            </w:r>
          </w:p>
        </w:tc>
        <w:tc>
          <w:tcPr>
            <w:tcW w:w="2254" w:type="dxa"/>
            <w:tcBorders>
              <w:left w:val="single" w:color="auto" w:sz="4" w:space="0"/>
              <w:right w:val="single" w:color="auto" w:sz="8" w:space="0"/>
            </w:tcBorders>
            <w:shd w:val="clear" w:color="auto" w:fill="auto"/>
            <w:vAlign w:val="center"/>
          </w:tcPr>
          <w:p>
            <w:pPr>
              <w:snapToGrid w:val="0"/>
              <w:spacing w:line="290" w:lineRule="exact"/>
              <w:jc w:val="center"/>
              <w:rPr>
                <w:rFonts w:hint="default" w:ascii="Times New Roman" w:hAnsi="Times New Roman" w:eastAsia="宋体" w:cs="Times New Roman"/>
                <w:color w:val="auto"/>
                <w:sz w:val="21"/>
                <w:szCs w:val="21"/>
              </w:rPr>
            </w:pPr>
            <w:r>
              <w:rPr>
                <w:rFonts w:hint="default" w:ascii="Times New Roman" w:hAnsi="Times New Roman" w:cs="Times New Roman"/>
                <w:b w:val="0"/>
                <w:bCs/>
                <w:color w:val="auto"/>
                <w:sz w:val="21"/>
                <w:szCs w:val="21"/>
                <w:lang w:val="en-US" w:eastAsia="zh-CN"/>
              </w:rPr>
              <w:t>《饮食业油烟排放标准（试行）》（GB18483－2001）中型规模要求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4" w:type="dxa"/>
            <w:vMerge w:val="restart"/>
            <w:tcBorders>
              <w:left w:val="single" w:color="auto" w:sz="8" w:space="0"/>
              <w:right w:val="single" w:color="auto" w:sz="4" w:space="0"/>
            </w:tcBorders>
            <w:shd w:val="clear" w:color="auto" w:fill="auto"/>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w:t>
            </w:r>
          </w:p>
        </w:tc>
        <w:tc>
          <w:tcPr>
            <w:tcW w:w="1380"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lang w:val="en-US" w:eastAsia="zh-CN"/>
              </w:rPr>
              <w:t>生产废水</w:t>
            </w:r>
          </w:p>
        </w:tc>
        <w:tc>
          <w:tcPr>
            <w:tcW w:w="16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lang w:val="en-US" w:eastAsia="zh-CN"/>
              </w:rPr>
              <w:t>反冲洗废水</w:t>
            </w:r>
          </w:p>
        </w:tc>
        <w:tc>
          <w:tcPr>
            <w:tcW w:w="24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lang w:val="en-US" w:eastAsia="zh-CN"/>
              </w:rPr>
              <w:t>用于脱硫系统用水</w:t>
            </w:r>
          </w:p>
        </w:tc>
        <w:tc>
          <w:tcPr>
            <w:tcW w:w="2254" w:type="dxa"/>
            <w:vMerge w:val="restart"/>
            <w:tcBorders>
              <w:left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lang w:val="en-US" w:eastAsia="zh-CN"/>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4" w:type="dxa"/>
            <w:vMerge w:val="continue"/>
            <w:tcBorders>
              <w:left w:val="single" w:color="auto" w:sz="8" w:space="0"/>
              <w:right w:val="single" w:color="auto" w:sz="4" w:space="0"/>
            </w:tcBorders>
            <w:shd w:val="clear" w:color="auto" w:fill="auto"/>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p>
        </w:tc>
        <w:tc>
          <w:tcPr>
            <w:tcW w:w="1380" w:type="dxa"/>
            <w:vMerge w:val="continue"/>
            <w:tcBorders>
              <w:left w:val="single" w:color="auto" w:sz="4" w:space="0"/>
              <w:right w:val="single" w:color="auto" w:sz="4" w:space="0"/>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6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lang w:val="en-US" w:eastAsia="zh-CN"/>
              </w:rPr>
              <w:t>定排水</w:t>
            </w:r>
          </w:p>
        </w:tc>
        <w:tc>
          <w:tcPr>
            <w:tcW w:w="24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21"/>
                <w:szCs w:val="21"/>
              </w:rPr>
            </w:pPr>
            <w:r>
              <w:rPr>
                <w:rFonts w:hint="default" w:ascii="Times New Roman" w:hAnsi="Times New Roman" w:eastAsia="宋体" w:cs="Times New Roman"/>
                <w:b w:val="0"/>
                <w:bCs/>
                <w:color w:val="auto"/>
                <w:sz w:val="21"/>
                <w:szCs w:val="21"/>
                <w:lang w:val="en-US" w:eastAsia="zh-CN"/>
              </w:rPr>
              <w:t>用于脱硫系统用水</w:t>
            </w:r>
          </w:p>
        </w:tc>
        <w:tc>
          <w:tcPr>
            <w:tcW w:w="2254" w:type="dxa"/>
            <w:vMerge w:val="continue"/>
            <w:tcBorders>
              <w:left w:val="single" w:color="auto" w:sz="4" w:space="0"/>
              <w:right w:val="single" w:color="auto" w:sz="8" w:space="0"/>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4" w:type="dxa"/>
            <w:vMerge w:val="continue"/>
            <w:tcBorders>
              <w:left w:val="single" w:color="auto" w:sz="8" w:space="0"/>
              <w:right w:val="single" w:color="auto" w:sz="4" w:space="0"/>
            </w:tcBorders>
            <w:shd w:val="clear" w:color="auto" w:fill="auto"/>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p>
        </w:tc>
        <w:tc>
          <w:tcPr>
            <w:tcW w:w="1380" w:type="dxa"/>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6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lang w:val="en-US" w:eastAsia="zh-CN"/>
              </w:rPr>
              <w:t>间接循环冷却水</w:t>
            </w:r>
          </w:p>
        </w:tc>
        <w:tc>
          <w:tcPr>
            <w:tcW w:w="24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21"/>
                <w:szCs w:val="21"/>
              </w:rPr>
            </w:pPr>
            <w:r>
              <w:rPr>
                <w:rFonts w:hint="default" w:ascii="Times New Roman" w:hAnsi="Times New Roman" w:eastAsia="宋体" w:cs="Times New Roman"/>
                <w:b w:val="0"/>
                <w:bCs/>
                <w:color w:val="auto"/>
                <w:sz w:val="21"/>
                <w:szCs w:val="21"/>
                <w:lang w:val="en-US" w:eastAsia="zh-CN"/>
              </w:rPr>
              <w:t>暂存于水池中，用于锅炉清洗水配制和夏季厂区绿化</w:t>
            </w:r>
          </w:p>
        </w:tc>
        <w:tc>
          <w:tcPr>
            <w:tcW w:w="2254" w:type="dxa"/>
            <w:vMerge w:val="continue"/>
            <w:tcBorders>
              <w:left w:val="single" w:color="auto" w:sz="4" w:space="0"/>
              <w:right w:val="single" w:color="auto" w:sz="8" w:space="0"/>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4" w:type="dxa"/>
            <w:vMerge w:val="continue"/>
            <w:tcBorders>
              <w:left w:val="single" w:color="auto" w:sz="8" w:space="0"/>
              <w:right w:val="single" w:color="auto" w:sz="4" w:space="0"/>
            </w:tcBorders>
            <w:shd w:val="clear" w:color="auto" w:fill="auto"/>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lang w:val="en-US" w:eastAsia="zh-CN"/>
              </w:rPr>
              <w:t>生活污水</w:t>
            </w:r>
          </w:p>
        </w:tc>
        <w:tc>
          <w:tcPr>
            <w:tcW w:w="16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lang w:val="en-US" w:eastAsia="zh-CN"/>
              </w:rPr>
              <w:t>COD、氨氮、SS、BOD</w:t>
            </w:r>
            <w:r>
              <w:rPr>
                <w:rFonts w:hint="default" w:ascii="Times New Roman" w:hAnsi="Times New Roman" w:eastAsia="宋体" w:cs="Times New Roman"/>
                <w:b w:val="0"/>
                <w:bCs/>
                <w:color w:val="auto"/>
                <w:sz w:val="21"/>
                <w:szCs w:val="21"/>
                <w:vertAlign w:val="subscript"/>
                <w:lang w:val="en-US" w:eastAsia="zh-CN"/>
              </w:rPr>
              <w:t>5</w:t>
            </w:r>
            <w:r>
              <w:rPr>
                <w:rFonts w:hint="default" w:ascii="Times New Roman" w:hAnsi="Times New Roman" w:eastAsia="宋体" w:cs="Times New Roman"/>
                <w:b w:val="0"/>
                <w:bCs/>
                <w:color w:val="auto"/>
                <w:sz w:val="21"/>
                <w:szCs w:val="21"/>
                <w:lang w:val="en-US" w:eastAsia="zh-CN"/>
              </w:rPr>
              <w:t>、动植物油</w:t>
            </w:r>
          </w:p>
        </w:tc>
        <w:tc>
          <w:tcPr>
            <w:tcW w:w="24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21"/>
                <w:szCs w:val="21"/>
              </w:rPr>
            </w:pPr>
            <w:r>
              <w:rPr>
                <w:rFonts w:hint="default" w:ascii="Times New Roman" w:hAnsi="Times New Roman" w:eastAsia="宋体" w:cs="Times New Roman"/>
                <w:b w:val="0"/>
                <w:bCs/>
                <w:color w:val="auto"/>
                <w:sz w:val="21"/>
                <w:szCs w:val="21"/>
                <w:lang w:val="en-US" w:eastAsia="zh-CN"/>
              </w:rPr>
              <w:t>食堂废水经油水分离器隔油后与其他生活污水一同排入化粪池，经污水管网排放至围场县污水处理厂</w:t>
            </w:r>
          </w:p>
        </w:tc>
        <w:tc>
          <w:tcPr>
            <w:tcW w:w="2254" w:type="dxa"/>
            <w:tcBorders>
              <w:left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lang w:val="en-US" w:eastAsia="zh-CN"/>
              </w:rPr>
              <w:t>《污水综合排放标准》（GB2978-1996）表4中三级标准及围场县污水处理厂进水水质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4" w:type="dxa"/>
            <w:vMerge w:val="restart"/>
            <w:tcBorders>
              <w:top w:val="single" w:color="auto" w:sz="4" w:space="0"/>
              <w:left w:val="single" w:color="auto" w:sz="8" w:space="0"/>
              <w:right w:val="single" w:color="auto" w:sz="4" w:space="0"/>
            </w:tcBorders>
            <w:shd w:val="clear" w:color="auto" w:fill="auto"/>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 w:val="21"/>
                <w:szCs w:val="21"/>
                <w:lang w:val="en-US" w:eastAsia="zh-CN"/>
              </w:rPr>
              <w:t>生产设备</w:t>
            </w:r>
          </w:p>
        </w:tc>
        <w:tc>
          <w:tcPr>
            <w:tcW w:w="163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A声级</w:t>
            </w:r>
          </w:p>
        </w:tc>
        <w:tc>
          <w:tcPr>
            <w:tcW w:w="245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锅炉房</w:t>
            </w:r>
            <w:r>
              <w:rPr>
                <w:rFonts w:hint="default" w:ascii="Times New Roman" w:hAnsi="Times New Roman" w:cs="Times New Roman"/>
                <w:color w:val="auto"/>
                <w:sz w:val="21"/>
                <w:szCs w:val="21"/>
              </w:rPr>
              <w:t>封闭、设备基础减振</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合理布局</w:t>
            </w:r>
            <w:r>
              <w:rPr>
                <w:rFonts w:hint="default" w:ascii="Times New Roman" w:hAnsi="Times New Roman" w:cs="Times New Roman"/>
                <w:color w:val="auto"/>
                <w:sz w:val="21"/>
                <w:szCs w:val="21"/>
              </w:rPr>
              <w:t>等措施</w:t>
            </w:r>
          </w:p>
        </w:tc>
        <w:tc>
          <w:tcPr>
            <w:tcW w:w="2254" w:type="dxa"/>
            <w:tcBorders>
              <w:top w:val="single" w:color="auto" w:sz="4" w:space="0"/>
              <w:left w:val="single" w:color="auto" w:sz="4" w:space="0"/>
              <w:right w:val="single" w:color="auto" w:sz="8" w:space="0"/>
            </w:tcBorders>
            <w:shd w:val="clear" w:color="auto" w:fill="auto"/>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《工业企业厂界环境噪声排放标准》（GB12348-2008）中2类标准要求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4" w:type="dxa"/>
            <w:vMerge w:val="continue"/>
            <w:tcBorders>
              <w:left w:val="single" w:color="auto" w:sz="8" w:space="0"/>
              <w:bottom w:val="single" w:color="auto" w:sz="4" w:space="0"/>
              <w:right w:val="single" w:color="auto" w:sz="4" w:space="0"/>
            </w:tcBorders>
            <w:shd w:val="clear" w:color="auto" w:fill="auto"/>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运输车辆</w:t>
            </w:r>
          </w:p>
        </w:tc>
        <w:tc>
          <w:tcPr>
            <w:tcW w:w="163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A声级</w:t>
            </w:r>
          </w:p>
        </w:tc>
        <w:tc>
          <w:tcPr>
            <w:tcW w:w="245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车辆减速慢行，禁止鸣笛</w:t>
            </w:r>
          </w:p>
        </w:tc>
        <w:tc>
          <w:tcPr>
            <w:tcW w:w="2254" w:type="dxa"/>
            <w:tcBorders>
              <w:top w:val="single" w:color="auto" w:sz="4" w:space="0"/>
              <w:left w:val="single" w:color="auto" w:sz="4" w:space="0"/>
              <w:right w:val="single" w:color="auto" w:sz="8" w:space="0"/>
            </w:tcBorders>
            <w:shd w:val="clear" w:color="auto" w:fill="auto"/>
            <w:vAlign w:val="center"/>
          </w:tcPr>
          <w:p>
            <w:pPr>
              <w:adjustRightInd w:val="0"/>
              <w:snapToGrid w:val="0"/>
              <w:spacing w:line="24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4" w:type="dxa"/>
            <w:vMerge w:val="restart"/>
            <w:tcBorders>
              <w:top w:val="single" w:color="auto" w:sz="4" w:space="0"/>
              <w:left w:val="single" w:color="auto" w:sz="8" w:space="0"/>
              <w:right w:val="single" w:color="auto" w:sz="4" w:space="0"/>
            </w:tcBorders>
            <w:shd w:val="clear" w:color="auto" w:fill="auto"/>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1380" w:type="dxa"/>
            <w:tcBorders>
              <w:top w:val="single" w:color="auto" w:sz="4" w:space="0"/>
              <w:left w:val="single" w:color="auto" w:sz="4" w:space="0"/>
              <w:bottom w:val="single" w:color="auto" w:sz="4" w:space="0"/>
              <w:right w:val="single" w:color="auto" w:sz="8" w:space="0"/>
            </w:tcBorders>
            <w:shd w:val="clear" w:color="auto" w:fill="auto"/>
            <w:vAlign w:val="center"/>
          </w:tcPr>
          <w:p>
            <w:pPr>
              <w:widowControl/>
              <w:snapToGrid w:val="0"/>
              <w:jc w:val="center"/>
              <w:rPr>
                <w:rFonts w:hint="default" w:ascii="Times New Roman" w:hAnsi="Times New Roman" w:cs="Times New Roman"/>
                <w:color w:val="auto"/>
                <w:sz w:val="21"/>
                <w:szCs w:val="21"/>
              </w:rPr>
            </w:pPr>
            <w:r>
              <w:rPr>
                <w:rFonts w:hint="default" w:ascii="Times New Roman" w:hAnsi="Times New Roman" w:cs="Times New Roman"/>
                <w:snapToGrid w:val="0"/>
                <w:color w:val="auto"/>
                <w:kern w:val="0"/>
                <w:sz w:val="21"/>
                <w:szCs w:val="21"/>
                <w:highlight w:val="none"/>
              </w:rPr>
              <w:t>一般工业固体废物</w:t>
            </w:r>
          </w:p>
        </w:tc>
        <w:tc>
          <w:tcPr>
            <w:tcW w:w="6346" w:type="dxa"/>
            <w:gridSpan w:val="3"/>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spacing w:line="240" w:lineRule="atLeast"/>
              <w:jc w:val="center"/>
              <w:rPr>
                <w:rFonts w:hint="default" w:ascii="Times New Roman" w:hAnsi="Times New Roman" w:cs="Times New Roman"/>
                <w:bCs/>
                <w:color w:val="auto"/>
                <w:spacing w:val="9"/>
                <w:sz w:val="21"/>
                <w:szCs w:val="21"/>
                <w:lang w:val="en-US" w:eastAsia="zh-CN"/>
              </w:rPr>
            </w:pPr>
            <w:r>
              <w:rPr>
                <w:rFonts w:hint="default" w:ascii="Times New Roman" w:hAnsi="Times New Roman" w:eastAsia="宋体" w:cs="Times New Roman"/>
                <w:b w:val="0"/>
                <w:bCs/>
                <w:color w:val="auto"/>
                <w:sz w:val="21"/>
                <w:szCs w:val="21"/>
                <w:lang w:val="en-US" w:eastAsia="zh-CN"/>
              </w:rPr>
              <w:t>锅炉炉渣、除尘器、</w:t>
            </w:r>
            <w:r>
              <w:rPr>
                <w:rFonts w:hint="default" w:ascii="Times New Roman" w:hAnsi="Times New Roman" w:cs="Times New Roman"/>
                <w:b w:val="0"/>
                <w:bCs/>
                <w:color w:val="auto"/>
                <w:sz w:val="21"/>
                <w:szCs w:val="21"/>
                <w:lang w:val="en-US" w:eastAsia="zh-CN"/>
              </w:rPr>
              <w:t>MgSO</w:t>
            </w:r>
            <w:r>
              <w:rPr>
                <w:rFonts w:hint="default" w:ascii="Times New Roman" w:hAnsi="Times New Roman" w:cs="Times New Roman"/>
                <w:b w:val="0"/>
                <w:bCs/>
                <w:color w:val="auto"/>
                <w:sz w:val="21"/>
                <w:szCs w:val="21"/>
                <w:vertAlign w:val="subscript"/>
                <w:lang w:val="en-US" w:eastAsia="zh-CN"/>
              </w:rPr>
              <w:t>4</w:t>
            </w:r>
            <w:r>
              <w:rPr>
                <w:rFonts w:hint="default" w:ascii="Times New Roman" w:hAnsi="Times New Roman" w:eastAsia="宋体" w:cs="Times New Roman"/>
                <w:b w:val="0"/>
                <w:bCs/>
                <w:color w:val="auto"/>
                <w:sz w:val="21"/>
                <w:szCs w:val="21"/>
                <w:lang w:val="en-US" w:eastAsia="zh-CN"/>
              </w:rPr>
              <w:t>集中收集后外售；废离子交换树脂定期由厂家更换回收；生活垃圾集中收集后交由环卫部门收集处置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4" w:type="dxa"/>
            <w:vMerge w:val="continue"/>
            <w:tcBorders>
              <w:left w:val="single" w:color="auto" w:sz="8" w:space="0"/>
              <w:bottom w:val="single" w:color="auto" w:sz="4" w:space="0"/>
              <w:right w:val="single" w:color="auto" w:sz="4" w:space="0"/>
            </w:tcBorders>
            <w:shd w:val="clear" w:color="auto" w:fill="auto"/>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p>
        </w:tc>
        <w:tc>
          <w:tcPr>
            <w:tcW w:w="1380" w:type="dxa"/>
            <w:tcBorders>
              <w:top w:val="single" w:color="auto" w:sz="4" w:space="0"/>
              <w:left w:val="single" w:color="auto" w:sz="4" w:space="0"/>
              <w:bottom w:val="single" w:color="auto" w:sz="4" w:space="0"/>
              <w:right w:val="single" w:color="auto" w:sz="8" w:space="0"/>
            </w:tcBorders>
            <w:shd w:val="clear" w:color="auto" w:fill="auto"/>
            <w:vAlign w:val="center"/>
          </w:tcPr>
          <w:p>
            <w:pPr>
              <w:widowControl/>
              <w:snapToGrid w:val="0"/>
              <w:jc w:val="center"/>
              <w:rPr>
                <w:rFonts w:hint="default" w:ascii="Times New Roman" w:hAnsi="Times New Roman" w:cs="Times New Roman"/>
                <w:bCs/>
                <w:color w:val="auto"/>
                <w:spacing w:val="9"/>
                <w:sz w:val="21"/>
                <w:szCs w:val="21"/>
                <w:lang w:val="en-US" w:eastAsia="zh-CN"/>
              </w:rPr>
            </w:pPr>
            <w:r>
              <w:rPr>
                <w:rFonts w:hint="default" w:ascii="Times New Roman" w:hAnsi="Times New Roman" w:cs="Times New Roman"/>
                <w:snapToGrid w:val="0"/>
                <w:color w:val="auto"/>
                <w:kern w:val="0"/>
                <w:sz w:val="21"/>
                <w:szCs w:val="21"/>
                <w:highlight w:val="none"/>
              </w:rPr>
              <w:t>危险废物</w:t>
            </w:r>
          </w:p>
        </w:tc>
        <w:tc>
          <w:tcPr>
            <w:tcW w:w="6346" w:type="dxa"/>
            <w:gridSpan w:val="3"/>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spacing w:line="240" w:lineRule="atLeast"/>
              <w:jc w:val="center"/>
              <w:rPr>
                <w:rFonts w:hint="default" w:ascii="Times New Roman" w:hAnsi="Times New Roman" w:cs="Times New Roman"/>
                <w:bCs/>
                <w:color w:val="auto"/>
                <w:spacing w:val="9"/>
                <w:sz w:val="21"/>
                <w:szCs w:val="21"/>
                <w:lang w:val="en-US" w:eastAsia="zh-CN"/>
              </w:rPr>
            </w:pPr>
            <w:r>
              <w:rPr>
                <w:rFonts w:hint="default" w:ascii="Times New Roman" w:hAnsi="Times New Roman" w:eastAsia="宋体" w:cs="Times New Roman"/>
                <w:b w:val="0"/>
                <w:bCs/>
                <w:color w:val="auto"/>
                <w:sz w:val="21"/>
                <w:szCs w:val="21"/>
                <w:lang w:val="en-US" w:eastAsia="zh-CN"/>
              </w:rPr>
              <w:t>SCR脱硝设备废催化剂暂存于危险废物贮存间定期交由有资质的单位进行收集转运处置。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4" w:type="dxa"/>
            <w:tcBorders>
              <w:top w:val="single" w:color="auto" w:sz="4" w:space="0"/>
              <w:left w:val="single" w:color="auto" w:sz="8" w:space="0"/>
              <w:bottom w:val="single" w:color="auto" w:sz="4" w:space="0"/>
              <w:right w:val="single" w:color="auto" w:sz="4" w:space="0"/>
            </w:tcBorders>
            <w:shd w:val="clear" w:color="auto" w:fill="auto"/>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w:t>
            </w:r>
          </w:p>
        </w:tc>
        <w:tc>
          <w:tcPr>
            <w:tcW w:w="7726" w:type="dxa"/>
            <w:gridSpan w:val="4"/>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spacing w:line="240" w:lineRule="atLeast"/>
              <w:jc w:val="center"/>
              <w:rPr>
                <w:rFonts w:hint="default" w:ascii="Times New Roman" w:hAnsi="Times New Roman" w:cs="Times New Roman"/>
                <w:bCs/>
                <w:color w:val="auto"/>
                <w:spacing w:val="9"/>
                <w:sz w:val="21"/>
                <w:szCs w:val="21"/>
              </w:rPr>
            </w:pPr>
            <w:r>
              <w:rPr>
                <w:rFonts w:hint="default" w:ascii="Times New Roman" w:hAnsi="Times New Roman" w:cs="Times New Roman"/>
                <w:color w:val="auto"/>
                <w:sz w:val="21"/>
                <w:szCs w:val="21"/>
              </w:rPr>
              <w:t>建设单位在加强厂区风险管理、采取有效防范措施的基础上，事故发生概率较低，本项目环境风险可防控</w:t>
            </w:r>
          </w:p>
        </w:tc>
      </w:tr>
    </w:tbl>
    <w:p>
      <w:pPr>
        <w:pStyle w:val="17"/>
        <w:spacing w:beforeAutospacing="0" w:afterAutospacing="0" w:line="360" w:lineRule="auto"/>
        <w:jc w:val="center"/>
        <w:outlineLvl w:val="0"/>
        <w:rPr>
          <w:rFonts w:hint="default" w:ascii="Times New Roman" w:hAnsi="Times New Roman" w:eastAsia="黑体"/>
          <w:color w:val="auto"/>
          <w:sz w:val="30"/>
          <w:szCs w:val="30"/>
        </w:rPr>
      </w:pPr>
      <w:r>
        <w:rPr>
          <w:rFonts w:hint="default" w:ascii="Times New Roman" w:hAnsi="Times New Roman"/>
          <w:snapToGrid w:val="0"/>
          <w:color w:val="auto"/>
        </w:rPr>
        <w:br w:type="page"/>
      </w:r>
      <w:r>
        <w:rPr>
          <w:rFonts w:hint="default" w:ascii="Times New Roman" w:hAnsi="Times New Roman" w:eastAsia="黑体"/>
          <w:snapToGrid w:val="0"/>
          <w:color w:val="auto"/>
          <w:sz w:val="30"/>
          <w:szCs w:val="30"/>
        </w:rPr>
        <w:t>六、结论</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65" w:type="dxa"/>
            <w:tcBorders>
              <w:top w:val="single" w:color="auto" w:sz="8" w:space="0"/>
              <w:left w:val="single" w:color="auto" w:sz="8" w:space="0"/>
              <w:bottom w:val="single" w:color="auto" w:sz="8" w:space="0"/>
              <w:right w:val="single" w:color="auto" w:sz="8" w:space="0"/>
            </w:tcBorders>
            <w:shd w:val="clear" w:color="auto" w:fill="auto"/>
            <w:vAlign w:val="center"/>
          </w:tcPr>
          <w:p>
            <w:pPr>
              <w:snapToGrid w:val="0"/>
              <w:spacing w:before="156" w:beforeLines="50" w:line="360" w:lineRule="auto"/>
              <w:rPr>
                <w:rFonts w:ascii="Times New Roman" w:hAnsi="Times New Roman" w:cs="Times New Roman"/>
                <w:b/>
                <w:bCs/>
                <w:color w:val="auto"/>
                <w:sz w:val="24"/>
              </w:rPr>
            </w:pPr>
            <w:r>
              <w:rPr>
                <w:rFonts w:ascii="Times New Roman" w:hAnsi="Times New Roman" w:cs="Times New Roman"/>
                <w:b/>
                <w:bCs/>
                <w:color w:val="auto"/>
                <w:sz w:val="24"/>
              </w:rPr>
              <w:t>结论：</w:t>
            </w:r>
          </w:p>
          <w:p>
            <w:pPr>
              <w:snapToGri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从环境保护的角度，建设项目环境影响可行。</w:t>
            </w: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pacing w:line="360" w:lineRule="auto"/>
              <w:rPr>
                <w:rFonts w:ascii="Times New Roman" w:hAnsi="Times New Roman" w:eastAsia="宋体" w:cs="Times New Roman"/>
                <w:color w:val="auto"/>
                <w:sz w:val="24"/>
              </w:rPr>
            </w:pPr>
          </w:p>
        </w:tc>
      </w:tr>
    </w:tbl>
    <w:p>
      <w:pPr>
        <w:rPr>
          <w:rFonts w:ascii="Times New Roman" w:hAnsi="Times New Roman" w:eastAsia="宋体" w:cs="Times New Roman"/>
          <w:color w:val="auto"/>
        </w:rPr>
        <w:sectPr>
          <w:pgSz w:w="11906" w:h="16838"/>
          <w:pgMar w:top="1702" w:right="1531" w:bottom="1702" w:left="1531" w:header="851" w:footer="851" w:gutter="0"/>
          <w:cols w:space="425" w:num="1"/>
          <w:docGrid w:type="lines" w:linePitch="312" w:charSpace="0"/>
        </w:sectPr>
      </w:pPr>
    </w:p>
    <w:p>
      <w:pPr>
        <w:rPr>
          <w:rFonts w:ascii="Times New Roman" w:hAnsi="Times New Roman" w:eastAsia="黑体" w:cs="Times New Roman"/>
          <w:color w:val="auto"/>
          <w:sz w:val="32"/>
          <w:szCs w:val="40"/>
        </w:rPr>
      </w:pPr>
      <w:r>
        <w:rPr>
          <w:rFonts w:ascii="Times New Roman" w:hAnsi="Times New Roman" w:eastAsia="黑体" w:cs="Times New Roman"/>
          <w:color w:val="auto"/>
          <w:sz w:val="32"/>
          <w:szCs w:val="40"/>
        </w:rPr>
        <w:t>附表</w:t>
      </w:r>
    </w:p>
    <w:p>
      <w:pPr>
        <w:pStyle w:val="17"/>
        <w:adjustRightInd w:val="0"/>
        <w:snapToGrid w:val="0"/>
        <w:spacing w:beforeAutospacing="0" w:afterAutospacing="0"/>
        <w:jc w:val="center"/>
        <w:outlineLvl w:val="0"/>
        <w:rPr>
          <w:rFonts w:hint="default" w:ascii="Times New Roman" w:hAnsi="Times New Roman" w:eastAsia="方正小标宋_GBK"/>
          <w:color w:val="auto"/>
          <w:sz w:val="38"/>
          <w:szCs w:val="38"/>
        </w:rPr>
      </w:pPr>
      <w:r>
        <w:rPr>
          <w:rFonts w:hint="default" w:ascii="Times New Roman" w:hAnsi="Times New Roman" w:eastAsia="方正小标宋_GBK"/>
          <w:snapToGrid w:val="0"/>
          <w:color w:val="auto"/>
          <w:sz w:val="38"/>
          <w:szCs w:val="38"/>
        </w:rPr>
        <w:t>建设项目污染物排放量汇总表</w:t>
      </w:r>
    </w:p>
    <w:tbl>
      <w:tblPr>
        <w:tblStyle w:val="21"/>
        <w:tblW w:w="1379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2"/>
        <w:gridCol w:w="1276"/>
        <w:gridCol w:w="1702"/>
        <w:gridCol w:w="1559"/>
        <w:gridCol w:w="1382"/>
        <w:gridCol w:w="1689"/>
        <w:gridCol w:w="14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op w:val="single" w:color="auto" w:sz="8" w:space="0"/>
              <w:left w:val="single" w:color="auto" w:sz="8" w:space="0"/>
              <w:bottom w:val="single" w:color="auto" w:sz="4" w:space="0"/>
              <w:right w:val="single" w:color="auto" w:sz="4" w:space="0"/>
              <w:tl2br w:val="single" w:color="auto" w:sz="4" w:space="0"/>
            </w:tcBorders>
            <w:shd w:val="clear" w:color="auto" w:fill="auto"/>
            <w:tcMar>
              <w:left w:w="28" w:type="dxa"/>
              <w:right w:w="28" w:type="dxa"/>
            </w:tcMar>
            <w:vAlign w:val="center"/>
          </w:tcPr>
          <w:p>
            <w:pPr>
              <w:pStyle w:val="34"/>
              <w:widowControl/>
              <w:spacing w:before="31" w:after="31" w:line="240" w:lineRule="auto"/>
              <w:jc w:val="right"/>
              <w:rPr>
                <w:rFonts w:hint="default" w:ascii="Times New Roman" w:hAnsi="Times New Roman" w:eastAsia="黑体" w:cs="Times New Roman"/>
                <w:color w:val="auto"/>
                <w:spacing w:val="-6"/>
                <w:kern w:val="21"/>
                <w:szCs w:val="21"/>
              </w:rPr>
            </w:pPr>
            <w:r>
              <w:rPr>
                <w:rFonts w:hint="default" w:ascii="Times New Roman" w:hAnsi="Times New Roman" w:eastAsia="黑体" w:cs="Times New Roman"/>
                <w:snapToGrid w:val="0"/>
                <w:color w:val="auto"/>
                <w:spacing w:val="-6"/>
                <w:kern w:val="21"/>
                <w:szCs w:val="21"/>
              </w:rPr>
              <w:t>项目</w:t>
            </w:r>
          </w:p>
          <w:p>
            <w:pPr>
              <w:pStyle w:val="34"/>
              <w:widowControl/>
              <w:spacing w:before="31" w:after="31" w:line="240" w:lineRule="auto"/>
              <w:jc w:val="left"/>
              <w:rPr>
                <w:rFonts w:hint="default" w:ascii="Times New Roman" w:hAnsi="Times New Roman" w:eastAsia="黑体" w:cs="Times New Roman"/>
                <w:color w:val="auto"/>
                <w:spacing w:val="-6"/>
                <w:kern w:val="21"/>
                <w:szCs w:val="21"/>
              </w:rPr>
            </w:pPr>
            <w:r>
              <w:rPr>
                <w:rFonts w:hint="default" w:ascii="Times New Roman" w:hAnsi="Times New Roman" w:eastAsia="黑体" w:cs="Times New Roman"/>
                <w:snapToGrid w:val="0"/>
                <w:color w:val="auto"/>
                <w:spacing w:val="-6"/>
                <w:kern w:val="21"/>
                <w:szCs w:val="21"/>
              </w:rPr>
              <w:t>分类</w:t>
            </w:r>
          </w:p>
        </w:tc>
        <w:tc>
          <w:tcPr>
            <w:tcW w:w="1417"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34"/>
              <w:widowControl/>
              <w:spacing w:before="31" w:after="31" w:line="240" w:lineRule="auto"/>
              <w:rPr>
                <w:rFonts w:hint="default" w:ascii="Times New Roman" w:hAnsi="Times New Roman" w:eastAsia="黑体" w:cs="Times New Roman"/>
                <w:color w:val="auto"/>
                <w:spacing w:val="-6"/>
                <w:kern w:val="21"/>
                <w:szCs w:val="21"/>
              </w:rPr>
            </w:pPr>
            <w:r>
              <w:rPr>
                <w:rFonts w:hint="default" w:ascii="Times New Roman" w:hAnsi="Times New Roman" w:eastAsia="黑体" w:cs="Times New Roman"/>
                <w:snapToGrid w:val="0"/>
                <w:color w:val="auto"/>
                <w:spacing w:val="-6"/>
                <w:kern w:val="21"/>
                <w:szCs w:val="21"/>
              </w:rPr>
              <w:t>污染物名称</w:t>
            </w:r>
          </w:p>
        </w:tc>
        <w:tc>
          <w:tcPr>
            <w:tcW w:w="1702"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34"/>
              <w:widowControl/>
              <w:spacing w:before="31" w:after="31" w:line="240" w:lineRule="auto"/>
              <w:rPr>
                <w:rFonts w:hint="default" w:ascii="Times New Roman" w:hAnsi="Times New Roman" w:eastAsia="黑体" w:cs="Times New Roman"/>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pPr>
              <w:pStyle w:val="34"/>
              <w:widowControl/>
              <w:spacing w:before="31" w:after="31"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1 \* GB3 \* MERGEFORMAT </w:instrText>
            </w:r>
            <w:r>
              <w:rPr>
                <w:rFonts w:hint="default" w:ascii="Times New Roman" w:hAnsi="Times New Roman" w:eastAsia="黑体" w:cs="Times New Roman"/>
                <w:color w:val="auto"/>
                <w:spacing w:val="-6"/>
                <w:kern w:val="21"/>
                <w:szCs w:val="21"/>
              </w:rPr>
              <w:fldChar w:fldCharType="separate"/>
            </w:r>
            <w:r>
              <w:rPr>
                <w:rFonts w:hint="default" w:ascii="Times New Roman" w:hAnsi="Times New Roman" w:cs="Times New Roman"/>
                <w:color w:val="auto"/>
                <w:kern w:val="2"/>
                <w:szCs w:val="21"/>
              </w:rPr>
              <w:t>①</w:t>
            </w:r>
            <w:r>
              <w:rPr>
                <w:rFonts w:hint="default" w:ascii="Times New Roman" w:hAnsi="Times New Roman" w:eastAsia="黑体" w:cs="Times New Roman"/>
                <w:color w:val="auto"/>
                <w:spacing w:val="-6"/>
                <w:kern w:val="21"/>
                <w:szCs w:val="21"/>
              </w:rPr>
              <w:fldChar w:fldCharType="end"/>
            </w:r>
          </w:p>
        </w:tc>
        <w:tc>
          <w:tcPr>
            <w:tcW w:w="1276"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34"/>
              <w:widowControl/>
              <w:spacing w:before="31" w:after="31" w:line="240" w:lineRule="auto"/>
              <w:rPr>
                <w:rFonts w:hint="default" w:ascii="Times New Roman" w:hAnsi="Times New Roman" w:eastAsia="黑体" w:cs="Times New Roman"/>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pPr>
              <w:pStyle w:val="34"/>
              <w:widowControl/>
              <w:spacing w:before="31" w:after="31" w:line="240" w:lineRule="auto"/>
              <w:rPr>
                <w:rFonts w:hint="default" w:ascii="Times New Roman" w:hAnsi="Times New Roman" w:eastAsia="黑体" w:cs="Times New Roman"/>
                <w:color w:val="auto"/>
                <w:spacing w:val="-6"/>
                <w:kern w:val="21"/>
                <w:szCs w:val="21"/>
              </w:rPr>
            </w:pPr>
            <w:r>
              <w:rPr>
                <w:rFonts w:hint="default" w:ascii="Times New Roman" w:hAnsi="Times New Roman" w:eastAsia="黑体" w:cs="Times New Roman"/>
                <w:snapToGrid w:val="0"/>
                <w:color w:val="auto"/>
                <w:spacing w:val="-6"/>
                <w:kern w:val="21"/>
                <w:szCs w:val="21"/>
              </w:rPr>
              <w:t>许可排放量</w:t>
            </w:r>
          </w:p>
          <w:p>
            <w:pPr>
              <w:pStyle w:val="34"/>
              <w:widowControl/>
              <w:spacing w:before="31" w:after="31"/>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2 \* GB3 \* MERGEFORMAT </w:instrText>
            </w:r>
            <w:r>
              <w:rPr>
                <w:rFonts w:hint="default" w:ascii="Times New Roman" w:hAnsi="Times New Roman" w:eastAsia="黑体" w:cs="Times New Roman"/>
                <w:color w:val="auto"/>
                <w:spacing w:val="-6"/>
                <w:kern w:val="21"/>
                <w:szCs w:val="21"/>
              </w:rPr>
              <w:fldChar w:fldCharType="separate"/>
            </w:r>
            <w:r>
              <w:rPr>
                <w:rFonts w:hint="default" w:ascii="Times New Roman" w:hAnsi="Times New Roman" w:cs="Times New Roman"/>
                <w:snapToGrid w:val="0"/>
                <w:color w:val="auto"/>
                <w:spacing w:val="-6"/>
                <w:kern w:val="21"/>
                <w:szCs w:val="21"/>
              </w:rPr>
              <w:t>②</w:t>
            </w:r>
            <w:r>
              <w:rPr>
                <w:rFonts w:hint="default" w:ascii="Times New Roman" w:hAnsi="Times New Roman" w:eastAsia="黑体" w:cs="Times New Roman"/>
                <w:color w:val="auto"/>
                <w:spacing w:val="-6"/>
                <w:kern w:val="21"/>
                <w:szCs w:val="21"/>
              </w:rPr>
              <w:fldChar w:fldCharType="end"/>
            </w:r>
          </w:p>
        </w:tc>
        <w:tc>
          <w:tcPr>
            <w:tcW w:w="1702"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34"/>
              <w:widowControl/>
              <w:spacing w:before="31" w:after="31" w:line="240" w:lineRule="auto"/>
              <w:rPr>
                <w:rFonts w:hint="default" w:ascii="Times New Roman" w:hAnsi="Times New Roman" w:eastAsia="黑体" w:cs="Times New Roman"/>
                <w:color w:val="auto"/>
                <w:spacing w:val="-6"/>
                <w:kern w:val="21"/>
                <w:szCs w:val="21"/>
              </w:rPr>
            </w:pPr>
            <w:r>
              <w:rPr>
                <w:rFonts w:hint="default" w:ascii="Times New Roman" w:hAnsi="Times New Roman" w:eastAsia="黑体" w:cs="Times New Roman"/>
                <w:snapToGrid w:val="0"/>
                <w:color w:val="auto"/>
                <w:spacing w:val="-6"/>
                <w:kern w:val="21"/>
                <w:szCs w:val="21"/>
              </w:rPr>
              <w:t>在建工程</w:t>
            </w:r>
          </w:p>
          <w:p>
            <w:pPr>
              <w:pStyle w:val="34"/>
              <w:widowControl/>
              <w:spacing w:before="31" w:after="31"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3 \* GB3 \* MERGEFORMAT </w:instrText>
            </w:r>
            <w:r>
              <w:rPr>
                <w:rFonts w:hint="default" w:ascii="Times New Roman" w:hAnsi="Times New Roman" w:eastAsia="黑体" w:cs="Times New Roman"/>
                <w:color w:val="auto"/>
                <w:spacing w:val="-6"/>
                <w:kern w:val="21"/>
                <w:szCs w:val="21"/>
              </w:rPr>
              <w:fldChar w:fldCharType="separate"/>
            </w:r>
            <w:r>
              <w:rPr>
                <w:rFonts w:hint="default" w:ascii="Times New Roman" w:hAnsi="Times New Roman" w:cs="Times New Roman"/>
                <w:color w:val="auto"/>
                <w:kern w:val="2"/>
                <w:szCs w:val="21"/>
              </w:rPr>
              <w:t>③</w:t>
            </w:r>
            <w:r>
              <w:rPr>
                <w:rFonts w:hint="default" w:ascii="Times New Roman" w:hAnsi="Times New Roman" w:eastAsia="黑体" w:cs="Times New Roman"/>
                <w:color w:val="auto"/>
                <w:spacing w:val="-6"/>
                <w:kern w:val="21"/>
                <w:szCs w:val="21"/>
              </w:rPr>
              <w:fldChar w:fldCharType="end"/>
            </w:r>
          </w:p>
        </w:tc>
        <w:tc>
          <w:tcPr>
            <w:tcW w:w="1559"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34"/>
              <w:widowControl/>
              <w:spacing w:before="31" w:after="31" w:line="240" w:lineRule="auto"/>
              <w:rPr>
                <w:rFonts w:hint="default" w:ascii="Times New Roman" w:hAnsi="Times New Roman" w:eastAsia="黑体" w:cs="Times New Roman"/>
                <w:color w:val="auto"/>
                <w:spacing w:val="-6"/>
                <w:kern w:val="21"/>
                <w:szCs w:val="21"/>
              </w:rPr>
            </w:pPr>
            <w:r>
              <w:rPr>
                <w:rFonts w:hint="default" w:ascii="Times New Roman" w:hAnsi="Times New Roman" w:eastAsia="黑体" w:cs="Times New Roman"/>
                <w:snapToGrid w:val="0"/>
                <w:color w:val="auto"/>
                <w:spacing w:val="-6"/>
                <w:kern w:val="21"/>
                <w:szCs w:val="21"/>
              </w:rPr>
              <w:t>本项目</w:t>
            </w:r>
          </w:p>
          <w:p>
            <w:pPr>
              <w:pStyle w:val="34"/>
              <w:widowControl/>
              <w:spacing w:before="31" w:after="31"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4 \* GB3 \* MERGEFORMAT </w:instrText>
            </w:r>
            <w:r>
              <w:rPr>
                <w:rFonts w:hint="default" w:ascii="Times New Roman" w:hAnsi="Times New Roman" w:eastAsia="黑体" w:cs="Times New Roman"/>
                <w:color w:val="auto"/>
                <w:spacing w:val="-6"/>
                <w:kern w:val="21"/>
                <w:szCs w:val="21"/>
              </w:rPr>
              <w:fldChar w:fldCharType="separate"/>
            </w:r>
            <w:r>
              <w:rPr>
                <w:rFonts w:hint="default" w:ascii="Times New Roman" w:hAnsi="Times New Roman" w:cs="Times New Roman"/>
                <w:color w:val="auto"/>
                <w:kern w:val="2"/>
                <w:szCs w:val="21"/>
              </w:rPr>
              <w:t>④</w:t>
            </w:r>
            <w:r>
              <w:rPr>
                <w:rFonts w:hint="default" w:ascii="Times New Roman" w:hAnsi="Times New Roman" w:eastAsia="黑体" w:cs="Times New Roman"/>
                <w:color w:val="auto"/>
                <w:spacing w:val="-6"/>
                <w:kern w:val="21"/>
                <w:szCs w:val="21"/>
              </w:rPr>
              <w:fldChar w:fldCharType="end"/>
            </w:r>
          </w:p>
        </w:tc>
        <w:tc>
          <w:tcPr>
            <w:tcW w:w="1382"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34"/>
              <w:widowControl/>
              <w:spacing w:before="31" w:after="31" w:line="240" w:lineRule="auto"/>
              <w:rPr>
                <w:rFonts w:hint="default" w:ascii="Times New Roman" w:hAnsi="Times New Roman" w:eastAsia="黑体" w:cs="Times New Roman"/>
                <w:color w:val="auto"/>
                <w:spacing w:val="-16"/>
                <w:kern w:val="21"/>
                <w:szCs w:val="21"/>
              </w:rPr>
            </w:pPr>
            <w:r>
              <w:rPr>
                <w:rFonts w:hint="default" w:ascii="Times New Roman" w:hAnsi="Times New Roman" w:eastAsia="黑体" w:cs="Times New Roman"/>
                <w:snapToGrid w:val="0"/>
                <w:color w:val="auto"/>
                <w:spacing w:val="-16"/>
                <w:kern w:val="21"/>
                <w:szCs w:val="21"/>
              </w:rPr>
              <w:t>以新带老削减量</w:t>
            </w:r>
          </w:p>
          <w:p>
            <w:pPr>
              <w:pStyle w:val="34"/>
              <w:widowControl/>
              <w:spacing w:before="31" w:after="31"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（新建项目不填）</w:t>
            </w:r>
            <w:r>
              <w:rPr>
                <w:rFonts w:hint="default" w:ascii="Times New Roman" w:hAnsi="Times New Roman" w:eastAsia="黑体" w:cs="Times New Roman"/>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5 \* GB3 \* MERGEFORMAT </w:instrText>
            </w:r>
            <w:r>
              <w:rPr>
                <w:rFonts w:hint="default" w:ascii="Times New Roman" w:hAnsi="Times New Roman" w:eastAsia="黑体" w:cs="Times New Roman"/>
                <w:color w:val="auto"/>
                <w:spacing w:val="-16"/>
                <w:kern w:val="21"/>
                <w:szCs w:val="21"/>
              </w:rPr>
              <w:fldChar w:fldCharType="separate"/>
            </w:r>
            <w:r>
              <w:rPr>
                <w:rFonts w:hint="default" w:ascii="Times New Roman" w:hAnsi="Times New Roman" w:cs="Times New Roman"/>
                <w:color w:val="auto"/>
                <w:kern w:val="2"/>
                <w:szCs w:val="21"/>
              </w:rPr>
              <w:t>⑤</w:t>
            </w:r>
            <w:r>
              <w:rPr>
                <w:rFonts w:hint="default" w:ascii="Times New Roman" w:hAnsi="Times New Roman" w:eastAsia="黑体" w:cs="Times New Roman"/>
                <w:color w:val="auto"/>
                <w:spacing w:val="-16"/>
                <w:kern w:val="21"/>
                <w:szCs w:val="21"/>
              </w:rPr>
              <w:fldChar w:fldCharType="end"/>
            </w:r>
          </w:p>
        </w:tc>
        <w:tc>
          <w:tcPr>
            <w:tcW w:w="1689"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34"/>
              <w:widowControl/>
              <w:spacing w:before="31" w:after="31" w:line="240" w:lineRule="auto"/>
              <w:rPr>
                <w:rFonts w:hint="default" w:ascii="Times New Roman" w:hAnsi="Times New Roman" w:eastAsia="黑体" w:cs="Times New Roman"/>
                <w:color w:val="auto"/>
                <w:spacing w:val="-16"/>
                <w:kern w:val="21"/>
                <w:szCs w:val="21"/>
              </w:rPr>
            </w:pPr>
            <w:r>
              <w:rPr>
                <w:rFonts w:hint="default" w:ascii="Times New Roman" w:hAnsi="Times New Roman" w:eastAsia="黑体" w:cs="Times New Roman"/>
                <w:snapToGrid w:val="0"/>
                <w:color w:val="auto"/>
                <w:spacing w:val="-16"/>
                <w:kern w:val="21"/>
                <w:szCs w:val="21"/>
              </w:rPr>
              <w:t>本项目建成后</w:t>
            </w:r>
          </w:p>
          <w:p>
            <w:pPr>
              <w:pStyle w:val="34"/>
              <w:widowControl/>
              <w:spacing w:before="31" w:after="31"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全厂排放量（固体废物产生量）</w:t>
            </w:r>
            <w:r>
              <w:rPr>
                <w:rFonts w:hint="default" w:ascii="Times New Roman" w:hAnsi="Times New Roman" w:eastAsia="黑体" w:cs="Times New Roman"/>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6 \* GB3 \* MERGEFORMAT </w:instrText>
            </w:r>
            <w:r>
              <w:rPr>
                <w:rFonts w:hint="default" w:ascii="Times New Roman" w:hAnsi="Times New Roman" w:eastAsia="黑体" w:cs="Times New Roman"/>
                <w:color w:val="auto"/>
                <w:spacing w:val="-16"/>
                <w:kern w:val="21"/>
                <w:szCs w:val="21"/>
              </w:rPr>
              <w:fldChar w:fldCharType="separate"/>
            </w:r>
            <w:r>
              <w:rPr>
                <w:rFonts w:hint="default" w:ascii="Times New Roman" w:hAnsi="Times New Roman" w:cs="Times New Roman"/>
                <w:color w:val="auto"/>
                <w:kern w:val="2"/>
                <w:szCs w:val="21"/>
              </w:rPr>
              <w:t>⑥</w:t>
            </w:r>
            <w:r>
              <w:rPr>
                <w:rFonts w:hint="default" w:ascii="Times New Roman" w:hAnsi="Times New Roman" w:eastAsia="黑体" w:cs="Times New Roman"/>
                <w:color w:val="auto"/>
                <w:spacing w:val="-16"/>
                <w:kern w:val="21"/>
                <w:szCs w:val="21"/>
              </w:rPr>
              <w:fldChar w:fldCharType="end"/>
            </w:r>
          </w:p>
        </w:tc>
        <w:tc>
          <w:tcPr>
            <w:tcW w:w="1475" w:type="dxa"/>
            <w:tcBorders>
              <w:top w:val="single" w:color="auto" w:sz="8" w:space="0"/>
              <w:left w:val="single" w:color="auto" w:sz="4" w:space="0"/>
              <w:bottom w:val="single" w:color="auto" w:sz="4" w:space="0"/>
              <w:right w:val="single" w:color="auto" w:sz="8" w:space="0"/>
            </w:tcBorders>
            <w:shd w:val="clear" w:color="auto" w:fill="auto"/>
            <w:tcMar>
              <w:left w:w="28" w:type="dxa"/>
              <w:right w:w="28" w:type="dxa"/>
            </w:tcMar>
            <w:vAlign w:val="center"/>
          </w:tcPr>
          <w:p>
            <w:pPr>
              <w:pStyle w:val="34"/>
              <w:widowControl/>
              <w:spacing w:before="31" w:after="31" w:line="240" w:lineRule="auto"/>
              <w:rPr>
                <w:rFonts w:hint="default" w:ascii="Times New Roman" w:hAnsi="Times New Roman" w:eastAsia="黑体" w:cs="Times New Roman"/>
                <w:color w:val="auto"/>
                <w:spacing w:val="-6"/>
                <w:kern w:val="21"/>
                <w:szCs w:val="21"/>
              </w:rPr>
            </w:pPr>
            <w:r>
              <w:rPr>
                <w:rFonts w:hint="default" w:ascii="Times New Roman" w:hAnsi="Times New Roman" w:eastAsia="黑体" w:cs="Times New Roman"/>
                <w:snapToGrid w:val="0"/>
                <w:color w:val="auto"/>
                <w:spacing w:val="-6"/>
                <w:kern w:val="21"/>
                <w:szCs w:val="21"/>
              </w:rPr>
              <w:t>变化量</w:t>
            </w:r>
          </w:p>
          <w:p>
            <w:pPr>
              <w:pStyle w:val="34"/>
              <w:widowControl/>
              <w:spacing w:before="31" w:after="31"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7 \* GB3 \* MERGEFORMAT </w:instrText>
            </w:r>
            <w:r>
              <w:rPr>
                <w:rFonts w:hint="default" w:ascii="Times New Roman" w:hAnsi="Times New Roman" w:eastAsia="黑体" w:cs="Times New Roman"/>
                <w:color w:val="auto"/>
                <w:spacing w:val="-6"/>
                <w:kern w:val="21"/>
                <w:szCs w:val="21"/>
              </w:rPr>
              <w:fldChar w:fldCharType="separate"/>
            </w:r>
            <w:r>
              <w:rPr>
                <w:rFonts w:hint="default" w:ascii="Times New Roman" w:hAnsi="Times New Roman" w:cs="Times New Roman"/>
                <w:color w:val="auto"/>
                <w:kern w:val="2"/>
                <w:szCs w:val="21"/>
              </w:rPr>
              <w:t>⑦</w:t>
            </w:r>
            <w:r>
              <w:rPr>
                <w:rFonts w:hint="default" w:ascii="Times New Roman" w:hAnsi="Times New Roman" w:eastAsia="黑体" w:cs="Times New Roman"/>
                <w:color w:val="auto"/>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tcBorders>
              <w:top w:val="single" w:color="auto" w:sz="4" w:space="0"/>
              <w:left w:val="single" w:color="auto" w:sz="8"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color w:val="auto"/>
                <w:kern w:val="21"/>
                <w:szCs w:val="21"/>
              </w:rPr>
            </w:pPr>
            <w:r>
              <w:rPr>
                <w:rFonts w:hint="default" w:ascii="Times New Roman" w:hAnsi="Times New Roman" w:cs="Times New Roman"/>
                <w:snapToGrid w:val="0"/>
                <w:color w:val="auto"/>
                <w:kern w:val="21"/>
                <w:szCs w:val="21"/>
              </w:rPr>
              <w:t>废气</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颗粒物</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ascii="Times New Roman" w:hAnsi="Times New Roman" w:cs="Times New Roman"/>
                <w:snapToGrid w:val="0"/>
                <w:color w:val="auto"/>
                <w:kern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cs="Times New Roman"/>
                <w:snapToGrid w:val="0"/>
                <w:color w:val="auto"/>
                <w:kern w:val="21"/>
                <w:sz w:val="21"/>
                <w:szCs w:val="21"/>
                <w:lang w:val="en-US" w:eastAsia="zh-CN"/>
              </w:rPr>
              <w:t>1.06</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 w:val="21"/>
                <w:szCs w:val="21"/>
                <w:lang w:val="en-US" w:eastAsia="zh-CN"/>
              </w:rPr>
              <w:t>1.06</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 w:val="21"/>
                <w:szCs w:val="21"/>
                <w:lang w:val="en-US" w:eastAsia="zh-CN"/>
              </w:rPr>
              <w:t>+</w:t>
            </w:r>
            <w:r>
              <w:rPr>
                <w:rFonts w:hint="default" w:ascii="Times New Roman" w:hAnsi="Times New Roman" w:cs="Times New Roman"/>
                <w:snapToGrid w:val="0"/>
                <w:color w:val="auto"/>
                <w:kern w:val="21"/>
                <w:sz w:val="21"/>
                <w:szCs w:val="21"/>
                <w:lang w:val="en-US" w:eastAsia="zh-CN"/>
              </w:rPr>
              <w:t>1.06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二氧化硫</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ascii="Times New Roman" w:hAnsi="Times New Roman" w:cs="Times New Roman"/>
                <w:color w:val="auto"/>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cs="Times New Roman"/>
                <w:snapToGrid w:val="0"/>
                <w:color w:val="auto"/>
                <w:kern w:val="21"/>
                <w:sz w:val="21"/>
                <w:szCs w:val="21"/>
                <w:lang w:val="en-US" w:eastAsia="zh-CN"/>
              </w:rPr>
              <w:t>2.81</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color w:val="auto"/>
                <w:szCs w:val="21"/>
              </w:rPr>
            </w:pPr>
            <w:r>
              <w:rPr>
                <w:rFonts w:hint="default" w:ascii="Times New Roman" w:hAnsi="Times New Roman" w:cs="Times New Roman"/>
                <w:snapToGrid w:val="0"/>
                <w:color w:val="auto"/>
                <w:kern w:val="21"/>
                <w:sz w:val="21"/>
                <w:szCs w:val="21"/>
                <w:lang w:val="en-US" w:eastAsia="zh-CN"/>
              </w:rPr>
              <w:t>2.81</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 w:val="21"/>
                <w:szCs w:val="21"/>
                <w:lang w:val="en-US" w:eastAsia="zh-CN"/>
              </w:rPr>
              <w:t>+</w:t>
            </w:r>
            <w:r>
              <w:rPr>
                <w:rFonts w:hint="default" w:ascii="Times New Roman" w:hAnsi="Times New Roman" w:cs="Times New Roman"/>
                <w:snapToGrid w:val="0"/>
                <w:color w:val="auto"/>
                <w:kern w:val="21"/>
                <w:sz w:val="21"/>
                <w:szCs w:val="21"/>
                <w:lang w:val="en-US" w:eastAsia="zh-CN"/>
              </w:rPr>
              <w:t>2.81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氮氧化物</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ascii="Times New Roman" w:hAnsi="Times New Roman" w:cs="Times New Roman"/>
                <w:snapToGrid w:val="0"/>
                <w:color w:val="auto"/>
                <w:kern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cs="Times New Roman"/>
                <w:snapToGrid w:val="0"/>
                <w:color w:val="auto"/>
                <w:kern w:val="21"/>
                <w:sz w:val="21"/>
                <w:szCs w:val="21"/>
                <w:lang w:val="en-US" w:eastAsia="zh-CN"/>
              </w:rPr>
              <w:t>3.88</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 w:val="21"/>
                <w:szCs w:val="21"/>
                <w:lang w:val="en-US" w:eastAsia="zh-CN"/>
              </w:rPr>
              <w:t>3.88</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 w:val="21"/>
                <w:szCs w:val="21"/>
                <w:lang w:val="en-US" w:eastAsia="zh-CN"/>
              </w:rPr>
              <w:t>+</w:t>
            </w:r>
            <w:r>
              <w:rPr>
                <w:rFonts w:hint="default" w:ascii="Times New Roman" w:hAnsi="Times New Roman" w:cs="Times New Roman"/>
                <w:snapToGrid w:val="0"/>
                <w:color w:val="auto"/>
                <w:kern w:val="21"/>
                <w:sz w:val="21"/>
                <w:szCs w:val="21"/>
                <w:lang w:val="en-US" w:eastAsia="zh-CN"/>
              </w:rPr>
              <w:t>3.88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汞及其化合物</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ascii="Times New Roman" w:hAnsi="Times New Roman" w:cs="Times New Roman"/>
                <w:snapToGrid w:val="0"/>
                <w:color w:val="auto"/>
                <w:kern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cs="Times New Roman"/>
                <w:snapToGrid w:val="0"/>
                <w:color w:val="auto"/>
                <w:kern w:val="21"/>
                <w:sz w:val="21"/>
                <w:szCs w:val="21"/>
                <w:lang w:val="en-US" w:eastAsia="zh-CN"/>
              </w:rPr>
              <w:t>0.00021</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 w:val="21"/>
                <w:szCs w:val="21"/>
                <w:lang w:val="en-US" w:eastAsia="zh-CN"/>
              </w:rPr>
              <w:t>0.00021</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 w:val="21"/>
                <w:szCs w:val="21"/>
                <w:lang w:val="en-US" w:eastAsia="zh-CN"/>
              </w:rPr>
              <w:t>+</w:t>
            </w:r>
            <w:r>
              <w:rPr>
                <w:rFonts w:hint="default" w:ascii="Times New Roman" w:hAnsi="Times New Roman" w:cs="Times New Roman"/>
                <w:snapToGrid w:val="0"/>
                <w:color w:val="auto"/>
                <w:kern w:val="21"/>
                <w:sz w:val="21"/>
                <w:szCs w:val="21"/>
                <w:lang w:val="en-US" w:eastAsia="zh-CN"/>
              </w:rPr>
              <w:t>0.00021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烟气黑度</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ascii="Times New Roman" w:hAnsi="Times New Roman" w:cs="Times New Roman"/>
                <w:snapToGrid w:val="0"/>
                <w:color w:val="auto"/>
                <w:kern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cs="Times New Roman"/>
                <w:snapToGrid w:val="0"/>
                <w:color w:val="auto"/>
                <w:kern w:val="21"/>
                <w:sz w:val="21"/>
                <w:szCs w:val="21"/>
                <w:lang w:val="en-US" w:eastAsia="zh-CN"/>
              </w:rPr>
              <w:t>/</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 w:val="21"/>
                <w:szCs w:val="21"/>
                <w:lang w:val="en-US" w:eastAsia="zh-CN"/>
              </w:rPr>
              <w:t>/</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氨逃逸</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ascii="Times New Roman" w:hAnsi="Times New Roman" w:cs="Times New Roman"/>
                <w:snapToGrid w:val="0"/>
                <w:color w:val="auto"/>
                <w:kern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cs="Times New Roman"/>
                <w:snapToGrid w:val="0"/>
                <w:color w:val="auto"/>
                <w:kern w:val="21"/>
                <w:sz w:val="21"/>
                <w:szCs w:val="21"/>
                <w:lang w:val="en-US" w:eastAsia="zh-CN"/>
              </w:rPr>
              <w:t>/</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 w:val="21"/>
                <w:szCs w:val="21"/>
                <w:lang w:val="en-US" w:eastAsia="zh-CN"/>
              </w:rPr>
              <w:t>/</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tcBorders>
              <w:top w:val="single" w:color="auto" w:sz="4" w:space="0"/>
              <w:left w:val="single" w:color="auto" w:sz="8"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color w:val="auto"/>
                <w:kern w:val="21"/>
                <w:szCs w:val="21"/>
              </w:rPr>
            </w:pPr>
            <w:r>
              <w:rPr>
                <w:rFonts w:hint="default" w:ascii="Times New Roman" w:hAnsi="Times New Roman" w:cs="Times New Roman"/>
                <w:snapToGrid w:val="0"/>
                <w:color w:val="auto"/>
                <w:kern w:val="21"/>
                <w:szCs w:val="21"/>
              </w:rPr>
              <w:t>废水</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COD</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cs="Times New Roman"/>
                <w:snapToGrid w:val="0"/>
                <w:color w:val="auto"/>
                <w:kern w:val="21"/>
                <w:sz w:val="21"/>
                <w:szCs w:val="21"/>
                <w:lang w:val="en-US" w:eastAsia="zh-CN"/>
              </w:rPr>
              <w:t>0.14</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 w:val="21"/>
                <w:szCs w:val="21"/>
                <w:lang w:val="en-US" w:eastAsia="zh-CN"/>
              </w:rPr>
              <w:t>0.14</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 w:val="21"/>
                <w:szCs w:val="21"/>
                <w:lang w:val="en-US" w:eastAsia="zh-CN"/>
              </w:rPr>
              <w:t>+</w:t>
            </w:r>
            <w:r>
              <w:rPr>
                <w:rFonts w:hint="default" w:ascii="Times New Roman" w:hAnsi="Times New Roman" w:cs="Times New Roman"/>
                <w:snapToGrid w:val="0"/>
                <w:color w:val="auto"/>
                <w:kern w:val="21"/>
                <w:sz w:val="21"/>
                <w:szCs w:val="21"/>
                <w:lang w:val="en-US" w:eastAsia="zh-CN"/>
              </w:rPr>
              <w:t>0.14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top w:val="single" w:color="auto" w:sz="4" w:space="0"/>
              <w:left w:val="single" w:color="auto" w:sz="8" w:space="0"/>
              <w:bottom w:val="single" w:color="auto" w:sz="4" w:space="0"/>
              <w:right w:val="single" w:color="auto" w:sz="4" w:space="0"/>
            </w:tcBorders>
            <w:shd w:val="clear" w:color="auto" w:fill="auto"/>
            <w:vAlign w:val="center"/>
          </w:tcPr>
          <w:p>
            <w:pPr>
              <w:rPr>
                <w:rFonts w:hint="default" w:ascii="Times New Roman" w:hAnsi="Times New Roman" w:cs="Times New Roman"/>
                <w:color w:val="auto"/>
                <w:sz w:val="20"/>
                <w:szCs w:val="20"/>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氨氮</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cs="Times New Roman"/>
                <w:snapToGrid w:val="0"/>
                <w:color w:val="auto"/>
                <w:kern w:val="21"/>
                <w:sz w:val="21"/>
                <w:szCs w:val="21"/>
                <w:lang w:val="en-US" w:eastAsia="zh-CN"/>
              </w:rPr>
              <w:t>0.014</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 w:val="21"/>
                <w:szCs w:val="21"/>
                <w:lang w:val="en-US" w:eastAsia="zh-CN"/>
              </w:rPr>
              <w:t>0.014</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 w:val="21"/>
                <w:szCs w:val="21"/>
                <w:lang w:val="en-US" w:eastAsia="zh-CN"/>
              </w:rPr>
              <w:t>+</w:t>
            </w:r>
            <w:r>
              <w:rPr>
                <w:rFonts w:hint="default" w:ascii="Times New Roman" w:hAnsi="Times New Roman" w:cs="Times New Roman"/>
                <w:snapToGrid w:val="0"/>
                <w:color w:val="auto"/>
                <w:kern w:val="21"/>
                <w:sz w:val="21"/>
                <w:szCs w:val="21"/>
                <w:lang w:val="en-US" w:eastAsia="zh-CN"/>
              </w:rPr>
              <w:t>0.014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tcBorders>
              <w:top w:val="single" w:color="auto" w:sz="4" w:space="0"/>
              <w:left w:val="single" w:color="auto" w:sz="8"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color w:val="auto"/>
                <w:kern w:val="21"/>
                <w:szCs w:val="21"/>
              </w:rPr>
            </w:pPr>
            <w:r>
              <w:rPr>
                <w:rFonts w:hint="default" w:ascii="Times New Roman" w:hAnsi="Times New Roman" w:cs="Times New Roman"/>
                <w:snapToGrid w:val="0"/>
                <w:color w:val="auto"/>
                <w:kern w:val="21"/>
                <w:szCs w:val="21"/>
              </w:rPr>
              <w:t>一般工业</w:t>
            </w:r>
          </w:p>
          <w:p>
            <w:pPr>
              <w:pStyle w:val="34"/>
              <w:widowControl/>
              <w:spacing w:before="31" w:after="31" w:line="240" w:lineRule="auto"/>
              <w:rPr>
                <w:rFonts w:hint="default" w:ascii="Times New Roman" w:hAnsi="Times New Roman" w:cs="Times New Roman"/>
                <w:color w:val="auto"/>
                <w:kern w:val="21"/>
                <w:szCs w:val="21"/>
              </w:rPr>
            </w:pPr>
            <w:r>
              <w:rPr>
                <w:rFonts w:hint="default" w:ascii="Times New Roman" w:hAnsi="Times New Roman" w:cs="Times New Roman"/>
                <w:snapToGrid w:val="0"/>
                <w:color w:val="auto"/>
                <w:kern w:val="21"/>
                <w:szCs w:val="21"/>
              </w:rPr>
              <w:t>固体废物</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rPr>
                <w:rFonts w:hint="default" w:ascii="Times New Roman" w:hAnsi="Times New Roman" w:cs="Times New Roman"/>
                <w:snapToGrid w:val="0"/>
                <w:color w:val="auto"/>
                <w:kern w:val="21"/>
                <w:szCs w:val="21"/>
              </w:rPr>
            </w:pPr>
            <w:r>
              <w:rPr>
                <w:rFonts w:hint="default" w:ascii="Times New Roman" w:hAnsi="Times New Roman" w:cs="Times New Roman" w:eastAsiaTheme="minorEastAsia"/>
                <w:color w:val="auto"/>
                <w:sz w:val="24"/>
                <w:szCs w:val="24"/>
                <w:lang w:val="en-US" w:eastAsia="zh-CN"/>
              </w:rPr>
              <w:t>炉渣</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default" w:ascii="Times New Roman" w:hAnsi="Times New Roman" w:cs="Times New Roman"/>
                <w:snapToGrid w:val="0"/>
                <w:color w:val="auto"/>
                <w:kern w:val="21"/>
                <w:sz w:val="21"/>
                <w:szCs w:val="21"/>
              </w:rPr>
            </w:pPr>
            <w:r>
              <w:rPr>
                <w:rFonts w:hint="default" w:ascii="Times New Roman" w:hAnsi="Times New Roman" w:cs="Times New Roman" w:eastAsiaTheme="minorEastAsia"/>
                <w:color w:val="auto"/>
                <w:sz w:val="21"/>
                <w:szCs w:val="21"/>
                <w:lang w:val="en-US" w:eastAsia="zh-CN"/>
              </w:rPr>
              <w:t>356.14</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default" w:ascii="Times New Roman" w:hAnsi="Times New Roman" w:cs="Times New Roman"/>
                <w:snapToGrid w:val="0"/>
                <w:color w:val="auto"/>
                <w:kern w:val="21"/>
                <w:szCs w:val="21"/>
              </w:rPr>
            </w:pPr>
            <w:r>
              <w:rPr>
                <w:rFonts w:hint="default" w:ascii="Times New Roman" w:hAnsi="Times New Roman" w:cs="Times New Roman" w:eastAsiaTheme="minorEastAsia"/>
                <w:color w:val="auto"/>
                <w:sz w:val="21"/>
                <w:szCs w:val="21"/>
                <w:lang w:val="en-US" w:eastAsia="zh-CN"/>
              </w:rPr>
              <w:t>356.14</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spacing w:line="240" w:lineRule="exact"/>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 w:val="21"/>
                <w:szCs w:val="21"/>
                <w:lang w:val="en-US" w:eastAsia="zh-CN"/>
              </w:rPr>
              <w:t>+</w:t>
            </w:r>
            <w:r>
              <w:rPr>
                <w:rFonts w:hint="default" w:ascii="Times New Roman" w:hAnsi="Times New Roman" w:cs="Times New Roman" w:eastAsiaTheme="minorEastAsia"/>
                <w:color w:val="auto"/>
                <w:sz w:val="21"/>
                <w:szCs w:val="21"/>
                <w:lang w:val="en-US" w:eastAsia="zh-CN"/>
              </w:rPr>
              <w:t>356.14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rPr>
                <w:rFonts w:hint="default" w:ascii="Times New Roman" w:hAnsi="Times New Roman" w:cs="Times New Roman"/>
                <w:snapToGrid w:val="0"/>
                <w:color w:val="auto"/>
                <w:kern w:val="21"/>
                <w:szCs w:val="21"/>
              </w:rPr>
            </w:pPr>
            <w:r>
              <w:rPr>
                <w:rFonts w:hint="default" w:ascii="Times New Roman" w:hAnsi="Times New Roman" w:cs="Times New Roman" w:eastAsiaTheme="minorEastAsia"/>
                <w:color w:val="auto"/>
                <w:sz w:val="24"/>
                <w:szCs w:val="24"/>
                <w:lang w:val="en-US" w:eastAsia="zh-CN"/>
              </w:rPr>
              <w:t>粉煤灰</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eastAsiaTheme="minorEastAsia"/>
                <w:color w:val="auto"/>
                <w:sz w:val="21"/>
                <w:szCs w:val="21"/>
                <w:lang w:val="en-US" w:eastAsia="zh-CN"/>
              </w:rPr>
              <w:t>351.01</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default" w:ascii="Times New Roman" w:hAnsi="Times New Roman" w:cs="Times New Roman"/>
                <w:color w:val="auto"/>
                <w:szCs w:val="21"/>
              </w:rPr>
            </w:pPr>
            <w:r>
              <w:rPr>
                <w:rFonts w:hint="default" w:ascii="Times New Roman" w:hAnsi="Times New Roman" w:cs="Times New Roman" w:eastAsiaTheme="minorEastAsia"/>
                <w:color w:val="auto"/>
                <w:sz w:val="21"/>
                <w:szCs w:val="21"/>
                <w:lang w:val="en-US" w:eastAsia="zh-CN"/>
              </w:rPr>
              <w:t>351.01</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spacing w:line="240" w:lineRule="exact"/>
              <w:jc w:val="center"/>
              <w:rPr>
                <w:rFonts w:hint="default" w:ascii="Times New Roman" w:hAnsi="Times New Roman" w:cs="Times New Roman"/>
                <w:color w:val="auto"/>
                <w:szCs w:val="21"/>
              </w:rPr>
            </w:pPr>
            <w:r>
              <w:rPr>
                <w:rFonts w:hint="eastAsia" w:ascii="Times New Roman" w:hAnsi="Times New Roman" w:cs="Times New Roman"/>
                <w:snapToGrid w:val="0"/>
                <w:color w:val="auto"/>
                <w:kern w:val="21"/>
                <w:sz w:val="21"/>
                <w:szCs w:val="21"/>
                <w:lang w:val="en-US" w:eastAsia="zh-CN"/>
              </w:rPr>
              <w:t>+</w:t>
            </w:r>
            <w:r>
              <w:rPr>
                <w:rFonts w:hint="default" w:ascii="Times New Roman" w:hAnsi="Times New Roman" w:cs="Times New Roman" w:eastAsiaTheme="minorEastAsia"/>
                <w:color w:val="auto"/>
                <w:sz w:val="21"/>
                <w:szCs w:val="21"/>
                <w:lang w:val="en-US" w:eastAsia="zh-CN"/>
              </w:rPr>
              <w:t>351.01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rPr>
                <w:rFonts w:hint="default" w:ascii="Times New Roman" w:hAnsi="Times New Roman" w:cs="Times New Roman"/>
                <w:snapToGrid w:val="0"/>
                <w:color w:val="auto"/>
                <w:kern w:val="21"/>
                <w:szCs w:val="21"/>
              </w:rPr>
            </w:pPr>
            <w:r>
              <w:rPr>
                <w:rFonts w:hint="default" w:ascii="Times New Roman" w:hAnsi="Times New Roman" w:cs="Times New Roman"/>
                <w:color w:val="auto"/>
                <w:sz w:val="24"/>
                <w:szCs w:val="22"/>
                <w:lang w:val="en-US" w:eastAsia="zh-CN"/>
              </w:rPr>
              <w:t>MgSO</w:t>
            </w:r>
            <w:r>
              <w:rPr>
                <w:rFonts w:hint="default" w:ascii="Times New Roman" w:hAnsi="Times New Roman" w:cs="Times New Roman"/>
                <w:color w:val="auto"/>
                <w:sz w:val="24"/>
                <w:szCs w:val="22"/>
                <w:vertAlign w:val="subscript"/>
                <w:lang w:val="en-US" w:eastAsia="zh-CN"/>
              </w:rPr>
              <w:t>4</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eastAsiaTheme="minorEastAsia"/>
                <w:color w:val="auto"/>
                <w:sz w:val="21"/>
                <w:szCs w:val="21"/>
                <w:lang w:val="en-US" w:eastAsia="zh-CN"/>
              </w:rPr>
              <w:t>198</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default" w:ascii="Times New Roman" w:hAnsi="Times New Roman" w:cs="Times New Roman"/>
                <w:color w:val="auto"/>
                <w:szCs w:val="21"/>
              </w:rPr>
            </w:pPr>
            <w:r>
              <w:rPr>
                <w:rFonts w:hint="default" w:ascii="Times New Roman" w:hAnsi="Times New Roman" w:cs="Times New Roman" w:eastAsiaTheme="minorEastAsia"/>
                <w:color w:val="auto"/>
                <w:sz w:val="21"/>
                <w:szCs w:val="21"/>
                <w:lang w:val="en-US" w:eastAsia="zh-CN"/>
              </w:rPr>
              <w:t>198</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spacing w:line="240" w:lineRule="exact"/>
              <w:jc w:val="center"/>
              <w:rPr>
                <w:rFonts w:hint="default" w:ascii="Times New Roman" w:hAnsi="Times New Roman" w:cs="Times New Roman"/>
                <w:color w:val="auto"/>
                <w:szCs w:val="21"/>
              </w:rPr>
            </w:pPr>
            <w:r>
              <w:rPr>
                <w:rFonts w:hint="eastAsia" w:ascii="Times New Roman" w:hAnsi="Times New Roman" w:cs="Times New Roman"/>
                <w:snapToGrid w:val="0"/>
                <w:color w:val="auto"/>
                <w:kern w:val="21"/>
                <w:sz w:val="21"/>
                <w:szCs w:val="21"/>
                <w:lang w:val="en-US" w:eastAsia="zh-CN"/>
              </w:rPr>
              <w:t>+</w:t>
            </w:r>
            <w:r>
              <w:rPr>
                <w:rFonts w:hint="default" w:ascii="Times New Roman" w:hAnsi="Times New Roman" w:cs="Times New Roman" w:eastAsiaTheme="minorEastAsia"/>
                <w:color w:val="auto"/>
                <w:sz w:val="21"/>
                <w:szCs w:val="21"/>
                <w:lang w:val="en-US" w:eastAsia="zh-CN"/>
              </w:rPr>
              <w:t>198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rPr>
                <w:rFonts w:hint="default" w:ascii="Times New Roman" w:hAnsi="Times New Roman" w:cs="Times New Roman"/>
                <w:snapToGrid w:val="0"/>
                <w:color w:val="auto"/>
                <w:kern w:val="21"/>
                <w:szCs w:val="21"/>
              </w:rPr>
            </w:pPr>
            <w:r>
              <w:rPr>
                <w:rFonts w:hint="default" w:ascii="Times New Roman" w:hAnsi="Times New Roman" w:cs="Times New Roman" w:eastAsiaTheme="minorEastAsia"/>
                <w:color w:val="auto"/>
                <w:sz w:val="24"/>
                <w:szCs w:val="24"/>
                <w:lang w:val="en-US" w:eastAsia="zh-CN"/>
              </w:rPr>
              <w:t>生活垃圾</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eastAsiaTheme="minorEastAsia"/>
                <w:color w:val="auto"/>
                <w:sz w:val="21"/>
                <w:szCs w:val="21"/>
                <w:lang w:val="en-US" w:eastAsia="zh-CN"/>
              </w:rPr>
              <w:t>4.06</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default" w:ascii="Times New Roman" w:hAnsi="Times New Roman" w:cs="Times New Roman"/>
                <w:color w:val="auto"/>
                <w:szCs w:val="21"/>
              </w:rPr>
            </w:pPr>
            <w:r>
              <w:rPr>
                <w:rFonts w:hint="default" w:ascii="Times New Roman" w:hAnsi="Times New Roman" w:cs="Times New Roman" w:eastAsiaTheme="minorEastAsia"/>
                <w:color w:val="auto"/>
                <w:sz w:val="21"/>
                <w:szCs w:val="21"/>
                <w:lang w:val="en-US" w:eastAsia="zh-CN"/>
              </w:rPr>
              <w:t>4.06</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spacing w:line="240" w:lineRule="exact"/>
              <w:jc w:val="center"/>
              <w:rPr>
                <w:rFonts w:hint="default" w:ascii="Times New Roman" w:hAnsi="Times New Roman" w:cs="Times New Roman"/>
                <w:color w:val="auto"/>
                <w:szCs w:val="21"/>
              </w:rPr>
            </w:pPr>
            <w:r>
              <w:rPr>
                <w:rFonts w:hint="eastAsia" w:ascii="Times New Roman" w:hAnsi="Times New Roman" w:cs="Times New Roman"/>
                <w:snapToGrid w:val="0"/>
                <w:color w:val="auto"/>
                <w:kern w:val="21"/>
                <w:sz w:val="21"/>
                <w:szCs w:val="21"/>
                <w:lang w:val="en-US" w:eastAsia="zh-CN"/>
              </w:rPr>
              <w:t>+</w:t>
            </w:r>
            <w:r>
              <w:rPr>
                <w:rFonts w:hint="default" w:ascii="Times New Roman" w:hAnsi="Times New Roman" w:cs="Times New Roman" w:eastAsiaTheme="minorEastAsia"/>
                <w:color w:val="auto"/>
                <w:sz w:val="21"/>
                <w:szCs w:val="21"/>
                <w:lang w:val="en-US" w:eastAsia="zh-CN"/>
              </w:rPr>
              <w:t>4.06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rPr>
                <w:rFonts w:hint="default" w:ascii="Times New Roman" w:hAnsi="Times New Roman" w:cs="Times New Roman"/>
                <w:snapToGrid w:val="0"/>
                <w:color w:val="auto"/>
                <w:kern w:val="21"/>
                <w:szCs w:val="21"/>
              </w:rPr>
            </w:pPr>
            <w:r>
              <w:rPr>
                <w:rFonts w:hint="default" w:ascii="Times New Roman" w:hAnsi="Times New Roman" w:cs="Times New Roman" w:eastAsiaTheme="minorEastAsia"/>
                <w:color w:val="auto"/>
                <w:sz w:val="24"/>
                <w:szCs w:val="24"/>
                <w:lang w:val="en-US" w:eastAsia="zh-CN"/>
              </w:rPr>
              <w:t>废离子交换树脂</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eastAsiaTheme="minorEastAsia"/>
                <w:color w:val="auto"/>
                <w:sz w:val="21"/>
                <w:szCs w:val="21"/>
                <w:lang w:val="en-US" w:eastAsia="zh-CN"/>
              </w:rPr>
              <w:t>1.25</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default" w:ascii="Times New Roman" w:hAnsi="Times New Roman" w:cs="Times New Roman"/>
                <w:color w:val="auto"/>
                <w:szCs w:val="21"/>
              </w:rPr>
            </w:pPr>
            <w:r>
              <w:rPr>
                <w:rFonts w:hint="default" w:ascii="Times New Roman" w:hAnsi="Times New Roman" w:cs="Times New Roman" w:eastAsiaTheme="minorEastAsia"/>
                <w:color w:val="auto"/>
                <w:sz w:val="21"/>
                <w:szCs w:val="21"/>
                <w:lang w:val="en-US" w:eastAsia="zh-CN"/>
              </w:rPr>
              <w:t>1.25</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spacing w:line="240" w:lineRule="exact"/>
              <w:jc w:val="center"/>
              <w:rPr>
                <w:rFonts w:hint="default" w:ascii="Times New Roman" w:hAnsi="Times New Roman" w:cs="Times New Roman"/>
                <w:color w:val="auto"/>
                <w:szCs w:val="21"/>
              </w:rPr>
            </w:pPr>
            <w:r>
              <w:rPr>
                <w:rFonts w:hint="eastAsia" w:ascii="Times New Roman" w:hAnsi="Times New Roman" w:cs="Times New Roman"/>
                <w:snapToGrid w:val="0"/>
                <w:color w:val="auto"/>
                <w:kern w:val="21"/>
                <w:sz w:val="21"/>
                <w:szCs w:val="21"/>
                <w:lang w:val="en-US" w:eastAsia="zh-CN"/>
              </w:rPr>
              <w:t>+</w:t>
            </w:r>
            <w:r>
              <w:rPr>
                <w:rFonts w:hint="default" w:ascii="Times New Roman" w:hAnsi="Times New Roman" w:cs="Times New Roman" w:eastAsiaTheme="minorEastAsia"/>
                <w:color w:val="auto"/>
                <w:sz w:val="21"/>
                <w:szCs w:val="21"/>
                <w:lang w:val="en-US" w:eastAsia="zh-CN"/>
              </w:rPr>
              <w:t>1.25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tcBorders>
              <w:top w:val="single" w:color="auto" w:sz="4" w:space="0"/>
              <w:left w:val="single" w:color="auto" w:sz="8" w:space="0"/>
              <w:bottom w:val="single" w:color="auto" w:sz="8"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color w:val="auto"/>
                <w:kern w:val="21"/>
                <w:szCs w:val="21"/>
              </w:rPr>
            </w:pPr>
            <w:r>
              <w:rPr>
                <w:rFonts w:hint="default" w:ascii="Times New Roman" w:hAnsi="Times New Roman" w:cs="Times New Roman"/>
                <w:snapToGrid w:val="0"/>
                <w:color w:val="auto"/>
                <w:kern w:val="21"/>
                <w:szCs w:val="21"/>
              </w:rPr>
              <w:t>危险废物</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eastAsiaTheme="minorEastAsia"/>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废催化剂</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cs="Times New Roman"/>
                <w:snapToGrid w:val="0"/>
                <w:color w:val="auto"/>
                <w:kern w:val="21"/>
                <w:sz w:val="21"/>
                <w:szCs w:val="21"/>
                <w:lang w:val="en-US" w:eastAsia="zh-CN"/>
              </w:rPr>
              <w:t>0.2</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 w:val="21"/>
                <w:szCs w:val="21"/>
                <w:lang w:val="en-US" w:eastAsia="zh-CN"/>
              </w:rPr>
              <w:t>0.2</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pStyle w:val="34"/>
              <w:widowControl/>
              <w:spacing w:before="31" w:after="31" w:line="240" w:lineRule="auto"/>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 w:val="21"/>
                <w:szCs w:val="21"/>
                <w:lang w:val="en-US" w:eastAsia="zh-CN"/>
              </w:rPr>
              <w:t>+</w:t>
            </w:r>
            <w:r>
              <w:rPr>
                <w:rFonts w:hint="default" w:ascii="Times New Roman" w:hAnsi="Times New Roman" w:cs="Times New Roman"/>
                <w:snapToGrid w:val="0"/>
                <w:color w:val="auto"/>
                <w:kern w:val="21"/>
                <w:sz w:val="21"/>
                <w:szCs w:val="21"/>
                <w:lang w:val="en-US" w:eastAsia="zh-CN"/>
              </w:rPr>
              <w:t>0.2</w:t>
            </w:r>
          </w:p>
        </w:tc>
      </w:tr>
    </w:tbl>
    <w:p>
      <w:pPr>
        <w:pStyle w:val="34"/>
        <w:widowControl/>
        <w:spacing w:before="249" w:beforeLines="80" w:after="31"/>
        <w:jc w:val="left"/>
        <w:rPr>
          <w:rFonts w:hint="default" w:ascii="Times New Roman"/>
          <w:color w:val="auto"/>
          <w:spacing w:val="-6"/>
          <w:kern w:val="21"/>
          <w:szCs w:val="21"/>
        </w:rPr>
      </w:pPr>
      <w:r>
        <w:rPr>
          <w:rFonts w:hint="default" w:ascii="Times New Roman"/>
          <w:snapToGrid w:val="0"/>
          <w:color w:val="auto"/>
          <w:kern w:val="21"/>
          <w:szCs w:val="21"/>
        </w:rPr>
        <w:t>注：</w:t>
      </w:r>
      <w:r>
        <w:rPr>
          <w:rFonts w:hint="default" w:ascii="Times New Roman"/>
          <w:color w:val="auto"/>
          <w:spacing w:val="-16"/>
          <w:kern w:val="21"/>
          <w:szCs w:val="21"/>
        </w:rPr>
        <w:fldChar w:fldCharType="begin"/>
      </w:r>
      <w:r>
        <w:rPr>
          <w:rFonts w:hint="default" w:ascii="Times New Roman"/>
          <w:snapToGrid w:val="0"/>
          <w:color w:val="auto"/>
          <w:spacing w:val="-16"/>
          <w:kern w:val="21"/>
          <w:szCs w:val="21"/>
        </w:rPr>
        <w:instrText xml:space="preserve"> = 6 \* GB3 \* MERGEFORMAT </w:instrText>
      </w:r>
      <w:r>
        <w:rPr>
          <w:rFonts w:hint="default" w:ascii="Times New Roman"/>
          <w:color w:val="auto"/>
          <w:spacing w:val="-16"/>
          <w:kern w:val="21"/>
          <w:szCs w:val="21"/>
        </w:rPr>
        <w:fldChar w:fldCharType="separate"/>
      </w:r>
      <w:r>
        <w:rPr>
          <w:rFonts w:hAnsi="宋体" w:cs="宋体"/>
          <w:color w:val="auto"/>
          <w:szCs w:val="21"/>
        </w:rPr>
        <w:t>⑥</w:t>
      </w:r>
      <w:r>
        <w:rPr>
          <w:rFonts w:hint="default" w:ascii="Times New Roman"/>
          <w:color w:val="auto"/>
          <w:spacing w:val="-16"/>
          <w:kern w:val="21"/>
          <w:szCs w:val="21"/>
        </w:rPr>
        <w:fldChar w:fldCharType="end"/>
      </w:r>
      <w:r>
        <w:rPr>
          <w:rFonts w:hint="default" w:ascii="Times New Roman"/>
          <w:snapToGrid w:val="0"/>
          <w:color w:val="auto"/>
          <w:spacing w:val="-16"/>
          <w:kern w:val="21"/>
          <w:szCs w:val="21"/>
        </w:rPr>
        <w:t>=</w:t>
      </w:r>
      <w:r>
        <w:rPr>
          <w:rFonts w:hint="default" w:ascii="Times New Roman"/>
          <w:color w:val="auto"/>
          <w:spacing w:val="-6"/>
          <w:kern w:val="21"/>
          <w:szCs w:val="21"/>
        </w:rPr>
        <w:fldChar w:fldCharType="begin"/>
      </w:r>
      <w:r>
        <w:rPr>
          <w:rFonts w:hint="default" w:ascii="Times New Roman"/>
          <w:snapToGrid w:val="0"/>
          <w:color w:val="auto"/>
          <w:spacing w:val="-6"/>
          <w:kern w:val="21"/>
          <w:szCs w:val="21"/>
        </w:rPr>
        <w:instrText xml:space="preserve"> = 1 \* GB3 \* MERGEFORMAT </w:instrText>
      </w:r>
      <w:r>
        <w:rPr>
          <w:rFonts w:hint="default" w:ascii="Times New Roman"/>
          <w:color w:val="auto"/>
          <w:spacing w:val="-6"/>
          <w:kern w:val="21"/>
          <w:szCs w:val="21"/>
        </w:rPr>
        <w:fldChar w:fldCharType="separate"/>
      </w:r>
      <w:r>
        <w:rPr>
          <w:rFonts w:hAnsi="宋体" w:cs="宋体"/>
          <w:color w:val="auto"/>
          <w:szCs w:val="21"/>
        </w:rPr>
        <w:t>①</w:t>
      </w:r>
      <w:r>
        <w:rPr>
          <w:rFonts w:hint="default" w:ascii="Times New Roman"/>
          <w:color w:val="auto"/>
          <w:spacing w:val="-6"/>
          <w:kern w:val="21"/>
          <w:szCs w:val="21"/>
        </w:rPr>
        <w:fldChar w:fldCharType="end"/>
      </w:r>
      <w:r>
        <w:rPr>
          <w:rFonts w:hint="default" w:ascii="Times New Roman"/>
          <w:snapToGrid w:val="0"/>
          <w:color w:val="auto"/>
          <w:spacing w:val="-6"/>
          <w:kern w:val="21"/>
          <w:szCs w:val="21"/>
        </w:rPr>
        <w:t>+</w:t>
      </w:r>
      <w:r>
        <w:rPr>
          <w:rFonts w:hint="default" w:ascii="Times New Roman"/>
          <w:color w:val="auto"/>
          <w:spacing w:val="-6"/>
          <w:kern w:val="21"/>
          <w:szCs w:val="21"/>
        </w:rPr>
        <w:fldChar w:fldCharType="begin"/>
      </w:r>
      <w:r>
        <w:rPr>
          <w:rFonts w:hint="default" w:ascii="Times New Roman"/>
          <w:snapToGrid w:val="0"/>
          <w:color w:val="auto"/>
          <w:spacing w:val="-6"/>
          <w:kern w:val="21"/>
          <w:szCs w:val="21"/>
        </w:rPr>
        <w:instrText xml:space="preserve"> = 3 \* GB3 \* MERGEFORMAT </w:instrText>
      </w:r>
      <w:r>
        <w:rPr>
          <w:rFonts w:hint="default" w:ascii="Times New Roman"/>
          <w:color w:val="auto"/>
          <w:spacing w:val="-6"/>
          <w:kern w:val="21"/>
          <w:szCs w:val="21"/>
        </w:rPr>
        <w:fldChar w:fldCharType="separate"/>
      </w:r>
      <w:r>
        <w:rPr>
          <w:rFonts w:hAnsi="宋体" w:cs="宋体"/>
          <w:color w:val="auto"/>
          <w:szCs w:val="21"/>
        </w:rPr>
        <w:t>③</w:t>
      </w:r>
      <w:r>
        <w:rPr>
          <w:rFonts w:hint="default" w:ascii="Times New Roman"/>
          <w:color w:val="auto"/>
          <w:spacing w:val="-6"/>
          <w:kern w:val="21"/>
          <w:szCs w:val="21"/>
        </w:rPr>
        <w:fldChar w:fldCharType="end"/>
      </w:r>
      <w:r>
        <w:rPr>
          <w:rFonts w:hint="default" w:ascii="Times New Roman"/>
          <w:snapToGrid w:val="0"/>
          <w:color w:val="auto"/>
          <w:spacing w:val="-6"/>
          <w:kern w:val="21"/>
          <w:szCs w:val="21"/>
        </w:rPr>
        <w:t>+</w:t>
      </w:r>
      <w:r>
        <w:rPr>
          <w:rFonts w:hint="default" w:ascii="Times New Roman"/>
          <w:color w:val="auto"/>
          <w:spacing w:val="-6"/>
          <w:kern w:val="21"/>
          <w:szCs w:val="21"/>
        </w:rPr>
        <w:fldChar w:fldCharType="begin"/>
      </w:r>
      <w:r>
        <w:rPr>
          <w:rFonts w:hint="default" w:ascii="Times New Roman"/>
          <w:snapToGrid w:val="0"/>
          <w:color w:val="auto"/>
          <w:spacing w:val="-6"/>
          <w:kern w:val="21"/>
          <w:szCs w:val="21"/>
        </w:rPr>
        <w:instrText xml:space="preserve"> = 4 \* GB3 \* MERGEFORMAT </w:instrText>
      </w:r>
      <w:r>
        <w:rPr>
          <w:rFonts w:hint="default" w:ascii="Times New Roman"/>
          <w:color w:val="auto"/>
          <w:spacing w:val="-6"/>
          <w:kern w:val="21"/>
          <w:szCs w:val="21"/>
        </w:rPr>
        <w:fldChar w:fldCharType="separate"/>
      </w:r>
      <w:r>
        <w:rPr>
          <w:rFonts w:hAnsi="宋体" w:cs="宋体"/>
          <w:color w:val="auto"/>
          <w:szCs w:val="21"/>
        </w:rPr>
        <w:t>④</w:t>
      </w:r>
      <w:r>
        <w:rPr>
          <w:rFonts w:hint="default" w:ascii="Times New Roman"/>
          <w:color w:val="auto"/>
          <w:spacing w:val="-6"/>
          <w:kern w:val="21"/>
          <w:szCs w:val="21"/>
        </w:rPr>
        <w:fldChar w:fldCharType="end"/>
      </w:r>
      <w:r>
        <w:rPr>
          <w:rFonts w:hint="default" w:ascii="Times New Roman"/>
          <w:snapToGrid w:val="0"/>
          <w:color w:val="auto"/>
          <w:spacing w:val="-6"/>
          <w:kern w:val="21"/>
          <w:szCs w:val="21"/>
        </w:rPr>
        <w:t>-</w:t>
      </w:r>
      <w:r>
        <w:rPr>
          <w:rFonts w:hint="default" w:ascii="Times New Roman"/>
          <w:color w:val="auto"/>
          <w:spacing w:val="-16"/>
          <w:kern w:val="21"/>
          <w:szCs w:val="21"/>
        </w:rPr>
        <w:fldChar w:fldCharType="begin"/>
      </w:r>
      <w:r>
        <w:rPr>
          <w:rFonts w:hint="default" w:ascii="Times New Roman"/>
          <w:snapToGrid w:val="0"/>
          <w:color w:val="auto"/>
          <w:spacing w:val="-16"/>
          <w:kern w:val="21"/>
          <w:szCs w:val="21"/>
        </w:rPr>
        <w:instrText xml:space="preserve"> = 5 \* GB3 \* MERGEFORMAT </w:instrText>
      </w:r>
      <w:r>
        <w:rPr>
          <w:rFonts w:hint="default" w:ascii="Times New Roman"/>
          <w:color w:val="auto"/>
          <w:spacing w:val="-16"/>
          <w:kern w:val="21"/>
          <w:szCs w:val="21"/>
        </w:rPr>
        <w:fldChar w:fldCharType="separate"/>
      </w:r>
      <w:r>
        <w:rPr>
          <w:rFonts w:hAnsi="宋体" w:cs="宋体"/>
          <w:color w:val="auto"/>
          <w:szCs w:val="21"/>
        </w:rPr>
        <w:t>⑤</w:t>
      </w:r>
      <w:r>
        <w:rPr>
          <w:rFonts w:hint="default" w:ascii="Times New Roman"/>
          <w:color w:val="auto"/>
          <w:spacing w:val="-16"/>
          <w:kern w:val="21"/>
          <w:szCs w:val="21"/>
        </w:rPr>
        <w:fldChar w:fldCharType="end"/>
      </w:r>
      <w:r>
        <w:rPr>
          <w:rFonts w:hint="default" w:ascii="Times New Roman"/>
          <w:snapToGrid w:val="0"/>
          <w:color w:val="auto"/>
          <w:spacing w:val="-16"/>
          <w:kern w:val="21"/>
          <w:szCs w:val="21"/>
        </w:rPr>
        <w:t>；</w:t>
      </w:r>
      <w:r>
        <w:rPr>
          <w:rFonts w:hint="default" w:ascii="Times New Roman"/>
          <w:color w:val="auto"/>
          <w:spacing w:val="-6"/>
          <w:kern w:val="21"/>
          <w:szCs w:val="21"/>
        </w:rPr>
        <w:fldChar w:fldCharType="begin"/>
      </w:r>
      <w:r>
        <w:rPr>
          <w:rFonts w:hint="default" w:ascii="Times New Roman"/>
          <w:snapToGrid w:val="0"/>
          <w:color w:val="auto"/>
          <w:spacing w:val="-6"/>
          <w:kern w:val="21"/>
          <w:szCs w:val="21"/>
        </w:rPr>
        <w:instrText xml:space="preserve"> = 7 \* GB3 \* MERGEFORMAT </w:instrText>
      </w:r>
      <w:r>
        <w:rPr>
          <w:rFonts w:hint="default" w:ascii="Times New Roman"/>
          <w:color w:val="auto"/>
          <w:spacing w:val="-6"/>
          <w:kern w:val="21"/>
          <w:szCs w:val="21"/>
        </w:rPr>
        <w:fldChar w:fldCharType="separate"/>
      </w:r>
      <w:r>
        <w:rPr>
          <w:rFonts w:hAnsi="宋体" w:cs="宋体"/>
          <w:color w:val="auto"/>
          <w:szCs w:val="21"/>
        </w:rPr>
        <w:t>⑦</w:t>
      </w:r>
      <w:r>
        <w:rPr>
          <w:rFonts w:hint="default" w:ascii="Times New Roman"/>
          <w:color w:val="auto"/>
          <w:spacing w:val="-6"/>
          <w:kern w:val="21"/>
          <w:szCs w:val="21"/>
        </w:rPr>
        <w:fldChar w:fldCharType="end"/>
      </w:r>
      <w:r>
        <w:rPr>
          <w:rFonts w:hint="default" w:ascii="Times New Roman"/>
          <w:snapToGrid w:val="0"/>
          <w:color w:val="auto"/>
          <w:spacing w:val="-6"/>
          <w:kern w:val="21"/>
          <w:szCs w:val="21"/>
        </w:rPr>
        <w:t>=</w:t>
      </w:r>
      <w:r>
        <w:rPr>
          <w:rFonts w:hint="default" w:ascii="Times New Roman"/>
          <w:color w:val="auto"/>
          <w:spacing w:val="-16"/>
          <w:kern w:val="21"/>
          <w:szCs w:val="21"/>
        </w:rPr>
        <w:fldChar w:fldCharType="begin"/>
      </w:r>
      <w:r>
        <w:rPr>
          <w:rFonts w:hint="default" w:ascii="Times New Roman"/>
          <w:snapToGrid w:val="0"/>
          <w:color w:val="auto"/>
          <w:spacing w:val="-16"/>
          <w:kern w:val="21"/>
          <w:szCs w:val="21"/>
        </w:rPr>
        <w:instrText xml:space="preserve"> = 6 \* GB3 \* MERGEFORMAT </w:instrText>
      </w:r>
      <w:r>
        <w:rPr>
          <w:rFonts w:hint="default" w:ascii="Times New Roman"/>
          <w:color w:val="auto"/>
          <w:spacing w:val="-16"/>
          <w:kern w:val="21"/>
          <w:szCs w:val="21"/>
        </w:rPr>
        <w:fldChar w:fldCharType="separate"/>
      </w:r>
      <w:r>
        <w:rPr>
          <w:rFonts w:hAnsi="宋体" w:cs="宋体"/>
          <w:color w:val="auto"/>
          <w:szCs w:val="21"/>
        </w:rPr>
        <w:t>⑥</w:t>
      </w:r>
      <w:r>
        <w:rPr>
          <w:rFonts w:hint="default" w:ascii="Times New Roman"/>
          <w:color w:val="auto"/>
          <w:spacing w:val="-16"/>
          <w:kern w:val="21"/>
          <w:szCs w:val="21"/>
        </w:rPr>
        <w:fldChar w:fldCharType="end"/>
      </w:r>
      <w:r>
        <w:rPr>
          <w:rFonts w:hint="default" w:ascii="Times New Roman"/>
          <w:snapToGrid w:val="0"/>
          <w:color w:val="auto"/>
          <w:spacing w:val="-16"/>
          <w:kern w:val="21"/>
          <w:szCs w:val="21"/>
        </w:rPr>
        <w:t>-</w:t>
      </w:r>
      <w:r>
        <w:rPr>
          <w:rFonts w:hint="default" w:ascii="Times New Roman"/>
          <w:color w:val="auto"/>
          <w:spacing w:val="-6"/>
          <w:kern w:val="21"/>
          <w:szCs w:val="21"/>
        </w:rPr>
        <w:fldChar w:fldCharType="begin"/>
      </w:r>
      <w:r>
        <w:rPr>
          <w:rFonts w:hint="default" w:ascii="Times New Roman"/>
          <w:snapToGrid w:val="0"/>
          <w:color w:val="auto"/>
          <w:spacing w:val="-6"/>
          <w:kern w:val="21"/>
          <w:szCs w:val="21"/>
        </w:rPr>
        <w:instrText xml:space="preserve"> = 1 \* GB3 \* MERGEFORMAT </w:instrText>
      </w:r>
      <w:r>
        <w:rPr>
          <w:rFonts w:hint="default" w:ascii="Times New Roman"/>
          <w:color w:val="auto"/>
          <w:spacing w:val="-6"/>
          <w:kern w:val="21"/>
          <w:szCs w:val="21"/>
        </w:rPr>
        <w:fldChar w:fldCharType="separate"/>
      </w:r>
      <w:r>
        <w:rPr>
          <w:rFonts w:hAnsi="宋体" w:cs="宋体"/>
          <w:color w:val="auto"/>
          <w:szCs w:val="21"/>
        </w:rPr>
        <w:t>①</w:t>
      </w:r>
      <w:r>
        <w:rPr>
          <w:rFonts w:hint="default" w:ascii="Times New Roman"/>
          <w:color w:val="auto"/>
          <w:spacing w:val="-6"/>
          <w:kern w:val="21"/>
          <w:szCs w:val="21"/>
        </w:rPr>
        <w:fldChar w:fldCharType="end"/>
      </w:r>
      <w:r>
        <w:rPr>
          <w:rFonts w:hint="default" w:ascii="Times New Roman"/>
          <w:color w:val="auto"/>
          <w:spacing w:val="-6"/>
          <w:kern w:val="21"/>
          <w:szCs w:val="21"/>
        </w:rPr>
        <w:br w:type="page"/>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color w:val="auto"/>
          <w:lang w:val="en-US" w:eastAsia="zh-CN"/>
        </w:rPr>
      </w:pPr>
      <w:r>
        <w:rPr>
          <w:rFonts w:ascii="Times New Roman" w:hAnsi="Times New Roman" w:cs="Times New Roman"/>
          <w:color w:val="auto"/>
        </w:rPr>
        <mc:AlternateContent>
          <mc:Choice Requires="wps">
            <w:drawing>
              <wp:anchor distT="0" distB="0" distL="114300" distR="114300" simplePos="0" relativeHeight="251662336" behindDoc="0" locked="0" layoutInCell="1" allowOverlap="1">
                <wp:simplePos x="0" y="0"/>
                <wp:positionH relativeFrom="column">
                  <wp:posOffset>3124835</wp:posOffset>
                </wp:positionH>
                <wp:positionV relativeFrom="paragraph">
                  <wp:posOffset>5739765</wp:posOffset>
                </wp:positionV>
                <wp:extent cx="2298065" cy="356870"/>
                <wp:effectExtent l="0" t="0" r="0" b="0"/>
                <wp:wrapNone/>
                <wp:docPr id="115" name="文本框 115"/>
                <wp:cNvGraphicFramePr/>
                <a:graphic xmlns:a="http://schemas.openxmlformats.org/drawingml/2006/main">
                  <a:graphicData uri="http://schemas.microsoft.com/office/word/2010/wordprocessingShape">
                    <wps:wsp>
                      <wps:cNvSpPr txBox="1"/>
                      <wps:spPr>
                        <a:xfrm>
                          <a:off x="4534535" y="6526530"/>
                          <a:ext cx="2298065" cy="356870"/>
                        </a:xfrm>
                        <a:prstGeom prst="rect">
                          <a:avLst/>
                        </a:prstGeom>
                        <a:noFill/>
                        <a:ln w="6350">
                          <a:noFill/>
                        </a:ln>
                        <a:effectLst/>
                      </wps:spPr>
                      <wps:txbx>
                        <w:txbxContent>
                          <w:p>
                            <w:pPr>
                              <w:rPr>
                                <w:rFonts w:ascii="Times New Roman" w:hAnsi="Times New Roman" w:cs="Times New Roman"/>
                                <w:sz w:val="24"/>
                              </w:rPr>
                            </w:pPr>
                            <w:r>
                              <w:rPr>
                                <w:rFonts w:ascii="Times New Roman" w:hAnsi="Times New Roman" w:cs="Times New Roman"/>
                                <w:b/>
                                <w:sz w:val="24"/>
                              </w:rPr>
                              <w:t>附图</w:t>
                            </w:r>
                            <w:r>
                              <w:rPr>
                                <w:rFonts w:hint="eastAsia" w:ascii="Times New Roman" w:hAnsi="Times New Roman" w:cs="Times New Roman"/>
                                <w:b/>
                                <w:sz w:val="24"/>
                                <w:lang w:val="en-US" w:eastAsia="zh-CN"/>
                              </w:rPr>
                              <w:t>1</w:t>
                            </w:r>
                            <w:r>
                              <w:rPr>
                                <w:rFonts w:ascii="Times New Roman" w:hAnsi="Times New Roman" w:cs="Times New Roman"/>
                                <w:b/>
                                <w:sz w:val="24"/>
                              </w:rPr>
                              <w:t xml:space="preserve">  </w:t>
                            </w:r>
                            <w:r>
                              <w:rPr>
                                <w:rFonts w:hint="eastAsia" w:ascii="Times New Roman" w:hAnsi="Times New Roman" w:cs="Times New Roman"/>
                                <w:b/>
                                <w:sz w:val="24"/>
                              </w:rPr>
                              <w:t>建设</w:t>
                            </w:r>
                            <w:r>
                              <w:rPr>
                                <w:rFonts w:ascii="Times New Roman" w:hAnsi="Times New Roman" w:cs="Times New Roman"/>
                                <w:b/>
                                <w:sz w:val="24"/>
                              </w:rPr>
                              <w:t>项目</w:t>
                            </w:r>
                            <w:r>
                              <w:rPr>
                                <w:rFonts w:hint="eastAsia" w:ascii="Times New Roman" w:hAnsi="Times New Roman" w:cs="Times New Roman"/>
                                <w:b/>
                                <w:sz w:val="24"/>
                              </w:rPr>
                              <w:t>地理位</w:t>
                            </w:r>
                            <w:r>
                              <w:rPr>
                                <w:rFonts w:ascii="Times New Roman" w:hAnsi="Times New Roman" w:cs="Times New Roman"/>
                                <w:b/>
                                <w:sz w:val="24"/>
                              </w:rPr>
                              <w:t>置图</w:t>
                            </w:r>
                          </w:p>
                        </w:txbxContent>
                      </wps:txbx>
                      <wps:bodyPr upright="1"/>
                    </wps:wsp>
                  </a:graphicData>
                </a:graphic>
              </wp:anchor>
            </w:drawing>
          </mc:Choice>
          <mc:Fallback>
            <w:pict>
              <v:shape id="_x0000_s1026" o:spid="_x0000_s1026" o:spt="202" type="#_x0000_t202" style="position:absolute;left:0pt;margin-left:246.05pt;margin-top:451.95pt;height:28.1pt;width:180.95pt;z-index:251662336;mso-width-relative:page;mso-height-relative:page;" filled="f" stroked="f" coordsize="21600,21600" o:gfxdata="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ruZO+dwAAAALAQAADwAAAAAAAAABACAAAAAiAAAAZHJz&#10;L2Rvd25yZXYueG1sUEsBAhQAFAAAAAgAh07iQN1MNn/HAQAAdQMAAA4AAAAAAAAAAQAgAAAAKwEA&#10;AGRycy9lMm9Eb2MueG1sUEsFBgAAAAAGAAYAWQEAAGQFAAAAAA==&#10;">
                <v:fill on="f" focussize="0,0"/>
                <v:stroke on="f" weight="0.5pt"/>
                <v:imagedata o:title=""/>
                <o:lock v:ext="edit" aspectratio="f"/>
                <v:textbox>
                  <w:txbxContent>
                    <w:p>
                      <w:pPr>
                        <w:rPr>
                          <w:rFonts w:ascii="Times New Roman" w:hAnsi="Times New Roman" w:cs="Times New Roman"/>
                          <w:sz w:val="24"/>
                        </w:rPr>
                      </w:pPr>
                      <w:r>
                        <w:rPr>
                          <w:rFonts w:ascii="Times New Roman" w:hAnsi="Times New Roman" w:cs="Times New Roman"/>
                          <w:b/>
                          <w:sz w:val="24"/>
                        </w:rPr>
                        <w:t>附图</w:t>
                      </w:r>
                      <w:r>
                        <w:rPr>
                          <w:rFonts w:hint="eastAsia" w:ascii="Times New Roman" w:hAnsi="Times New Roman" w:cs="Times New Roman"/>
                          <w:b/>
                          <w:sz w:val="24"/>
                          <w:lang w:val="en-US" w:eastAsia="zh-CN"/>
                        </w:rPr>
                        <w:t>1</w:t>
                      </w:r>
                      <w:r>
                        <w:rPr>
                          <w:rFonts w:ascii="Times New Roman" w:hAnsi="Times New Roman" w:cs="Times New Roman"/>
                          <w:b/>
                          <w:sz w:val="24"/>
                        </w:rPr>
                        <w:t xml:space="preserve">  </w:t>
                      </w:r>
                      <w:r>
                        <w:rPr>
                          <w:rFonts w:hint="eastAsia" w:ascii="Times New Roman" w:hAnsi="Times New Roman" w:cs="Times New Roman"/>
                          <w:b/>
                          <w:sz w:val="24"/>
                        </w:rPr>
                        <w:t>建设</w:t>
                      </w:r>
                      <w:r>
                        <w:rPr>
                          <w:rFonts w:ascii="Times New Roman" w:hAnsi="Times New Roman" w:cs="Times New Roman"/>
                          <w:b/>
                          <w:sz w:val="24"/>
                        </w:rPr>
                        <w:t>项目</w:t>
                      </w:r>
                      <w:r>
                        <w:rPr>
                          <w:rFonts w:hint="eastAsia" w:ascii="Times New Roman" w:hAnsi="Times New Roman" w:cs="Times New Roman"/>
                          <w:b/>
                          <w:sz w:val="24"/>
                        </w:rPr>
                        <w:t>地理位</w:t>
                      </w:r>
                      <w:r>
                        <w:rPr>
                          <w:rFonts w:ascii="Times New Roman" w:hAnsi="Times New Roman" w:cs="Times New Roman"/>
                          <w:b/>
                          <w:sz w:val="24"/>
                        </w:rPr>
                        <w:t>置图</w:t>
                      </w:r>
                    </w:p>
                  </w:txbxContent>
                </v:textbox>
              </v:shape>
            </w:pict>
          </mc:Fallback>
        </mc:AlternateContent>
      </w:r>
      <w:r>
        <w:rPr>
          <w:color w:val="auto"/>
        </w:rPr>
        <w:drawing>
          <wp:inline distT="0" distB="0" distL="114300" distR="114300">
            <wp:extent cx="7895590" cy="5760720"/>
            <wp:effectExtent l="0" t="0" r="10160" b="1143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7"/>
                    <a:stretch>
                      <a:fillRect/>
                    </a:stretch>
                  </pic:blipFill>
                  <pic:spPr>
                    <a:xfrm>
                      <a:off x="0" y="0"/>
                      <a:ext cx="7895590" cy="5760720"/>
                    </a:xfrm>
                    <a:prstGeom prst="rect">
                      <a:avLst/>
                    </a:prstGeom>
                    <a:noFill/>
                    <a:ln>
                      <a:noFill/>
                    </a:ln>
                  </pic:spPr>
                </pic:pic>
              </a:graphicData>
            </a:graphic>
          </wp:inline>
        </w:drawing>
      </w:r>
      <w:r>
        <w:rPr>
          <w:rFonts w:ascii="Times New Roman" w:hAnsi="Times New Roman" w:cs="Times New Roman"/>
          <w:color w:val="auto"/>
        </w:rPr>
        <w:drawing>
          <wp:anchor distT="0" distB="0" distL="114300" distR="114300" simplePos="0" relativeHeight="251660288" behindDoc="1" locked="0" layoutInCell="1" allowOverlap="1">
            <wp:simplePos x="0" y="0"/>
            <wp:positionH relativeFrom="column">
              <wp:posOffset>259080</wp:posOffset>
            </wp:positionH>
            <wp:positionV relativeFrom="paragraph">
              <wp:posOffset>121920</wp:posOffset>
            </wp:positionV>
            <wp:extent cx="8035925" cy="5752465"/>
            <wp:effectExtent l="0" t="0" r="10795" b="8255"/>
            <wp:wrapNone/>
            <wp:docPr id="2" name="图片 2" descr="宽城满族自治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宽城满族自治县"/>
                    <pic:cNvPicPr>
                      <a:picLocks noChangeAspect="1"/>
                    </pic:cNvPicPr>
                  </pic:nvPicPr>
                  <pic:blipFill>
                    <a:blip r:embed="rId18" cstate="print"/>
                    <a:stretch>
                      <a:fillRect/>
                    </a:stretch>
                  </pic:blipFill>
                  <pic:spPr>
                    <a:xfrm>
                      <a:off x="0" y="0"/>
                      <a:ext cx="8035925" cy="5752465"/>
                    </a:xfrm>
                    <a:prstGeom prst="rect">
                      <a:avLst/>
                    </a:prstGeom>
                  </pic:spPr>
                </pic:pic>
              </a:graphicData>
            </a:graphic>
          </wp:anchor>
        </w:drawing>
      </w:r>
      <w:r>
        <w:rPr>
          <w:rFonts w:ascii="Times New Roman" w:hAnsi="Times New Roman" w:cs="Times New Roman"/>
          <w:color w:val="auto"/>
        </w:rPr>
        <w:br w:type="page"/>
      </w:r>
      <w:r>
        <w:rPr>
          <w:rFonts w:ascii="Times New Roman" w:hAnsi="Times New Roman" w:cs="Times New Roman"/>
          <w:color w:val="auto"/>
        </w:rPr>
        <mc:AlternateContent>
          <mc:Choice Requires="wps">
            <w:drawing>
              <wp:anchor distT="0" distB="0" distL="114300" distR="114300" simplePos="0" relativeHeight="251662336" behindDoc="0" locked="0" layoutInCell="1" allowOverlap="1">
                <wp:simplePos x="0" y="0"/>
                <wp:positionH relativeFrom="column">
                  <wp:posOffset>3140710</wp:posOffset>
                </wp:positionH>
                <wp:positionV relativeFrom="paragraph">
                  <wp:posOffset>5711190</wp:posOffset>
                </wp:positionV>
                <wp:extent cx="2298065" cy="356870"/>
                <wp:effectExtent l="0" t="0" r="0" b="0"/>
                <wp:wrapNone/>
                <wp:docPr id="17" name="文本框 115"/>
                <wp:cNvGraphicFramePr/>
                <a:graphic xmlns:a="http://schemas.openxmlformats.org/drawingml/2006/main">
                  <a:graphicData uri="http://schemas.microsoft.com/office/word/2010/wordprocessingShape">
                    <wps:wsp>
                      <wps:cNvSpPr txBox="1"/>
                      <wps:spPr>
                        <a:xfrm>
                          <a:off x="4534535" y="6526530"/>
                          <a:ext cx="2298065" cy="356870"/>
                        </a:xfrm>
                        <a:prstGeom prst="rect">
                          <a:avLst/>
                        </a:prstGeom>
                        <a:noFill/>
                        <a:ln w="6350">
                          <a:noFill/>
                        </a:ln>
                        <a:effectLst/>
                      </wps:spPr>
                      <wps:txbx>
                        <w:txbxContent>
                          <w:p>
                            <w:pPr>
                              <w:jc w:val="center"/>
                              <w:rPr>
                                <w:rFonts w:ascii="Times New Roman" w:hAnsi="Times New Roman" w:cs="Times New Roman"/>
                                <w:sz w:val="24"/>
                              </w:rPr>
                            </w:pPr>
                            <w:r>
                              <w:rPr>
                                <w:rFonts w:ascii="Times New Roman" w:hAnsi="Times New Roman" w:cs="Times New Roman"/>
                                <w:b/>
                                <w:sz w:val="24"/>
                              </w:rPr>
                              <w:t>附图</w:t>
                            </w:r>
                            <w:r>
                              <w:rPr>
                                <w:rFonts w:hint="eastAsia" w:ascii="Times New Roman" w:hAnsi="Times New Roman" w:cs="Times New Roman"/>
                                <w:b/>
                                <w:sz w:val="24"/>
                                <w:lang w:val="en-US" w:eastAsia="zh-CN"/>
                              </w:rPr>
                              <w:t>2</w:t>
                            </w:r>
                            <w:r>
                              <w:rPr>
                                <w:rFonts w:ascii="Times New Roman" w:hAnsi="Times New Roman" w:cs="Times New Roman"/>
                                <w:b/>
                                <w:sz w:val="24"/>
                              </w:rPr>
                              <w:t xml:space="preserve">  项目</w:t>
                            </w:r>
                            <w:r>
                              <w:rPr>
                                <w:rFonts w:hint="eastAsia" w:ascii="Times New Roman" w:hAnsi="Times New Roman" w:cs="Times New Roman"/>
                                <w:b/>
                                <w:sz w:val="24"/>
                                <w:lang w:val="en-US" w:eastAsia="zh-CN"/>
                              </w:rPr>
                              <w:t>平面布置</w:t>
                            </w:r>
                            <w:r>
                              <w:rPr>
                                <w:rFonts w:ascii="Times New Roman" w:hAnsi="Times New Roman" w:cs="Times New Roman"/>
                                <w:b/>
                                <w:sz w:val="24"/>
                              </w:rPr>
                              <w:t>图</w:t>
                            </w:r>
                          </w:p>
                        </w:txbxContent>
                      </wps:txbx>
                      <wps:bodyPr upright="1"/>
                    </wps:wsp>
                  </a:graphicData>
                </a:graphic>
              </wp:anchor>
            </w:drawing>
          </mc:Choice>
          <mc:Fallback>
            <w:pict>
              <v:shape id="文本框 115" o:spid="_x0000_s1026" o:spt="202" type="#_x0000_t202" style="position:absolute;left:0pt;margin-left:247.3pt;margin-top:449.7pt;height:28.1pt;width:180.95pt;z-index:251662336;mso-width-relative:page;mso-height-relative:page;" filled="f" stroked="f" coordsize="21600,21600" o:gfxdata="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N1jxl9wAAAALAQAADwAAAAAAAAABACAAAAAiAAAAZHJz&#10;L2Rvd25yZXYueG1sUEsBAhQAFAAAAAgAh07iQPuXKDXHAQAAdAMAAA4AAAAAAAAAAQAgAAAAKwEA&#10;AGRycy9lMm9Eb2MueG1sUEsFBgAAAAAGAAYAWQEAAGQFAAAAAA==&#10;">
                <v:fill on="f" focussize="0,0"/>
                <v:stroke on="f" weight="0.5pt"/>
                <v:imagedata o:title=""/>
                <o:lock v:ext="edit" aspectratio="f"/>
                <v:textbox>
                  <w:txbxContent>
                    <w:p>
                      <w:pPr>
                        <w:jc w:val="center"/>
                        <w:rPr>
                          <w:rFonts w:ascii="Times New Roman" w:hAnsi="Times New Roman" w:cs="Times New Roman"/>
                          <w:sz w:val="24"/>
                        </w:rPr>
                      </w:pPr>
                      <w:r>
                        <w:rPr>
                          <w:rFonts w:ascii="Times New Roman" w:hAnsi="Times New Roman" w:cs="Times New Roman"/>
                          <w:b/>
                          <w:sz w:val="24"/>
                        </w:rPr>
                        <w:t>附图</w:t>
                      </w:r>
                      <w:r>
                        <w:rPr>
                          <w:rFonts w:hint="eastAsia" w:ascii="Times New Roman" w:hAnsi="Times New Roman" w:cs="Times New Roman"/>
                          <w:b/>
                          <w:sz w:val="24"/>
                          <w:lang w:val="en-US" w:eastAsia="zh-CN"/>
                        </w:rPr>
                        <w:t>2</w:t>
                      </w:r>
                      <w:r>
                        <w:rPr>
                          <w:rFonts w:ascii="Times New Roman" w:hAnsi="Times New Roman" w:cs="Times New Roman"/>
                          <w:b/>
                          <w:sz w:val="24"/>
                        </w:rPr>
                        <w:t xml:space="preserve">  项目</w:t>
                      </w:r>
                      <w:r>
                        <w:rPr>
                          <w:rFonts w:hint="eastAsia" w:ascii="Times New Roman" w:hAnsi="Times New Roman" w:cs="Times New Roman"/>
                          <w:b/>
                          <w:sz w:val="24"/>
                          <w:lang w:val="en-US" w:eastAsia="zh-CN"/>
                        </w:rPr>
                        <w:t>平面布置</w:t>
                      </w:r>
                      <w:r>
                        <w:rPr>
                          <w:rFonts w:ascii="Times New Roman" w:hAnsi="Times New Roman" w:cs="Times New Roman"/>
                          <w:b/>
                          <w:sz w:val="24"/>
                        </w:rPr>
                        <w:t>图</w:t>
                      </w:r>
                    </w:p>
                  </w:txbxContent>
                </v:textbox>
              </v:shape>
            </w:pict>
          </mc:Fallback>
        </mc:AlternateContent>
      </w:r>
      <w:r>
        <w:rPr>
          <w:rFonts w:hint="eastAsia" w:ascii="Times New Roman" w:hAnsi="Times New Roman" w:cs="Times New Roman"/>
          <w:color w:val="auto"/>
          <w:lang w:val="en-US" w:eastAsia="zh-CN"/>
        </w:rPr>
        <w:drawing>
          <wp:inline distT="0" distB="0" distL="114300" distR="114300">
            <wp:extent cx="7932420" cy="5602605"/>
            <wp:effectExtent l="0" t="0" r="11430" b="17145"/>
            <wp:docPr id="1" name="图片 1" descr="11 现状分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 现状分析"/>
                    <pic:cNvPicPr>
                      <a:picLocks noChangeAspect="1"/>
                    </pic:cNvPicPr>
                  </pic:nvPicPr>
                  <pic:blipFill>
                    <a:blip r:embed="rId19"/>
                    <a:stretch>
                      <a:fillRect/>
                    </a:stretch>
                  </pic:blipFill>
                  <pic:spPr>
                    <a:xfrm>
                      <a:off x="0" y="0"/>
                      <a:ext cx="7932420" cy="5602605"/>
                    </a:xfrm>
                    <a:prstGeom prst="rect">
                      <a:avLst/>
                    </a:prstGeom>
                  </pic:spPr>
                </pic:pic>
              </a:graphicData>
            </a:graphic>
          </wp:inline>
        </w:drawing>
      </w:r>
      <w:r>
        <w:rPr>
          <w:rFonts w:hint="eastAsia" w:ascii="Times New Roman" w:hAnsi="Times New Roman" w:cs="Times New Roman"/>
          <w:color w:val="auto"/>
          <w:lang w:val="en-US" w:eastAsia="zh-CN"/>
        </w:rPr>
        <w:t xml:space="preserve"> </w:t>
      </w:r>
      <w:r>
        <w:rPr>
          <w:color w:val="auto"/>
        </w:rPr>
        <mc:AlternateContent>
          <mc:Choice Requires="wps">
            <w:drawing>
              <wp:anchor distT="0" distB="0" distL="114300" distR="114300" simplePos="0" relativeHeight="251665408" behindDoc="0" locked="0" layoutInCell="1" allowOverlap="1">
                <wp:simplePos x="0" y="0"/>
                <wp:positionH relativeFrom="column">
                  <wp:posOffset>3438525</wp:posOffset>
                </wp:positionH>
                <wp:positionV relativeFrom="paragraph">
                  <wp:posOffset>5695950</wp:posOffset>
                </wp:positionV>
                <wp:extent cx="4055110" cy="333375"/>
                <wp:effectExtent l="0" t="0" r="0" b="0"/>
                <wp:wrapNone/>
                <wp:docPr id="20" name="文本框 8"/>
                <wp:cNvGraphicFramePr/>
                <a:graphic xmlns:a="http://schemas.openxmlformats.org/drawingml/2006/main">
                  <a:graphicData uri="http://schemas.microsoft.com/office/word/2010/wordprocessingShape">
                    <wps:wsp>
                      <wps:cNvSpPr txBox="1"/>
                      <wps:spPr>
                        <a:xfrm>
                          <a:off x="0" y="0"/>
                          <a:ext cx="4055110" cy="333375"/>
                        </a:xfrm>
                        <a:prstGeom prst="rect">
                          <a:avLst/>
                        </a:prstGeom>
                        <a:noFill/>
                        <a:ln w="6350">
                          <a:noFill/>
                        </a:ln>
                      </wps:spPr>
                      <wps:txbx>
                        <w:txbxContent>
                          <w:p>
                            <w:pPr>
                              <w:rPr>
                                <w:rFonts w:hint="eastAsia" w:ascii="Times New Roman" w:hAnsi="Times New Roman"/>
                                <w:b/>
                                <w:bCs/>
                                <w:sz w:val="24"/>
                                <w:lang w:val="en-US" w:eastAsia="zh-CN"/>
                              </w:rPr>
                            </w:pPr>
                            <w:r>
                              <w:rPr>
                                <w:rFonts w:ascii="Times New Roman" w:hAnsi="Times New Roman"/>
                                <w:b/>
                                <w:bCs/>
                                <w:sz w:val="24"/>
                              </w:rPr>
                              <w:t>附图</w:t>
                            </w:r>
                            <w:r>
                              <w:rPr>
                                <w:rFonts w:hint="eastAsia" w:ascii="Times New Roman" w:hAnsi="Times New Roman"/>
                                <w:b/>
                                <w:bCs/>
                                <w:sz w:val="24"/>
                                <w:lang w:val="en-US" w:eastAsia="zh-CN"/>
                              </w:rPr>
                              <w:t>3</w:t>
                            </w:r>
                            <w:r>
                              <w:rPr>
                                <w:rFonts w:ascii="Times New Roman" w:hAnsi="Times New Roman"/>
                                <w:b/>
                                <w:bCs/>
                                <w:sz w:val="24"/>
                              </w:rPr>
                              <w:t xml:space="preserve">  </w:t>
                            </w:r>
                            <w:r>
                              <w:rPr>
                                <w:rFonts w:hint="eastAsia" w:ascii="Times New Roman" w:hAnsi="Times New Roman"/>
                                <w:b/>
                                <w:bCs/>
                                <w:sz w:val="24"/>
                                <w:lang w:eastAsia="zh-CN"/>
                              </w:rPr>
                              <w:t>项目</w:t>
                            </w:r>
                            <w:r>
                              <w:rPr>
                                <w:rFonts w:hint="eastAsia" w:ascii="Times New Roman" w:hAnsi="Times New Roman"/>
                                <w:b/>
                                <w:bCs/>
                                <w:sz w:val="24"/>
                                <w:lang w:val="en-US" w:eastAsia="zh-CN"/>
                              </w:rPr>
                              <w:t>管线走向图</w:t>
                            </w:r>
                          </w:p>
                          <w:p>
                            <w:pPr>
                              <w:pStyle w:val="27"/>
                              <w:rPr>
                                <w:rFonts w:hint="default"/>
                                <w:lang w:val="en-US"/>
                              </w:rPr>
                            </w:pPr>
                          </w:p>
                        </w:txbxContent>
                      </wps:txbx>
                      <wps:bodyPr upright="0"/>
                    </wps:wsp>
                  </a:graphicData>
                </a:graphic>
              </wp:anchor>
            </w:drawing>
          </mc:Choice>
          <mc:Fallback>
            <w:pict>
              <v:shape id="文本框 8" o:spid="_x0000_s1026" o:spt="202" type="#_x0000_t202" style="position:absolute;left:0pt;margin-left:270.75pt;margin-top:448.5pt;height:26.25pt;width:319.3pt;z-index:251665408;mso-width-relative:page;mso-height-relative:page;" filled="f" stroked="f" coordsize="21600,21600" o:gfxdata="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u9wH/dAAAADAEAAA8AAAAAAAAAAQAgAAAAIgAAAGRycy9kb3ducmV2LnhtbFBLAQIU&#10;ABQAAAAIAIdO4kDSGh9atQEAAFgDAAAOAAAAAAAAAAEAIAAAACwBAABkcnMvZTJvRG9jLnhtbFBL&#10;BQYAAAAABgAGAFkBAABTBQAAAAA=&#10;">
                <v:fill on="f" focussize="0,0"/>
                <v:stroke on="f" weight="0.5pt"/>
                <v:imagedata o:title=""/>
                <o:lock v:ext="edit" aspectratio="f"/>
                <v:textbox>
                  <w:txbxContent>
                    <w:p>
                      <w:pPr>
                        <w:rPr>
                          <w:rFonts w:hint="eastAsia" w:ascii="Times New Roman" w:hAnsi="Times New Roman"/>
                          <w:b/>
                          <w:bCs/>
                          <w:sz w:val="24"/>
                          <w:lang w:val="en-US" w:eastAsia="zh-CN"/>
                        </w:rPr>
                      </w:pPr>
                      <w:r>
                        <w:rPr>
                          <w:rFonts w:ascii="Times New Roman" w:hAnsi="Times New Roman"/>
                          <w:b/>
                          <w:bCs/>
                          <w:sz w:val="24"/>
                        </w:rPr>
                        <w:t>附图</w:t>
                      </w:r>
                      <w:r>
                        <w:rPr>
                          <w:rFonts w:hint="eastAsia" w:ascii="Times New Roman" w:hAnsi="Times New Roman"/>
                          <w:b/>
                          <w:bCs/>
                          <w:sz w:val="24"/>
                          <w:lang w:val="en-US" w:eastAsia="zh-CN"/>
                        </w:rPr>
                        <w:t>3</w:t>
                      </w:r>
                      <w:r>
                        <w:rPr>
                          <w:rFonts w:ascii="Times New Roman" w:hAnsi="Times New Roman"/>
                          <w:b/>
                          <w:bCs/>
                          <w:sz w:val="24"/>
                        </w:rPr>
                        <w:t xml:space="preserve">  </w:t>
                      </w:r>
                      <w:r>
                        <w:rPr>
                          <w:rFonts w:hint="eastAsia" w:ascii="Times New Roman" w:hAnsi="Times New Roman"/>
                          <w:b/>
                          <w:bCs/>
                          <w:sz w:val="24"/>
                          <w:lang w:eastAsia="zh-CN"/>
                        </w:rPr>
                        <w:t>项目</w:t>
                      </w:r>
                      <w:r>
                        <w:rPr>
                          <w:rFonts w:hint="eastAsia" w:ascii="Times New Roman" w:hAnsi="Times New Roman"/>
                          <w:b/>
                          <w:bCs/>
                          <w:sz w:val="24"/>
                          <w:lang w:val="en-US" w:eastAsia="zh-CN"/>
                        </w:rPr>
                        <w:t>管线走向图</w:t>
                      </w:r>
                    </w:p>
                    <w:p>
                      <w:pPr>
                        <w:pStyle w:val="27"/>
                        <w:rPr>
                          <w:rFonts w:hint="default"/>
                          <w:lang w:val="en-US"/>
                        </w:rPr>
                      </w:pPr>
                    </w:p>
                  </w:txbxContent>
                </v:textbox>
              </v:shape>
            </w:pict>
          </mc:Fallback>
        </mc:AlternateContent>
      </w:r>
      <w:r>
        <w:rPr>
          <w:color w:val="auto"/>
        </w:rPr>
        <w:drawing>
          <wp:inline distT="0" distB="0" distL="114300" distR="114300">
            <wp:extent cx="8376920" cy="5719445"/>
            <wp:effectExtent l="0" t="0" r="5080" b="14605"/>
            <wp:docPr id="13" name="图片 3" descr="管线走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管线走向图"/>
                    <pic:cNvPicPr>
                      <a:picLocks noChangeAspect="1"/>
                    </pic:cNvPicPr>
                  </pic:nvPicPr>
                  <pic:blipFill>
                    <a:blip r:embed="rId20"/>
                    <a:stretch>
                      <a:fillRect/>
                    </a:stretch>
                  </pic:blipFill>
                  <pic:spPr>
                    <a:xfrm>
                      <a:off x="0" y="0"/>
                      <a:ext cx="8376920" cy="5719445"/>
                    </a:xfrm>
                    <a:prstGeom prst="rect">
                      <a:avLst/>
                    </a:prstGeom>
                    <a:noFill/>
                    <a:ln>
                      <a:noFill/>
                    </a:ln>
                  </pic:spPr>
                </pic:pic>
              </a:graphicData>
            </a:graphic>
          </wp:inline>
        </w:drawing>
      </w:r>
    </w:p>
    <w:p>
      <w:pPr>
        <w:jc w:val="center"/>
        <w:rPr>
          <w:rFonts w:hint="eastAsia" w:ascii="Times New Roman" w:hAnsi="Times New Roman" w:cs="Times New Roman"/>
          <w:color w:val="auto"/>
          <w:lang w:val="en-US" w:eastAsia="zh-CN"/>
        </w:rPr>
      </w:pPr>
      <w:r>
        <w:rPr>
          <w:rFonts w:ascii="Times New Roman" w:hAnsi="Times New Roman" w:cs="Times New Roman"/>
          <w:color w:val="auto"/>
        </w:rPr>
        <w:drawing>
          <wp:inline distT="0" distB="0" distL="114300" distR="114300">
            <wp:extent cx="7934960" cy="5607685"/>
            <wp:effectExtent l="0" t="0" r="8890" b="12065"/>
            <wp:docPr id="4" name="图片 4" descr="项目评价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项目评价范围图"/>
                    <pic:cNvPicPr>
                      <a:picLocks noChangeAspect="1"/>
                    </pic:cNvPicPr>
                  </pic:nvPicPr>
                  <pic:blipFill>
                    <a:blip r:embed="rId21"/>
                    <a:stretch>
                      <a:fillRect/>
                    </a:stretch>
                  </pic:blipFill>
                  <pic:spPr>
                    <a:xfrm>
                      <a:off x="0" y="0"/>
                      <a:ext cx="7934960" cy="5607685"/>
                    </a:xfrm>
                    <a:prstGeom prst="rect">
                      <a:avLst/>
                    </a:prstGeom>
                  </pic:spPr>
                </pic:pic>
              </a:graphicData>
            </a:graphic>
          </wp:inline>
        </w:drawing>
      </w:r>
      <w:r>
        <w:rPr>
          <w:rFonts w:ascii="Times New Roman" w:hAnsi="Times New Roman" w:cs="Times New Roman"/>
          <w:color w:val="auto"/>
        </w:rPr>
        <mc:AlternateContent>
          <mc:Choice Requires="wps">
            <w:drawing>
              <wp:anchor distT="0" distB="0" distL="114300" distR="114300" simplePos="0" relativeHeight="251664384" behindDoc="0" locked="0" layoutInCell="1" allowOverlap="1">
                <wp:simplePos x="0" y="0"/>
                <wp:positionH relativeFrom="column">
                  <wp:posOffset>3077210</wp:posOffset>
                </wp:positionH>
                <wp:positionV relativeFrom="paragraph">
                  <wp:posOffset>5806440</wp:posOffset>
                </wp:positionV>
                <wp:extent cx="3082925" cy="356870"/>
                <wp:effectExtent l="0" t="0" r="0" b="0"/>
                <wp:wrapNone/>
                <wp:docPr id="19" name="文本框 115"/>
                <wp:cNvGraphicFramePr/>
                <a:graphic xmlns:a="http://schemas.openxmlformats.org/drawingml/2006/main">
                  <a:graphicData uri="http://schemas.microsoft.com/office/word/2010/wordprocessingShape">
                    <wps:wsp>
                      <wps:cNvSpPr txBox="1"/>
                      <wps:spPr>
                        <a:xfrm>
                          <a:off x="4534535" y="6526530"/>
                          <a:ext cx="2298065" cy="356870"/>
                        </a:xfrm>
                        <a:prstGeom prst="rect">
                          <a:avLst/>
                        </a:prstGeom>
                        <a:noFill/>
                        <a:ln w="6350">
                          <a:noFill/>
                        </a:ln>
                        <a:effectLst/>
                      </wps:spPr>
                      <wps:txbx>
                        <w:txbxContent>
                          <w:p>
                            <w:pPr>
                              <w:jc w:val="center"/>
                              <w:rPr>
                                <w:rFonts w:ascii="Times New Roman" w:hAnsi="Times New Roman" w:cs="Times New Roman"/>
                                <w:sz w:val="24"/>
                              </w:rPr>
                            </w:pPr>
                            <w:r>
                              <w:rPr>
                                <w:rFonts w:ascii="Times New Roman" w:hAnsi="Times New Roman" w:cs="Times New Roman"/>
                                <w:b/>
                                <w:sz w:val="24"/>
                              </w:rPr>
                              <w:t>附图</w:t>
                            </w:r>
                            <w:r>
                              <w:rPr>
                                <w:rFonts w:hint="eastAsia" w:ascii="Times New Roman" w:hAnsi="Times New Roman" w:cs="Times New Roman"/>
                                <w:b/>
                                <w:sz w:val="24"/>
                                <w:lang w:val="en-US" w:eastAsia="zh-CN"/>
                              </w:rPr>
                              <w:t>4</w:t>
                            </w:r>
                            <w:r>
                              <w:rPr>
                                <w:rFonts w:ascii="Times New Roman" w:hAnsi="Times New Roman" w:cs="Times New Roman"/>
                                <w:b/>
                                <w:sz w:val="24"/>
                              </w:rPr>
                              <w:t xml:space="preserve">  </w:t>
                            </w:r>
                            <w:r>
                              <w:rPr>
                                <w:rFonts w:hint="eastAsia" w:ascii="Times New Roman" w:hAnsi="Times New Roman" w:cs="Times New Roman"/>
                                <w:b/>
                                <w:sz w:val="24"/>
                                <w:lang w:val="en-US" w:eastAsia="zh-CN"/>
                              </w:rPr>
                              <w:t>建设</w:t>
                            </w:r>
                            <w:r>
                              <w:rPr>
                                <w:rFonts w:ascii="Times New Roman" w:hAnsi="Times New Roman" w:cs="Times New Roman"/>
                                <w:b/>
                                <w:sz w:val="24"/>
                              </w:rPr>
                              <w:t>项目</w:t>
                            </w:r>
                            <w:r>
                              <w:rPr>
                                <w:rFonts w:hint="eastAsia" w:ascii="Times New Roman" w:hAnsi="Times New Roman" w:cs="Times New Roman"/>
                                <w:b/>
                                <w:sz w:val="24"/>
                                <w:lang w:val="en-US" w:eastAsia="zh-CN"/>
                              </w:rPr>
                              <w:t>与环境保护目标分布</w:t>
                            </w:r>
                            <w:r>
                              <w:rPr>
                                <w:rFonts w:ascii="Times New Roman" w:hAnsi="Times New Roman" w:cs="Times New Roman"/>
                                <w:b/>
                                <w:sz w:val="24"/>
                              </w:rPr>
                              <w:t>图</w:t>
                            </w:r>
                          </w:p>
                        </w:txbxContent>
                      </wps:txbx>
                      <wps:bodyPr upright="1"/>
                    </wps:wsp>
                  </a:graphicData>
                </a:graphic>
              </wp:anchor>
            </w:drawing>
          </mc:Choice>
          <mc:Fallback>
            <w:pict>
              <v:shape id="文本框 115" o:spid="_x0000_s1026" o:spt="202" type="#_x0000_t202" style="position:absolute;left:0pt;margin-left:242.3pt;margin-top:457.2pt;height:28.1pt;width:242.75pt;z-index:251664384;mso-width-relative:page;mso-height-relative:page;" filled="f" stroked="f" coordsize="21600,21600" o:gfxdata="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lBYU9wAAAALAQAADwAAAAAAAAABACAAAAAiAAAAZHJz&#10;L2Rvd25yZXYueG1sUEsBAhQAFAAAAAgAh07iQNKOmwrHAQAAdAMAAA4AAAAAAAAAAQAgAAAAKwEA&#10;AGRycy9lMm9Eb2MueG1sUEsFBgAAAAAGAAYAWQEAAGQFAAAAAA==&#10;">
                <v:fill on="f" focussize="0,0"/>
                <v:stroke on="f" weight="0.5pt"/>
                <v:imagedata o:title=""/>
                <o:lock v:ext="edit" aspectratio="f"/>
                <v:textbox>
                  <w:txbxContent>
                    <w:p>
                      <w:pPr>
                        <w:jc w:val="center"/>
                        <w:rPr>
                          <w:rFonts w:ascii="Times New Roman" w:hAnsi="Times New Roman" w:cs="Times New Roman"/>
                          <w:sz w:val="24"/>
                        </w:rPr>
                      </w:pPr>
                      <w:r>
                        <w:rPr>
                          <w:rFonts w:ascii="Times New Roman" w:hAnsi="Times New Roman" w:cs="Times New Roman"/>
                          <w:b/>
                          <w:sz w:val="24"/>
                        </w:rPr>
                        <w:t>附图</w:t>
                      </w:r>
                      <w:r>
                        <w:rPr>
                          <w:rFonts w:hint="eastAsia" w:ascii="Times New Roman" w:hAnsi="Times New Roman" w:cs="Times New Roman"/>
                          <w:b/>
                          <w:sz w:val="24"/>
                          <w:lang w:val="en-US" w:eastAsia="zh-CN"/>
                        </w:rPr>
                        <w:t>4</w:t>
                      </w:r>
                      <w:r>
                        <w:rPr>
                          <w:rFonts w:ascii="Times New Roman" w:hAnsi="Times New Roman" w:cs="Times New Roman"/>
                          <w:b/>
                          <w:sz w:val="24"/>
                        </w:rPr>
                        <w:t xml:space="preserve">  </w:t>
                      </w:r>
                      <w:r>
                        <w:rPr>
                          <w:rFonts w:hint="eastAsia" w:ascii="Times New Roman" w:hAnsi="Times New Roman" w:cs="Times New Roman"/>
                          <w:b/>
                          <w:sz w:val="24"/>
                          <w:lang w:val="en-US" w:eastAsia="zh-CN"/>
                        </w:rPr>
                        <w:t>建设</w:t>
                      </w:r>
                      <w:r>
                        <w:rPr>
                          <w:rFonts w:ascii="Times New Roman" w:hAnsi="Times New Roman" w:cs="Times New Roman"/>
                          <w:b/>
                          <w:sz w:val="24"/>
                        </w:rPr>
                        <w:t>项目</w:t>
                      </w:r>
                      <w:r>
                        <w:rPr>
                          <w:rFonts w:hint="eastAsia" w:ascii="Times New Roman" w:hAnsi="Times New Roman" w:cs="Times New Roman"/>
                          <w:b/>
                          <w:sz w:val="24"/>
                          <w:lang w:val="en-US" w:eastAsia="zh-CN"/>
                        </w:rPr>
                        <w:t>与环境保护目标分布</w:t>
                      </w:r>
                      <w:r>
                        <w:rPr>
                          <w:rFonts w:ascii="Times New Roman" w:hAnsi="Times New Roman" w:cs="Times New Roman"/>
                          <w:b/>
                          <w:sz w:val="24"/>
                        </w:rPr>
                        <w:t>图</w:t>
                      </w:r>
                    </w:p>
                  </w:txbxContent>
                </v:textbox>
              </v:shape>
            </w:pict>
          </mc:Fallback>
        </mc:AlternateContent>
      </w:r>
      <w:r>
        <w:rPr>
          <w:rFonts w:hint="eastAsia" w:ascii="Times New Roman" w:hAnsi="Times New Roman" w:cs="Times New Roman"/>
          <w:color w:val="auto"/>
          <w:lang w:val="en-US" w:eastAsia="zh-CN"/>
        </w:rPr>
        <w:br w:type="page"/>
      </w:r>
    </w:p>
    <w:p>
      <w:pPr>
        <w:pStyle w:val="10"/>
        <w:keepNext w:val="0"/>
        <w:keepLines w:val="0"/>
        <w:pageBreakBefore w:val="0"/>
        <w:widowControl w:val="0"/>
        <w:kinsoku/>
        <w:wordWrap/>
        <w:overflowPunct/>
        <w:topLinePunct w:val="0"/>
        <w:autoSpaceDE/>
        <w:autoSpaceDN/>
        <w:bidi w:val="0"/>
        <w:adjustRightInd w:val="0"/>
        <w:snapToGrid w:val="0"/>
        <w:spacing w:after="0"/>
        <w:ind w:left="0" w:leftChars="0"/>
        <w:jc w:val="center"/>
        <w:textAlignment w:val="auto"/>
        <w:rPr>
          <w:rFonts w:hint="eastAsia" w:ascii="Times New Roman" w:hAnsi="Times New Roman" w:cs="Times New Roman" w:eastAsiaTheme="minorEastAsia"/>
          <w:color w:val="auto"/>
          <w:lang w:eastAsia="zh-CN"/>
        </w:rPr>
      </w:pPr>
      <w:r>
        <w:rPr>
          <w:rFonts w:ascii="Times New Roman" w:hAnsi="Times New Roman" w:cs="Times New Roman"/>
          <w:color w:val="auto"/>
        </w:rPr>
        <mc:AlternateContent>
          <mc:Choice Requires="wps">
            <w:drawing>
              <wp:anchor distT="0" distB="0" distL="114300" distR="114300" simplePos="0" relativeHeight="251663360" behindDoc="0" locked="0" layoutInCell="1" allowOverlap="1">
                <wp:simplePos x="0" y="0"/>
                <wp:positionH relativeFrom="column">
                  <wp:posOffset>2647315</wp:posOffset>
                </wp:positionH>
                <wp:positionV relativeFrom="paragraph">
                  <wp:posOffset>5461635</wp:posOffset>
                </wp:positionV>
                <wp:extent cx="3082925" cy="356870"/>
                <wp:effectExtent l="0" t="0" r="0" b="0"/>
                <wp:wrapNone/>
                <wp:docPr id="18" name="文本框 115"/>
                <wp:cNvGraphicFramePr/>
                <a:graphic xmlns:a="http://schemas.openxmlformats.org/drawingml/2006/main">
                  <a:graphicData uri="http://schemas.microsoft.com/office/word/2010/wordprocessingShape">
                    <wps:wsp>
                      <wps:cNvSpPr txBox="1"/>
                      <wps:spPr>
                        <a:xfrm>
                          <a:off x="4534535" y="6526530"/>
                          <a:ext cx="2298065" cy="356870"/>
                        </a:xfrm>
                        <a:prstGeom prst="rect">
                          <a:avLst/>
                        </a:prstGeom>
                        <a:noFill/>
                        <a:ln w="6350">
                          <a:noFill/>
                        </a:ln>
                        <a:effectLst/>
                      </wps:spPr>
                      <wps:txbx>
                        <w:txbxContent>
                          <w:p>
                            <w:pPr>
                              <w:jc w:val="center"/>
                              <w:rPr>
                                <w:rFonts w:ascii="Times New Roman" w:hAnsi="Times New Roman" w:cs="Times New Roman"/>
                                <w:sz w:val="24"/>
                              </w:rPr>
                            </w:pPr>
                            <w:r>
                              <w:rPr>
                                <w:rFonts w:ascii="Times New Roman" w:hAnsi="Times New Roman" w:cs="Times New Roman"/>
                                <w:b/>
                                <w:sz w:val="24"/>
                              </w:rPr>
                              <w:t>附图</w:t>
                            </w:r>
                            <w:r>
                              <w:rPr>
                                <w:rFonts w:hint="eastAsia" w:ascii="Times New Roman" w:hAnsi="Times New Roman" w:cs="Times New Roman"/>
                                <w:b/>
                                <w:sz w:val="24"/>
                                <w:lang w:val="en-US" w:eastAsia="zh-CN"/>
                              </w:rPr>
                              <w:t>5</w:t>
                            </w:r>
                            <w:r>
                              <w:rPr>
                                <w:rFonts w:ascii="Times New Roman" w:hAnsi="Times New Roman" w:cs="Times New Roman"/>
                                <w:b/>
                                <w:sz w:val="24"/>
                              </w:rPr>
                              <w:t xml:space="preserve">  </w:t>
                            </w:r>
                            <w:r>
                              <w:rPr>
                                <w:rFonts w:hint="eastAsia" w:ascii="Times New Roman" w:hAnsi="Times New Roman" w:cs="Times New Roman"/>
                                <w:b/>
                                <w:sz w:val="24"/>
                                <w:lang w:val="en-US" w:eastAsia="zh-CN"/>
                              </w:rPr>
                              <w:t>建设</w:t>
                            </w:r>
                            <w:r>
                              <w:rPr>
                                <w:rFonts w:ascii="Times New Roman" w:hAnsi="Times New Roman" w:cs="Times New Roman"/>
                                <w:b/>
                                <w:sz w:val="24"/>
                              </w:rPr>
                              <w:t>项目</w:t>
                            </w:r>
                            <w:r>
                              <w:rPr>
                                <w:rFonts w:hint="eastAsia" w:ascii="Times New Roman" w:hAnsi="Times New Roman" w:cs="Times New Roman"/>
                                <w:b/>
                                <w:sz w:val="24"/>
                                <w:lang w:val="en-US" w:eastAsia="zh-CN"/>
                              </w:rPr>
                              <w:t>与生态红线位置关系</w:t>
                            </w:r>
                            <w:r>
                              <w:rPr>
                                <w:rFonts w:ascii="Times New Roman" w:hAnsi="Times New Roman" w:cs="Times New Roman"/>
                                <w:b/>
                                <w:sz w:val="24"/>
                              </w:rPr>
                              <w:t>图</w:t>
                            </w:r>
                          </w:p>
                        </w:txbxContent>
                      </wps:txbx>
                      <wps:bodyPr upright="1"/>
                    </wps:wsp>
                  </a:graphicData>
                </a:graphic>
              </wp:anchor>
            </w:drawing>
          </mc:Choice>
          <mc:Fallback>
            <w:pict>
              <v:shape id="文本框 115" o:spid="_x0000_s1026" o:spt="202" type="#_x0000_t202" style="position:absolute;left:0pt;margin-left:208.45pt;margin-top:430.05pt;height:28.1pt;width:242.75pt;z-index:251663360;mso-width-relative:page;mso-height-relative:page;" filled="f" stroked="f" coordsize="21600,21600" o:gfxdata="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cMEdtwAAAALAQAADwAAAAAAAAABACAAAAAiAAAAZHJz&#10;L2Rvd25yZXYueG1sUEsBAhQAFAAAAAgAh07iQNjjrabHAQAAdAMAAA4AAAAAAAAAAQAgAAAAKwEA&#10;AGRycy9lMm9Eb2MueG1sUEsFBgAAAAAGAAYAWQEAAGQFAAAAAA==&#10;">
                <v:fill on="f" focussize="0,0"/>
                <v:stroke on="f" weight="0.5pt"/>
                <v:imagedata o:title=""/>
                <o:lock v:ext="edit" aspectratio="f"/>
                <v:textbox>
                  <w:txbxContent>
                    <w:p>
                      <w:pPr>
                        <w:jc w:val="center"/>
                        <w:rPr>
                          <w:rFonts w:ascii="Times New Roman" w:hAnsi="Times New Roman" w:cs="Times New Roman"/>
                          <w:sz w:val="24"/>
                        </w:rPr>
                      </w:pPr>
                      <w:r>
                        <w:rPr>
                          <w:rFonts w:ascii="Times New Roman" w:hAnsi="Times New Roman" w:cs="Times New Roman"/>
                          <w:b/>
                          <w:sz w:val="24"/>
                        </w:rPr>
                        <w:t>附图</w:t>
                      </w:r>
                      <w:r>
                        <w:rPr>
                          <w:rFonts w:hint="eastAsia" w:ascii="Times New Roman" w:hAnsi="Times New Roman" w:cs="Times New Roman"/>
                          <w:b/>
                          <w:sz w:val="24"/>
                          <w:lang w:val="en-US" w:eastAsia="zh-CN"/>
                        </w:rPr>
                        <w:t>5</w:t>
                      </w:r>
                      <w:r>
                        <w:rPr>
                          <w:rFonts w:ascii="Times New Roman" w:hAnsi="Times New Roman" w:cs="Times New Roman"/>
                          <w:b/>
                          <w:sz w:val="24"/>
                        </w:rPr>
                        <w:t xml:space="preserve">  </w:t>
                      </w:r>
                      <w:r>
                        <w:rPr>
                          <w:rFonts w:hint="eastAsia" w:ascii="Times New Roman" w:hAnsi="Times New Roman" w:cs="Times New Roman"/>
                          <w:b/>
                          <w:sz w:val="24"/>
                          <w:lang w:val="en-US" w:eastAsia="zh-CN"/>
                        </w:rPr>
                        <w:t>建设</w:t>
                      </w:r>
                      <w:r>
                        <w:rPr>
                          <w:rFonts w:ascii="Times New Roman" w:hAnsi="Times New Roman" w:cs="Times New Roman"/>
                          <w:b/>
                          <w:sz w:val="24"/>
                        </w:rPr>
                        <w:t>项目</w:t>
                      </w:r>
                      <w:r>
                        <w:rPr>
                          <w:rFonts w:hint="eastAsia" w:ascii="Times New Roman" w:hAnsi="Times New Roman" w:cs="Times New Roman"/>
                          <w:b/>
                          <w:sz w:val="24"/>
                          <w:lang w:val="en-US" w:eastAsia="zh-CN"/>
                        </w:rPr>
                        <w:t>与生态红线位置关系</w:t>
                      </w:r>
                      <w:r>
                        <w:rPr>
                          <w:rFonts w:ascii="Times New Roman" w:hAnsi="Times New Roman" w:cs="Times New Roman"/>
                          <w:b/>
                          <w:sz w:val="24"/>
                        </w:rPr>
                        <w:t>图</w:t>
                      </w:r>
                    </w:p>
                  </w:txbxContent>
                </v:textbox>
              </v:shape>
            </w:pict>
          </mc:Fallback>
        </mc:AlternateContent>
      </w:r>
      <w:r>
        <w:rPr>
          <w:rFonts w:hint="eastAsia" w:ascii="Times New Roman" w:hAnsi="Times New Roman" w:cs="Times New Roman" w:eastAsiaTheme="minorEastAsia"/>
          <w:color w:val="auto"/>
          <w:lang w:eastAsia="zh-CN"/>
        </w:rPr>
        <w:drawing>
          <wp:inline distT="0" distB="0" distL="114300" distR="114300">
            <wp:extent cx="7934960" cy="5607685"/>
            <wp:effectExtent l="0" t="0" r="8890" b="12065"/>
            <wp:docPr id="14" name="图片 14" descr="项目与生态红线位置关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项目与生态红线位置关系图"/>
                    <pic:cNvPicPr>
                      <a:picLocks noChangeAspect="1"/>
                    </pic:cNvPicPr>
                  </pic:nvPicPr>
                  <pic:blipFill>
                    <a:blip r:embed="rId22"/>
                    <a:stretch>
                      <a:fillRect/>
                    </a:stretch>
                  </pic:blipFill>
                  <pic:spPr>
                    <a:xfrm>
                      <a:off x="0" y="0"/>
                      <a:ext cx="7934960" cy="5607685"/>
                    </a:xfrm>
                    <a:prstGeom prst="rect">
                      <a:avLst/>
                    </a:prstGeom>
                  </pic:spPr>
                </pic:pic>
              </a:graphicData>
            </a:graphic>
          </wp:inline>
        </w:drawing>
      </w:r>
    </w:p>
    <w:sectPr>
      <w:footerReference r:id="rId5" w:type="default"/>
      <w:pgSz w:w="16838" w:h="11906" w:orient="landscape"/>
      <w:pgMar w:top="1531" w:right="1701" w:bottom="1531" w:left="1701" w:header="851" w:footer="85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方正小标宋_GBK">
    <w:altName w:val="微软雅黑"/>
    <w:panose1 w:val="00000000000000000000"/>
    <w:charset w:val="86"/>
    <w:family w:val="auto"/>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79406094"/>
      <w:docPartObj>
        <w:docPartGallery w:val="autotext"/>
      </w:docPartObj>
    </w:sdtPr>
    <w:sdtEndPr>
      <w:rPr>
        <w:rFonts w:ascii="Times New Roman" w:hAnsi="Times New Roman" w:cs="Times New Roman"/>
      </w:rPr>
    </w:sdtEndPr>
    <w:sdtContent>
      <w:p>
        <w:pPr>
          <w:pStyle w:val="14"/>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16</w:t>
        </w:r>
        <w:r>
          <w:rPr>
            <w:rFonts w:ascii="Times New Roman" w:hAnsi="Times New Roman" w:cs="Times New Roma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63C097"/>
    <w:multiLevelType w:val="singleLevel"/>
    <w:tmpl w:val="9563C097"/>
    <w:lvl w:ilvl="0" w:tentative="0">
      <w:start w:val="6"/>
      <w:numFmt w:val="decimal"/>
      <w:suff w:val="nothing"/>
      <w:lvlText w:val="%1、"/>
      <w:lvlJc w:val="left"/>
    </w:lvl>
  </w:abstractNum>
  <w:abstractNum w:abstractNumId="1">
    <w:nsid w:val="00D52334"/>
    <w:multiLevelType w:val="multilevel"/>
    <w:tmpl w:val="00D52334"/>
    <w:lvl w:ilvl="0" w:tentative="0">
      <w:start w:val="1"/>
      <w:numFmt w:val="decimal"/>
      <w:lvlText w:val="表3-%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A8834E5"/>
    <w:multiLevelType w:val="multilevel"/>
    <w:tmpl w:val="0A8834E5"/>
    <w:lvl w:ilvl="0" w:tentative="0">
      <w:start w:val="1"/>
      <w:numFmt w:val="decimal"/>
      <w:lvlText w:val="图1-%1"/>
      <w:lvlJc w:val="left"/>
      <w:pPr>
        <w:ind w:left="420" w:hanging="420"/>
      </w:pPr>
      <w:rPr>
        <w:rFonts w:hint="default" w:ascii="Times New Roman" w:hAnsi="Times New Roman" w:cs="Times New Roman"/>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ECE0172"/>
    <w:multiLevelType w:val="multilevel"/>
    <w:tmpl w:val="1ECE0172"/>
    <w:lvl w:ilvl="0" w:tentative="0">
      <w:start w:val="1"/>
      <w:numFmt w:val="decimal"/>
      <w:lvlText w:val="表2-%1"/>
      <w:lvlJc w:val="left"/>
      <w:pPr>
        <w:ind w:left="420" w:hanging="420"/>
      </w:pPr>
      <w:rPr>
        <w:rFonts w:hint="default" w:ascii="Times New Roman" w:hAnsi="Times New Roman" w:cs="Times New Roman"/>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34A7519"/>
    <w:multiLevelType w:val="multilevel"/>
    <w:tmpl w:val="234A7519"/>
    <w:lvl w:ilvl="0" w:tentative="0">
      <w:start w:val="1"/>
      <w:numFmt w:val="decimal"/>
      <w:lvlText w:val="图2-%1"/>
      <w:lvlJc w:val="left"/>
      <w:pPr>
        <w:ind w:left="420" w:hanging="420"/>
      </w:pPr>
      <w:rPr>
        <w:rFonts w:hint="default" w:ascii="Times New Roman" w:hAnsi="Times New Roman" w:cs="Times New Roman"/>
        <w:b/>
        <w:bCs/>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A425147"/>
    <w:multiLevelType w:val="multilevel"/>
    <w:tmpl w:val="2A425147"/>
    <w:lvl w:ilvl="0" w:tentative="0">
      <w:start w:val="1"/>
      <w:numFmt w:val="decimal"/>
      <w:lvlText w:val="表1-%1"/>
      <w:lvlJc w:val="left"/>
      <w:pPr>
        <w:ind w:left="842" w:hanging="420"/>
      </w:pPr>
      <w:rPr>
        <w:rFonts w:hint="default" w:ascii="Times New Roman" w:hAnsi="Times New Roman" w:cs="Times New Roman"/>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6">
    <w:nsid w:val="2F5BA700"/>
    <w:multiLevelType w:val="singleLevel"/>
    <w:tmpl w:val="2F5BA700"/>
    <w:lvl w:ilvl="0" w:tentative="0">
      <w:start w:val="2"/>
      <w:numFmt w:val="decimal"/>
      <w:suff w:val="nothing"/>
      <w:lvlText w:val="%1、"/>
      <w:lvlJc w:val="left"/>
    </w:lvl>
  </w:abstractNum>
  <w:abstractNum w:abstractNumId="7">
    <w:nsid w:val="5595CF87"/>
    <w:multiLevelType w:val="singleLevel"/>
    <w:tmpl w:val="5595CF87"/>
    <w:lvl w:ilvl="0" w:tentative="0">
      <w:start w:val="1"/>
      <w:numFmt w:val="decimal"/>
      <w:suff w:val="nothing"/>
      <w:lvlText w:val="%1、"/>
      <w:lvlJc w:val="left"/>
    </w:lvl>
  </w:abstractNum>
  <w:abstractNum w:abstractNumId="8">
    <w:nsid w:val="58A15314"/>
    <w:multiLevelType w:val="multilevel"/>
    <w:tmpl w:val="58A15314"/>
    <w:lvl w:ilvl="0" w:tentative="0">
      <w:start w:val="1"/>
      <w:numFmt w:val="decimal"/>
      <w:isLgl/>
      <w:suff w:val="space"/>
      <w:lvlText w:val="%1"/>
      <w:lvlJc w:val="left"/>
      <w:pPr>
        <w:tabs>
          <w:tab w:val="left" w:pos="420"/>
        </w:tabs>
        <w:ind w:left="0" w:leftChars="0" w:firstLine="0" w:firstLineChars="0"/>
      </w:pPr>
      <w:rPr>
        <w:rFonts w:hint="default" w:ascii="Times New Roman" w:hAnsi="Times New Roman" w:eastAsia="黑体" w:cs="宋体"/>
        <w:sz w:val="32"/>
      </w:rPr>
    </w:lvl>
    <w:lvl w:ilvl="1" w:tentative="0">
      <w:start w:val="1"/>
      <w:numFmt w:val="decimal"/>
      <w:isLgl/>
      <w:suff w:val="space"/>
      <w:lvlText w:val="%1.%2"/>
      <w:lvlJc w:val="left"/>
      <w:pPr>
        <w:tabs>
          <w:tab w:val="left" w:pos="0"/>
        </w:tabs>
        <w:ind w:left="0" w:leftChars="0" w:firstLine="0" w:firstLineChars="0"/>
      </w:pPr>
      <w:rPr>
        <w:rFonts w:hint="default" w:ascii="Times New Roman" w:hAnsi="Times New Roman" w:eastAsia="黑体" w:cs="宋体"/>
        <w:sz w:val="28"/>
      </w:rPr>
    </w:lvl>
    <w:lvl w:ilvl="2" w:tentative="0">
      <w:start w:val="1"/>
      <w:numFmt w:val="decimal"/>
      <w:isLgl/>
      <w:suff w:val="space"/>
      <w:lvlText w:val="%1.%2.%3"/>
      <w:lvlJc w:val="left"/>
      <w:pPr>
        <w:tabs>
          <w:tab w:val="left" w:pos="0"/>
        </w:tabs>
        <w:ind w:left="0" w:leftChars="0" w:firstLine="0" w:firstLineChars="0"/>
      </w:pPr>
      <w:rPr>
        <w:rFonts w:hint="default" w:ascii="Times New Roman" w:hAnsi="Times New Roman" w:eastAsia="黑体" w:cs="宋体"/>
        <w:sz w:val="24"/>
      </w:rPr>
    </w:lvl>
    <w:lvl w:ilvl="3" w:tentative="0">
      <w:start w:val="1"/>
      <w:numFmt w:val="decimal"/>
      <w:isLgl/>
      <w:suff w:val="nothing"/>
      <w:lvlText w:val="%1.%2.%3.%4 "/>
      <w:lvlJc w:val="left"/>
      <w:pPr>
        <w:tabs>
          <w:tab w:val="left" w:pos="420"/>
        </w:tabs>
        <w:ind w:left="0" w:leftChars="0" w:firstLine="0" w:firstLineChars="0"/>
      </w:pPr>
      <w:rPr>
        <w:rFonts w:hint="default" w:ascii="宋体" w:hAnsi="宋体" w:eastAsia="宋体" w:cs="宋体"/>
        <w:sz w:val="24"/>
      </w:rPr>
    </w:lvl>
    <w:lvl w:ilvl="4" w:tentative="0">
      <w:start w:val="1"/>
      <w:numFmt w:val="decimal"/>
      <w:pStyle w:val="65"/>
      <w:suff w:val="nothing"/>
      <w:lvlText w:val="（%5）"/>
      <w:lvlJc w:val="left"/>
      <w:pPr>
        <w:tabs>
          <w:tab w:val="left" w:pos="420"/>
        </w:tabs>
        <w:ind w:left="0" w:leftChars="0" w:firstLine="0" w:firstLineChars="0"/>
      </w:pPr>
      <w:rPr>
        <w:rFonts w:hint="default" w:ascii="宋体" w:hAnsi="宋体" w:eastAsia="宋体" w:cs="宋体"/>
        <w:sz w:val="24"/>
      </w:rPr>
    </w:lvl>
    <w:lvl w:ilvl="5" w:tentative="0">
      <w:start w:val="1"/>
      <w:numFmt w:val="decimal"/>
      <w:lvlRestart w:val="1"/>
      <w:isLgl/>
      <w:suff w:val="space"/>
      <w:lvlText w:val="图%1-%6 "/>
      <w:lvlJc w:val="center"/>
      <w:pPr>
        <w:tabs>
          <w:tab w:val="left" w:pos="420"/>
        </w:tabs>
        <w:ind w:left="0" w:leftChars="0" w:firstLine="0" w:firstLineChars="0"/>
      </w:pPr>
      <w:rPr>
        <w:rFonts w:hint="default" w:ascii="Times New Roman" w:hAnsi="Times New Roman" w:eastAsia="黑体" w:cs="宋体"/>
        <w:sz w:val="21"/>
      </w:rPr>
    </w:lvl>
    <w:lvl w:ilvl="6" w:tentative="0">
      <w:start w:val="1"/>
      <w:numFmt w:val="decimal"/>
      <w:lvlRestart w:val="1"/>
      <w:isLgl/>
      <w:suff w:val="space"/>
      <w:lvlText w:val="表%1-%7 "/>
      <w:lvlJc w:val="center"/>
      <w:pPr>
        <w:tabs>
          <w:tab w:val="left" w:pos="0"/>
        </w:tabs>
        <w:ind w:left="0" w:leftChars="0" w:firstLine="0" w:firstLineChars="0"/>
      </w:pPr>
      <w:rPr>
        <w:rFonts w:hint="default" w:ascii="Times New Roman" w:hAnsi="Times New Roman" w:eastAsia="黑体" w:cs="宋体"/>
        <w:sz w:val="21"/>
      </w:rPr>
    </w:lvl>
    <w:lvl w:ilvl="7" w:tentative="0">
      <w:start w:val="1"/>
      <w:numFmt w:val="decimalEnclosedCircleChinese"/>
      <w:lvlRestart w:val="4"/>
      <w:suff w:val="nothing"/>
      <w:lvlText w:val="%8"/>
      <w:lvlJc w:val="left"/>
      <w:pPr>
        <w:tabs>
          <w:tab w:val="left" w:pos="420"/>
        </w:tabs>
        <w:ind w:left="0" w:leftChars="0" w:firstLine="0" w:firstLineChars="0"/>
      </w:pPr>
      <w:rPr>
        <w:rFonts w:hint="eastAsia" w:ascii="Times New Roman" w:hAnsi="Times New Roman" w:eastAsia="宋体" w:cs="宋体"/>
        <w:sz w:val="21"/>
        <w:szCs w:val="24"/>
      </w:rPr>
    </w:lvl>
    <w:lvl w:ilvl="8" w:tentative="0">
      <w:start w:val="1"/>
      <w:numFmt w:val="decimal"/>
      <w:lvlText w:val="%1.%2.%3.%4.%5.%6.%7.%8.%9."/>
      <w:lvlJc w:val="left"/>
      <w:pPr>
        <w:tabs>
          <w:tab w:val="left" w:pos="420"/>
        </w:tabs>
        <w:ind w:left="1558" w:leftChars="0" w:hanging="1558" w:firstLineChars="0"/>
      </w:pPr>
      <w:rPr>
        <w:rFonts w:hint="default" w:ascii="宋体" w:hAnsi="宋体" w:eastAsia="宋体" w:cs="宋体"/>
      </w:rPr>
    </w:lvl>
  </w:abstractNum>
  <w:num w:numId="1">
    <w:abstractNumId w:val="8"/>
  </w:num>
  <w:num w:numId="2">
    <w:abstractNumId w:val="5"/>
  </w:num>
  <w:num w:numId="3">
    <w:abstractNumId w:val="2"/>
  </w:num>
  <w:num w:numId="4">
    <w:abstractNumId w:val="3"/>
  </w:num>
  <w:num w:numId="5">
    <w:abstractNumId w:val="0"/>
  </w:num>
  <w:num w:numId="6">
    <w:abstractNumId w:val="4"/>
  </w:num>
  <w:num w:numId="7">
    <w:abstractNumId w:val="6"/>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wNzg1MDJhY2ZkYTdkMTRjNWQ3NmFlODcyZDk2NTEifQ=="/>
  </w:docVars>
  <w:rsids>
    <w:rsidRoot w:val="00C17A47"/>
    <w:rsid w:val="000305CD"/>
    <w:rsid w:val="00034D7E"/>
    <w:rsid w:val="00036CB9"/>
    <w:rsid w:val="00037C1A"/>
    <w:rsid w:val="00043C85"/>
    <w:rsid w:val="00047B67"/>
    <w:rsid w:val="00054EA2"/>
    <w:rsid w:val="00057C20"/>
    <w:rsid w:val="000603A2"/>
    <w:rsid w:val="00066AD4"/>
    <w:rsid w:val="00067FC0"/>
    <w:rsid w:val="00076F71"/>
    <w:rsid w:val="0008026E"/>
    <w:rsid w:val="00081E29"/>
    <w:rsid w:val="000874AB"/>
    <w:rsid w:val="000944CD"/>
    <w:rsid w:val="000A2473"/>
    <w:rsid w:val="000C5C5A"/>
    <w:rsid w:val="000E08E2"/>
    <w:rsid w:val="000E76D1"/>
    <w:rsid w:val="000F5B35"/>
    <w:rsid w:val="00134DF8"/>
    <w:rsid w:val="0013772D"/>
    <w:rsid w:val="00144764"/>
    <w:rsid w:val="001476BE"/>
    <w:rsid w:val="001528B1"/>
    <w:rsid w:val="001630AF"/>
    <w:rsid w:val="00163B6D"/>
    <w:rsid w:val="00171D15"/>
    <w:rsid w:val="001852DD"/>
    <w:rsid w:val="001931F3"/>
    <w:rsid w:val="001A3C4E"/>
    <w:rsid w:val="001A5443"/>
    <w:rsid w:val="001F60C7"/>
    <w:rsid w:val="002221D8"/>
    <w:rsid w:val="00226732"/>
    <w:rsid w:val="0023678B"/>
    <w:rsid w:val="00237262"/>
    <w:rsid w:val="00245AC3"/>
    <w:rsid w:val="00247144"/>
    <w:rsid w:val="0025621F"/>
    <w:rsid w:val="0027056D"/>
    <w:rsid w:val="002775CA"/>
    <w:rsid w:val="00280438"/>
    <w:rsid w:val="0029051F"/>
    <w:rsid w:val="00297F7F"/>
    <w:rsid w:val="002A1D4B"/>
    <w:rsid w:val="002D0464"/>
    <w:rsid w:val="002E3C53"/>
    <w:rsid w:val="002F036E"/>
    <w:rsid w:val="002F0D65"/>
    <w:rsid w:val="002F22E8"/>
    <w:rsid w:val="00301BCE"/>
    <w:rsid w:val="00325D06"/>
    <w:rsid w:val="0033744A"/>
    <w:rsid w:val="003506BB"/>
    <w:rsid w:val="00360C4C"/>
    <w:rsid w:val="00362169"/>
    <w:rsid w:val="003663E2"/>
    <w:rsid w:val="0037153C"/>
    <w:rsid w:val="00371BF8"/>
    <w:rsid w:val="00380244"/>
    <w:rsid w:val="00394609"/>
    <w:rsid w:val="003A0308"/>
    <w:rsid w:val="003A1569"/>
    <w:rsid w:val="003B1F77"/>
    <w:rsid w:val="003C65DA"/>
    <w:rsid w:val="003D5002"/>
    <w:rsid w:val="003E2094"/>
    <w:rsid w:val="003E521C"/>
    <w:rsid w:val="003E7EB4"/>
    <w:rsid w:val="003F195D"/>
    <w:rsid w:val="003F54E3"/>
    <w:rsid w:val="003F6F60"/>
    <w:rsid w:val="00421AEF"/>
    <w:rsid w:val="004365EC"/>
    <w:rsid w:val="00446892"/>
    <w:rsid w:val="00477845"/>
    <w:rsid w:val="00490F97"/>
    <w:rsid w:val="00493AE4"/>
    <w:rsid w:val="004978FE"/>
    <w:rsid w:val="004A2A28"/>
    <w:rsid w:val="004A54A6"/>
    <w:rsid w:val="004B2C12"/>
    <w:rsid w:val="004D566A"/>
    <w:rsid w:val="004E475E"/>
    <w:rsid w:val="004F7BEA"/>
    <w:rsid w:val="00502FEB"/>
    <w:rsid w:val="00561F2F"/>
    <w:rsid w:val="00566E70"/>
    <w:rsid w:val="005764F8"/>
    <w:rsid w:val="00583474"/>
    <w:rsid w:val="00583F71"/>
    <w:rsid w:val="00584DC1"/>
    <w:rsid w:val="005A3C86"/>
    <w:rsid w:val="005B67E9"/>
    <w:rsid w:val="005E087F"/>
    <w:rsid w:val="005F77E0"/>
    <w:rsid w:val="00626F8C"/>
    <w:rsid w:val="006300EB"/>
    <w:rsid w:val="00635AD2"/>
    <w:rsid w:val="00642606"/>
    <w:rsid w:val="0065361A"/>
    <w:rsid w:val="00666AB2"/>
    <w:rsid w:val="0067424B"/>
    <w:rsid w:val="00686AEE"/>
    <w:rsid w:val="00691B89"/>
    <w:rsid w:val="00692774"/>
    <w:rsid w:val="006975FE"/>
    <w:rsid w:val="006A1FC3"/>
    <w:rsid w:val="006B04FC"/>
    <w:rsid w:val="006B27B0"/>
    <w:rsid w:val="006B3A96"/>
    <w:rsid w:val="006B459A"/>
    <w:rsid w:val="006E0EEA"/>
    <w:rsid w:val="006F16DB"/>
    <w:rsid w:val="006F4A28"/>
    <w:rsid w:val="006F5964"/>
    <w:rsid w:val="006F6FE8"/>
    <w:rsid w:val="007204CE"/>
    <w:rsid w:val="007337CD"/>
    <w:rsid w:val="007511E8"/>
    <w:rsid w:val="00777ED5"/>
    <w:rsid w:val="0078347A"/>
    <w:rsid w:val="00787F8A"/>
    <w:rsid w:val="00790469"/>
    <w:rsid w:val="00792BA2"/>
    <w:rsid w:val="007B31D9"/>
    <w:rsid w:val="007D3BF6"/>
    <w:rsid w:val="007D4665"/>
    <w:rsid w:val="007D602E"/>
    <w:rsid w:val="007E5F0F"/>
    <w:rsid w:val="007F495F"/>
    <w:rsid w:val="00811F8F"/>
    <w:rsid w:val="00830570"/>
    <w:rsid w:val="00837050"/>
    <w:rsid w:val="008438BF"/>
    <w:rsid w:val="00861A9D"/>
    <w:rsid w:val="00872869"/>
    <w:rsid w:val="00881B12"/>
    <w:rsid w:val="008843EA"/>
    <w:rsid w:val="00897973"/>
    <w:rsid w:val="008A5B52"/>
    <w:rsid w:val="008B50F4"/>
    <w:rsid w:val="008C1DC6"/>
    <w:rsid w:val="008D194B"/>
    <w:rsid w:val="008D1FB6"/>
    <w:rsid w:val="00901AB7"/>
    <w:rsid w:val="009131B8"/>
    <w:rsid w:val="00922638"/>
    <w:rsid w:val="00923032"/>
    <w:rsid w:val="00936983"/>
    <w:rsid w:val="0095205E"/>
    <w:rsid w:val="00962BE5"/>
    <w:rsid w:val="009930C5"/>
    <w:rsid w:val="00993571"/>
    <w:rsid w:val="009947EF"/>
    <w:rsid w:val="009C045E"/>
    <w:rsid w:val="009C40D5"/>
    <w:rsid w:val="009C41ED"/>
    <w:rsid w:val="009E2160"/>
    <w:rsid w:val="009F2613"/>
    <w:rsid w:val="00A21EA4"/>
    <w:rsid w:val="00A25E18"/>
    <w:rsid w:val="00A5571D"/>
    <w:rsid w:val="00A579ED"/>
    <w:rsid w:val="00A64659"/>
    <w:rsid w:val="00A64DFA"/>
    <w:rsid w:val="00A6653C"/>
    <w:rsid w:val="00A706FA"/>
    <w:rsid w:val="00A725BC"/>
    <w:rsid w:val="00A733CE"/>
    <w:rsid w:val="00A76771"/>
    <w:rsid w:val="00AA04AE"/>
    <w:rsid w:val="00AB1103"/>
    <w:rsid w:val="00AD29B5"/>
    <w:rsid w:val="00AF62AE"/>
    <w:rsid w:val="00AF7ECA"/>
    <w:rsid w:val="00B13654"/>
    <w:rsid w:val="00B47CFD"/>
    <w:rsid w:val="00B50A9F"/>
    <w:rsid w:val="00B91E26"/>
    <w:rsid w:val="00B97721"/>
    <w:rsid w:val="00BB6F74"/>
    <w:rsid w:val="00BE306D"/>
    <w:rsid w:val="00BE749E"/>
    <w:rsid w:val="00BE7F9D"/>
    <w:rsid w:val="00BF2DBF"/>
    <w:rsid w:val="00BF3A7C"/>
    <w:rsid w:val="00BF66D3"/>
    <w:rsid w:val="00BF763E"/>
    <w:rsid w:val="00C07F2D"/>
    <w:rsid w:val="00C17A47"/>
    <w:rsid w:val="00C23CE9"/>
    <w:rsid w:val="00C2607F"/>
    <w:rsid w:val="00C31005"/>
    <w:rsid w:val="00C31CCF"/>
    <w:rsid w:val="00C34700"/>
    <w:rsid w:val="00C40107"/>
    <w:rsid w:val="00C464DE"/>
    <w:rsid w:val="00C53B58"/>
    <w:rsid w:val="00C6653C"/>
    <w:rsid w:val="00C74AEC"/>
    <w:rsid w:val="00C86014"/>
    <w:rsid w:val="00C93EDE"/>
    <w:rsid w:val="00C958CC"/>
    <w:rsid w:val="00CB3FAB"/>
    <w:rsid w:val="00CC216D"/>
    <w:rsid w:val="00CC7943"/>
    <w:rsid w:val="00CD1657"/>
    <w:rsid w:val="00D147E3"/>
    <w:rsid w:val="00D31E86"/>
    <w:rsid w:val="00D42190"/>
    <w:rsid w:val="00D64C84"/>
    <w:rsid w:val="00D671DA"/>
    <w:rsid w:val="00D91056"/>
    <w:rsid w:val="00DA47D2"/>
    <w:rsid w:val="00DA77D3"/>
    <w:rsid w:val="00DB349E"/>
    <w:rsid w:val="00DB4FB1"/>
    <w:rsid w:val="00DD034A"/>
    <w:rsid w:val="00DD3CF9"/>
    <w:rsid w:val="00DE1A69"/>
    <w:rsid w:val="00DF1197"/>
    <w:rsid w:val="00E31043"/>
    <w:rsid w:val="00E33F05"/>
    <w:rsid w:val="00E43D6A"/>
    <w:rsid w:val="00E500CC"/>
    <w:rsid w:val="00E709E4"/>
    <w:rsid w:val="00E75177"/>
    <w:rsid w:val="00E86630"/>
    <w:rsid w:val="00E86882"/>
    <w:rsid w:val="00E90C83"/>
    <w:rsid w:val="00EA46C7"/>
    <w:rsid w:val="00EA5CD1"/>
    <w:rsid w:val="00EA7F87"/>
    <w:rsid w:val="00ED19E6"/>
    <w:rsid w:val="00ED2029"/>
    <w:rsid w:val="00EE20E3"/>
    <w:rsid w:val="00EE2A37"/>
    <w:rsid w:val="00EF240F"/>
    <w:rsid w:val="00EF390D"/>
    <w:rsid w:val="00F11AEE"/>
    <w:rsid w:val="00F12E7D"/>
    <w:rsid w:val="00F1313D"/>
    <w:rsid w:val="00F14C62"/>
    <w:rsid w:val="00F21929"/>
    <w:rsid w:val="00F33E9C"/>
    <w:rsid w:val="00F40CD6"/>
    <w:rsid w:val="00F451F2"/>
    <w:rsid w:val="00F60C08"/>
    <w:rsid w:val="00F61B65"/>
    <w:rsid w:val="00F6682C"/>
    <w:rsid w:val="00F8210B"/>
    <w:rsid w:val="00FA2A8C"/>
    <w:rsid w:val="00FB03A0"/>
    <w:rsid w:val="00FB2966"/>
    <w:rsid w:val="00FD6995"/>
    <w:rsid w:val="00FE11DF"/>
    <w:rsid w:val="017B0945"/>
    <w:rsid w:val="01A74369"/>
    <w:rsid w:val="01AB6A1E"/>
    <w:rsid w:val="01AE15BA"/>
    <w:rsid w:val="0253791C"/>
    <w:rsid w:val="02E97ACB"/>
    <w:rsid w:val="02F44E16"/>
    <w:rsid w:val="03221C82"/>
    <w:rsid w:val="033B7533"/>
    <w:rsid w:val="0349117B"/>
    <w:rsid w:val="03AB35A6"/>
    <w:rsid w:val="03CD095B"/>
    <w:rsid w:val="03CE2876"/>
    <w:rsid w:val="03D0646F"/>
    <w:rsid w:val="03E91A81"/>
    <w:rsid w:val="03ED12D9"/>
    <w:rsid w:val="046E6310"/>
    <w:rsid w:val="04B8054C"/>
    <w:rsid w:val="0505686E"/>
    <w:rsid w:val="05693FB9"/>
    <w:rsid w:val="058C041E"/>
    <w:rsid w:val="05A905FC"/>
    <w:rsid w:val="06AB1A6C"/>
    <w:rsid w:val="06D50AF3"/>
    <w:rsid w:val="06D53FF1"/>
    <w:rsid w:val="06D9294A"/>
    <w:rsid w:val="0713480B"/>
    <w:rsid w:val="07256189"/>
    <w:rsid w:val="077C1770"/>
    <w:rsid w:val="08AD1C45"/>
    <w:rsid w:val="09225432"/>
    <w:rsid w:val="09A37453"/>
    <w:rsid w:val="09BE532C"/>
    <w:rsid w:val="09CC2C7E"/>
    <w:rsid w:val="0A0F17B5"/>
    <w:rsid w:val="0A3D64E4"/>
    <w:rsid w:val="0A4C39A4"/>
    <w:rsid w:val="0A6434B4"/>
    <w:rsid w:val="0A8D1088"/>
    <w:rsid w:val="0AAD4050"/>
    <w:rsid w:val="0ABD3C43"/>
    <w:rsid w:val="0B03120A"/>
    <w:rsid w:val="0B2C0A43"/>
    <w:rsid w:val="0B4E14EF"/>
    <w:rsid w:val="0B524481"/>
    <w:rsid w:val="0B9F75D5"/>
    <w:rsid w:val="0C584CFC"/>
    <w:rsid w:val="0CE0170C"/>
    <w:rsid w:val="0D50011D"/>
    <w:rsid w:val="0D74277F"/>
    <w:rsid w:val="0DDF1F5D"/>
    <w:rsid w:val="0DFD3A35"/>
    <w:rsid w:val="0E217F0E"/>
    <w:rsid w:val="0E8D12AC"/>
    <w:rsid w:val="0ED339BE"/>
    <w:rsid w:val="0F090680"/>
    <w:rsid w:val="0F111912"/>
    <w:rsid w:val="0F1D534F"/>
    <w:rsid w:val="0F4E1CE6"/>
    <w:rsid w:val="0FD2474F"/>
    <w:rsid w:val="100E3F20"/>
    <w:rsid w:val="101D170C"/>
    <w:rsid w:val="1028024E"/>
    <w:rsid w:val="102E1B18"/>
    <w:rsid w:val="107C3FFB"/>
    <w:rsid w:val="10A11133"/>
    <w:rsid w:val="10AD2B28"/>
    <w:rsid w:val="10D174C3"/>
    <w:rsid w:val="11476CAA"/>
    <w:rsid w:val="116C7CAB"/>
    <w:rsid w:val="118F60CF"/>
    <w:rsid w:val="11C113C0"/>
    <w:rsid w:val="11D93757"/>
    <w:rsid w:val="123B3CA3"/>
    <w:rsid w:val="1264486D"/>
    <w:rsid w:val="128A0105"/>
    <w:rsid w:val="13031039"/>
    <w:rsid w:val="133B5D22"/>
    <w:rsid w:val="13960F5E"/>
    <w:rsid w:val="139978A7"/>
    <w:rsid w:val="141376D2"/>
    <w:rsid w:val="142177C5"/>
    <w:rsid w:val="149A490B"/>
    <w:rsid w:val="150B559B"/>
    <w:rsid w:val="15BA227C"/>
    <w:rsid w:val="16750620"/>
    <w:rsid w:val="16794FF5"/>
    <w:rsid w:val="16A6046E"/>
    <w:rsid w:val="16BD73D6"/>
    <w:rsid w:val="16C904F5"/>
    <w:rsid w:val="16EC061C"/>
    <w:rsid w:val="17151A29"/>
    <w:rsid w:val="17391BA1"/>
    <w:rsid w:val="178C691A"/>
    <w:rsid w:val="17B10F10"/>
    <w:rsid w:val="182B1F0D"/>
    <w:rsid w:val="183E348C"/>
    <w:rsid w:val="1880075E"/>
    <w:rsid w:val="1882514A"/>
    <w:rsid w:val="18EB4163"/>
    <w:rsid w:val="19C16692"/>
    <w:rsid w:val="1A1E300E"/>
    <w:rsid w:val="1A8567D8"/>
    <w:rsid w:val="1AF7105D"/>
    <w:rsid w:val="1B4B6E4F"/>
    <w:rsid w:val="1B772741"/>
    <w:rsid w:val="1BAB1685"/>
    <w:rsid w:val="1BDD3667"/>
    <w:rsid w:val="1C0B2BAF"/>
    <w:rsid w:val="1CFB664D"/>
    <w:rsid w:val="1D115A7C"/>
    <w:rsid w:val="1D357B45"/>
    <w:rsid w:val="1D872A3A"/>
    <w:rsid w:val="1D992860"/>
    <w:rsid w:val="1D9D5E45"/>
    <w:rsid w:val="1DE1772C"/>
    <w:rsid w:val="1EC473B4"/>
    <w:rsid w:val="1F041D46"/>
    <w:rsid w:val="1F097A07"/>
    <w:rsid w:val="1F1B448B"/>
    <w:rsid w:val="1F7B0466"/>
    <w:rsid w:val="1FC6153F"/>
    <w:rsid w:val="1FDF5395"/>
    <w:rsid w:val="2009596F"/>
    <w:rsid w:val="20354EDA"/>
    <w:rsid w:val="20854FA7"/>
    <w:rsid w:val="209634ED"/>
    <w:rsid w:val="20A67279"/>
    <w:rsid w:val="20D74BF7"/>
    <w:rsid w:val="20EF7729"/>
    <w:rsid w:val="212040EB"/>
    <w:rsid w:val="21447812"/>
    <w:rsid w:val="21F14688"/>
    <w:rsid w:val="227527C2"/>
    <w:rsid w:val="22796D32"/>
    <w:rsid w:val="22DE2C70"/>
    <w:rsid w:val="22EA5D72"/>
    <w:rsid w:val="23E038A2"/>
    <w:rsid w:val="23E05708"/>
    <w:rsid w:val="23F92E98"/>
    <w:rsid w:val="25290BDE"/>
    <w:rsid w:val="25645C2C"/>
    <w:rsid w:val="256F7A98"/>
    <w:rsid w:val="26B90FA9"/>
    <w:rsid w:val="27006272"/>
    <w:rsid w:val="27077D9F"/>
    <w:rsid w:val="270F0DA7"/>
    <w:rsid w:val="272C1B70"/>
    <w:rsid w:val="276640C7"/>
    <w:rsid w:val="27C84DF1"/>
    <w:rsid w:val="28201DDD"/>
    <w:rsid w:val="285D2B42"/>
    <w:rsid w:val="28632F63"/>
    <w:rsid w:val="286A0B75"/>
    <w:rsid w:val="292508D7"/>
    <w:rsid w:val="29F061F8"/>
    <w:rsid w:val="2A3F4C0E"/>
    <w:rsid w:val="2A7E7D38"/>
    <w:rsid w:val="2AB8162E"/>
    <w:rsid w:val="2AC364BE"/>
    <w:rsid w:val="2AF72B16"/>
    <w:rsid w:val="2AF85308"/>
    <w:rsid w:val="2AFB5029"/>
    <w:rsid w:val="2B3F09F3"/>
    <w:rsid w:val="2B4B0019"/>
    <w:rsid w:val="2B982C80"/>
    <w:rsid w:val="2BB03438"/>
    <w:rsid w:val="2BB3445D"/>
    <w:rsid w:val="2BBE1B4A"/>
    <w:rsid w:val="2CBB6970"/>
    <w:rsid w:val="2D593816"/>
    <w:rsid w:val="2D8F2691"/>
    <w:rsid w:val="2D99141A"/>
    <w:rsid w:val="2DB62EAA"/>
    <w:rsid w:val="2E1555FE"/>
    <w:rsid w:val="2E3A2BC7"/>
    <w:rsid w:val="2E8D1817"/>
    <w:rsid w:val="2ED23210"/>
    <w:rsid w:val="2F3C5AE9"/>
    <w:rsid w:val="2F5051DD"/>
    <w:rsid w:val="2FC3709C"/>
    <w:rsid w:val="304D1F83"/>
    <w:rsid w:val="305166D9"/>
    <w:rsid w:val="30C24BD4"/>
    <w:rsid w:val="30E5729F"/>
    <w:rsid w:val="31362DFD"/>
    <w:rsid w:val="318235E3"/>
    <w:rsid w:val="31B952C3"/>
    <w:rsid w:val="32BB0CF7"/>
    <w:rsid w:val="32DB2C11"/>
    <w:rsid w:val="33421AB8"/>
    <w:rsid w:val="339C2E39"/>
    <w:rsid w:val="33B069D9"/>
    <w:rsid w:val="33F425AD"/>
    <w:rsid w:val="3405742C"/>
    <w:rsid w:val="34457169"/>
    <w:rsid w:val="344E1C78"/>
    <w:rsid w:val="34693082"/>
    <w:rsid w:val="347816C9"/>
    <w:rsid w:val="34F827BB"/>
    <w:rsid w:val="363E1597"/>
    <w:rsid w:val="36773D1D"/>
    <w:rsid w:val="369D2E79"/>
    <w:rsid w:val="36CC06D6"/>
    <w:rsid w:val="36FC54E3"/>
    <w:rsid w:val="372907BF"/>
    <w:rsid w:val="373E1BCC"/>
    <w:rsid w:val="377E310B"/>
    <w:rsid w:val="37BE7196"/>
    <w:rsid w:val="38141881"/>
    <w:rsid w:val="38393D38"/>
    <w:rsid w:val="3872233D"/>
    <w:rsid w:val="38B16E69"/>
    <w:rsid w:val="38C73435"/>
    <w:rsid w:val="39FA5917"/>
    <w:rsid w:val="3AB2671B"/>
    <w:rsid w:val="3ACC590D"/>
    <w:rsid w:val="3B7516FD"/>
    <w:rsid w:val="3B900246"/>
    <w:rsid w:val="3BA01718"/>
    <w:rsid w:val="3BA64B36"/>
    <w:rsid w:val="3BDD2402"/>
    <w:rsid w:val="3BE432C1"/>
    <w:rsid w:val="3C131A08"/>
    <w:rsid w:val="3C4C7E41"/>
    <w:rsid w:val="3C7D6E01"/>
    <w:rsid w:val="3CC15B46"/>
    <w:rsid w:val="3D343B3E"/>
    <w:rsid w:val="3D936471"/>
    <w:rsid w:val="3D9F78D6"/>
    <w:rsid w:val="3DA12467"/>
    <w:rsid w:val="3DA27CA7"/>
    <w:rsid w:val="3DAE5468"/>
    <w:rsid w:val="3DF909AD"/>
    <w:rsid w:val="3E410685"/>
    <w:rsid w:val="3E4E7132"/>
    <w:rsid w:val="3E6A1EC7"/>
    <w:rsid w:val="3F2B002A"/>
    <w:rsid w:val="3F2F08E3"/>
    <w:rsid w:val="3F563219"/>
    <w:rsid w:val="3F710F55"/>
    <w:rsid w:val="3FCC14EC"/>
    <w:rsid w:val="3FF06549"/>
    <w:rsid w:val="400B2A59"/>
    <w:rsid w:val="401F7A0E"/>
    <w:rsid w:val="402C0CFE"/>
    <w:rsid w:val="40321C70"/>
    <w:rsid w:val="4111773A"/>
    <w:rsid w:val="418613E5"/>
    <w:rsid w:val="420818AA"/>
    <w:rsid w:val="42783449"/>
    <w:rsid w:val="435F2677"/>
    <w:rsid w:val="436E4F7B"/>
    <w:rsid w:val="43843785"/>
    <w:rsid w:val="43A73DB2"/>
    <w:rsid w:val="43D8337A"/>
    <w:rsid w:val="43E179C4"/>
    <w:rsid w:val="43EF7878"/>
    <w:rsid w:val="447A2D02"/>
    <w:rsid w:val="448D1087"/>
    <w:rsid w:val="451C0A61"/>
    <w:rsid w:val="4549537D"/>
    <w:rsid w:val="460D470D"/>
    <w:rsid w:val="463330D7"/>
    <w:rsid w:val="464829D0"/>
    <w:rsid w:val="46513CE4"/>
    <w:rsid w:val="46755243"/>
    <w:rsid w:val="46A36B49"/>
    <w:rsid w:val="46C90079"/>
    <w:rsid w:val="46D12EE7"/>
    <w:rsid w:val="4741682D"/>
    <w:rsid w:val="4753585C"/>
    <w:rsid w:val="47E07053"/>
    <w:rsid w:val="47E141F4"/>
    <w:rsid w:val="47F74333"/>
    <w:rsid w:val="47FD2EDF"/>
    <w:rsid w:val="48475B30"/>
    <w:rsid w:val="4900516D"/>
    <w:rsid w:val="493167A1"/>
    <w:rsid w:val="49655B08"/>
    <w:rsid w:val="49A00EE4"/>
    <w:rsid w:val="4A0707F1"/>
    <w:rsid w:val="4A28271A"/>
    <w:rsid w:val="4A6E2CCE"/>
    <w:rsid w:val="4A8B605B"/>
    <w:rsid w:val="4AEC5ECE"/>
    <w:rsid w:val="4B146274"/>
    <w:rsid w:val="4B412124"/>
    <w:rsid w:val="4B990325"/>
    <w:rsid w:val="4BD81AEF"/>
    <w:rsid w:val="4BEB161D"/>
    <w:rsid w:val="4C116BF5"/>
    <w:rsid w:val="4C2D2421"/>
    <w:rsid w:val="4C6E59B3"/>
    <w:rsid w:val="4CB96330"/>
    <w:rsid w:val="4D1B54DE"/>
    <w:rsid w:val="4D220644"/>
    <w:rsid w:val="4D253538"/>
    <w:rsid w:val="4D900DD8"/>
    <w:rsid w:val="4D9B2A4B"/>
    <w:rsid w:val="4E353C32"/>
    <w:rsid w:val="4ED754D8"/>
    <w:rsid w:val="4EF308EC"/>
    <w:rsid w:val="4F7D3785"/>
    <w:rsid w:val="4FC23385"/>
    <w:rsid w:val="4FF65889"/>
    <w:rsid w:val="506D3BED"/>
    <w:rsid w:val="50757B3C"/>
    <w:rsid w:val="508E1E5D"/>
    <w:rsid w:val="509A1B7B"/>
    <w:rsid w:val="50DF6CDD"/>
    <w:rsid w:val="51772E0C"/>
    <w:rsid w:val="51AD3168"/>
    <w:rsid w:val="51E2011D"/>
    <w:rsid w:val="52983131"/>
    <w:rsid w:val="52EB34F6"/>
    <w:rsid w:val="53456B4D"/>
    <w:rsid w:val="53612159"/>
    <w:rsid w:val="53BC4849"/>
    <w:rsid w:val="53F7273F"/>
    <w:rsid w:val="5437028A"/>
    <w:rsid w:val="54433D85"/>
    <w:rsid w:val="554B1EEA"/>
    <w:rsid w:val="556116B0"/>
    <w:rsid w:val="55640CB1"/>
    <w:rsid w:val="560F48D2"/>
    <w:rsid w:val="56466840"/>
    <w:rsid w:val="568D0C9D"/>
    <w:rsid w:val="56AF5FD4"/>
    <w:rsid w:val="56DB6E9A"/>
    <w:rsid w:val="572A2889"/>
    <w:rsid w:val="5744650F"/>
    <w:rsid w:val="57586AAD"/>
    <w:rsid w:val="57857649"/>
    <w:rsid w:val="57B02F9F"/>
    <w:rsid w:val="57B52A0A"/>
    <w:rsid w:val="58404BAE"/>
    <w:rsid w:val="58CD048A"/>
    <w:rsid w:val="593F00CE"/>
    <w:rsid w:val="597D246F"/>
    <w:rsid w:val="59891978"/>
    <w:rsid w:val="59BA7ABB"/>
    <w:rsid w:val="59DF560E"/>
    <w:rsid w:val="5A0A1136"/>
    <w:rsid w:val="5A696744"/>
    <w:rsid w:val="5AB70CDF"/>
    <w:rsid w:val="5B26719A"/>
    <w:rsid w:val="5B703C64"/>
    <w:rsid w:val="5B9F175F"/>
    <w:rsid w:val="5BA10582"/>
    <w:rsid w:val="5BE3040D"/>
    <w:rsid w:val="5C2A2A79"/>
    <w:rsid w:val="5C6A6223"/>
    <w:rsid w:val="5C6C3E79"/>
    <w:rsid w:val="5C872268"/>
    <w:rsid w:val="5C8E2EBA"/>
    <w:rsid w:val="5CA63D15"/>
    <w:rsid w:val="5CF11949"/>
    <w:rsid w:val="5D035A0E"/>
    <w:rsid w:val="5DA447BC"/>
    <w:rsid w:val="5DD26CE9"/>
    <w:rsid w:val="5DEC6878"/>
    <w:rsid w:val="5E7961C1"/>
    <w:rsid w:val="5E8E6FD6"/>
    <w:rsid w:val="5EA33DFC"/>
    <w:rsid w:val="5EAC7E23"/>
    <w:rsid w:val="5F7E00CF"/>
    <w:rsid w:val="5F93359F"/>
    <w:rsid w:val="5FBD0C24"/>
    <w:rsid w:val="5FEC48FC"/>
    <w:rsid w:val="5FFE5700"/>
    <w:rsid w:val="60407D58"/>
    <w:rsid w:val="605108E0"/>
    <w:rsid w:val="608A1AC7"/>
    <w:rsid w:val="60B57376"/>
    <w:rsid w:val="60E40E2C"/>
    <w:rsid w:val="60FF24C2"/>
    <w:rsid w:val="61785D1C"/>
    <w:rsid w:val="61C56A26"/>
    <w:rsid w:val="61E454F5"/>
    <w:rsid w:val="61EE5FDE"/>
    <w:rsid w:val="61F5736C"/>
    <w:rsid w:val="62022E61"/>
    <w:rsid w:val="624D4B74"/>
    <w:rsid w:val="62C90722"/>
    <w:rsid w:val="63324C6E"/>
    <w:rsid w:val="63817ACE"/>
    <w:rsid w:val="63F4419C"/>
    <w:rsid w:val="64606704"/>
    <w:rsid w:val="65E63183"/>
    <w:rsid w:val="67882F95"/>
    <w:rsid w:val="67B71945"/>
    <w:rsid w:val="67C23FB3"/>
    <w:rsid w:val="681C38A5"/>
    <w:rsid w:val="6840603D"/>
    <w:rsid w:val="68525E8B"/>
    <w:rsid w:val="69327385"/>
    <w:rsid w:val="69532642"/>
    <w:rsid w:val="697319BF"/>
    <w:rsid w:val="69DB78CC"/>
    <w:rsid w:val="69FA04D3"/>
    <w:rsid w:val="6A595000"/>
    <w:rsid w:val="6A6C0416"/>
    <w:rsid w:val="6B460F19"/>
    <w:rsid w:val="6B6442C9"/>
    <w:rsid w:val="6BB121C7"/>
    <w:rsid w:val="6BD44496"/>
    <w:rsid w:val="6BFD532F"/>
    <w:rsid w:val="6C2814C5"/>
    <w:rsid w:val="6C4C3656"/>
    <w:rsid w:val="6C664DF2"/>
    <w:rsid w:val="6DBE1F99"/>
    <w:rsid w:val="6DC03BF0"/>
    <w:rsid w:val="6E714F8B"/>
    <w:rsid w:val="6E997D2F"/>
    <w:rsid w:val="6EB42FA3"/>
    <w:rsid w:val="6EDA6E0C"/>
    <w:rsid w:val="6F4869F1"/>
    <w:rsid w:val="6F8B537D"/>
    <w:rsid w:val="6FBF2E55"/>
    <w:rsid w:val="70737A09"/>
    <w:rsid w:val="707B10D7"/>
    <w:rsid w:val="70E91ED6"/>
    <w:rsid w:val="70F3716D"/>
    <w:rsid w:val="70FA6C2A"/>
    <w:rsid w:val="71190F28"/>
    <w:rsid w:val="713C1D6D"/>
    <w:rsid w:val="713C359A"/>
    <w:rsid w:val="718F6E95"/>
    <w:rsid w:val="71A20A44"/>
    <w:rsid w:val="71AF2CDF"/>
    <w:rsid w:val="730840D9"/>
    <w:rsid w:val="733131CB"/>
    <w:rsid w:val="734908B8"/>
    <w:rsid w:val="73650526"/>
    <w:rsid w:val="738C1AEF"/>
    <w:rsid w:val="739E0815"/>
    <w:rsid w:val="73AB4244"/>
    <w:rsid w:val="73DA456B"/>
    <w:rsid w:val="73F22B6A"/>
    <w:rsid w:val="73F863E7"/>
    <w:rsid w:val="745B1B12"/>
    <w:rsid w:val="746E20C7"/>
    <w:rsid w:val="74AA2B6A"/>
    <w:rsid w:val="75076260"/>
    <w:rsid w:val="75AC1C95"/>
    <w:rsid w:val="75CC2672"/>
    <w:rsid w:val="75D77C14"/>
    <w:rsid w:val="75E04EE1"/>
    <w:rsid w:val="764E5797"/>
    <w:rsid w:val="767A1490"/>
    <w:rsid w:val="76F959A4"/>
    <w:rsid w:val="775B4928"/>
    <w:rsid w:val="777228EC"/>
    <w:rsid w:val="779D54AA"/>
    <w:rsid w:val="78085C32"/>
    <w:rsid w:val="783479C4"/>
    <w:rsid w:val="78441199"/>
    <w:rsid w:val="784B34A0"/>
    <w:rsid w:val="78B83211"/>
    <w:rsid w:val="78DD57F7"/>
    <w:rsid w:val="790D0689"/>
    <w:rsid w:val="79196953"/>
    <w:rsid w:val="794D7A89"/>
    <w:rsid w:val="79932CDD"/>
    <w:rsid w:val="79AF4111"/>
    <w:rsid w:val="7A4C0EEA"/>
    <w:rsid w:val="7A710091"/>
    <w:rsid w:val="7AC26604"/>
    <w:rsid w:val="7ACD3EED"/>
    <w:rsid w:val="7C184AA5"/>
    <w:rsid w:val="7C2D6612"/>
    <w:rsid w:val="7CE20E1A"/>
    <w:rsid w:val="7D57214E"/>
    <w:rsid w:val="7D730F31"/>
    <w:rsid w:val="7D8214F8"/>
    <w:rsid w:val="7E70647C"/>
    <w:rsid w:val="7E835DB6"/>
    <w:rsid w:val="7EAD1705"/>
    <w:rsid w:val="7ECC2586"/>
    <w:rsid w:val="7F833C67"/>
    <w:rsid w:val="7F8359B3"/>
    <w:rsid w:val="7FEA511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qFormat="1" w:unhideWhenUsed="0" w:uiPriority="99" w:semiHidden="0" w:name="Body Text First Indent 2"/>
    <w:lsdException w:uiPriority="0" w:name="Note Heading"/>
    <w:lsdException w:uiPriority="0" w:name="Body Text 2"/>
    <w:lsdException w:uiPriority="0" w:name="Body Text 3"/>
    <w:lsdException w:qFormat="1" w:uiPriority="99" w:semiHidden="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outlineLvl w:val="0"/>
    </w:pPr>
    <w:rPr>
      <w:b/>
      <w:bCs/>
      <w:sz w:val="28"/>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5">
    <w:name w:val="Normal Indent"/>
    <w:basedOn w:val="1"/>
    <w:next w:val="1"/>
    <w:qFormat/>
    <w:uiPriority w:val="0"/>
    <w:pPr>
      <w:ind w:firstLine="420"/>
    </w:pPr>
    <w:rPr>
      <w:rFonts w:ascii="Times New Roman"/>
      <w:sz w:val="28"/>
    </w:rPr>
  </w:style>
  <w:style w:type="paragraph" w:styleId="6">
    <w:name w:val="Document Map"/>
    <w:basedOn w:val="1"/>
    <w:link w:val="63"/>
    <w:qFormat/>
    <w:uiPriority w:val="0"/>
    <w:rPr>
      <w:rFonts w:ascii="宋体" w:eastAsia="宋体"/>
      <w:sz w:val="18"/>
      <w:szCs w:val="18"/>
    </w:rPr>
  </w:style>
  <w:style w:type="paragraph" w:styleId="7">
    <w:name w:val="annotation text"/>
    <w:basedOn w:val="1"/>
    <w:link w:val="51"/>
    <w:qFormat/>
    <w:uiPriority w:val="0"/>
    <w:pPr>
      <w:jc w:val="left"/>
    </w:pPr>
  </w:style>
  <w:style w:type="paragraph" w:styleId="8">
    <w:name w:val="Body Text"/>
    <w:basedOn w:val="1"/>
    <w:next w:val="9"/>
    <w:qFormat/>
    <w:uiPriority w:val="0"/>
    <w:pPr>
      <w:spacing w:after="120"/>
    </w:pPr>
  </w:style>
  <w:style w:type="paragraph" w:customStyle="1" w:styleId="9">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styleId="10">
    <w:name w:val="Body Text Indent"/>
    <w:basedOn w:val="1"/>
    <w:next w:val="8"/>
    <w:qFormat/>
    <w:uiPriority w:val="0"/>
    <w:pPr>
      <w:spacing w:after="120"/>
      <w:ind w:left="420" w:leftChars="200"/>
    </w:pPr>
  </w:style>
  <w:style w:type="paragraph" w:styleId="11">
    <w:name w:val="Plain Text"/>
    <w:basedOn w:val="1"/>
    <w:qFormat/>
    <w:uiPriority w:val="0"/>
    <w:rPr>
      <w:rFonts w:ascii="宋体" w:hAnsi="Courier New"/>
      <w:sz w:val="28"/>
    </w:rPr>
  </w:style>
  <w:style w:type="paragraph" w:styleId="12">
    <w:name w:val="Body Text Indent 2"/>
    <w:basedOn w:val="1"/>
    <w:next w:val="1"/>
    <w:unhideWhenUsed/>
    <w:qFormat/>
    <w:uiPriority w:val="99"/>
    <w:pPr>
      <w:spacing w:after="120" w:line="480" w:lineRule="auto"/>
      <w:ind w:left="420" w:leftChars="200"/>
    </w:pPr>
  </w:style>
  <w:style w:type="paragraph" w:styleId="13">
    <w:name w:val="Balloon Text"/>
    <w:basedOn w:val="1"/>
    <w:link w:val="53"/>
    <w:qFormat/>
    <w:uiPriority w:val="0"/>
    <w:rPr>
      <w:sz w:val="18"/>
      <w:szCs w:val="18"/>
    </w:rPr>
  </w:style>
  <w:style w:type="paragraph" w:styleId="14">
    <w:name w:val="footer"/>
    <w:basedOn w:val="1"/>
    <w:link w:val="31"/>
    <w:qFormat/>
    <w:uiPriority w:val="99"/>
    <w:pPr>
      <w:tabs>
        <w:tab w:val="center" w:pos="4153"/>
        <w:tab w:val="right" w:pos="8306"/>
      </w:tabs>
      <w:snapToGrid w:val="0"/>
      <w:jc w:val="left"/>
    </w:pPr>
    <w:rPr>
      <w:sz w:val="18"/>
    </w:rPr>
  </w:style>
  <w:style w:type="paragraph" w:styleId="15">
    <w:name w:val="header"/>
    <w:basedOn w:val="1"/>
    <w:link w:val="50"/>
    <w:autoRedefine/>
    <w:qFormat/>
    <w:uiPriority w:val="0"/>
    <w:pPr>
      <w:pBdr>
        <w:bottom w:val="single" w:color="auto" w:sz="6" w:space="1"/>
      </w:pBdr>
      <w:tabs>
        <w:tab w:val="center" w:pos="4153"/>
        <w:tab w:val="right" w:pos="8306"/>
      </w:tabs>
      <w:snapToGrid w:val="0"/>
      <w:jc w:val="center"/>
    </w:pPr>
    <w:rPr>
      <w:sz w:val="18"/>
      <w:szCs w:val="18"/>
    </w:rPr>
  </w:style>
  <w:style w:type="paragraph" w:styleId="16">
    <w:name w:val="toc 2"/>
    <w:basedOn w:val="1"/>
    <w:next w:val="1"/>
    <w:autoRedefine/>
    <w:qFormat/>
    <w:uiPriority w:val="0"/>
    <w:pPr>
      <w:widowControl/>
      <w:ind w:left="420" w:leftChars="200"/>
      <w:jc w:val="left"/>
    </w:pPr>
    <w:rPr>
      <w:rFonts w:hint="eastAsia" w:ascii="宋体" w:hAnsi="宋体" w:eastAsia="宋体" w:cs="Times New Roman"/>
      <w:kern w:val="0"/>
      <w:sz w:val="24"/>
    </w:rPr>
  </w:style>
  <w:style w:type="paragraph" w:styleId="17">
    <w:name w:val="Normal (Web)"/>
    <w:basedOn w:val="1"/>
    <w:link w:val="32"/>
    <w:autoRedefine/>
    <w:qFormat/>
    <w:uiPriority w:val="0"/>
    <w:pPr>
      <w:widowControl/>
      <w:spacing w:beforeAutospacing="1" w:afterAutospacing="1"/>
      <w:jc w:val="left"/>
    </w:pPr>
    <w:rPr>
      <w:rFonts w:hint="eastAsia" w:ascii="宋体" w:hAnsi="宋体" w:eastAsia="宋体" w:cs="Times New Roman"/>
      <w:kern w:val="0"/>
      <w:sz w:val="24"/>
      <w:szCs w:val="20"/>
    </w:rPr>
  </w:style>
  <w:style w:type="paragraph" w:styleId="18">
    <w:name w:val="annotation subject"/>
    <w:basedOn w:val="7"/>
    <w:next w:val="7"/>
    <w:link w:val="52"/>
    <w:qFormat/>
    <w:uiPriority w:val="0"/>
    <w:rPr>
      <w:b/>
      <w:bCs/>
    </w:rPr>
  </w:style>
  <w:style w:type="paragraph" w:styleId="19">
    <w:name w:val="Body Text First Indent"/>
    <w:basedOn w:val="8"/>
    <w:qFormat/>
    <w:uiPriority w:val="0"/>
    <w:pPr>
      <w:ind w:firstLine="420" w:firstLineChars="100"/>
    </w:pPr>
  </w:style>
  <w:style w:type="paragraph" w:styleId="20">
    <w:name w:val="Body Text First Indent 2"/>
    <w:basedOn w:val="10"/>
    <w:link w:val="62"/>
    <w:autoRedefine/>
    <w:qFormat/>
    <w:uiPriority w:val="99"/>
    <w:pPr>
      <w:spacing w:line="360" w:lineRule="auto"/>
      <w:ind w:firstLine="420" w:firstLineChars="200"/>
    </w:pPr>
    <w:rPr>
      <w:sz w:val="24"/>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Emphasis"/>
    <w:qFormat/>
    <w:uiPriority w:val="0"/>
    <w:rPr>
      <w:b/>
      <w:sz w:val="21"/>
      <w:szCs w:val="21"/>
    </w:rPr>
  </w:style>
  <w:style w:type="character" w:styleId="25">
    <w:name w:val="Hyperlink"/>
    <w:basedOn w:val="23"/>
    <w:qFormat/>
    <w:uiPriority w:val="99"/>
    <w:rPr>
      <w:color w:val="0000FF"/>
      <w:u w:val="single"/>
    </w:rPr>
  </w:style>
  <w:style w:type="character" w:styleId="26">
    <w:name w:val="annotation reference"/>
    <w:basedOn w:val="23"/>
    <w:qFormat/>
    <w:uiPriority w:val="0"/>
    <w:rPr>
      <w:sz w:val="21"/>
      <w:szCs w:val="21"/>
    </w:rPr>
  </w:style>
  <w:style w:type="paragraph" w:customStyle="1" w:styleId="27">
    <w:name w:val="样式 样式 样式 四号 左侧:  1.53 厘米 + 首行缩进:  2 字符 + 居中 左侧:  2 字符 首行缩进:  2..."/>
    <w:basedOn w:val="28"/>
    <w:autoRedefine/>
    <w:qFormat/>
    <w:uiPriority w:val="0"/>
    <w:pPr>
      <w:jc w:val="center"/>
    </w:pPr>
  </w:style>
  <w:style w:type="paragraph" w:customStyle="1" w:styleId="28">
    <w:name w:val="样式 样式 四号 左侧:  1.53 厘米 + 首行缩进:  2 字符"/>
    <w:basedOn w:val="29"/>
    <w:qFormat/>
    <w:uiPriority w:val="0"/>
    <w:pPr>
      <w:ind w:left="200" w:leftChars="200"/>
    </w:pPr>
    <w:rPr>
      <w:szCs w:val="20"/>
    </w:rPr>
  </w:style>
  <w:style w:type="paragraph" w:customStyle="1" w:styleId="29">
    <w:name w:val="样式 四号 左侧:  1.53 厘米"/>
    <w:basedOn w:val="1"/>
    <w:autoRedefine/>
    <w:qFormat/>
    <w:uiPriority w:val="0"/>
    <w:pPr>
      <w:adjustRightInd w:val="0"/>
    </w:pPr>
    <w:rPr>
      <w:w w:val="90"/>
      <w:sz w:val="28"/>
      <w:szCs w:val="28"/>
    </w:rPr>
  </w:style>
  <w:style w:type="paragraph" w:customStyle="1" w:styleId="30">
    <w:name w:val="_Style 4"/>
    <w:basedOn w:val="1"/>
    <w:autoRedefine/>
    <w:qFormat/>
    <w:uiPriority w:val="0"/>
  </w:style>
  <w:style w:type="character" w:customStyle="1" w:styleId="31">
    <w:name w:val="页脚 字符1"/>
    <w:basedOn w:val="23"/>
    <w:link w:val="14"/>
    <w:qFormat/>
    <w:uiPriority w:val="0"/>
    <w:rPr>
      <w:sz w:val="18"/>
    </w:rPr>
  </w:style>
  <w:style w:type="character" w:customStyle="1" w:styleId="32">
    <w:name w:val="普通(网站) 字符"/>
    <w:basedOn w:val="23"/>
    <w:link w:val="17"/>
    <w:qFormat/>
    <w:uiPriority w:val="0"/>
    <w:rPr>
      <w:rFonts w:hint="eastAsia" w:ascii="宋体" w:hAnsi="宋体" w:eastAsia="宋体" w:cs="宋体"/>
      <w:sz w:val="24"/>
    </w:rPr>
  </w:style>
  <w:style w:type="character" w:customStyle="1" w:styleId="33">
    <w:name w:val="表格 Char"/>
    <w:basedOn w:val="23"/>
    <w:link w:val="34"/>
    <w:qFormat/>
    <w:uiPriority w:val="0"/>
    <w:rPr>
      <w:rFonts w:hint="eastAsia" w:ascii="宋体" w:hAnsi="宋体" w:eastAsia="宋体" w:cs="宋体"/>
      <w:sz w:val="21"/>
    </w:rPr>
  </w:style>
  <w:style w:type="paragraph" w:customStyle="1" w:styleId="34">
    <w:name w:val="表格"/>
    <w:basedOn w:val="1"/>
    <w:next w:val="1"/>
    <w:link w:val="33"/>
    <w:qFormat/>
    <w:uiPriority w:val="0"/>
    <w:pPr>
      <w:adjustRightInd w:val="0"/>
      <w:snapToGrid w:val="0"/>
      <w:spacing w:beforeLines="10" w:afterLines="10" w:line="256" w:lineRule="auto"/>
      <w:jc w:val="center"/>
    </w:pPr>
    <w:rPr>
      <w:rFonts w:hint="eastAsia" w:ascii="宋体" w:hAnsi="Times New Roman" w:eastAsia="宋体" w:cs="Times New Roman"/>
      <w:kern w:val="0"/>
      <w:szCs w:val="20"/>
    </w:rPr>
  </w:style>
  <w:style w:type="character" w:customStyle="1" w:styleId="35">
    <w:name w:val="页脚 字符"/>
    <w:basedOn w:val="23"/>
    <w:qFormat/>
    <w:uiPriority w:val="99"/>
    <w:rPr>
      <w:kern w:val="2"/>
      <w:sz w:val="18"/>
      <w:szCs w:val="18"/>
    </w:rPr>
  </w:style>
  <w:style w:type="paragraph" w:customStyle="1" w:styleId="36">
    <w:name w:val="+正文"/>
    <w:basedOn w:val="1"/>
    <w:qFormat/>
    <w:uiPriority w:val="0"/>
    <w:pPr>
      <w:spacing w:line="360" w:lineRule="auto"/>
    </w:pPr>
    <w:rPr>
      <w:sz w:val="28"/>
      <w:szCs w:val="28"/>
    </w:rPr>
  </w:style>
  <w:style w:type="paragraph" w:customStyle="1" w:styleId="37">
    <w:name w:val="常用"/>
    <w:basedOn w:val="1"/>
    <w:autoRedefine/>
    <w:qFormat/>
    <w:uiPriority w:val="0"/>
    <w:pPr>
      <w:spacing w:line="360" w:lineRule="auto"/>
      <w:ind w:firstLine="420"/>
      <w:jc w:val="left"/>
    </w:pPr>
    <w:rPr>
      <w:szCs w:val="22"/>
    </w:rPr>
  </w:style>
  <w:style w:type="paragraph" w:customStyle="1" w:styleId="38">
    <w:name w:val="0表-序号"/>
    <w:next w:val="39"/>
    <w:qFormat/>
    <w:uiPriority w:val="0"/>
    <w:pPr>
      <w:tabs>
        <w:tab w:val="left" w:pos="0"/>
      </w:tabs>
      <w:adjustRightInd w:val="0"/>
      <w:snapToGrid w:val="0"/>
      <w:jc w:val="center"/>
    </w:pPr>
    <w:rPr>
      <w:rFonts w:ascii="Times New Roman" w:hAnsi="Times New Roman" w:eastAsia="黑体" w:cs="Times New Roman"/>
      <w:sz w:val="21"/>
      <w:lang w:val="en-US" w:eastAsia="zh-CN" w:bidi="ar-SA"/>
    </w:rPr>
  </w:style>
  <w:style w:type="paragraph" w:customStyle="1" w:styleId="39">
    <w:name w:val="000表格正文"/>
    <w:basedOn w:val="1"/>
    <w:next w:val="1"/>
    <w:autoRedefine/>
    <w:qFormat/>
    <w:uiPriority w:val="0"/>
    <w:pPr>
      <w:pBdr>
        <w:top w:val="none" w:color="auto" w:sz="0" w:space="1"/>
        <w:left w:val="none" w:color="auto" w:sz="0" w:space="4"/>
        <w:bottom w:val="none" w:color="auto" w:sz="0" w:space="1"/>
        <w:right w:val="none" w:color="auto" w:sz="0" w:space="4"/>
      </w:pBdr>
      <w:jc w:val="center"/>
    </w:pPr>
    <w:rPr>
      <w:rFonts w:ascii="Times New Roman" w:hAnsi="Times New Roman"/>
    </w:rPr>
  </w:style>
  <w:style w:type="paragraph" w:customStyle="1" w:styleId="40">
    <w:name w:val="图表标题"/>
    <w:basedOn w:val="1"/>
    <w:qFormat/>
    <w:uiPriority w:val="0"/>
    <w:pPr>
      <w:spacing w:line="360" w:lineRule="auto"/>
      <w:jc w:val="center"/>
    </w:pPr>
    <w:rPr>
      <w:rFonts w:ascii="Times New Roman" w:hAnsi="Times New Roman" w:eastAsia="宋体"/>
      <w:b/>
      <w:szCs w:val="21"/>
    </w:rPr>
  </w:style>
  <w:style w:type="paragraph" w:customStyle="1" w:styleId="41">
    <w:name w:val="dr正文"/>
    <w:basedOn w:val="1"/>
    <w:qFormat/>
    <w:uiPriority w:val="0"/>
    <w:pPr>
      <w:widowControl/>
      <w:ind w:firstLine="480"/>
    </w:pPr>
  </w:style>
  <w:style w:type="paragraph" w:customStyle="1" w:styleId="42">
    <w:name w:val="Table Paragraph"/>
    <w:basedOn w:val="1"/>
    <w:qFormat/>
    <w:uiPriority w:val="1"/>
  </w:style>
  <w:style w:type="paragraph" w:customStyle="1" w:styleId="43">
    <w:name w:val="我的表格文字"/>
    <w:basedOn w:val="1"/>
    <w:autoRedefine/>
    <w:qFormat/>
    <w:uiPriority w:val="0"/>
    <w:pPr>
      <w:widowControl/>
      <w:adjustRightInd w:val="0"/>
      <w:snapToGrid w:val="0"/>
      <w:jc w:val="center"/>
      <w:textAlignment w:val="center"/>
    </w:pPr>
    <w:rPr>
      <w:color w:val="FF0000"/>
      <w:kern w:val="0"/>
      <w:szCs w:val="21"/>
    </w:rPr>
  </w:style>
  <w:style w:type="paragraph" w:customStyle="1" w:styleId="44">
    <w:name w:val="书表格内"/>
    <w:basedOn w:val="1"/>
    <w:qFormat/>
    <w:uiPriority w:val="0"/>
    <w:pPr>
      <w:spacing w:line="0" w:lineRule="atLeast"/>
      <w:jc w:val="center"/>
    </w:pPr>
    <w:rPr>
      <w:rFonts w:ascii="Times New Roman" w:hAnsi="Times New Roman"/>
      <w:szCs w:val="21"/>
    </w:rPr>
  </w:style>
  <w:style w:type="paragraph" w:customStyle="1" w:styleId="45">
    <w:name w:val="表格文字"/>
    <w:basedOn w:val="1"/>
    <w:qFormat/>
    <w:uiPriority w:val="0"/>
    <w:pPr>
      <w:jc w:val="center"/>
    </w:pPr>
    <w:rPr>
      <w:sz w:val="24"/>
    </w:rPr>
  </w:style>
  <w:style w:type="character" w:customStyle="1" w:styleId="46">
    <w:name w:val="font41"/>
    <w:basedOn w:val="23"/>
    <w:qFormat/>
    <w:uiPriority w:val="0"/>
    <w:rPr>
      <w:rFonts w:hint="default" w:ascii="Times New Roman" w:hAnsi="Times New Roman" w:cs="Times New Roman"/>
      <w:b/>
      <w:color w:val="000000"/>
      <w:sz w:val="21"/>
      <w:szCs w:val="21"/>
      <w:u w:val="none"/>
      <w:vertAlign w:val="subscript"/>
    </w:rPr>
  </w:style>
  <w:style w:type="paragraph" w:customStyle="1" w:styleId="47">
    <w:name w:val="Char5"/>
    <w:basedOn w:val="1"/>
    <w:qFormat/>
    <w:uiPriority w:val="0"/>
    <w:pPr>
      <w:spacing w:line="360" w:lineRule="auto"/>
    </w:pPr>
    <w:rPr>
      <w:rFonts w:ascii="宋体" w:hAnsi="宋体" w:cs="宋体"/>
    </w:rPr>
  </w:style>
  <w:style w:type="paragraph" w:customStyle="1" w:styleId="48">
    <w:name w:val="样式 四号 首行缩进:  2 字符"/>
    <w:basedOn w:val="1"/>
    <w:qFormat/>
    <w:uiPriority w:val="0"/>
    <w:pPr>
      <w:spacing w:line="480" w:lineRule="atLeast"/>
      <w:ind w:firstLine="200" w:firstLineChars="200"/>
    </w:pPr>
  </w:style>
  <w:style w:type="paragraph" w:customStyle="1" w:styleId="49">
    <w:name w:val="0表格正文"/>
    <w:basedOn w:val="1"/>
    <w:next w:val="1"/>
    <w:autoRedefine/>
    <w:qFormat/>
    <w:uiPriority w:val="0"/>
    <w:pPr>
      <w:pBdr>
        <w:top w:val="none" w:color="auto" w:sz="0" w:space="1"/>
        <w:left w:val="none" w:color="auto" w:sz="0" w:space="4"/>
        <w:bottom w:val="none" w:color="auto" w:sz="0" w:space="1"/>
        <w:right w:val="none" w:color="auto" w:sz="0" w:space="4"/>
      </w:pBdr>
      <w:jc w:val="center"/>
    </w:pPr>
    <w:rPr>
      <w:kern w:val="0"/>
      <w:szCs w:val="20"/>
    </w:rPr>
  </w:style>
  <w:style w:type="character" w:customStyle="1" w:styleId="50">
    <w:name w:val="页眉 字符"/>
    <w:basedOn w:val="23"/>
    <w:link w:val="15"/>
    <w:qFormat/>
    <w:uiPriority w:val="0"/>
    <w:rPr>
      <w:rFonts w:asciiTheme="minorHAnsi" w:hAnsiTheme="minorHAnsi" w:eastAsiaTheme="minorEastAsia" w:cstheme="minorBidi"/>
      <w:kern w:val="2"/>
      <w:sz w:val="18"/>
      <w:szCs w:val="18"/>
    </w:rPr>
  </w:style>
  <w:style w:type="character" w:customStyle="1" w:styleId="51">
    <w:name w:val="批注文字 字符"/>
    <w:basedOn w:val="23"/>
    <w:link w:val="7"/>
    <w:qFormat/>
    <w:uiPriority w:val="0"/>
    <w:rPr>
      <w:rFonts w:asciiTheme="minorHAnsi" w:hAnsiTheme="minorHAnsi" w:eastAsiaTheme="minorEastAsia" w:cstheme="minorBidi"/>
      <w:kern w:val="2"/>
      <w:sz w:val="21"/>
      <w:szCs w:val="24"/>
    </w:rPr>
  </w:style>
  <w:style w:type="character" w:customStyle="1" w:styleId="52">
    <w:name w:val="批注主题 字符"/>
    <w:basedOn w:val="51"/>
    <w:link w:val="18"/>
    <w:autoRedefine/>
    <w:qFormat/>
    <w:uiPriority w:val="0"/>
    <w:rPr>
      <w:rFonts w:asciiTheme="minorHAnsi" w:hAnsiTheme="minorHAnsi" w:eastAsiaTheme="minorEastAsia" w:cstheme="minorBidi"/>
      <w:b/>
      <w:bCs/>
      <w:kern w:val="2"/>
      <w:sz w:val="21"/>
      <w:szCs w:val="24"/>
    </w:rPr>
  </w:style>
  <w:style w:type="character" w:customStyle="1" w:styleId="53">
    <w:name w:val="批注框文本 字符"/>
    <w:basedOn w:val="23"/>
    <w:link w:val="13"/>
    <w:qFormat/>
    <w:uiPriority w:val="0"/>
    <w:rPr>
      <w:rFonts w:asciiTheme="minorHAnsi" w:hAnsiTheme="minorHAnsi" w:eastAsiaTheme="minorEastAsia" w:cstheme="minorBidi"/>
      <w:kern w:val="2"/>
      <w:sz w:val="18"/>
      <w:szCs w:val="18"/>
    </w:rPr>
  </w:style>
  <w:style w:type="paragraph" w:customStyle="1" w:styleId="54">
    <w:name w:val="正文001"/>
    <w:basedOn w:val="1"/>
    <w:qFormat/>
    <w:uiPriority w:val="0"/>
    <w:pPr>
      <w:adjustRightInd w:val="0"/>
      <w:spacing w:before="120" w:after="120" w:line="540" w:lineRule="exact"/>
      <w:ind w:firstLine="567"/>
      <w:textAlignment w:val="baseline"/>
    </w:pPr>
    <w:rPr>
      <w:rFonts w:ascii="宋体" w:hAnsi="宋体" w:cs="宋体"/>
      <w:kern w:val="21"/>
      <w:sz w:val="28"/>
      <w:szCs w:val="28"/>
    </w:rPr>
  </w:style>
  <w:style w:type="character" w:customStyle="1" w:styleId="55">
    <w:name w:val="font11"/>
    <w:basedOn w:val="23"/>
    <w:qFormat/>
    <w:uiPriority w:val="0"/>
    <w:rPr>
      <w:rFonts w:hint="default" w:ascii="Times New Roman" w:hAnsi="Times New Roman" w:cs="Times New Roman"/>
      <w:color w:val="000000"/>
      <w:sz w:val="18"/>
      <w:szCs w:val="18"/>
      <w:u w:val="none"/>
    </w:rPr>
  </w:style>
  <w:style w:type="table" w:customStyle="1" w:styleId="56">
    <w:name w:val="Table Normal"/>
    <w:autoRedefine/>
    <w:semiHidden/>
    <w:unhideWhenUsed/>
    <w:qFormat/>
    <w:uiPriority w:val="2"/>
    <w:tblPr>
      <w:tblCellMar>
        <w:top w:w="0" w:type="dxa"/>
        <w:left w:w="0" w:type="dxa"/>
        <w:bottom w:w="0" w:type="dxa"/>
        <w:right w:w="0" w:type="dxa"/>
      </w:tblCellMar>
    </w:tblPr>
  </w:style>
  <w:style w:type="paragraph" w:customStyle="1" w:styleId="57">
    <w:name w:val="内表头"/>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beforeLines="50" w:afterLines="50"/>
      <w:jc w:val="center"/>
    </w:pPr>
    <w:rPr>
      <w:b/>
      <w:bCs/>
      <w:kern w:val="0"/>
      <w:szCs w:val="21"/>
    </w:rPr>
  </w:style>
  <w:style w:type="character" w:customStyle="1" w:styleId="58">
    <w:name w:val="font21"/>
    <w:basedOn w:val="23"/>
    <w:qFormat/>
    <w:uiPriority w:val="0"/>
    <w:rPr>
      <w:rFonts w:hint="eastAsia" w:ascii="宋体" w:hAnsi="宋体" w:eastAsia="宋体" w:cs="宋体"/>
      <w:color w:val="000000"/>
      <w:sz w:val="20"/>
      <w:szCs w:val="20"/>
      <w:u w:val="none"/>
    </w:rPr>
  </w:style>
  <w:style w:type="paragraph" w:styleId="59">
    <w:name w:val="List Paragraph"/>
    <w:basedOn w:val="1"/>
    <w:autoRedefine/>
    <w:qFormat/>
    <w:uiPriority w:val="34"/>
    <w:pPr>
      <w:ind w:firstLine="420" w:firstLineChars="200"/>
    </w:pPr>
    <w:rPr>
      <w:rFonts w:ascii="Calibri" w:hAnsi="Calibri" w:eastAsia="等线" w:cs="Times New Roman"/>
      <w:szCs w:val="20"/>
    </w:rPr>
  </w:style>
  <w:style w:type="paragraph" w:customStyle="1" w:styleId="60">
    <w:name w:val="R-表格文字"/>
    <w:basedOn w:val="1"/>
    <w:next w:val="1"/>
    <w:link w:val="61"/>
    <w:qFormat/>
    <w:uiPriority w:val="99"/>
    <w:pPr>
      <w:widowControl/>
      <w:jc w:val="center"/>
    </w:pPr>
    <w:rPr>
      <w:rFonts w:ascii="Times New Roman" w:hAnsi="Times New Roman" w:eastAsia="仿宋" w:cs="Times New Roman"/>
      <w:color w:val="000000"/>
      <w:sz w:val="24"/>
    </w:rPr>
  </w:style>
  <w:style w:type="character" w:customStyle="1" w:styleId="61">
    <w:name w:val="R-表格文字 字符"/>
    <w:link w:val="60"/>
    <w:autoRedefine/>
    <w:qFormat/>
    <w:locked/>
    <w:uiPriority w:val="99"/>
    <w:rPr>
      <w:rFonts w:eastAsia="仿宋"/>
      <w:color w:val="000000"/>
      <w:kern w:val="2"/>
      <w:sz w:val="24"/>
      <w:szCs w:val="24"/>
    </w:rPr>
  </w:style>
  <w:style w:type="character" w:customStyle="1" w:styleId="62">
    <w:name w:val="正文文本首行缩进 2 字符"/>
    <w:basedOn w:val="23"/>
    <w:link w:val="20"/>
    <w:qFormat/>
    <w:uiPriority w:val="99"/>
    <w:rPr>
      <w:rFonts w:asciiTheme="minorHAnsi" w:hAnsiTheme="minorHAnsi" w:eastAsiaTheme="minorEastAsia" w:cstheme="minorBidi"/>
      <w:kern w:val="2"/>
      <w:sz w:val="24"/>
      <w:szCs w:val="24"/>
    </w:rPr>
  </w:style>
  <w:style w:type="character" w:customStyle="1" w:styleId="63">
    <w:name w:val="文档结构图 字符"/>
    <w:basedOn w:val="23"/>
    <w:link w:val="6"/>
    <w:qFormat/>
    <w:uiPriority w:val="0"/>
    <w:rPr>
      <w:rFonts w:ascii="宋体" w:hAnsiTheme="minorHAnsi" w:cstheme="minorBidi"/>
      <w:kern w:val="2"/>
      <w:sz w:val="18"/>
      <w:szCs w:val="18"/>
    </w:rPr>
  </w:style>
  <w:style w:type="paragraph" w:customStyle="1" w:styleId="64">
    <w:name w:val="样式 区划正文+小4 24 + 首行缩进:  2 字符1"/>
    <w:basedOn w:val="1"/>
    <w:qFormat/>
    <w:uiPriority w:val="0"/>
    <w:pPr>
      <w:adjustRightInd w:val="0"/>
      <w:snapToGrid w:val="0"/>
      <w:spacing w:line="460" w:lineRule="exact"/>
      <w:ind w:firstLine="200" w:firstLineChars="200"/>
    </w:pPr>
    <w:rPr>
      <w:rFonts w:ascii="Times New Roman" w:hAnsi="Times New Roman" w:eastAsia="宋体" w:cs="宋体"/>
      <w:sz w:val="24"/>
    </w:rPr>
  </w:style>
  <w:style w:type="paragraph" w:customStyle="1" w:styleId="65">
    <w:name w:val="0序号（1）"/>
    <w:basedOn w:val="1"/>
    <w:next w:val="1"/>
    <w:qFormat/>
    <w:uiPriority w:val="0"/>
    <w:pPr>
      <w:numPr>
        <w:ilvl w:val="4"/>
        <w:numId w:val="1"/>
      </w:numPr>
      <w:tabs>
        <w:tab w:val="left" w:pos="0"/>
      </w:tabs>
      <w:ind w:left="0" w:firstLine="320" w:firstLineChars="100"/>
    </w:pPr>
    <w:rPr>
      <w:rFonts w:ascii="Times New Roman" w:hAnsi="Times New Roman"/>
    </w:rPr>
  </w:style>
  <w:style w:type="paragraph" w:customStyle="1" w:styleId="66">
    <w:name w:val="正文1"/>
    <w:basedOn w:val="1"/>
    <w:autoRedefine/>
    <w:qFormat/>
    <w:uiPriority w:val="0"/>
    <w:pPr>
      <w:ind w:firstLine="200" w:firstLineChars="200"/>
    </w:pPr>
    <w:rPr>
      <w:rFonts w:ascii="Times New Roman" w:hAnsi="Times New Roman" w:eastAsia="宋体"/>
      <w:sz w:val="24"/>
    </w:rPr>
  </w:style>
  <w:style w:type="paragraph" w:customStyle="1" w:styleId="67">
    <w:name w:val="内表"/>
    <w:basedOn w:val="1"/>
    <w:qFormat/>
    <w:uiPriority w:val="0"/>
    <w:pPr>
      <w:snapToGrid w:val="0"/>
      <w:jc w:val="center"/>
    </w:pPr>
    <w:rPr>
      <w:rFonts w:ascii="宋体" w:hAnsi="宋体"/>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wmf"/><Relationship Id="rId14" Type="http://schemas.openxmlformats.org/officeDocument/2006/relationships/oleObject" Target="embeddings/oleObject1.bin"/><Relationship Id="rId13" Type="http://schemas.openxmlformats.org/officeDocument/2006/relationships/image" Target="media/image7.wmf"/><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60</Pages>
  <Words>27872</Words>
  <Characters>33634</Characters>
  <Lines>134</Lines>
  <Paragraphs>37</Paragraphs>
  <TotalTime>1</TotalTime>
  <ScaleCrop>false</ScaleCrop>
  <LinksUpToDate>false</LinksUpToDate>
  <CharactersWithSpaces>33822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Z</dc:creator>
  <cp:lastModifiedBy>Administrator</cp:lastModifiedBy>
  <cp:lastPrinted>2022-01-17T08:19:00Z</cp:lastPrinted>
  <dcterms:modified xsi:type="dcterms:W3CDTF">2023-12-28T02:16:07Z</dcterms:modified>
  <cp:revision>207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C1DC15EB613F4D738EEA8EE8D8197D7E_13</vt:lpwstr>
  </property>
</Properties>
</file>