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围场县四合永镇水源井建设项目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eastAsia"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28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eastAsia"/>
          <w:sz w:val="32"/>
          <w:szCs w:val="32"/>
          <w:lang w:val="en-US" w:eastAsia="zh-CN"/>
        </w:rPr>
        <w:t>0</w:t>
      </w:r>
      <w:r>
        <w:rPr>
          <w:rFonts w:hint="eastAsia"/>
          <w:sz w:val="32"/>
          <w:szCs w:val="32"/>
        </w:rPr>
        <w:t>）第</w:t>
      </w:r>
      <w:r>
        <w:rPr>
          <w:rFonts w:hint="default"/>
          <w:sz w:val="32"/>
          <w:szCs w:val="32"/>
          <w:lang w:val="en-US" w:eastAsia="zh-CN"/>
        </w:rPr>
        <w:t>268</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eastAsia"/>
          <w:sz w:val="32"/>
          <w:szCs w:val="32"/>
          <w:lang w:val="en-US" w:eastAsia="zh-CN"/>
        </w:rPr>
        <w:t>0</w:t>
      </w:r>
      <w:r>
        <w:rPr>
          <w:rFonts w:hint="eastAsia"/>
          <w:sz w:val="32"/>
          <w:szCs w:val="32"/>
        </w:rPr>
        <w:t>-</w:t>
      </w:r>
      <w:r>
        <w:rPr>
          <w:rFonts w:hint="eastAsia"/>
          <w:sz w:val="32"/>
          <w:szCs w:val="32"/>
          <w:lang w:val="en-US" w:eastAsia="zh-CN"/>
        </w:rPr>
        <w:t>12</w:t>
      </w:r>
      <w:r>
        <w:rPr>
          <w:rFonts w:hint="eastAsia"/>
          <w:sz w:val="32"/>
          <w:szCs w:val="32"/>
        </w:rPr>
        <w:t>-</w:t>
      </w:r>
      <w:r>
        <w:rPr>
          <w:rFonts w:hint="eastAsia"/>
          <w:sz w:val="32"/>
          <w:szCs w:val="32"/>
          <w:lang w:val="en-US" w:eastAsia="zh-CN"/>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eastAsia" w:ascii="仿宋" w:hAnsi="仿宋" w:eastAsia="仿宋"/>
          <w:b/>
          <w:sz w:val="24"/>
          <w:lang w:val="en-US" w:eastAsia="zh-CN"/>
        </w:rPr>
        <w:t>0</w:t>
      </w:r>
      <w:r>
        <w:rPr>
          <w:rFonts w:hint="eastAsia" w:ascii="仿宋" w:hAnsi="仿宋" w:eastAsia="仿宋"/>
          <w:b/>
          <w:sz w:val="24"/>
        </w:rPr>
        <w:t>）第</w:t>
      </w:r>
      <w:r>
        <w:rPr>
          <w:rFonts w:hint="default" w:ascii="仿宋" w:hAnsi="仿宋" w:eastAsia="仿宋"/>
          <w:b/>
          <w:sz w:val="24"/>
          <w:lang w:val="en-US" w:eastAsia="zh-CN"/>
        </w:rPr>
        <w:t>268</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_Toc8178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_Toc8178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_Toc29066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_Toc29066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_Toc6603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_Toc6603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_Toc7514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_Toc7514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_Toc8376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_Toc8376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_Toc25166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_Toc25166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_Toc26024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_Toc26024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_Toc16820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_Toc16820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_Toc32757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_Toc32757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_Toc32758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_Toc32758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_Toc4198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_Toc4198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_Toc24004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_Toc24004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_Toc19123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_Toc19123 \h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_Toc10108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_Toc10108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_Toc32340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_Toc32340 \h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_Toc27243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_Toc27243 \h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_Toc27576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_Toc27576 \h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_Toc4296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_Toc4296 \h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_Toc31137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_Toc31137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_Toc32300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_Toc32300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_Toc7605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_Toc7605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_Toc14416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_Toc14416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lang w:val="en-US" w:eastAsia="zh-CN"/>
        </w:rPr>
      </w:pPr>
      <w:bookmarkStart w:id="0" w:name="_Toc29565"/>
      <w:bookmarkStart w:id="1" w:name="_Toc13259"/>
      <w:bookmarkStart w:id="2" w:name="_Toc25838"/>
      <w:bookmarkStart w:id="3" w:name="_Toc14101"/>
      <w:bookmarkStart w:id="4" w:name="_Toc25062"/>
      <w:bookmarkStart w:id="5" w:name="_Toc32502"/>
      <w:bookmarkStart w:id="6" w:name="_Toc7123"/>
      <w:r>
        <w:rPr>
          <w:rFonts w:hint="eastAsia" w:ascii="宋体" w:hAnsi="宋体" w:eastAsia="宋体" w:cs="宋体"/>
          <w:b/>
          <w:bCs/>
          <w:sz w:val="36"/>
          <w:szCs w:val="36"/>
          <w:lang w:val="en-US" w:eastAsia="zh-CN"/>
        </w:rPr>
        <w:t>围场县</w:t>
      </w:r>
      <w:bookmarkEnd w:id="0"/>
      <w:bookmarkEnd w:id="1"/>
      <w:r>
        <w:rPr>
          <w:rFonts w:hint="eastAsia" w:ascii="宋体" w:hAnsi="宋体" w:eastAsia="宋体" w:cs="宋体"/>
          <w:b/>
          <w:bCs/>
          <w:sz w:val="36"/>
          <w:szCs w:val="36"/>
          <w:highlight w:val="none"/>
          <w:lang w:val="en-US" w:eastAsia="zh-CN"/>
        </w:rPr>
        <w:t>四合永镇水源井建设项目</w:t>
      </w:r>
      <w:bookmarkEnd w:id="2"/>
      <w:bookmarkEnd w:id="3"/>
    </w:p>
    <w:p>
      <w:pPr>
        <w:jc w:val="center"/>
        <w:outlineLvl w:val="0"/>
        <w:rPr>
          <w:rFonts w:hint="eastAsia" w:ascii="宋体" w:hAnsi="宋体" w:eastAsia="宋体" w:cs="宋体"/>
          <w:b/>
          <w:bCs/>
          <w:sz w:val="36"/>
          <w:szCs w:val="36"/>
          <w:lang w:eastAsia="zh-CN"/>
        </w:rPr>
      </w:pPr>
      <w:bookmarkStart w:id="7" w:name="_Toc3241"/>
      <w:bookmarkStart w:id="8" w:name="_Toc24729"/>
      <w:bookmarkStart w:id="9" w:name="_Toc1057"/>
      <w:bookmarkStart w:id="10" w:name="_Toc26503"/>
      <w:r>
        <w:rPr>
          <w:rFonts w:hint="eastAsia" w:ascii="宋体" w:hAnsi="宋体" w:eastAsia="宋体" w:cs="宋体"/>
          <w:b/>
          <w:bCs/>
          <w:sz w:val="36"/>
          <w:szCs w:val="36"/>
          <w:lang w:eastAsia="zh-CN"/>
        </w:rPr>
        <w:t>一般债券资金绩效评价报告</w:t>
      </w:r>
      <w:bookmarkEnd w:id="4"/>
      <w:bookmarkEnd w:id="5"/>
      <w:bookmarkEnd w:id="6"/>
      <w:bookmarkEnd w:id="7"/>
      <w:bookmarkEnd w:id="8"/>
      <w:bookmarkEnd w:id="9"/>
      <w:bookmarkEnd w:id="10"/>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围场县四合永镇水源井建设项目新增一般债券资金部分使用情况做绩效评价工作。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11" w:name="_Toc8178"/>
      <w:bookmarkStart w:id="12"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11"/>
      <w:bookmarkEnd w:id="12"/>
    </w:p>
    <w:p>
      <w:pPr>
        <w:spacing w:line="600" w:lineRule="exact"/>
        <w:ind w:firstLine="643" w:firstLineChars="200"/>
        <w:outlineLvl w:val="1"/>
        <w:rPr>
          <w:rFonts w:hint="eastAsia" w:ascii="楷体" w:hAnsi="楷体" w:eastAsia="楷体" w:cs="楷体"/>
          <w:b/>
          <w:bCs w:val="0"/>
          <w:sz w:val="32"/>
          <w:szCs w:val="32"/>
          <w:lang w:eastAsia="zh-CN"/>
        </w:rPr>
      </w:pPr>
      <w:bookmarkStart w:id="13" w:name="_Toc29066"/>
      <w:bookmarkStart w:id="14"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13"/>
      <w:bookmarkEnd w:id="14"/>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107" w:name="_GoBack"/>
      <w:bookmarkEnd w:id="107"/>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其中本次投入</w:t>
      </w:r>
      <w:r>
        <w:rPr>
          <w:rFonts w:hint="eastAsia" w:ascii="宋体" w:hAnsi="宋体" w:eastAsia="宋体" w:cs="宋体"/>
          <w:sz w:val="28"/>
          <w:szCs w:val="28"/>
          <w:lang w:val="en-US" w:eastAsia="zh-CN"/>
        </w:rPr>
        <w:t>围场县四合永镇水源井建设项目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260万元。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围场县四合永镇水源井建设项目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w:t>
      </w:r>
      <w:r>
        <w:rPr>
          <w:rFonts w:hint="eastAsia" w:ascii="宋体" w:hAnsi="宋体" w:eastAsia="宋体" w:cs="宋体"/>
          <w:sz w:val="28"/>
          <w:szCs w:val="28"/>
          <w:lang w:val="en-US" w:eastAsia="zh-CN"/>
        </w:rPr>
        <w:t>四合永镇</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围场满族蒙古族自治县四合永镇人民政府</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4.项目背景</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目前四合永镇区范围内的居民和企事业单位生产生活用水均由镇内仙泉供水服务站提供。由于水源井位于居民区内，加之供水设施老化，存在诸多问题亟待改善。一是供水能力不足，目前自来水公司只有一口水源井，随着四合永城镇建设的不断发展，供水范围逐步扩展需水量不断增加，导致供水能力严重不足。二是供水设备严重老化，跑冒滴漏现象时有发生，导致经常断水停供进行维修，给群众生活带来诸多不便。三是饮水安全存在隐患，现有水源井南邻中石油加油站，东西两侧均为居民住宅，虽水质检测达标，但存在供水卫生安全隐患，导致近两年来卫生部门无法对自来水进行公用卫生认证。为有效保障居民、企事业单位饮水安全，助力脱贫攻坚，按照环保、水务和卫生等有关部门要求，急需对镇区自来水进行改造</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5.项目概况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为有效保障围场县四合永镇居民、企事业单位饮水安全，助力脱贫攻坚，按照环保、水务和卫生等有关部门要求，急需对镇区自来水进行改造。一是选址新建水源井2眼，深（200-300）米，日供水量到2000立方米/眼；二是建设相关配套设施（办公室、配电室、消毒室、化验室、锅炉房），安装监控以及加压设施；三是建设主管网两条，总长600米。完成建设任务，达到安全供水要求，投资概算达260万元，资金由县政府协调解决，2018年10月30日，县政府同意并请财政部门在安排预算时给与考虑。</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本项目投资260万元，工程款210.68万元，前期费用49.32万元，资金全部由县财政资金解决，使用政府一般债券资金。</w:t>
      </w:r>
    </w:p>
    <w:p>
      <w:pPr>
        <w:spacing w:line="600" w:lineRule="exact"/>
        <w:ind w:firstLine="643" w:firstLineChars="200"/>
        <w:outlineLvl w:val="1"/>
        <w:rPr>
          <w:rFonts w:hint="eastAsia" w:ascii="宋体" w:hAnsi="宋体" w:eastAsia="宋体" w:cs="宋体"/>
          <w:kern w:val="2"/>
          <w:sz w:val="28"/>
          <w:szCs w:val="28"/>
          <w:lang w:val="en-US" w:eastAsia="zh-CN" w:bidi="ar-SA"/>
        </w:rPr>
      </w:pPr>
      <w:bookmarkStart w:id="15" w:name="_Toc6603"/>
      <w:r>
        <w:rPr>
          <w:rFonts w:hint="eastAsia" w:ascii="楷体" w:hAnsi="楷体" w:eastAsia="楷体" w:cs="楷体"/>
          <w:b/>
          <w:bCs w:val="0"/>
          <w:sz w:val="32"/>
          <w:szCs w:val="32"/>
          <w:highlight w:val="none"/>
          <w:lang w:val="en-US" w:eastAsia="zh-CN"/>
        </w:rPr>
        <w:t>（二）项目绩效目标</w:t>
      </w:r>
      <w:bookmarkEnd w:id="15"/>
      <w:bookmarkStart w:id="16" w:name="_Toc28894"/>
      <w:bookmarkStart w:id="17" w:name="_Toc12271"/>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8" w:name="_Toc31882"/>
      <w:bookmarkStart w:id="19" w:name="_Toc10011"/>
      <w:bookmarkStart w:id="20" w:name="_Toc9757"/>
      <w:bookmarkStart w:id="21" w:name="_Toc25188"/>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6"/>
      <w:bookmarkEnd w:id="18"/>
      <w:bookmarkEnd w:id="19"/>
      <w:bookmarkEnd w:id="20"/>
      <w:bookmarkEnd w:id="21"/>
    </w:p>
    <w:p>
      <w:pPr>
        <w:spacing w:line="600" w:lineRule="exact"/>
        <w:ind w:firstLine="643" w:firstLineChars="200"/>
        <w:outlineLvl w:val="1"/>
        <w:rPr>
          <w:rFonts w:hint="eastAsia" w:ascii="楷体" w:hAnsi="楷体" w:eastAsia="楷体" w:cs="楷体"/>
          <w:b/>
          <w:bCs w:val="0"/>
          <w:sz w:val="32"/>
          <w:szCs w:val="32"/>
          <w:lang w:val="en-US" w:eastAsia="zh-CN"/>
        </w:rPr>
      </w:pPr>
      <w:bookmarkStart w:id="22" w:name="_Toc7514"/>
      <w:r>
        <w:rPr>
          <w:rFonts w:hint="eastAsia" w:ascii="楷体" w:hAnsi="楷体" w:eastAsia="楷体" w:cs="楷体"/>
          <w:b/>
          <w:bCs w:val="0"/>
          <w:sz w:val="32"/>
          <w:szCs w:val="32"/>
          <w:lang w:val="en-US" w:eastAsia="zh-CN"/>
        </w:rPr>
        <w:t>（三）评价对象和时段</w:t>
      </w:r>
      <w:bookmarkEnd w:id="17"/>
      <w:bookmarkEnd w:id="22"/>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lang w:val="en-US" w:eastAsia="zh-CN"/>
        </w:rPr>
        <w:t>围场县四合永镇水源井建设项目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23" w:name="_Toc8376"/>
      <w:r>
        <w:rPr>
          <w:rFonts w:hint="eastAsia" w:ascii="黑体" w:hAnsi="黑体" w:eastAsia="黑体" w:cs="黑体"/>
          <w:b/>
          <w:bCs/>
          <w:sz w:val="32"/>
          <w:szCs w:val="32"/>
          <w:lang w:val="en-US" w:eastAsia="zh-CN"/>
        </w:rPr>
        <w:t>二、绩效评价工作开展情况</w:t>
      </w:r>
      <w:bookmarkEnd w:id="23"/>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4" w:name="_Toc25166"/>
      <w:r>
        <w:rPr>
          <w:rFonts w:hint="eastAsia" w:ascii="楷体" w:hAnsi="楷体" w:eastAsia="楷体" w:cs="楷体"/>
          <w:b/>
          <w:bCs/>
          <w:sz w:val="32"/>
          <w:szCs w:val="32"/>
          <w:lang w:val="en-US" w:eastAsia="zh-CN"/>
        </w:rPr>
        <w:t>（一）绩效评价指标权重和绩效评价指标体系</w:t>
      </w:r>
      <w:bookmarkEnd w:id="24"/>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2333"/>
        <w:gridCol w:w="2941"/>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123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2333"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cstheme="minorEastAsia"/>
                <w:b/>
                <w:bCs/>
                <w:kern w:val="0"/>
                <w:sz w:val="28"/>
                <w:szCs w:val="28"/>
                <w:lang w:eastAsia="zh-CN"/>
              </w:rPr>
              <w:t>一级指标</w:t>
            </w:r>
          </w:p>
        </w:tc>
        <w:tc>
          <w:tcPr>
            <w:tcW w:w="2941"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cstheme="minorEastAsia"/>
                <w:b/>
                <w:bCs/>
                <w:kern w:val="0"/>
                <w:sz w:val="28"/>
                <w:szCs w:val="28"/>
                <w:lang w:eastAsia="zh-CN"/>
              </w:rPr>
              <w:t>二级指标</w:t>
            </w:r>
          </w:p>
        </w:tc>
        <w:tc>
          <w:tcPr>
            <w:tcW w:w="1726"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233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72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233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726"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333"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726"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233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72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2333"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726"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exact"/>
          <w:jc w:val="center"/>
        </w:trPr>
        <w:tc>
          <w:tcPr>
            <w:tcW w:w="123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333"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94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726"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exact"/>
          <w:jc w:val="center"/>
        </w:trPr>
        <w:tc>
          <w:tcPr>
            <w:tcW w:w="3571" w:type="dxa"/>
            <w:gridSpan w:val="2"/>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cstheme="minorEastAsia"/>
                <w:kern w:val="0"/>
                <w:sz w:val="28"/>
                <w:szCs w:val="28"/>
                <w:lang w:eastAsia="zh-CN"/>
              </w:rPr>
              <w:t>合计</w:t>
            </w:r>
          </w:p>
        </w:tc>
        <w:tc>
          <w:tcPr>
            <w:tcW w:w="4667"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6"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25" w:name="_Toc12872"/>
      <w:bookmarkStart w:id="26" w:name="_Toc26024"/>
      <w:r>
        <w:rPr>
          <w:rFonts w:hint="eastAsia" w:ascii="楷体" w:hAnsi="楷体" w:eastAsia="楷体" w:cs="楷体"/>
          <w:b/>
          <w:bCs w:val="0"/>
          <w:kern w:val="0"/>
          <w:sz w:val="32"/>
          <w:szCs w:val="32"/>
          <w:lang w:val="en-US" w:eastAsia="zh-CN" w:bidi="ar-SA"/>
        </w:rPr>
        <w:t>（二）绩效评价目的和依据</w:t>
      </w:r>
      <w:bookmarkEnd w:id="25"/>
      <w:bookmarkEnd w:id="26"/>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bookmarkStart w:id="27" w:name="_Toc22990"/>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项目批复</w:t>
            </w:r>
            <w:r>
              <w:rPr>
                <w:rFonts w:hint="eastAsia" w:ascii="宋体" w:hAnsi="宋体" w:eastAsia="宋体" w:cs="宋体"/>
                <w:color w:val="000000"/>
                <w:kern w:val="0"/>
                <w:sz w:val="24"/>
                <w:szCs w:val="24"/>
                <w:lang w:eastAsia="zh-CN"/>
              </w:rPr>
              <w:t>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支付</w:t>
            </w:r>
            <w:r>
              <w:rPr>
                <w:rFonts w:hint="eastAsia" w:ascii="宋体" w:hAnsi="宋体" w:eastAsia="宋体" w:cs="宋体"/>
                <w:color w:val="000000"/>
                <w:kern w:val="0"/>
                <w:sz w:val="24"/>
                <w:szCs w:val="24"/>
              </w:rPr>
              <w:t>凭证</w:t>
            </w:r>
            <w:r>
              <w:rPr>
                <w:rFonts w:hint="eastAsia" w:ascii="宋体" w:hAnsi="宋体" w:eastAsia="宋体" w:cs="宋体"/>
                <w:color w:val="000000"/>
                <w:kern w:val="0"/>
                <w:sz w:val="24"/>
                <w:szCs w:val="24"/>
                <w:lang w:eastAsia="zh-CN"/>
              </w:rPr>
              <w:t>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工程</w:t>
            </w:r>
            <w:r>
              <w:rPr>
                <w:rFonts w:hint="eastAsia" w:ascii="宋体" w:hAnsi="宋体" w:cs="宋体"/>
                <w:color w:val="000000"/>
                <w:kern w:val="0"/>
                <w:sz w:val="24"/>
                <w:szCs w:val="24"/>
              </w:rPr>
              <w:t>竣工</w:t>
            </w:r>
            <w:r>
              <w:rPr>
                <w:rFonts w:hint="eastAsia" w:ascii="宋体" w:hAnsi="宋体" w:cs="宋体"/>
                <w:color w:val="000000"/>
                <w:kern w:val="0"/>
                <w:sz w:val="24"/>
                <w:szCs w:val="24"/>
                <w:lang w:eastAsia="zh-CN"/>
              </w:rPr>
              <w:t>验收</w:t>
            </w:r>
            <w:r>
              <w:rPr>
                <w:rFonts w:hint="eastAsia" w:ascii="宋体" w:hAnsi="宋体" w:cs="宋体"/>
                <w:color w:val="000000"/>
                <w:kern w:val="0"/>
                <w:sz w:val="24"/>
                <w:szCs w:val="24"/>
              </w:rPr>
              <w:t>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8" w:name="_Toc16820"/>
      <w:r>
        <w:rPr>
          <w:rFonts w:hint="eastAsia" w:ascii="楷体" w:hAnsi="楷体" w:eastAsia="楷体" w:cs="楷体"/>
          <w:b/>
          <w:bCs w:val="0"/>
          <w:sz w:val="32"/>
          <w:szCs w:val="32"/>
          <w:lang w:val="en-US" w:eastAsia="zh-CN"/>
        </w:rPr>
        <w:t>（三）绩效评价工作内容和范围</w:t>
      </w:r>
      <w:bookmarkEnd w:id="27"/>
      <w:bookmarkEnd w:id="28"/>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kern w:val="2"/>
          <w:sz w:val="28"/>
          <w:szCs w:val="28"/>
          <w:highlight w:val="none"/>
          <w:lang w:val="en-US" w:eastAsia="zh-CN" w:bidi="ar-SA"/>
        </w:rPr>
        <w:t>围场</w:t>
      </w:r>
      <w:r>
        <w:rPr>
          <w:rFonts w:hint="eastAsia" w:ascii="宋体" w:hAnsi="宋体" w:eastAsia="宋体" w:cs="宋体"/>
          <w:sz w:val="28"/>
          <w:szCs w:val="28"/>
          <w:highlight w:val="none"/>
          <w:lang w:eastAsia="zh-CN"/>
        </w:rPr>
        <w:t>县四合永镇人民政府</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9" w:name="_Toc32757"/>
      <w:bookmarkStart w:id="30"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9"/>
      <w:bookmarkEnd w:id="30"/>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1、层次分析法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2、对比分析法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3、成本效益分析法。是指将投入与产出、效益进行关联性分析的方法。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4、因素分析法。是指综合分析影响绩效目标实现、实施效果的内外部因素的方法。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31" w:name="_Toc8164"/>
      <w:bookmarkStart w:id="32" w:name="_Toc32758"/>
      <w:bookmarkStart w:id="33" w:name="_Toc12042"/>
      <w:bookmarkStart w:id="34"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31"/>
      <w:bookmarkEnd w:id="32"/>
      <w:bookmarkEnd w:id="33"/>
    </w:p>
    <w:p>
      <w:pPr>
        <w:ind w:firstLine="560" w:firstLineChars="200"/>
        <w:rPr>
          <w:rFonts w:hint="eastAsia" w:ascii="宋体" w:hAnsi="宋体" w:eastAsia="宋体" w:cs="宋体"/>
          <w:kern w:val="2"/>
          <w:sz w:val="28"/>
          <w:szCs w:val="28"/>
          <w:lang w:val="en-US" w:eastAsia="zh-CN" w:bidi="ar-SA"/>
        </w:rPr>
      </w:pPr>
      <w:bookmarkStart w:id="35" w:name="_Toc13042"/>
      <w:bookmarkStart w:id="36" w:name="_Toc18780"/>
      <w:bookmarkStart w:id="37" w:name="_Toc22556"/>
      <w:bookmarkStart w:id="38" w:name="_Toc31807"/>
      <w:bookmarkStart w:id="39" w:name="_Toc2087"/>
      <w:bookmarkStart w:id="40" w:name="_Toc17563"/>
      <w:r>
        <w:rPr>
          <w:rFonts w:hint="eastAsia" w:ascii="宋体" w:hAnsi="宋体" w:eastAsia="宋体" w:cs="宋体"/>
          <w:kern w:val="2"/>
          <w:sz w:val="28"/>
          <w:szCs w:val="28"/>
          <w:lang w:val="en-US" w:eastAsia="zh-CN" w:bidi="ar-SA"/>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5"/>
      <w:bookmarkEnd w:id="36"/>
      <w:bookmarkEnd w:id="37"/>
      <w:bookmarkEnd w:id="38"/>
      <w:bookmarkEnd w:id="39"/>
      <w:bookmarkEnd w:id="40"/>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1" w:name="_Toc27413"/>
      <w:bookmarkStart w:id="42" w:name="_Toc14572"/>
      <w:bookmarkStart w:id="43" w:name="_Toc14297"/>
      <w:bookmarkStart w:id="44" w:name="_Toc24529"/>
      <w:bookmarkStart w:id="45" w:name="_Toc24311"/>
      <w:bookmarkStart w:id="46" w:name="_Toc19058"/>
      <w:bookmarkStart w:id="47" w:name="_Toc24972"/>
      <w:bookmarkStart w:id="48" w:name="_Toc1487"/>
      <w:bookmarkStart w:id="49" w:name="_Toc15494"/>
      <w:bookmarkStart w:id="50" w:name="_Toc31190"/>
      <w:bookmarkStart w:id="51" w:name="_Toc17036"/>
      <w:r>
        <w:rPr>
          <w:rFonts w:hint="eastAsia" w:ascii="宋体" w:hAnsi="宋体" w:eastAsia="宋体" w:cs="宋体"/>
          <w:b/>
          <w:bCs/>
          <w:kern w:val="0"/>
          <w:sz w:val="28"/>
          <w:szCs w:val="28"/>
          <w:lang w:val="en-US" w:eastAsia="zh-CN" w:bidi="ar-SA"/>
        </w:rPr>
        <w:t>1、明确项目团队的职责与分工</w:t>
      </w:r>
      <w:bookmarkEnd w:id="41"/>
      <w:bookmarkEnd w:id="42"/>
      <w:bookmarkEnd w:id="43"/>
      <w:bookmarkEnd w:id="44"/>
      <w:bookmarkEnd w:id="45"/>
      <w:bookmarkEnd w:id="46"/>
      <w:bookmarkEnd w:id="47"/>
      <w:bookmarkEnd w:id="48"/>
      <w:bookmarkEnd w:id="49"/>
      <w:bookmarkEnd w:id="50"/>
      <w:bookmarkEnd w:id="51"/>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52" w:name="_Toc28394"/>
      <w:bookmarkStart w:id="53" w:name="_Toc25494"/>
      <w:bookmarkStart w:id="54" w:name="_Toc29931"/>
      <w:bookmarkStart w:id="55" w:name="_Toc31637"/>
      <w:bookmarkStart w:id="56" w:name="_Toc27143"/>
      <w:bookmarkStart w:id="57" w:name="_Toc6642"/>
      <w:bookmarkStart w:id="58" w:name="_Toc24576"/>
      <w:r>
        <w:rPr>
          <w:rFonts w:hint="eastAsia" w:ascii="宋体" w:hAnsi="宋体" w:eastAsia="宋体" w:cs="宋体"/>
          <w:b/>
          <w:bCs/>
          <w:kern w:val="0"/>
          <w:sz w:val="28"/>
          <w:szCs w:val="28"/>
          <w:lang w:val="en-US" w:eastAsia="zh-CN" w:bidi="ar-SA"/>
        </w:rPr>
        <w:t>2、评价工作各相关当事方的职责</w:t>
      </w:r>
      <w:bookmarkEnd w:id="52"/>
      <w:bookmarkEnd w:id="53"/>
      <w:bookmarkEnd w:id="54"/>
      <w:bookmarkEnd w:id="55"/>
      <w:bookmarkEnd w:id="56"/>
      <w:bookmarkEnd w:id="57"/>
      <w:bookmarkEnd w:id="5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9" w:name="_Toc11728"/>
      <w:bookmarkStart w:id="60" w:name="_Toc27067"/>
      <w:bookmarkStart w:id="61" w:name="_Toc332"/>
      <w:bookmarkStart w:id="62" w:name="_Toc24530"/>
      <w:bookmarkStart w:id="63" w:name="_Toc17781"/>
      <w:bookmarkStart w:id="64" w:name="_Toc13696"/>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9"/>
      <w:bookmarkEnd w:id="60"/>
      <w:bookmarkEnd w:id="61"/>
      <w:bookmarkEnd w:id="62"/>
      <w:bookmarkEnd w:id="63"/>
      <w:bookmarkEnd w:id="64"/>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5" w:name="_Toc22301"/>
      <w:bookmarkStart w:id="66" w:name="_Toc4198"/>
      <w:r>
        <w:rPr>
          <w:rFonts w:hint="eastAsia" w:ascii="黑体" w:hAnsi="黑体" w:eastAsia="黑体" w:cs="黑体"/>
          <w:b w:val="0"/>
          <w:bCs w:val="0"/>
          <w:sz w:val="32"/>
          <w:szCs w:val="32"/>
          <w:lang w:eastAsia="zh-CN"/>
        </w:rPr>
        <w:t>三、</w:t>
      </w:r>
      <w:bookmarkEnd w:id="34"/>
      <w:r>
        <w:rPr>
          <w:rFonts w:hint="eastAsia" w:ascii="黑体" w:hAnsi="黑体" w:eastAsia="黑体" w:cs="黑体"/>
          <w:kern w:val="2"/>
          <w:sz w:val="32"/>
          <w:szCs w:val="32"/>
          <w:highlight w:val="none"/>
          <w:lang w:val="en-US" w:eastAsia="zh-CN" w:bidi="ar-SA"/>
        </w:rPr>
        <w:t>项目实施及资金使用情况</w:t>
      </w:r>
      <w:bookmarkEnd w:id="65"/>
      <w:bookmarkEnd w:id="66"/>
    </w:p>
    <w:p>
      <w:pPr>
        <w:ind w:firstLine="643" w:firstLineChars="200"/>
        <w:outlineLvl w:val="1"/>
        <w:rPr>
          <w:rFonts w:hint="eastAsia" w:ascii="楷体" w:hAnsi="楷体" w:eastAsia="楷体" w:cs="楷体"/>
          <w:b/>
          <w:bCs/>
          <w:kern w:val="2"/>
          <w:sz w:val="32"/>
          <w:szCs w:val="32"/>
          <w:highlight w:val="none"/>
          <w:lang w:val="en-US" w:eastAsia="zh-CN" w:bidi="ar-SA"/>
        </w:rPr>
      </w:pPr>
      <w:bookmarkStart w:id="67" w:name="_Toc6786"/>
      <w:bookmarkStart w:id="68" w:name="_Toc24004"/>
      <w:r>
        <w:rPr>
          <w:rFonts w:hint="eastAsia" w:ascii="楷体" w:hAnsi="楷体" w:eastAsia="楷体" w:cs="楷体"/>
          <w:b/>
          <w:bCs/>
          <w:kern w:val="2"/>
          <w:sz w:val="32"/>
          <w:szCs w:val="32"/>
          <w:highlight w:val="none"/>
          <w:lang w:val="en-US" w:eastAsia="zh-CN" w:bidi="ar-SA"/>
        </w:rPr>
        <w:t>（一）项目实施情况</w:t>
      </w:r>
      <w:bookmarkEnd w:id="67"/>
      <w:bookmarkEnd w:id="68"/>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9月28日，承德鼎亿好工程咨询有限公司对围场县仙泉供水服务站新建水源井及配套设施项目做了投资概算。经测算，总投资为259.08万元，其中：工程费用193.56万元；工程建设其他费用53.19万元；预备费12.34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10月19日，四合永人民政府关于新建水源井及相关配套设施解决镇区饮水安全问题向围场县政府做了报告（围四政〔2018〕40号）。10月30日，围场县政府同意此项目实施，并请财政在安排2019年预算时给予考虑。为了完成本项目建设并且达到安全供水目标，本项目需投资260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12月东创项目管理集团有限公司对围场县仙泉供水服务站新建水源井及配套设施工程招标控制价进行了评审验证，原预算报审金额141.06万元，经评审认定金额136.22万元。同时对围场县仙泉供水服务站新建服务站项目的招标控制价进行了评审验证，原预算报审金额75.46万元，经评审认定金额74.53万元。</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1月14日围场县新建水源井及配套设施项目通过竞争性磋商的方式确定围场县满族蒙古族环宇建筑安装有限公司为承建单位，成交价136.18万元，并于2019年1月23日与围场满族蒙古族自治县四合永镇人民政府签订了施工合同。同时围场县仙泉供水服务站新建服务站项目通过竞争性磋商的方式确定围场县满族蒙古族环宇建筑安装有限公司为承建单位。成交价款74.5万元，并于2019年1月23日与围场满族蒙古族自治县四合永镇人民政府签订了施工合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工期2019年2月1日至2019年12月31日。由围场满族蒙古族自治县信诚工程建设监理有限公司出具了质量评估报告，报告评估意见为：河北省承德市围场县仙泉供水服务站新建项目符合设计图纸要求和验收规范规定，能满足安全和使用功能要求，达到合格等级质量标准，同意验收。建设单位于2020年3月31日组织验收,并出具了工程验收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highlight w:val="none"/>
          <w:lang w:val="en-US" w:eastAsia="zh-CN" w:bidi="ar-SA"/>
        </w:rPr>
        <w:t>本项目由承德鼎亿好工程咨询有限公司出具了竣工结算书</w:t>
      </w:r>
      <w:r>
        <w:rPr>
          <w:rFonts w:hint="eastAsia" w:ascii="宋体" w:hAnsi="宋体" w:eastAsia="宋体" w:cs="宋体"/>
          <w:kern w:val="2"/>
          <w:sz w:val="28"/>
          <w:szCs w:val="28"/>
          <w:lang w:val="en-US" w:eastAsia="zh-CN" w:bidi="ar-SA"/>
        </w:rPr>
        <w:t>。</w:t>
      </w:r>
    </w:p>
    <w:p>
      <w:pPr>
        <w:ind w:firstLine="643" w:firstLineChars="200"/>
        <w:outlineLvl w:val="1"/>
        <w:rPr>
          <w:rFonts w:hint="eastAsia" w:ascii="楷体" w:hAnsi="楷体" w:eastAsia="楷体" w:cs="楷体"/>
          <w:b/>
          <w:bCs/>
          <w:kern w:val="2"/>
          <w:sz w:val="32"/>
          <w:szCs w:val="32"/>
          <w:highlight w:val="none"/>
          <w:lang w:val="en-US" w:eastAsia="zh-CN" w:bidi="ar-SA"/>
        </w:rPr>
      </w:pPr>
      <w:bookmarkStart w:id="69" w:name="_Toc19123"/>
      <w:bookmarkStart w:id="70" w:name="_Toc14809"/>
      <w:r>
        <w:rPr>
          <w:rFonts w:hint="eastAsia" w:ascii="楷体" w:hAnsi="楷体" w:eastAsia="楷体" w:cs="楷体"/>
          <w:b/>
          <w:bCs/>
          <w:kern w:val="2"/>
          <w:sz w:val="32"/>
          <w:szCs w:val="32"/>
          <w:highlight w:val="none"/>
          <w:lang w:val="en-US" w:eastAsia="zh-CN" w:bidi="ar-SA"/>
        </w:rPr>
        <w:t>（二）资金使用情况</w:t>
      </w:r>
      <w:bookmarkEnd w:id="69"/>
      <w:bookmarkEnd w:id="70"/>
    </w:p>
    <w:p>
      <w:pPr>
        <w:ind w:firstLine="560" w:firstLineChars="200"/>
        <w:rPr>
          <w:rFonts w:hint="default" w:ascii="宋体" w:hAnsi="宋体" w:eastAsia="宋体" w:cs="宋体"/>
          <w:kern w:val="2"/>
          <w:sz w:val="28"/>
          <w:szCs w:val="28"/>
          <w:highlight w:val="none"/>
          <w:lang w:val="en-US" w:eastAsia="zh-CN" w:bidi="ar-SA"/>
        </w:rPr>
      </w:pPr>
      <w:bookmarkStart w:id="71" w:name="_Toc13622"/>
      <w:bookmarkStart w:id="72" w:name="_Toc15054"/>
      <w:r>
        <w:rPr>
          <w:rFonts w:hint="eastAsia" w:ascii="宋体" w:hAnsi="宋体" w:eastAsia="宋体" w:cs="宋体"/>
          <w:kern w:val="2"/>
          <w:sz w:val="28"/>
          <w:szCs w:val="28"/>
          <w:highlight w:val="none"/>
          <w:lang w:val="en-US" w:eastAsia="zh-CN" w:bidi="ar-SA"/>
        </w:rPr>
        <w:t>新建水源井及配套设施项目竣工结算价为149.683062万元（高于中标价），新建服务站项目竣工结算价为63.453462万元，合计：213.136524万元。此项工程财政预算金额为260万元，其中前期费用49.32万元，工程款210.68万元，为及时完工，保证工程质量，经镇党委会研究决定，项目结余资金统筹使用，多出款项由自来水经费列支。</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2019年3月31日收到财政拨款112.524万元。</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2019年7月31日收到财政拨款84.272万元。</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2020年4月30日收到财政拨款63.204万元。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合计收到新建水源井建设债券资金260万元。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2019年3月31日支付自来水水源井工程款112.524万元。</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2019年7月24日支付自来水水源井工程款50万元；</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2019年8月31日支付自来水水源井工程款34.272万元；</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2020年4月30日支付水源井工程款52.67万元；计提水源井工程质保金10.534万元。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highlight w:val="none"/>
          <w:lang w:val="en-US" w:eastAsia="zh-CN" w:bidi="ar-SA"/>
        </w:rPr>
        <w:t>支付工程款共计：210.68万元</w:t>
      </w:r>
      <w:r>
        <w:rPr>
          <w:rFonts w:hint="eastAsia" w:ascii="宋体" w:hAnsi="宋体" w:eastAsia="宋体" w:cs="宋体"/>
          <w:kern w:val="2"/>
          <w:sz w:val="28"/>
          <w:szCs w:val="28"/>
          <w:lang w:val="en-US" w:eastAsia="zh-CN" w:bidi="ar-SA"/>
        </w:rPr>
        <w:t>。</w:t>
      </w:r>
      <w:bookmarkEnd w:id="71"/>
      <w:bookmarkEnd w:id="72"/>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项目前期费用支付48.65万元，如下表：</w:t>
      </w:r>
    </w:p>
    <w:p>
      <w:pPr>
        <w:keepNext w:val="0"/>
        <w:keepLines w:val="0"/>
        <w:pageBreakBefore w:val="0"/>
        <w:widowControl w:val="0"/>
        <w:kinsoku/>
        <w:wordWrap/>
        <w:overflowPunct/>
        <w:topLinePunct w:val="0"/>
        <w:autoSpaceDE/>
        <w:autoSpaceDN/>
        <w:bidi w:val="0"/>
        <w:adjustRightInd w:val="0"/>
        <w:snapToGrid w:val="0"/>
        <w:spacing w:line="60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四合永镇自来水公司新建水源井及配套设施前期费用明细</w:t>
      </w:r>
    </w:p>
    <w:tbl>
      <w:tblPr>
        <w:tblStyle w:val="12"/>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2569"/>
        <w:gridCol w:w="210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c>
          <w:tcPr>
            <w:tcW w:w="2569" w:type="dxa"/>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名称</w:t>
            </w:r>
          </w:p>
        </w:tc>
        <w:tc>
          <w:tcPr>
            <w:tcW w:w="2103" w:type="dxa"/>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金额（元）</w:t>
            </w:r>
          </w:p>
        </w:tc>
        <w:tc>
          <w:tcPr>
            <w:tcW w:w="2051" w:type="dxa"/>
            <w:shd w:val="clear" w:color="auto" w:fill="BEBEBE" w:themeFill="background1" w:themeFillShade="B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w:t>
            </w: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变压器</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198300.00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w:t>
            </w: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营字五组修路铺砖</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35600.00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三、</w:t>
            </w: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掌子三组占地补偿</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暴素云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掌子三组占地补偿</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29500.00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刘丽华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林地补偿</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72000.00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王德安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营字四组占地补偿</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杨永江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掌子四组占地补偿</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李晓刚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修路占地补偿</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5400.00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暴玉强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四、</w:t>
            </w: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代理费</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30000.00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五、</w:t>
            </w: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造价</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23500.00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六、</w:t>
            </w: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监理费</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25000.00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七、</w:t>
            </w: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决算费</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八、</w:t>
            </w: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图纸</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11000.00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九、</w:t>
            </w: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前期平整土地及修理路况</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24200.00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5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十、</w:t>
            </w:r>
          </w:p>
        </w:tc>
        <w:tc>
          <w:tcPr>
            <w:tcW w:w="256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合计</w:t>
            </w:r>
          </w:p>
        </w:tc>
        <w:tc>
          <w:tcPr>
            <w:tcW w:w="21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486500.00</w:t>
            </w:r>
          </w:p>
        </w:tc>
        <w:tc>
          <w:tcPr>
            <w:tcW w:w="20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仿宋" w:hAnsi="仿宋" w:eastAsia="仿宋" w:cs="仿宋"/>
                <w:b w:val="0"/>
                <w:bCs w:val="0"/>
                <w:sz w:val="24"/>
                <w:szCs w:val="24"/>
                <w:vertAlign w:val="baseline"/>
                <w:lang w:val="en-US" w:eastAsia="zh-CN"/>
              </w:rPr>
            </w:pPr>
          </w:p>
        </w:tc>
      </w:tr>
    </w:tbl>
    <w:p>
      <w:pPr>
        <w:rPr>
          <w:rFonts w:hint="eastAsia" w:ascii="宋体" w:hAnsi="宋体" w:eastAsia="宋体" w:cs="宋体"/>
          <w:kern w:val="2"/>
          <w:sz w:val="28"/>
          <w:szCs w:val="28"/>
          <w:lang w:val="en-US" w:eastAsia="zh-CN" w:bidi="ar-SA"/>
        </w:rPr>
      </w:pPr>
    </w:p>
    <w:p>
      <w:pPr>
        <w:ind w:firstLine="640" w:firstLineChars="200"/>
        <w:outlineLvl w:val="0"/>
        <w:rPr>
          <w:rFonts w:hint="eastAsia" w:ascii="黑体" w:hAnsi="黑体" w:eastAsia="黑体" w:cs="黑体"/>
          <w:kern w:val="2"/>
          <w:sz w:val="32"/>
          <w:szCs w:val="32"/>
          <w:lang w:val="en-US" w:eastAsia="zh-CN" w:bidi="ar-SA"/>
        </w:rPr>
      </w:pPr>
      <w:bookmarkStart w:id="73" w:name="_Toc10108"/>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73"/>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4" w:name="_Toc32340"/>
      <w:bookmarkStart w:id="75" w:name="_Toc16548"/>
      <w:r>
        <w:rPr>
          <w:rFonts w:hint="eastAsia" w:ascii="楷体" w:hAnsi="楷体" w:eastAsia="楷体" w:cs="楷体"/>
          <w:b/>
          <w:bCs w:val="0"/>
          <w:kern w:val="0"/>
          <w:sz w:val="32"/>
          <w:szCs w:val="32"/>
          <w:lang w:val="en-US" w:eastAsia="zh-CN"/>
        </w:rPr>
        <w:t>（一）绩效评价分析</w:t>
      </w:r>
      <w:bookmarkEnd w:id="74"/>
      <w:bookmarkEnd w:id="75"/>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2018年10月30日，围场县政府同意关于新建水源井及相关配套设施建设的项目实施，并请财政在安排2019年预算时给予考虑。本项目立项合规、方案可行、设立过程符合政策规定。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围场县四合永镇水源井</w:t>
      </w:r>
      <w:r>
        <w:rPr>
          <w:rFonts w:hint="eastAsia" w:ascii="宋体" w:hAnsi="宋体" w:eastAsia="宋体" w:cs="宋体"/>
          <w:kern w:val="2"/>
          <w:sz w:val="28"/>
          <w:szCs w:val="28"/>
          <w:highlight w:val="none"/>
          <w:lang w:val="en-US" w:eastAsia="zh-CN" w:bidi="ar-SA"/>
        </w:rPr>
        <w:t>项目的建设改善了以往因供水设施老化，供水能力不足问题；通过水源井建设改变了以前跑、冒、滴、漏现象，节约了水资源，避免了水资源浪费。建设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建设单位严格按照计划实施，依据绩效目标设定的绩效指标清晰、合理、细化、可衡量。通过对</w:t>
      </w:r>
      <w:r>
        <w:rPr>
          <w:rFonts w:hint="eastAsia" w:ascii="宋体" w:hAnsi="宋体" w:eastAsia="宋体" w:cs="宋体"/>
          <w:kern w:val="2"/>
          <w:sz w:val="28"/>
          <w:szCs w:val="28"/>
          <w:lang w:val="en-US" w:eastAsia="zh-CN" w:bidi="ar-SA"/>
        </w:rPr>
        <w:t>围场县</w:t>
      </w:r>
      <w:r>
        <w:rPr>
          <w:rFonts w:hint="eastAsia" w:ascii="宋体" w:hAnsi="宋体" w:eastAsia="宋体" w:cs="宋体"/>
          <w:sz w:val="28"/>
          <w:szCs w:val="28"/>
          <w:lang w:val="en-US" w:eastAsia="zh-CN"/>
        </w:rPr>
        <w:t>四合永镇水源井建设</w:t>
      </w:r>
      <w:r>
        <w:rPr>
          <w:rFonts w:hint="eastAsia" w:ascii="宋体" w:hAnsi="宋体" w:eastAsia="宋体" w:cs="宋体"/>
          <w:kern w:val="2"/>
          <w:sz w:val="28"/>
          <w:szCs w:val="28"/>
          <w:highlight w:val="none"/>
          <w:lang w:val="en-US" w:eastAsia="zh-CN" w:bidi="ar-SA"/>
        </w:rPr>
        <w:t>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，根据监理单位出具的质量评估报告，新建</w:t>
      </w:r>
      <w:r>
        <w:rPr>
          <w:rFonts w:hint="eastAsia" w:ascii="宋体" w:hAnsi="宋体" w:eastAsia="宋体" w:cs="宋体"/>
          <w:sz w:val="28"/>
          <w:szCs w:val="28"/>
          <w:lang w:val="en-US" w:eastAsia="zh-CN"/>
        </w:rPr>
        <w:t>四合永镇水源井</w:t>
      </w:r>
      <w:r>
        <w:rPr>
          <w:rFonts w:hint="eastAsia" w:ascii="宋体" w:hAnsi="宋体" w:eastAsia="宋体" w:cs="宋体"/>
          <w:kern w:val="2"/>
          <w:sz w:val="28"/>
          <w:szCs w:val="28"/>
          <w:highlight w:val="none"/>
          <w:lang w:val="en-US" w:eastAsia="zh-CN" w:bidi="ar-SA"/>
        </w:rPr>
        <w:t>项目符合设计图纸要求和验收规范规定，能满足安全和使用功能要求，达到合格等级质量标准，工程完成后未来可持续性强。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本项目缺少实施方案，缺少部分新建水源井及配套设施前期费用的资金凭证，其它资料基本齐全，此项考核指标扣减2分。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②项目公开招投标指标标准分值为6分，考评得分6分。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本项目新增债券资金安排的情况均已公示，项目通过正规程序公开招标，本项目没有发现应该招标没有招标的情况。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本项目债券资金使用部分项目变更控制情况较好，没有对工程进度造成影响，项目能够按照资金使用情况顺利进行。</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经我方人员核实，本项目债券资金全部用于新建水源井及配套设施建设，均未用于经常性费用支出，未用于中央明令禁止的项目支出，资金使用合规。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②县级财政国库集中支付情况指标标准分值为6分，考评得分6分。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本项目债券资金部分未发现有挪用、抽逃、延迟支付现象，项目建设资金使用合理，账务处理基本合规。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项目已完成的新建水源井及配套设施工程投资与计划实施的实际工程总投资基本吻合，主要工程量按照要求全部完成。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建设单位于2020年3月31日组织验收，对本工程建设内容和工程量进行了实测实量，最终出具了工程验收单。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的建设改善了以往因供水设施老化，供水能力不足问题；通过水源井建设改变了以前跑、冒、滴、漏现象，节约了水资源，避免了水资源浪费；原有水源井南邻中石油加油站，东西两侧均为居民住宅，虽水质检测达标，但存在供水卫生安全隐患，通过水源井改造，使附近居民及周边企事业单位的饮水安全得到了有效保障，社会效益十分显著。</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本项目施工范围内均为农田，无珍稀动植物物种，施工过程中也无爆破等影响较大的施工，因此对生物多样性没有影响。本项目施工结束后，对周边的影响即可消失，故不会对周围生态环境产生较大影响。</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由于本项目债券资金投入的为社会公益性项目，不产生直接经济效益。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与之前原有水源井相比，饮用水大大提升了，饮水卫生安全隐患基本消除，有效地避免了因饮水安全出现的事故，项目建设带来的</w:t>
      </w:r>
      <w:r>
        <w:rPr>
          <w:rFonts w:hint="eastAsia" w:ascii="宋体" w:hAnsi="宋体" w:eastAsia="宋体" w:cs="宋体"/>
          <w:sz w:val="28"/>
          <w:szCs w:val="28"/>
          <w:highlight w:val="none"/>
          <w:lang w:val="en-US" w:eastAsia="zh-CN"/>
        </w:rPr>
        <w:t>间接经济效益和社会效益非常明显，因此本项考核得分为7分。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6" w:name="_Toc27243"/>
      <w:bookmarkStart w:id="77" w:name="_Toc14098"/>
      <w:r>
        <w:rPr>
          <w:rFonts w:hint="eastAsia" w:ascii="楷体" w:hAnsi="楷体" w:eastAsia="楷体" w:cs="楷体"/>
          <w:b/>
          <w:bCs w:val="0"/>
          <w:kern w:val="0"/>
          <w:sz w:val="32"/>
          <w:szCs w:val="32"/>
          <w:lang w:eastAsia="zh-CN"/>
        </w:rPr>
        <w:t>（二）绩效评价结论</w:t>
      </w:r>
      <w:bookmarkEnd w:id="76"/>
      <w:bookmarkEnd w:id="7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sz w:val="28"/>
          <w:szCs w:val="28"/>
          <w:lang w:val="en-US" w:eastAsia="zh-CN"/>
        </w:rPr>
        <w:t>围场县四合永镇水源井建设项目</w:t>
      </w:r>
      <w:r>
        <w:rPr>
          <w:rFonts w:hint="eastAsia" w:ascii="宋体" w:hAnsi="宋体" w:eastAsia="宋体" w:cs="宋体"/>
          <w:kern w:val="2"/>
          <w:sz w:val="28"/>
          <w:szCs w:val="28"/>
          <w:highlight w:val="none"/>
          <w:lang w:val="en-US" w:eastAsia="zh-CN" w:bidi="ar-SA"/>
        </w:rPr>
        <w:t>绩效考评结果，其中：投入指标考评得分10分、管理指标考评得分28分、产出指标考评得分30分、效益指标考评得分26分。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通过对各项指标的具体分析评价，汇总得出本次绩效评价考核综合得分为94分，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通过项目建设，对社会效益影响是长期的，促进了围场县的经济繁荣。</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结果表明，围场县四合永镇水源井建设项目组织和管理较好地执行了相关规定要求，组织管理有序，对项目资金的监督管理总体有效，实施的经济效益和持续性明显。资金使用合理合规，为社会的稳定作出了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8" w:name="_Toc32395"/>
      <w:bookmarkStart w:id="79" w:name="_Toc27576"/>
      <w:r>
        <w:rPr>
          <w:rFonts w:hint="eastAsia" w:ascii="黑体" w:hAnsi="黑体" w:eastAsia="黑体" w:cs="黑体"/>
          <w:b w:val="0"/>
          <w:bCs/>
          <w:kern w:val="0"/>
          <w:sz w:val="32"/>
          <w:szCs w:val="32"/>
          <w:highlight w:val="none"/>
          <w:lang w:eastAsia="zh-CN"/>
        </w:rPr>
        <w:t>五、</w:t>
      </w:r>
      <w:bookmarkEnd w:id="78"/>
      <w:r>
        <w:rPr>
          <w:rFonts w:hint="eastAsia" w:ascii="黑体" w:hAnsi="黑体" w:eastAsia="黑体" w:cs="黑体"/>
          <w:b w:val="0"/>
          <w:bCs/>
          <w:kern w:val="0"/>
          <w:sz w:val="32"/>
          <w:szCs w:val="32"/>
          <w:highlight w:val="none"/>
          <w:lang w:eastAsia="zh-CN"/>
        </w:rPr>
        <w:t>意见及建议</w:t>
      </w:r>
      <w:bookmarkEnd w:id="79"/>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0" w:name="_Toc31396"/>
      <w:bookmarkStart w:id="81" w:name="_Toc26763"/>
      <w:bookmarkStart w:id="82" w:name="_Toc5786"/>
      <w:bookmarkStart w:id="83" w:name="_Toc7010"/>
      <w:bookmarkStart w:id="84" w:name="_Toc4296"/>
      <w:bookmarkStart w:id="85" w:name="_Toc25821"/>
      <w:r>
        <w:rPr>
          <w:rFonts w:hint="eastAsia" w:ascii="楷体" w:hAnsi="楷体" w:eastAsia="楷体" w:cs="楷体"/>
          <w:b/>
          <w:bCs/>
          <w:sz w:val="32"/>
          <w:szCs w:val="32"/>
          <w:lang w:val="en-US" w:eastAsia="zh-CN"/>
        </w:rPr>
        <w:t>（一）强化绩效理念，深入推进评价工作</w:t>
      </w:r>
      <w:bookmarkEnd w:id="80"/>
      <w:bookmarkEnd w:id="81"/>
      <w:bookmarkEnd w:id="82"/>
      <w:bookmarkEnd w:id="83"/>
      <w:bookmarkEnd w:id="84"/>
      <w:bookmarkEnd w:id="85"/>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6" w:name="_Toc14241"/>
      <w:bookmarkStart w:id="87" w:name="_Toc10505"/>
      <w:bookmarkStart w:id="88" w:name="_Toc21411"/>
      <w:bookmarkStart w:id="89" w:name="_Toc11860"/>
      <w:bookmarkStart w:id="90" w:name="_Toc6863"/>
      <w:bookmarkStart w:id="91" w:name="_Toc31137"/>
      <w:r>
        <w:rPr>
          <w:rFonts w:hint="eastAsia" w:ascii="楷体" w:hAnsi="楷体" w:eastAsia="楷体" w:cs="楷体"/>
          <w:b/>
          <w:bCs/>
          <w:sz w:val="32"/>
          <w:szCs w:val="32"/>
          <w:lang w:val="en-US" w:eastAsia="zh-CN"/>
        </w:rPr>
        <w:t>（二）强化事前准备，切实提升评价质量</w:t>
      </w:r>
      <w:bookmarkEnd w:id="86"/>
      <w:bookmarkEnd w:id="87"/>
      <w:bookmarkEnd w:id="88"/>
      <w:bookmarkEnd w:id="89"/>
      <w:bookmarkEnd w:id="90"/>
      <w:bookmarkEnd w:id="91"/>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92" w:name="_Toc10592"/>
      <w:bookmarkStart w:id="93" w:name="_Toc30061"/>
      <w:bookmarkStart w:id="94" w:name="_Toc11787"/>
      <w:bookmarkStart w:id="95" w:name="_Toc3001"/>
      <w:bookmarkStart w:id="96" w:name="_Toc21034"/>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7" w:name="_Toc32300"/>
      <w:r>
        <w:rPr>
          <w:rFonts w:hint="eastAsia" w:ascii="楷体" w:hAnsi="楷体" w:eastAsia="楷体" w:cs="楷体"/>
          <w:b/>
          <w:bCs/>
          <w:sz w:val="32"/>
          <w:szCs w:val="32"/>
          <w:lang w:val="en-US" w:eastAsia="zh-CN"/>
        </w:rPr>
        <w:t>（三）强化结果应用，不断巩固评价</w:t>
      </w:r>
      <w:bookmarkEnd w:id="92"/>
      <w:bookmarkEnd w:id="93"/>
      <w:bookmarkEnd w:id="94"/>
      <w:bookmarkEnd w:id="95"/>
      <w:bookmarkEnd w:id="96"/>
      <w:r>
        <w:rPr>
          <w:rFonts w:hint="eastAsia" w:ascii="楷体" w:hAnsi="楷体" w:eastAsia="楷体" w:cs="楷体"/>
          <w:b/>
          <w:bCs/>
          <w:sz w:val="32"/>
          <w:szCs w:val="32"/>
          <w:lang w:val="en-US" w:eastAsia="zh-CN"/>
        </w:rPr>
        <w:t>成效</w:t>
      </w:r>
      <w:bookmarkEnd w:id="97"/>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8" w:name="_Toc7605"/>
      <w:r>
        <w:rPr>
          <w:rFonts w:hint="eastAsia" w:ascii="黑体" w:hAnsi="黑体" w:eastAsia="黑体" w:cs="黑体"/>
          <w:b w:val="0"/>
          <w:bCs/>
          <w:kern w:val="0"/>
          <w:sz w:val="32"/>
          <w:szCs w:val="32"/>
          <w:lang w:val="en-US" w:eastAsia="zh-CN"/>
        </w:rPr>
        <w:t>六、附件</w:t>
      </w:r>
      <w:bookmarkEnd w:id="98"/>
    </w:p>
    <w:p>
      <w:pPr>
        <w:pStyle w:val="3"/>
        <w:bidi w:val="0"/>
        <w:rPr>
          <w:rFonts w:hint="default" w:ascii="宋体" w:hAnsi="宋体" w:eastAsia="宋体" w:cs="宋体"/>
          <w:kern w:val="2"/>
          <w:sz w:val="28"/>
          <w:szCs w:val="28"/>
          <w:highlight w:val="none"/>
          <w:lang w:val="en-US" w:eastAsia="zh-CN" w:bidi="ar-SA"/>
        </w:rPr>
      </w:pPr>
      <w:bookmarkStart w:id="99" w:name="_Toc14416"/>
      <w:r>
        <w:rPr>
          <w:rFonts w:hint="eastAsia" w:ascii="楷体" w:hAnsi="楷体" w:eastAsia="楷体" w:cs="楷体"/>
          <w:lang w:val="en-US" w:eastAsia="zh-CN"/>
        </w:rPr>
        <w:t>绩效评价指标体系得分表</w:t>
      </w:r>
      <w:bookmarkEnd w:id="99"/>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p>
    <w:p>
      <w:pPr>
        <w:adjustRightInd w:val="0"/>
        <w:snapToGrid w:val="0"/>
        <w:spacing w:line="540" w:lineRule="exact"/>
        <w:outlineLvl w:val="0"/>
        <w:rPr>
          <w:rFonts w:asciiTheme="minorEastAsia" w:hAnsiTheme="minorEastAsia"/>
          <w:sz w:val="32"/>
          <w:szCs w:val="32"/>
        </w:rPr>
      </w:pPr>
      <w:bookmarkStart w:id="100" w:name="_Toc15049"/>
      <w:bookmarkStart w:id="101" w:name="_Toc15162"/>
      <w:r>
        <w:rPr>
          <w:rFonts w:hint="eastAsia" w:asciiTheme="minorEastAsia" w:hAnsiTheme="minorEastAsia"/>
          <w:sz w:val="32"/>
          <w:szCs w:val="32"/>
        </w:rPr>
        <w:t>承德燕山会计师事务所         中国注册会计师：崔春华</w:t>
      </w:r>
      <w:bookmarkEnd w:id="100"/>
      <w:bookmarkEnd w:id="101"/>
    </w:p>
    <w:p>
      <w:pPr>
        <w:adjustRightInd w:val="0"/>
        <w:snapToGrid w:val="0"/>
        <w:spacing w:line="540" w:lineRule="exact"/>
        <w:ind w:firstLine="640" w:firstLineChars="200"/>
        <w:outlineLvl w:val="0"/>
        <w:rPr>
          <w:rFonts w:asciiTheme="minorEastAsia" w:hAnsiTheme="minorEastAsia"/>
          <w:sz w:val="32"/>
          <w:szCs w:val="32"/>
        </w:rPr>
      </w:pPr>
      <w:bookmarkStart w:id="102" w:name="_Toc17067"/>
      <w:bookmarkStart w:id="103" w:name="_Toc14815"/>
      <w:r>
        <w:rPr>
          <w:rFonts w:hint="eastAsia" w:asciiTheme="minorEastAsia" w:hAnsiTheme="minorEastAsia"/>
          <w:sz w:val="32"/>
          <w:szCs w:val="32"/>
        </w:rPr>
        <w:t>有限责任公司</w:t>
      </w:r>
      <w:bookmarkEnd w:id="102"/>
      <w:bookmarkEnd w:id="103"/>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104" w:name="_Toc10895"/>
      <w:bookmarkStart w:id="105"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104"/>
      <w:bookmarkEnd w:id="105"/>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160" w:firstLineChars="1300"/>
        <w:jc w:val="both"/>
        <w:textAlignment w:val="auto"/>
        <w:rPr>
          <w:rFonts w:hint="default" w:ascii="宋体" w:hAnsi="宋体" w:eastAsia="宋体" w:cs="宋体"/>
          <w:kern w:val="2"/>
          <w:sz w:val="28"/>
          <w:szCs w:val="28"/>
          <w:highlight w:val="none"/>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sz w:val="32"/>
          <w:szCs w:val="32"/>
          <w:lang w:val="en-US" w:eastAsia="zh-CN"/>
        </w:rPr>
        <w:t xml:space="preserve"> </w:t>
      </w:r>
      <w:bookmarkStart w:id="106"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二十八</w:t>
      </w:r>
      <w:r>
        <w:rPr>
          <w:rFonts w:hint="eastAsia" w:asciiTheme="minorEastAsia" w:hAnsiTheme="minorEastAsia"/>
          <w:sz w:val="32"/>
          <w:szCs w:val="32"/>
        </w:rPr>
        <w:t>日</w:t>
      </w:r>
      <w:bookmarkEnd w:id="106"/>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围场县四合永镇水源井建设项目</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项目依法依规招投标得6分，应该招标项目没有招标不得分；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、资金使用合规性（</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、县级财政国库集中支付情况（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及时拨付项目资金得6分，未及时拨付每发现一次扣1分；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lang w:val="en-US" w:eastAsia="zh-CN"/>
              </w:rPr>
              <w:t>9</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、工程完工情况（10分）；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、工期控制情况（10分）；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、完工项目验收情况（10分）；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17、</w:t>
            </w:r>
            <w:r>
              <w:rPr>
                <w:rFonts w:hint="eastAsia" w:ascii="宋体" w:hAnsi="宋体" w:eastAsia="宋体" w:cs="宋体"/>
                <w:color w:val="000000"/>
                <w:sz w:val="24"/>
                <w:szCs w:val="24"/>
                <w:lang w:val="en-US" w:eastAsia="zh-CN"/>
              </w:rPr>
              <w:t>项目建设带来的间接经济效益（7分）；</w:t>
            </w:r>
          </w:p>
        </w:tc>
        <w:tc>
          <w:tcPr>
            <w:tcW w:w="1208"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94</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906ECE"/>
    <w:rsid w:val="03B73450"/>
    <w:rsid w:val="047E3D7B"/>
    <w:rsid w:val="051655CE"/>
    <w:rsid w:val="06B3136F"/>
    <w:rsid w:val="09DF3A36"/>
    <w:rsid w:val="0A617961"/>
    <w:rsid w:val="0CF76258"/>
    <w:rsid w:val="0F3677D4"/>
    <w:rsid w:val="0FF14209"/>
    <w:rsid w:val="105E04DB"/>
    <w:rsid w:val="11CA6AB4"/>
    <w:rsid w:val="12192A13"/>
    <w:rsid w:val="13426D82"/>
    <w:rsid w:val="14B45770"/>
    <w:rsid w:val="1671287C"/>
    <w:rsid w:val="179E01C8"/>
    <w:rsid w:val="18B14196"/>
    <w:rsid w:val="19B12636"/>
    <w:rsid w:val="1C0818FD"/>
    <w:rsid w:val="1DCB30AC"/>
    <w:rsid w:val="1E3912B7"/>
    <w:rsid w:val="20C33C05"/>
    <w:rsid w:val="21C358CA"/>
    <w:rsid w:val="25D00022"/>
    <w:rsid w:val="261A33D3"/>
    <w:rsid w:val="27DD72F2"/>
    <w:rsid w:val="284D6241"/>
    <w:rsid w:val="2B046925"/>
    <w:rsid w:val="2B052CF6"/>
    <w:rsid w:val="2B284D4B"/>
    <w:rsid w:val="2C137100"/>
    <w:rsid w:val="2C313FB6"/>
    <w:rsid w:val="327F7BC1"/>
    <w:rsid w:val="39FB1AB6"/>
    <w:rsid w:val="3B572A1A"/>
    <w:rsid w:val="3BB5552B"/>
    <w:rsid w:val="3D7533AC"/>
    <w:rsid w:val="3EE432ED"/>
    <w:rsid w:val="41A52C9E"/>
    <w:rsid w:val="46437D54"/>
    <w:rsid w:val="47C37A03"/>
    <w:rsid w:val="48771478"/>
    <w:rsid w:val="48E449AC"/>
    <w:rsid w:val="4A924A90"/>
    <w:rsid w:val="4B440C85"/>
    <w:rsid w:val="4C1C24FD"/>
    <w:rsid w:val="4DF57240"/>
    <w:rsid w:val="4F5D274A"/>
    <w:rsid w:val="4F887C83"/>
    <w:rsid w:val="51457435"/>
    <w:rsid w:val="52083056"/>
    <w:rsid w:val="53AD2E58"/>
    <w:rsid w:val="54252E1D"/>
    <w:rsid w:val="569318BE"/>
    <w:rsid w:val="577B4A42"/>
    <w:rsid w:val="5B267031"/>
    <w:rsid w:val="5DFD3D16"/>
    <w:rsid w:val="6516415B"/>
    <w:rsid w:val="6A236F78"/>
    <w:rsid w:val="6C366E17"/>
    <w:rsid w:val="710016B0"/>
    <w:rsid w:val="75840E38"/>
    <w:rsid w:val="75DF2BA8"/>
    <w:rsid w:val="772B6771"/>
    <w:rsid w:val="77AB17FD"/>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2023-12-27T09:44:04Z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DAA1F51971B6458FBEE3EC10A69D4F46</vt:lpwstr>
  </property>
</Properties>
</file>