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highlight w:val="yellow"/>
        </w:rPr>
      </w:pPr>
      <w:r>
        <w:rPr>
          <w:rFonts w:hint="eastAsia" w:ascii="宋体" w:hAnsi="宋体" w:eastAsia="宋体" w:cs="宋体"/>
          <w:b/>
          <w:bCs/>
          <w:sz w:val="52"/>
          <w:szCs w:val="52"/>
        </w:rPr>
        <w:t>围场县城绿化提升工程</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报告文号：承燕会所审专字（2020）第280号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620" w:firstLineChars="22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承燕会所审专字（2020）第280号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23</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25062"/>
      <w:bookmarkStart w:id="1" w:name="_Toc32502"/>
      <w:bookmarkStart w:id="2" w:name="_Toc7123"/>
      <w:r>
        <w:rPr>
          <w:rFonts w:hint="eastAsia" w:ascii="宋体" w:hAnsi="宋体" w:eastAsia="宋体" w:cs="宋体"/>
          <w:b/>
          <w:bCs/>
          <w:sz w:val="36"/>
          <w:szCs w:val="36"/>
        </w:rPr>
        <w:t>围场县城绿化提升工程</w:t>
      </w:r>
      <w:bookmarkStart w:id="3" w:name="_Toc3241"/>
      <w:bookmarkStart w:id="4" w:name="_Toc26503"/>
      <w:r>
        <w:rPr>
          <w:rFonts w:hint="eastAsia" w:ascii="宋体" w:hAnsi="宋体" w:eastAsia="宋体" w:cs="宋体"/>
          <w:b/>
          <w:bCs/>
          <w:sz w:val="36"/>
          <w:szCs w:val="36"/>
        </w:rPr>
        <w:t>一般债券资金</w:t>
      </w:r>
    </w:p>
    <w:p>
      <w:pPr>
        <w:jc w:val="center"/>
        <w:outlineLvl w:val="0"/>
        <w:rPr>
          <w:rFonts w:ascii="宋体" w:hAnsi="宋体" w:eastAsia="宋体" w:cs="宋体"/>
          <w:b/>
          <w:bCs/>
          <w:sz w:val="36"/>
          <w:szCs w:val="36"/>
        </w:rPr>
      </w:pPr>
      <w:r>
        <w:rPr>
          <w:rFonts w:hint="eastAsia" w:ascii="宋体" w:hAnsi="宋体" w:eastAsia="宋体" w:cs="宋体"/>
          <w:b/>
          <w:bCs/>
          <w:sz w:val="36"/>
          <w:szCs w:val="36"/>
        </w:rPr>
        <w:t>绩效评价报告</w:t>
      </w:r>
      <w:bookmarkEnd w:id="0"/>
      <w:bookmarkEnd w:id="1"/>
      <w:bookmarkEnd w:id="2"/>
      <w:bookmarkEnd w:id="3"/>
      <w:bookmarkEnd w:id="4"/>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城绿化提升工程项目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5" w:name="_Toc8932"/>
      <w:bookmarkStart w:id="6" w:name="_Toc27945"/>
      <w:r>
        <w:rPr>
          <w:rFonts w:hint="eastAsia" w:ascii="黑体" w:hAnsi="黑体" w:eastAsia="黑体" w:cs="黑体"/>
          <w:b/>
          <w:sz w:val="32"/>
          <w:szCs w:val="32"/>
        </w:rPr>
        <w:t>一、项目基本情况</w:t>
      </w:r>
      <w:bookmarkEnd w:id="5"/>
      <w:bookmarkEnd w:id="6"/>
    </w:p>
    <w:p>
      <w:pPr>
        <w:spacing w:line="600" w:lineRule="exact"/>
        <w:ind w:firstLine="643" w:firstLineChars="200"/>
        <w:outlineLvl w:val="1"/>
        <w:rPr>
          <w:rFonts w:ascii="楷体" w:hAnsi="楷体" w:eastAsia="楷体" w:cs="楷体"/>
          <w:b/>
          <w:sz w:val="32"/>
          <w:szCs w:val="32"/>
        </w:rPr>
      </w:pPr>
      <w:bookmarkStart w:id="7" w:name="_Toc3023"/>
      <w:bookmarkStart w:id="8" w:name="_Toc1188"/>
      <w:r>
        <w:rPr>
          <w:rFonts w:hint="eastAsia" w:ascii="楷体" w:hAnsi="楷体" w:eastAsia="楷体" w:cs="楷体"/>
          <w:b/>
          <w:sz w:val="32"/>
          <w:szCs w:val="32"/>
        </w:rPr>
        <w:t>（一）项目概况</w:t>
      </w:r>
      <w:bookmarkEnd w:id="7"/>
      <w:bookmarkEnd w:id="8"/>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w:t>
      </w:r>
      <w:r>
        <w:rPr>
          <w:rFonts w:hint="eastAsia" w:ascii="宋体" w:hAnsi="宋体" w:eastAsia="宋体" w:cs="宋体"/>
          <w:sz w:val="28"/>
          <w:szCs w:val="28"/>
          <w:lang w:val="en-US" w:eastAsia="zh-CN"/>
        </w:rPr>
        <w:t>中华人民共和国</w:t>
      </w:r>
      <w:bookmarkStart w:id="91" w:name="_GoBack"/>
      <w:bookmarkEnd w:id="91"/>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其中本次投入围场县城绿化提升工程项目的债券资金共计260万元。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围场县城绿化提升工程</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围场满族蒙古族自治县围场镇</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围场满族蒙古族自治县住房和城乡规划建设局</w:t>
      </w:r>
    </w:p>
    <w:p>
      <w:pPr>
        <w:ind w:firstLine="560" w:firstLineChars="200"/>
        <w:rPr>
          <w:rFonts w:ascii="宋体" w:hAnsi="宋体" w:eastAsia="宋体" w:cs="宋体"/>
          <w:sz w:val="28"/>
          <w:szCs w:val="28"/>
        </w:rPr>
      </w:pPr>
      <w:r>
        <w:rPr>
          <w:rFonts w:hint="eastAsia" w:ascii="宋体" w:hAnsi="宋体" w:eastAsia="宋体" w:cs="宋体"/>
          <w:sz w:val="28"/>
          <w:szCs w:val="28"/>
        </w:rPr>
        <w:t>4.项目背景</w:t>
      </w:r>
    </w:p>
    <w:p>
      <w:pPr>
        <w:pStyle w:val="5"/>
        <w:ind w:left="0" w:firstLine="560" w:firstLineChars="200"/>
        <w:rPr>
          <w:rFonts w:ascii="宋体" w:hAnsi="宋体" w:eastAsia="宋体" w:cs="宋体"/>
        </w:rPr>
      </w:pPr>
      <w:r>
        <w:rPr>
          <w:rFonts w:hint="eastAsia" w:ascii="宋体" w:hAnsi="宋体" w:eastAsia="宋体" w:cs="宋体"/>
        </w:rPr>
        <w:t>城市绿化是城市重要的基础设施，是城市现代化建设的重要内容，是改善生态环境和提高广大人民群众生活质量的公益事业。改革开放以来，特别是21世纪以来，我国的城市绿化工作受到了各级人民政府的普遍重视，取得了显著成绩，城市绿化水平有了很大提高。随着我国城镇化水平的不断提高，越来越多的人口将转向城镇生活和工作，对城市生态环境的压力也将越来越大。这就对城市绿化建设提出了更高和更加迫切的要求。</w:t>
      </w:r>
    </w:p>
    <w:p>
      <w:pPr>
        <w:ind w:firstLine="560" w:firstLineChars="200"/>
        <w:rPr>
          <w:rFonts w:ascii="宋体" w:hAnsi="宋体" w:eastAsia="宋体" w:cs="宋体"/>
          <w:sz w:val="28"/>
          <w:szCs w:val="28"/>
        </w:rPr>
      </w:pPr>
      <w:r>
        <w:rPr>
          <w:rFonts w:hint="eastAsia" w:ascii="宋体" w:hAnsi="宋体" w:eastAsia="宋体" w:cs="宋体"/>
          <w:sz w:val="28"/>
          <w:szCs w:val="28"/>
        </w:rPr>
        <w:t>根据县委、县政府统一部署，为改善县城居民生活环境，经县住建局组织专业技术人员现场勘测、综合衡量，对县城内部分未达到绿化标准的小区、道路两侧根据地形建设节点式绿化，使之达到园林县城标准和城镇居住区规范要求。</w:t>
      </w:r>
    </w:p>
    <w:p>
      <w:pPr>
        <w:ind w:firstLine="560" w:firstLineChars="200"/>
        <w:rPr>
          <w:rFonts w:ascii="宋体" w:hAnsi="宋体" w:eastAsia="宋体" w:cs="宋体"/>
          <w:sz w:val="28"/>
          <w:szCs w:val="28"/>
        </w:rPr>
      </w:pPr>
      <w:r>
        <w:rPr>
          <w:rFonts w:hint="eastAsia" w:ascii="宋体" w:hAnsi="宋体" w:eastAsia="宋体" w:cs="宋体"/>
          <w:sz w:val="28"/>
          <w:szCs w:val="28"/>
        </w:rPr>
        <w:t>5.项目概况</w:t>
      </w:r>
    </w:p>
    <w:p>
      <w:pPr>
        <w:ind w:firstLine="560" w:firstLineChars="200"/>
        <w:rPr>
          <w:rFonts w:ascii="宋体" w:hAnsi="宋体" w:eastAsia="宋体" w:cs="宋体"/>
          <w:sz w:val="28"/>
          <w:szCs w:val="28"/>
        </w:rPr>
      </w:pPr>
      <w:r>
        <w:rPr>
          <w:rFonts w:hint="eastAsia" w:ascii="宋体" w:hAnsi="宋体" w:eastAsia="宋体" w:cs="宋体"/>
          <w:sz w:val="28"/>
          <w:szCs w:val="28"/>
        </w:rPr>
        <w:t>本项目建设地点位于围场满族蒙古族自治县围场镇，建设内容包括：对县城内可绿化节点、建筑退界等进行硬化铺装、绿化栽植，建设街旁绿地、小节点、游园等。建设地点：河东新村建筑退界、凤凰一号院建筑退界、豪庭御景建筑退界、丽水湾建筑退界、丽景公寓二期建筑退界、怡清园建筑退界；健康街、伊水嘉园前等市政预留绿地；木兰路、桃李街可绿化部位；惠通桥至十号橡胶坝西岸地块等。</w:t>
      </w:r>
    </w:p>
    <w:p>
      <w:pPr>
        <w:ind w:firstLine="560" w:firstLineChars="200"/>
        <w:rPr>
          <w:rFonts w:ascii="宋体" w:hAnsi="宋体" w:eastAsia="宋体" w:cs="宋体"/>
          <w:sz w:val="28"/>
          <w:szCs w:val="28"/>
        </w:rPr>
      </w:pPr>
      <w:r>
        <w:rPr>
          <w:rFonts w:hint="eastAsia" w:ascii="宋体" w:hAnsi="宋体" w:eastAsia="宋体" w:cs="宋体"/>
          <w:sz w:val="28"/>
          <w:szCs w:val="28"/>
        </w:rPr>
        <w:t>项目总用地面积32亩，共栽植乔木2225株，灌木2402墩（丛），绿篱11841.5平方米，配套建设（安装）地面硬化、围树椅、路缘石、风景石等工程。项目建设期6个月，计划自2018年5月开工建设， 2018年10月竣工验收。</w:t>
      </w:r>
    </w:p>
    <w:p>
      <w:pPr>
        <w:ind w:firstLine="560" w:firstLineChars="200"/>
        <w:rPr>
          <w:rFonts w:ascii="宋体" w:hAnsi="宋体" w:eastAsia="宋体" w:cs="宋体"/>
          <w:sz w:val="28"/>
          <w:szCs w:val="28"/>
        </w:rPr>
      </w:pPr>
      <w:r>
        <w:rPr>
          <w:rFonts w:hint="eastAsia" w:ascii="宋体" w:hAnsi="宋体" w:eastAsia="宋体" w:cs="宋体"/>
          <w:sz w:val="28"/>
          <w:szCs w:val="28"/>
        </w:rPr>
        <w:t>6.项目总投资及资金来源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项目总投资820万元，其中工程费用680.98万元，工程建设其他费用78.28万元，基本预备费用60.74万元。全部由围场满族蒙古族自治县财政局投资，其中使用政府一般债券资金260万元。</w:t>
      </w:r>
    </w:p>
    <w:p>
      <w:pPr>
        <w:spacing w:line="600" w:lineRule="exact"/>
        <w:ind w:firstLine="643" w:firstLineChars="200"/>
        <w:outlineLvl w:val="1"/>
        <w:rPr>
          <w:rFonts w:ascii="宋体" w:hAnsi="宋体" w:eastAsia="宋体" w:cs="宋体"/>
          <w:sz w:val="28"/>
          <w:szCs w:val="28"/>
        </w:rPr>
      </w:pPr>
      <w:bookmarkStart w:id="9" w:name="_Toc25308"/>
      <w:r>
        <w:rPr>
          <w:rFonts w:hint="eastAsia" w:ascii="楷体" w:hAnsi="楷体" w:eastAsia="楷体" w:cs="楷体"/>
          <w:b/>
          <w:sz w:val="32"/>
          <w:szCs w:val="32"/>
        </w:rPr>
        <w:t>（二）项目绩效目标</w:t>
      </w:r>
      <w:bookmarkEnd w:id="9"/>
      <w:bookmarkStart w:id="10" w:name="_Toc28894"/>
      <w:bookmarkStart w:id="11" w:name="_Toc12271"/>
    </w:p>
    <w:p>
      <w:pPr>
        <w:spacing w:line="600" w:lineRule="exact"/>
        <w:ind w:firstLine="560" w:firstLineChars="200"/>
        <w:outlineLvl w:val="1"/>
        <w:rPr>
          <w:rFonts w:ascii="宋体" w:hAnsi="宋体" w:eastAsia="宋体" w:cs="宋体"/>
          <w:sz w:val="28"/>
          <w:szCs w:val="28"/>
        </w:rPr>
      </w:pPr>
      <w:bookmarkStart w:id="12" w:name="_Toc31882"/>
      <w:bookmarkStart w:id="13" w:name="_Toc10011"/>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0"/>
      <w:bookmarkEnd w:id="12"/>
      <w:bookmarkEnd w:id="13"/>
    </w:p>
    <w:p>
      <w:pPr>
        <w:spacing w:line="600" w:lineRule="exact"/>
        <w:ind w:firstLine="643" w:firstLineChars="200"/>
        <w:outlineLvl w:val="1"/>
        <w:rPr>
          <w:rFonts w:ascii="楷体" w:hAnsi="楷体" w:eastAsia="楷体" w:cs="楷体"/>
          <w:b/>
          <w:sz w:val="32"/>
          <w:szCs w:val="32"/>
        </w:rPr>
      </w:pPr>
      <w:bookmarkStart w:id="14" w:name="_Toc7932"/>
      <w:r>
        <w:rPr>
          <w:rFonts w:hint="eastAsia" w:ascii="楷体" w:hAnsi="楷体" w:eastAsia="楷体" w:cs="楷体"/>
          <w:b/>
          <w:sz w:val="32"/>
          <w:szCs w:val="32"/>
        </w:rPr>
        <w:t>（三）评价对象和时段</w:t>
      </w:r>
      <w:bookmarkEnd w:id="11"/>
      <w:bookmarkEnd w:id="14"/>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本次考核评价对象：围场县城绿化提升工程。从项目投入、管理、产出、效益等方面进行全面的评价考核。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5" w:name="_Toc29608"/>
      <w:r>
        <w:rPr>
          <w:rFonts w:hint="eastAsia" w:ascii="黑体" w:hAnsi="黑体" w:eastAsia="黑体" w:cs="黑体"/>
          <w:b/>
          <w:bCs/>
          <w:sz w:val="32"/>
          <w:szCs w:val="32"/>
        </w:rPr>
        <w:t>二、绩效评价工作开展情况</w:t>
      </w:r>
      <w:bookmarkEnd w:id="15"/>
    </w:p>
    <w:p>
      <w:pPr>
        <w:ind w:firstLine="643" w:firstLineChars="200"/>
        <w:outlineLvl w:val="1"/>
        <w:rPr>
          <w:rFonts w:ascii="楷体" w:hAnsi="楷体" w:eastAsia="楷体" w:cs="楷体"/>
          <w:b/>
          <w:bCs/>
          <w:sz w:val="32"/>
          <w:szCs w:val="32"/>
        </w:rPr>
      </w:pPr>
      <w:bookmarkStart w:id="16" w:name="_Toc28234"/>
      <w:r>
        <w:rPr>
          <w:rFonts w:hint="eastAsia" w:ascii="楷体" w:hAnsi="楷体" w:eastAsia="楷体" w:cs="楷体"/>
          <w:b/>
          <w:bCs/>
          <w:sz w:val="32"/>
          <w:szCs w:val="32"/>
        </w:rPr>
        <w:t>（一）绩效评价指标权重和绩效评价指标体系</w:t>
      </w:r>
      <w:bookmarkEnd w:id="16"/>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17" w:name="_Toc20068"/>
            <w:bookmarkStart w:id="18" w:name="_Toc12872"/>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7"/>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Theme="minorEastAsia" w:hAnsiTheme="minorEastAsia" w:cstheme="minorEastAsia"/>
          <w:color w:val="000000" w:themeColor="text1"/>
          <w:szCs w:val="28"/>
          <w14:textFill>
            <w14:solidFill>
              <w14:schemeClr w14:val="tx1"/>
            </w14:solidFill>
          </w14:textFill>
        </w:rPr>
      </w:pPr>
      <w:r>
        <w:rPr>
          <w:rFonts w:hint="eastAsia" w:ascii="宋体" w:hAnsi="宋体" w:eastAsia="宋体" w:cs="宋体"/>
          <w:sz w:val="28"/>
          <w:szCs w:val="28"/>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blHeader/>
          <w:jc w:val="center"/>
        </w:trPr>
        <w:tc>
          <w:tcPr>
            <w:tcW w:w="2576"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3"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99"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99"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576"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3"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19" w:type="dxa"/>
        <w:tblInd w:w="92" w:type="dxa"/>
        <w:tblLayout w:type="fixed"/>
        <w:tblCellMar>
          <w:top w:w="0" w:type="dxa"/>
          <w:left w:w="108" w:type="dxa"/>
          <w:bottom w:w="0" w:type="dxa"/>
          <w:right w:w="108" w:type="dxa"/>
        </w:tblCellMar>
      </w:tblPr>
      <w:tblGrid>
        <w:gridCol w:w="1068"/>
        <w:gridCol w:w="7251"/>
      </w:tblGrid>
      <w:tr>
        <w:trPr>
          <w:trHeight w:val="843" w:hRule="atLeast"/>
        </w:trPr>
        <w:tc>
          <w:tcPr>
            <w:tcW w:w="1068"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19" w:name="_Toc20552"/>
            <w:bookmarkStart w:id="20" w:name="_Toc22990"/>
            <w:r>
              <w:rPr>
                <w:rFonts w:hint="eastAsia" w:ascii="宋体" w:hAnsi="宋体" w:eastAsia="宋体" w:cs="宋体"/>
                <w:b/>
                <w:bCs/>
                <w:color w:val="000000"/>
                <w:kern w:val="0"/>
                <w:sz w:val="24"/>
              </w:rPr>
              <w:t>序号</w:t>
            </w:r>
          </w:p>
        </w:tc>
        <w:tc>
          <w:tcPr>
            <w:tcW w:w="7251"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84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84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1"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84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84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1"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84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1"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84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1"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843"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1"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84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855"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19"/>
      <w:bookmarkEnd w:id="20"/>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住房和城乡规划建设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1" w:name="_Toc30379"/>
      <w:bookmarkStart w:id="22" w:name="_Toc28016"/>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1"/>
      <w:bookmarkEnd w:id="22"/>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hAnsi="宋体" w:eastAsia="宋体" w:cs="宋体"/>
          <w:sz w:val="28"/>
          <w:szCs w:val="28"/>
        </w:rPr>
      </w:pPr>
      <w:r>
        <w:rPr>
          <w:rFonts w:hint="eastAsia" w:ascii="宋体" w:hAnsi="宋体" w:eastAsia="宋体" w:cs="宋体"/>
          <w:sz w:val="28"/>
          <w:szCs w:val="28"/>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Cs w:val="28"/>
        </w:rPr>
      </w:pPr>
      <w:r>
        <w:rPr>
          <w:rFonts w:hint="eastAsia" w:ascii="宋体" w:hAnsi="宋体" w:eastAsia="宋体" w:cs="宋体"/>
          <w:sz w:val="28"/>
          <w:szCs w:val="28"/>
        </w:rPr>
        <w:t>4、因素分析法。是指综合分析影响绩效目标实现、实施效果的内外部因素的方法。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20778"/>
      <w:bookmarkStart w:id="24" w:name="_Toc12042"/>
      <w:bookmarkStart w:id="25" w:name="_Toc8164"/>
      <w:bookmarkStart w:id="26"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3"/>
      <w:bookmarkEnd w:id="24"/>
      <w:bookmarkEnd w:id="25"/>
    </w:p>
    <w:p>
      <w:pPr>
        <w:ind w:firstLine="560" w:firstLineChars="200"/>
        <w:rPr>
          <w:rFonts w:ascii="宋体" w:hAnsi="宋体" w:eastAsia="宋体" w:cs="宋体"/>
          <w:sz w:val="28"/>
          <w:szCs w:val="28"/>
        </w:rPr>
      </w:pPr>
      <w:bookmarkStart w:id="27" w:name="_Toc22556"/>
      <w:bookmarkStart w:id="28" w:name="_Toc13042"/>
      <w:bookmarkStart w:id="29" w:name="_Toc18780"/>
      <w:bookmarkStart w:id="30" w:name="_Toc2087"/>
      <w:bookmarkStart w:id="31" w:name="_Toc31807"/>
      <w:bookmarkStart w:id="32" w:name="_Toc17563"/>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7"/>
      <w:bookmarkEnd w:id="28"/>
      <w:bookmarkEnd w:id="29"/>
      <w:bookmarkEnd w:id="30"/>
      <w:bookmarkEnd w:id="31"/>
      <w:bookmarkEnd w:id="32"/>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3" w:name="_Toc15494"/>
      <w:bookmarkStart w:id="34" w:name="_Toc24529"/>
      <w:bookmarkStart w:id="35" w:name="_Toc14297"/>
      <w:bookmarkStart w:id="36" w:name="_Toc17036"/>
      <w:bookmarkStart w:id="37" w:name="_Toc14572"/>
      <w:bookmarkStart w:id="38" w:name="_Toc24972"/>
      <w:bookmarkStart w:id="39" w:name="_Toc27413"/>
      <w:bookmarkStart w:id="40" w:name="_Toc19058"/>
      <w:bookmarkStart w:id="41" w:name="_Toc24311"/>
      <w:bookmarkStart w:id="42" w:name="_Toc1487"/>
      <w:r>
        <w:rPr>
          <w:rFonts w:hint="eastAsia" w:ascii="宋体" w:hAnsi="宋体" w:eastAsia="宋体" w:cs="宋体"/>
          <w:b/>
          <w:bCs/>
          <w:kern w:val="0"/>
          <w:sz w:val="28"/>
          <w:szCs w:val="28"/>
        </w:rPr>
        <w:t>1、明确项目团队的职责与分工</w:t>
      </w:r>
      <w:bookmarkEnd w:id="33"/>
      <w:bookmarkEnd w:id="34"/>
      <w:bookmarkEnd w:id="35"/>
      <w:bookmarkEnd w:id="36"/>
      <w:bookmarkEnd w:id="37"/>
      <w:bookmarkEnd w:id="38"/>
      <w:bookmarkEnd w:id="39"/>
      <w:bookmarkEnd w:id="40"/>
      <w:bookmarkEnd w:id="41"/>
      <w:bookmarkEnd w:id="42"/>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3" w:name="_Toc25494"/>
      <w:bookmarkStart w:id="44" w:name="_Toc29931"/>
      <w:bookmarkStart w:id="45" w:name="_Toc27143"/>
      <w:bookmarkStart w:id="46" w:name="_Toc6642"/>
      <w:bookmarkStart w:id="47" w:name="_Toc31637"/>
      <w:bookmarkStart w:id="48" w:name="_Toc28394"/>
    </w:p>
    <w:p>
      <w:pPr>
        <w:spacing w:before="156" w:beforeLines="50" w:after="156" w:afterLines="50"/>
        <w:ind w:left="420" w:leftChars="200" w:firstLine="281" w:firstLineChars="100"/>
        <w:outlineLvl w:val="1"/>
        <w:rPr>
          <w:rFonts w:ascii="宋体" w:hAnsi="宋体" w:eastAsia="宋体" w:cs="宋体"/>
          <w:b/>
          <w:bCs/>
          <w:kern w:val="0"/>
          <w:sz w:val="28"/>
          <w:szCs w:val="28"/>
        </w:rPr>
      </w:pPr>
      <w:r>
        <w:rPr>
          <w:rFonts w:hint="eastAsia" w:ascii="宋体" w:hAnsi="宋体" w:eastAsia="宋体" w:cs="宋体"/>
          <w:b/>
          <w:bCs/>
          <w:kern w:val="0"/>
          <w:sz w:val="28"/>
          <w:szCs w:val="28"/>
        </w:rPr>
        <w:t>2、评价工作各相关当事方的职责</w:t>
      </w:r>
      <w:bookmarkEnd w:id="43"/>
      <w:bookmarkEnd w:id="44"/>
      <w:bookmarkEnd w:id="45"/>
      <w:bookmarkEnd w:id="46"/>
      <w:bookmarkEnd w:id="47"/>
      <w:bookmarkEnd w:id="48"/>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257"/>
        <w:gridCol w:w="5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Header/>
          <w:jc w:val="center"/>
        </w:trPr>
        <w:tc>
          <w:tcPr>
            <w:tcW w:w="84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57"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60"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842"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57"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60"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42"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57"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60"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842"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57"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60"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49" w:name="_Toc24530"/>
      <w:bookmarkStart w:id="50" w:name="_Toc17781"/>
      <w:bookmarkStart w:id="51" w:name="_Toc27067"/>
      <w:bookmarkStart w:id="52" w:name="_Toc332"/>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49"/>
      <w:bookmarkEnd w:id="50"/>
      <w:bookmarkEnd w:id="51"/>
      <w:bookmarkEnd w:id="52"/>
    </w:p>
    <w:p>
      <w:pPr>
        <w:adjustRightInd w:val="0"/>
        <w:snapToGrid w:val="0"/>
        <w:spacing w:line="600" w:lineRule="exact"/>
        <w:ind w:firstLine="640" w:firstLineChars="200"/>
        <w:outlineLvl w:val="0"/>
        <w:rPr>
          <w:rFonts w:ascii="黑体" w:hAnsi="黑体" w:eastAsia="黑体" w:cs="黑体"/>
          <w:sz w:val="32"/>
          <w:szCs w:val="32"/>
        </w:rPr>
      </w:pPr>
      <w:bookmarkStart w:id="53" w:name="_Toc20611"/>
      <w:r>
        <w:rPr>
          <w:rFonts w:hint="eastAsia" w:ascii="黑体" w:hAnsi="黑体" w:eastAsia="黑体" w:cs="黑体"/>
          <w:sz w:val="32"/>
          <w:szCs w:val="32"/>
        </w:rPr>
        <w:t>三、</w:t>
      </w:r>
      <w:bookmarkEnd w:id="26"/>
      <w:r>
        <w:rPr>
          <w:rFonts w:hint="eastAsia" w:ascii="黑体" w:hAnsi="黑体" w:eastAsia="黑体" w:cs="黑体"/>
          <w:sz w:val="32"/>
          <w:szCs w:val="32"/>
        </w:rPr>
        <w:t>项目实施及资金使用情况</w:t>
      </w:r>
      <w:bookmarkEnd w:id="53"/>
    </w:p>
    <w:p>
      <w:pPr>
        <w:ind w:firstLine="643" w:firstLineChars="200"/>
        <w:outlineLvl w:val="1"/>
        <w:rPr>
          <w:rFonts w:ascii="楷体" w:hAnsi="楷体" w:eastAsia="楷体" w:cs="楷体"/>
          <w:b/>
          <w:bCs/>
          <w:sz w:val="32"/>
          <w:szCs w:val="32"/>
        </w:rPr>
      </w:pPr>
      <w:bookmarkStart w:id="54" w:name="_Toc15753"/>
      <w:bookmarkStart w:id="55" w:name="_Toc6786"/>
      <w:r>
        <w:rPr>
          <w:rFonts w:hint="eastAsia" w:ascii="楷体" w:hAnsi="楷体" w:eastAsia="楷体" w:cs="楷体"/>
          <w:b/>
          <w:bCs/>
          <w:sz w:val="32"/>
          <w:szCs w:val="32"/>
        </w:rPr>
        <w:t>（一）项目实施情况</w:t>
      </w:r>
      <w:bookmarkEnd w:id="54"/>
      <w:bookmarkEnd w:id="55"/>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围场满族蒙古族自治县行政审批局于2018年4月20日下达了关于县城绿化提升工程投资计划的通知（围行审投〔2018〕36号）。</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建设地点：围场县围场镇。</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建设性质：新建。</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2018年6月6日，围场满族蒙古族自治县住房和城乡规划建设局通过公开招标方式，经评标委员会评审确定中旭志建设有限公司为本项目的中标单位，中标价651.559284万元。并于2018年6月13日双方签订了建设工程施工合同，同时约定了工程承包范围、合同工期、质量标准、合同价款等相关事宜。</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计划开工日期：2018年6月24日；</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计划竣工日期：2019年1月2日；</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工期：193日历天；</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项目建成后，有建设单位组织竣工验收，验收结论:本工程完成图纸中的各项工程，施工资料整理完成，基本符合要求，各类植物均有准送检疫手续，工程质量达到要求。</w:t>
      </w:r>
    </w:p>
    <w:p>
      <w:pPr>
        <w:ind w:firstLine="643" w:firstLineChars="200"/>
        <w:outlineLvl w:val="1"/>
        <w:rPr>
          <w:rFonts w:ascii="楷体" w:hAnsi="楷体" w:eastAsia="楷体" w:cs="楷体"/>
          <w:b/>
          <w:bCs/>
          <w:sz w:val="32"/>
          <w:szCs w:val="32"/>
        </w:rPr>
      </w:pPr>
      <w:bookmarkStart w:id="56" w:name="_Toc11091"/>
      <w:bookmarkStart w:id="57" w:name="_Toc14809"/>
      <w:r>
        <w:rPr>
          <w:rFonts w:hint="eastAsia" w:ascii="楷体" w:hAnsi="楷体" w:eastAsia="楷体" w:cs="楷体"/>
          <w:b/>
          <w:bCs/>
          <w:sz w:val="32"/>
          <w:szCs w:val="32"/>
        </w:rPr>
        <w:t>（二）资金使用情况</w:t>
      </w:r>
      <w:bookmarkEnd w:id="56"/>
      <w:bookmarkEnd w:id="57"/>
    </w:p>
    <w:p>
      <w:pPr>
        <w:pStyle w:val="5"/>
        <w:ind w:left="0" w:firstLine="560" w:firstLineChars="200"/>
        <w:rPr>
          <w:rFonts w:ascii="宋体" w:hAnsi="宋体" w:eastAsia="宋体" w:cs="宋体"/>
        </w:rPr>
      </w:pPr>
      <w:bookmarkStart w:id="58" w:name="_Toc15054"/>
      <w:bookmarkStart w:id="59" w:name="_Toc13622"/>
      <w:r>
        <w:rPr>
          <w:rFonts w:hint="eastAsia" w:ascii="宋体" w:hAnsi="宋体" w:eastAsia="宋体" w:cs="宋体"/>
        </w:rPr>
        <w:t>2019年7月31日财政拨付县城绿化提升工程项目建设工程款260万元。</w:t>
      </w:r>
    </w:p>
    <w:p>
      <w:pPr>
        <w:pStyle w:val="5"/>
        <w:ind w:left="0" w:firstLine="560" w:firstLineChars="200"/>
        <w:rPr>
          <w:rFonts w:ascii="宋体" w:hAnsi="宋体" w:eastAsia="宋体" w:cs="宋体"/>
        </w:rPr>
      </w:pPr>
      <w:r>
        <w:rPr>
          <w:rFonts w:hint="eastAsia" w:ascii="宋体" w:hAnsi="宋体" w:eastAsia="宋体" w:cs="宋体"/>
        </w:rPr>
        <w:t>2019年8月2日围场满族蒙古族自治县住房和城乡建设局支付中旭志建设有限公司工程款260万元。</w:t>
      </w:r>
    </w:p>
    <w:p>
      <w:pPr>
        <w:ind w:firstLine="560" w:firstLineChars="200"/>
        <w:rPr>
          <w:rFonts w:ascii="楷体" w:hAnsi="楷体" w:eastAsia="楷体" w:cs="楷体"/>
          <w:b/>
          <w:bCs/>
          <w:sz w:val="32"/>
          <w:szCs w:val="32"/>
        </w:rPr>
      </w:pPr>
      <w:r>
        <w:rPr>
          <w:rFonts w:hint="eastAsia" w:ascii="宋体" w:hAnsi="宋体" w:eastAsia="宋体" w:cs="宋体"/>
          <w:sz w:val="28"/>
          <w:szCs w:val="28"/>
        </w:rPr>
        <w:t>审批程序合规，收支凭证和发票齐全。</w:t>
      </w:r>
      <w:bookmarkEnd w:id="58"/>
      <w:bookmarkEnd w:id="59"/>
    </w:p>
    <w:p>
      <w:pPr>
        <w:ind w:firstLine="640" w:firstLineChars="200"/>
        <w:outlineLvl w:val="0"/>
        <w:rPr>
          <w:rFonts w:ascii="黑体" w:hAnsi="黑体" w:eastAsia="黑体" w:cs="黑体"/>
          <w:sz w:val="32"/>
          <w:szCs w:val="32"/>
        </w:rPr>
      </w:pPr>
      <w:bookmarkStart w:id="60" w:name="_Toc25872"/>
      <w:r>
        <w:rPr>
          <w:rFonts w:hint="eastAsia" w:ascii="黑体" w:hAnsi="黑体" w:eastAsia="黑体" w:cs="黑体"/>
          <w:sz w:val="32"/>
          <w:szCs w:val="32"/>
        </w:rPr>
        <w:t>四、绩效评价分析与结论</w:t>
      </w:r>
      <w:bookmarkEnd w:id="60"/>
    </w:p>
    <w:p>
      <w:pPr>
        <w:adjustRightInd w:val="0"/>
        <w:snapToGrid w:val="0"/>
        <w:spacing w:line="360" w:lineRule="auto"/>
        <w:ind w:firstLine="643" w:firstLineChars="200"/>
        <w:outlineLvl w:val="1"/>
        <w:rPr>
          <w:rFonts w:ascii="楷体" w:hAnsi="楷体" w:eastAsia="楷体" w:cs="楷体"/>
          <w:b/>
          <w:kern w:val="0"/>
          <w:sz w:val="32"/>
          <w:szCs w:val="32"/>
          <w:highlight w:val="yellow"/>
        </w:rPr>
      </w:pPr>
      <w:bookmarkStart w:id="61" w:name="_Toc2427"/>
      <w:bookmarkStart w:id="62" w:name="_Toc16548"/>
      <w:r>
        <w:rPr>
          <w:rFonts w:hint="eastAsia" w:ascii="楷体" w:hAnsi="楷体" w:eastAsia="楷体" w:cs="楷体"/>
          <w:b/>
          <w:kern w:val="0"/>
          <w:sz w:val="32"/>
          <w:szCs w:val="32"/>
        </w:rPr>
        <w:t>（一）绩效评价分析</w:t>
      </w:r>
      <w:bookmarkEnd w:id="61"/>
      <w:bookmarkEnd w:id="62"/>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围场满族蒙古族自治县行政审批局于2018年4月20日下达了关于县城绿化提升工程投资计划的通知（围行审投〔2018〕36号。本项目立项合规、方案可行、设立过程符合政策规定。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实施单位按照项目所设定的绩效目标依据充分，投入可行，资金来源合规，符合客观实际，能够达到设定的目标。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严格按照方案实施，依据绩效目标设定的绩效指标清晰、合理、细化、可衡量。通过对围场县城绿化提升工程项目的分析，施工单位能够按照规范执行，栽植苗木成活率高，硬化铺装验收合格，项目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（1）业务管理指标绩效评价设定分值为15分，考评得分13分。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绩效评价涉及到的实施方案、施工合同、竣工验收报告、财务等资料基本齐全。竣工验收资料有待完善，验收时间不明确，此项考核指标扣减2分。</w:t>
      </w:r>
    </w:p>
    <w:p>
      <w:pPr>
        <w:ind w:firstLine="560" w:firstLineChars="200"/>
        <w:rPr>
          <w:rFonts w:ascii="宋体" w:hAnsi="宋体" w:eastAsia="宋体" w:cs="宋体"/>
          <w:sz w:val="28"/>
          <w:szCs w:val="28"/>
        </w:rPr>
      </w:pPr>
      <w:r>
        <w:rPr>
          <w:rFonts w:hint="eastAsia" w:ascii="宋体" w:hAnsi="宋体" w:eastAsia="宋体" w:cs="宋体"/>
          <w:sz w:val="28"/>
          <w:szCs w:val="28"/>
        </w:rPr>
        <w:t>②项目公开招投标情况指标标准分值为6分，考评得分6分。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sz w:val="28"/>
          <w:szCs w:val="28"/>
        </w:rPr>
      </w:pPr>
      <w:r>
        <w:rPr>
          <w:rFonts w:hint="eastAsia" w:ascii="宋体" w:hAnsi="宋体" w:eastAsia="宋体" w:cs="宋体"/>
          <w:sz w:val="28"/>
          <w:szCs w:val="28"/>
        </w:rPr>
        <w:t>本次使用的债券资金列入到本项目工程款中，债券资金使用部分项目变更控制情况较好，没有对工程进度造成影响，项目能够按照资金使用情况顺利进行。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本项目已按国库集中支付制度要求，按照围政〔2019〕100号文件分配方案在县级财政集中支付，未出现资金拖欠现象。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我方评价小组在检查工程款支付凭证时未发现资金有挪用、抽逃、延迟支付现象，项目建设资金使用合理，账务处理基本合规。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由于本工程项目竣工验收报告中没有明确竣工时间，因此我方无法对项目工期控制情况做出判断，按照绩效指标体系评分标准扣减2分。</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项目建成后，有建设单位组织竣工验收，设计、施工、监理单位参加。验收结论:本工程完成图纸中的各项工程，施工资料整理完成，基本符合要求，各类植物均有准送检疫手续，工程质量达到要求。</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效益指标绩效评价设定分值为30分，考评得分26分。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围场县城绿化提升工程完工项目按批复设定的总体目标全面实现，达到预期目标。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通过创建城市居住区和道路绿化，提高了居民生活环境，提升了城市的品位，树立了良好的城市形象，有效促进围场满族蒙古族自治县社会和谐发展，社会影响良好。</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在建设初期，硬化铺装、绿化栽植等施工作业会对人们的出行带来不便，随着项目的完工，街道变得更加整洁，环境得到了明显提升，城市绿化作为城市生态的重要载体，通过大力发展绿化工程，使围场满族蒙古族自治县生态环境得到可持续发展的保障。</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由于债券资金投入的项目多为社会公益性项目，本项目为县城绿化提升工程，不产生直接经济效益。</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本项目建设可能会对围场县经济发展和社会进步起到一定作用，还可以为招商引资创造极佳条件，拉动围场满族蒙古族自治县经济发展，另外可以带动周边地价的上涨，促进经济繁荣，此项考核指标给予5分。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3" w:name="_Toc22148"/>
      <w:bookmarkStart w:id="64" w:name="_Toc14098"/>
      <w:r>
        <w:rPr>
          <w:rFonts w:hint="eastAsia" w:ascii="楷体" w:hAnsi="楷体" w:eastAsia="楷体" w:cs="楷体"/>
          <w:b/>
          <w:kern w:val="0"/>
          <w:sz w:val="32"/>
          <w:szCs w:val="32"/>
        </w:rPr>
        <w:t>（二）绩效评价结论</w:t>
      </w:r>
      <w:bookmarkEnd w:id="63"/>
      <w:bookmarkEnd w:id="64"/>
    </w:p>
    <w:p>
      <w:pPr>
        <w:ind w:firstLine="560" w:firstLineChars="200"/>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绩效评价指标综合得分情况：</w:t>
      </w:r>
    </w:p>
    <w:p>
      <w:pPr>
        <w:ind w:firstLine="560" w:firstLineChars="200"/>
        <w:rPr>
          <w:rFonts w:ascii="宋体" w:hAnsi="宋体" w:eastAsia="宋体" w:cs="宋体"/>
          <w:sz w:val="28"/>
          <w:szCs w:val="28"/>
        </w:rPr>
      </w:pPr>
      <w:r>
        <w:rPr>
          <w:rFonts w:hint="eastAsia" w:ascii="宋体" w:hAnsi="宋体" w:eastAsia="宋体" w:cs="宋体"/>
          <w:sz w:val="28"/>
          <w:szCs w:val="28"/>
        </w:rPr>
        <w:t>围场县城绿化提升工程绩效考评结果，其中：投入指标考评得分10分、管理指标考评得分28分、产出指标考评得分28分、效益指标考评得分26分。通过对各项指标的具体分析评价，汇总得出本次绩效评价考核综合得分为92分，总体评价为“优”。</w:t>
      </w:r>
    </w:p>
    <w:p>
      <w:pPr>
        <w:ind w:firstLine="560" w:firstLineChars="200"/>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通过项目建设，对社会效益影响是长期的，促进了围场县的经济繁荣。</w:t>
      </w:r>
    </w:p>
    <w:p>
      <w:pPr>
        <w:ind w:firstLine="560" w:firstLineChars="200"/>
        <w:rPr>
          <w:rFonts w:ascii="宋体" w:hAnsi="宋体" w:eastAsia="宋体" w:cs="宋体"/>
          <w:sz w:val="28"/>
          <w:szCs w:val="28"/>
        </w:rPr>
      </w:pPr>
      <w:r>
        <w:rPr>
          <w:rFonts w:hint="eastAsia" w:ascii="宋体" w:hAnsi="宋体" w:eastAsia="宋体" w:cs="宋体"/>
          <w:sz w:val="28"/>
          <w:szCs w:val="28"/>
        </w:rPr>
        <w:t>评价结果表明，围场县城绿化提升工程组织和管理较好地执行了相关规定要求，组织管理有序，单位财务管理制度基本健全，对项目资金的监督管理总体有效，实施的经济效益和持续性明显。资金使用合理合规，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5" w:name="_Toc32395"/>
      <w:bookmarkStart w:id="66" w:name="_Toc29435"/>
      <w:r>
        <w:rPr>
          <w:rFonts w:hint="eastAsia" w:ascii="黑体" w:hAnsi="黑体" w:eastAsia="黑体" w:cs="黑体"/>
          <w:bCs/>
          <w:kern w:val="0"/>
          <w:sz w:val="32"/>
          <w:szCs w:val="32"/>
        </w:rPr>
        <w:t>五、</w:t>
      </w:r>
      <w:bookmarkEnd w:id="65"/>
      <w:r>
        <w:rPr>
          <w:rFonts w:hint="eastAsia" w:ascii="黑体" w:hAnsi="黑体" w:eastAsia="黑体" w:cs="黑体"/>
          <w:bCs/>
          <w:kern w:val="0"/>
          <w:sz w:val="32"/>
          <w:szCs w:val="32"/>
        </w:rPr>
        <w:t>意见及建议</w:t>
      </w:r>
      <w:bookmarkEnd w:id="66"/>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67" w:name="_Toc15246"/>
      <w:bookmarkStart w:id="68" w:name="_Toc31396"/>
      <w:bookmarkStart w:id="69" w:name="_Toc7010"/>
      <w:bookmarkStart w:id="70" w:name="_Toc26763"/>
      <w:bookmarkStart w:id="71" w:name="_Toc25821"/>
      <w:bookmarkStart w:id="72" w:name="_Toc5786"/>
      <w:r>
        <w:rPr>
          <w:rFonts w:hint="eastAsia" w:ascii="楷体" w:hAnsi="楷体" w:eastAsia="楷体" w:cs="楷体"/>
        </w:rPr>
        <w:t>（一）强化绩效理念，深入推进评价工作</w:t>
      </w:r>
      <w:bookmarkEnd w:id="67"/>
      <w:bookmarkEnd w:id="68"/>
      <w:bookmarkEnd w:id="69"/>
      <w:bookmarkEnd w:id="70"/>
      <w:bookmarkEnd w:id="71"/>
      <w:bookmarkEnd w:id="72"/>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3" w:name="_Toc6863"/>
      <w:bookmarkStart w:id="74" w:name="_Toc14241"/>
      <w:bookmarkStart w:id="75" w:name="_Toc19932"/>
      <w:bookmarkStart w:id="76" w:name="_Toc11860"/>
      <w:bookmarkStart w:id="77" w:name="_Toc21411"/>
      <w:bookmarkStart w:id="78" w:name="_Toc10505"/>
      <w:r>
        <w:rPr>
          <w:rFonts w:hint="eastAsia" w:ascii="楷体" w:hAnsi="楷体" w:eastAsia="楷体" w:cs="楷体"/>
        </w:rPr>
        <w:t>（二）强化事前准备，切实提升评价质量</w:t>
      </w:r>
      <w:bookmarkEnd w:id="73"/>
      <w:bookmarkEnd w:id="74"/>
      <w:bookmarkEnd w:id="75"/>
      <w:bookmarkEnd w:id="76"/>
      <w:bookmarkEnd w:id="77"/>
      <w:bookmarkEnd w:id="78"/>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79" w:name="_Toc11787"/>
      <w:bookmarkStart w:id="80" w:name="_Toc3001"/>
      <w:bookmarkStart w:id="81" w:name="_Toc30061"/>
      <w:bookmarkStart w:id="82" w:name="_Toc10592"/>
      <w:bookmarkStart w:id="83" w:name="_Toc21034"/>
    </w:p>
    <w:p>
      <w:pPr>
        <w:pStyle w:val="3"/>
        <w:spacing w:line="240" w:lineRule="auto"/>
        <w:ind w:firstLine="643" w:firstLineChars="200"/>
        <w:rPr>
          <w:rFonts w:ascii="楷体" w:hAnsi="楷体" w:eastAsia="楷体" w:cs="楷体"/>
        </w:rPr>
      </w:pPr>
      <w:bookmarkStart w:id="84" w:name="_Toc16658"/>
      <w:r>
        <w:rPr>
          <w:rFonts w:hint="eastAsia" w:ascii="楷体" w:hAnsi="楷体" w:eastAsia="楷体" w:cs="楷体"/>
        </w:rPr>
        <w:t>（三）强化结果应用，不断巩固评价</w:t>
      </w:r>
      <w:bookmarkEnd w:id="79"/>
      <w:bookmarkEnd w:id="80"/>
      <w:bookmarkEnd w:id="81"/>
      <w:bookmarkEnd w:id="82"/>
      <w:bookmarkEnd w:id="83"/>
      <w:r>
        <w:rPr>
          <w:rFonts w:hint="eastAsia" w:ascii="楷体" w:hAnsi="楷体" w:eastAsia="楷体" w:cs="楷体"/>
        </w:rPr>
        <w:t>成效</w:t>
      </w:r>
      <w:bookmarkEnd w:id="84"/>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5" w:name="_Toc24195"/>
      <w:r>
        <w:rPr>
          <w:rFonts w:hint="eastAsia" w:ascii="黑体" w:hAnsi="黑体" w:eastAsia="黑体" w:cs="黑体"/>
          <w:bCs/>
          <w:kern w:val="0"/>
          <w:sz w:val="32"/>
          <w:szCs w:val="32"/>
        </w:rPr>
        <w:t>六、附件</w:t>
      </w:r>
      <w:bookmarkEnd w:id="85"/>
    </w:p>
    <w:p>
      <w:pPr>
        <w:pStyle w:val="3"/>
        <w:rPr>
          <w:rFonts w:ascii="宋体" w:hAnsi="宋体" w:eastAsia="宋体" w:cs="宋体"/>
          <w:sz w:val="28"/>
          <w:szCs w:val="28"/>
        </w:rPr>
      </w:pPr>
      <w:bookmarkStart w:id="86" w:name="_Toc164"/>
      <w:r>
        <w:rPr>
          <w:rFonts w:hint="eastAsia" w:ascii="楷体" w:hAnsi="楷体" w:eastAsia="楷体" w:cs="楷体"/>
        </w:rPr>
        <w:t>绩效评价指标体系得分表</w:t>
      </w:r>
      <w:bookmarkEnd w:id="86"/>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87" w:name="_Toc15162"/>
      <w:r>
        <w:rPr>
          <w:rFonts w:hint="eastAsia" w:asciiTheme="minorEastAsia" w:hAnsiTheme="minorEastAsia"/>
          <w:sz w:val="32"/>
          <w:szCs w:val="32"/>
        </w:rPr>
        <w:t>承德燕山会计师事务所         中国注册会计师：</w:t>
      </w:r>
      <w:bookmarkEnd w:id="87"/>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88" w:name="_Toc14815"/>
      <w:r>
        <w:rPr>
          <w:rFonts w:hint="eastAsia" w:asciiTheme="minorEastAsia" w:hAnsiTheme="minorEastAsia"/>
          <w:sz w:val="32"/>
          <w:szCs w:val="32"/>
        </w:rPr>
        <w:t>有限责任公司</w:t>
      </w:r>
      <w:bookmarkEnd w:id="88"/>
    </w:p>
    <w:p>
      <w:pPr>
        <w:ind w:firstLine="640" w:firstLineChars="200"/>
        <w:outlineLvl w:val="0"/>
        <w:rPr>
          <w:rFonts w:hint="eastAsia" w:asciiTheme="minorEastAsia" w:hAnsiTheme="minorEastAsia" w:eastAsiaTheme="minorEastAsia"/>
          <w:sz w:val="32"/>
          <w:szCs w:val="32"/>
          <w:lang w:eastAsia="zh-CN"/>
        </w:rPr>
      </w:pPr>
      <w:bookmarkStart w:id="89" w:name="_Toc13463"/>
      <w:r>
        <w:rPr>
          <w:rFonts w:hint="eastAsia" w:asciiTheme="minorEastAsia" w:hAnsiTheme="minorEastAsia"/>
          <w:sz w:val="32"/>
          <w:szCs w:val="32"/>
        </w:rPr>
        <w:t>河北·承德               中国注册会计师：</w:t>
      </w:r>
      <w:bookmarkEnd w:id="89"/>
      <w:r>
        <w:rPr>
          <w:rFonts w:hint="eastAsia" w:asciiTheme="minorEastAsia" w:hAnsiTheme="minorEastAsia"/>
          <w:sz w:val="32"/>
          <w:szCs w:val="32"/>
          <w:lang w:eastAsia="zh-CN"/>
        </w:rPr>
        <w:t>白秀云</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bookmarkStart w:id="90" w:name="_Toc29542"/>
    </w:p>
    <w:p>
      <w:pPr>
        <w:ind w:firstLine="640" w:firstLineChars="200"/>
        <w:rPr>
          <w:rFonts w:asciiTheme="minorEastAsia" w:hAnsiTheme="minorEastAsia"/>
          <w:sz w:val="32"/>
          <w:szCs w:val="32"/>
        </w:rPr>
      </w:pP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二○二〇年十二月二十八日</w:t>
      </w:r>
      <w:bookmarkEnd w:id="90"/>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围场县城绿化提升工程绩效评价指标体系得分表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92</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1047DB"/>
    <w:rsid w:val="00256E0E"/>
    <w:rsid w:val="002E4470"/>
    <w:rsid w:val="003F6F59"/>
    <w:rsid w:val="03906ECE"/>
    <w:rsid w:val="03B73450"/>
    <w:rsid w:val="047E3D7B"/>
    <w:rsid w:val="06B3136F"/>
    <w:rsid w:val="09DF3A36"/>
    <w:rsid w:val="0A617961"/>
    <w:rsid w:val="0CF76258"/>
    <w:rsid w:val="0FF14209"/>
    <w:rsid w:val="105E04DB"/>
    <w:rsid w:val="118A6F16"/>
    <w:rsid w:val="11CA6AB4"/>
    <w:rsid w:val="12192A13"/>
    <w:rsid w:val="13426D82"/>
    <w:rsid w:val="1671287C"/>
    <w:rsid w:val="179E01C8"/>
    <w:rsid w:val="18B14196"/>
    <w:rsid w:val="19B12636"/>
    <w:rsid w:val="1C0818FD"/>
    <w:rsid w:val="1DCB30AC"/>
    <w:rsid w:val="1E3912B7"/>
    <w:rsid w:val="21C358CA"/>
    <w:rsid w:val="25D00022"/>
    <w:rsid w:val="261A33D3"/>
    <w:rsid w:val="27DD72F2"/>
    <w:rsid w:val="284D6241"/>
    <w:rsid w:val="297639A8"/>
    <w:rsid w:val="2B052CF6"/>
    <w:rsid w:val="2B284D4B"/>
    <w:rsid w:val="2C137100"/>
    <w:rsid w:val="327F7BC1"/>
    <w:rsid w:val="32FF511F"/>
    <w:rsid w:val="39FB1AB6"/>
    <w:rsid w:val="3BB5552B"/>
    <w:rsid w:val="3D7533AC"/>
    <w:rsid w:val="3EE432ED"/>
    <w:rsid w:val="40BC64F7"/>
    <w:rsid w:val="41A52C9E"/>
    <w:rsid w:val="46437D54"/>
    <w:rsid w:val="47C37A03"/>
    <w:rsid w:val="48771478"/>
    <w:rsid w:val="48E449AC"/>
    <w:rsid w:val="48E950F1"/>
    <w:rsid w:val="4A924A90"/>
    <w:rsid w:val="4B440C85"/>
    <w:rsid w:val="4C1C24FD"/>
    <w:rsid w:val="4DF57240"/>
    <w:rsid w:val="4F5D274A"/>
    <w:rsid w:val="4F887C83"/>
    <w:rsid w:val="50DF58F8"/>
    <w:rsid w:val="53AD2E58"/>
    <w:rsid w:val="54252E1D"/>
    <w:rsid w:val="569318BE"/>
    <w:rsid w:val="577B4A42"/>
    <w:rsid w:val="5B267031"/>
    <w:rsid w:val="5DFA18B2"/>
    <w:rsid w:val="6839690C"/>
    <w:rsid w:val="6A236F78"/>
    <w:rsid w:val="6BD4216E"/>
    <w:rsid w:val="6F886C32"/>
    <w:rsid w:val="70443140"/>
    <w:rsid w:val="710016B0"/>
    <w:rsid w:val="73CF2765"/>
    <w:rsid w:val="75840E38"/>
    <w:rsid w:val="75902D2A"/>
    <w:rsid w:val="772B6771"/>
    <w:rsid w:val="77AB17FD"/>
    <w:rsid w:val="79040C09"/>
    <w:rsid w:val="7C7712BF"/>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11458</Words>
  <Characters>2703</Characters>
  <Lines>22</Lines>
  <Paragraphs>28</Paragraphs>
  <TotalTime>14</TotalTime>
  <ScaleCrop>false</ScaleCrop>
  <LinksUpToDate>false</LinksUpToDate>
  <CharactersWithSpaces>14133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2023-12-27T09:32:05Z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DAA1F51971B6458FBEE3EC10A69D4F46</vt:lpwstr>
  </property>
</Properties>
</file>