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围场县东山市民休闲公园</w:t>
      </w:r>
    </w:p>
    <w:p>
      <w:pPr>
        <w:jc w:val="center"/>
        <w:rPr>
          <w:rFonts w:ascii="宋体" w:hAnsi="宋体" w:eastAsia="宋体" w:cs="宋体"/>
          <w:b/>
          <w:bCs/>
          <w:sz w:val="52"/>
          <w:szCs w:val="52"/>
        </w:rPr>
      </w:pPr>
      <w:r>
        <w:rPr>
          <w:rFonts w:hint="eastAsia" w:ascii="宋体" w:hAnsi="宋体" w:eastAsia="宋体" w:cs="宋体"/>
          <w:b/>
          <w:bCs/>
          <w:sz w:val="52"/>
          <w:szCs w:val="52"/>
        </w:rPr>
        <w:t>续建工程项目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报告文号：承燕会所审专字（2020）第278号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承燕会所审专字（2020）第278号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9565"/>
      <w:bookmarkStart w:id="1" w:name="_Toc13259"/>
      <w:bookmarkStart w:id="2" w:name="_Toc32502"/>
      <w:bookmarkStart w:id="3" w:name="_Toc7123"/>
      <w:bookmarkStart w:id="4" w:name="_Toc2506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东山市民休闲公园续建项目</w:t>
      </w:r>
    </w:p>
    <w:p>
      <w:pPr>
        <w:jc w:val="center"/>
        <w:outlineLvl w:val="0"/>
        <w:rPr>
          <w:rFonts w:ascii="宋体" w:hAnsi="宋体" w:eastAsia="宋体" w:cs="宋体"/>
          <w:b/>
          <w:bCs/>
          <w:sz w:val="36"/>
          <w:szCs w:val="36"/>
        </w:rPr>
      </w:pPr>
      <w:bookmarkStart w:id="5" w:name="_Toc3241"/>
      <w:bookmarkStart w:id="6" w:name="_Toc26503"/>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东山市民休闲公园续建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5" w:name="_GoBack"/>
      <w:bookmarkEnd w:id="95"/>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其中本次投入东山市民休闲公园续建项目的债券资金共计115.99万元。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围场县东山市民休闲公园续建项目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ind w:firstLine="560" w:firstLineChars="200"/>
        <w:rPr>
          <w:rFonts w:ascii="宋体" w:hAnsi="宋体" w:eastAsia="宋体" w:cs="宋体"/>
          <w:sz w:val="28"/>
          <w:szCs w:val="28"/>
        </w:rPr>
      </w:pPr>
      <w:r>
        <w:rPr>
          <w:rFonts w:hint="eastAsia" w:ascii="宋体" w:hAnsi="宋体" w:eastAsia="宋体" w:cs="宋体"/>
          <w:sz w:val="28"/>
          <w:szCs w:val="28"/>
        </w:rPr>
        <w:t>当今时代，竞争力已经成为一座城市乃至一个国家发展的决定性因素。生态环境是影响竞争力的主要因素之一。而城市绿化又是生态环境的重要内容。因此，包括道路、绿化、景观及室外休闲健身场所在内的环境建设也成为衡量一个地区综合实力的重要指标，决定着一个地区的经济发展后劲和发展活力。</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围场满族蒙古族自治县隶属于河北省承德市，以“皇家、生态、民俗”为特色，被誉为“水的源头、云的故乡、花的世界、林的海洋、北方动植物的王国、摄影艺术家的天堂”。</w:t>
      </w:r>
    </w:p>
    <w:p>
      <w:pPr>
        <w:ind w:firstLine="560" w:firstLineChars="200"/>
        <w:rPr>
          <w:rFonts w:ascii="宋体" w:hAnsi="宋体" w:eastAsia="宋体" w:cs="宋体"/>
          <w:sz w:val="28"/>
          <w:szCs w:val="28"/>
        </w:rPr>
      </w:pPr>
      <w:r>
        <w:rPr>
          <w:rFonts w:hint="eastAsia" w:ascii="宋体" w:hAnsi="宋体" w:eastAsia="宋体" w:cs="宋体"/>
          <w:sz w:val="28"/>
          <w:szCs w:val="28"/>
        </w:rPr>
        <w:t>为了进一步提高城市绿化水平，促进城市经济、社会和环境的协调发展，根据围场满族蒙古族自治县城市绿化现状及城市人口数量和增长速度，提高人均绿地率，特提出了东山市民休闲公园建设项目。</w:t>
      </w:r>
    </w:p>
    <w:p>
      <w:pPr>
        <w:ind w:firstLine="560" w:firstLineChars="200"/>
        <w:rPr>
          <w:rFonts w:ascii="宋体" w:hAnsi="宋体" w:eastAsia="宋体" w:cs="宋体"/>
          <w:sz w:val="28"/>
          <w:szCs w:val="28"/>
        </w:rPr>
      </w:pPr>
      <w:r>
        <w:rPr>
          <w:rFonts w:hint="eastAsia" w:ascii="宋体" w:hAnsi="宋体" w:eastAsia="宋体" w:cs="宋体"/>
          <w:sz w:val="28"/>
          <w:szCs w:val="28"/>
        </w:rPr>
        <w:t>5.工程概况</w:t>
      </w:r>
    </w:p>
    <w:p>
      <w:pPr>
        <w:ind w:firstLine="560" w:firstLineChars="200"/>
        <w:rPr>
          <w:rFonts w:ascii="宋体" w:hAnsi="宋体" w:eastAsia="宋体" w:cs="宋体"/>
          <w:sz w:val="28"/>
          <w:szCs w:val="28"/>
        </w:rPr>
      </w:pPr>
      <w:r>
        <w:rPr>
          <w:rFonts w:hint="eastAsia" w:ascii="宋体" w:hAnsi="宋体" w:eastAsia="宋体" w:cs="宋体"/>
          <w:sz w:val="28"/>
          <w:szCs w:val="28"/>
        </w:rPr>
        <w:t>东山市民休闲公园占地面积15.2公顷，主要建设内容为：水体工程建设面积3281平方米；绿化工程建设面积124268.6平方米，栽种不同种类的乔、灌木树种及人工草坪铺设；景观亭建设面积159.5平方米；廊架工程建设面积190.1平方米；运动场地建设面积3350平方米；道路7800平方米；安装路灯180套；其他配套建筑面积2015.8平方米；其他场地建设面积11000平方米。</w:t>
      </w:r>
    </w:p>
    <w:p>
      <w:pPr>
        <w:ind w:firstLine="560" w:firstLineChars="200"/>
        <w:rPr>
          <w:rFonts w:ascii="宋体" w:hAnsi="宋体" w:eastAsia="宋体" w:cs="宋体"/>
          <w:sz w:val="28"/>
          <w:szCs w:val="28"/>
        </w:rPr>
      </w:pPr>
      <w:r>
        <w:rPr>
          <w:rFonts w:hint="eastAsia" w:ascii="宋体" w:hAnsi="宋体" w:eastAsia="宋体" w:cs="宋体"/>
          <w:sz w:val="28"/>
          <w:szCs w:val="28"/>
        </w:rPr>
        <w:t>6.建设必要性</w:t>
      </w:r>
    </w:p>
    <w:p>
      <w:pPr>
        <w:ind w:firstLine="560" w:firstLineChars="200"/>
        <w:rPr>
          <w:rFonts w:ascii="宋体" w:hAnsi="宋体" w:eastAsia="宋体" w:cs="宋体"/>
          <w:sz w:val="28"/>
          <w:szCs w:val="28"/>
        </w:rPr>
      </w:pPr>
      <w:r>
        <w:rPr>
          <w:rFonts w:hint="eastAsia" w:ascii="宋体" w:hAnsi="宋体" w:eastAsia="宋体" w:cs="宋体"/>
          <w:sz w:val="28"/>
          <w:szCs w:val="28"/>
        </w:rPr>
        <w:t>通过大力发展城市绿化工作，能够提高城市的品位和档次，树立良好的城市形象，增强城市的凝聚力和吸引力，聚集人才、聚集资金、聚集技术、聚集有利于发展的要素，提升城市综合竞争力，极大地推动改革开放和经济建设。</w:t>
      </w:r>
    </w:p>
    <w:p>
      <w:pPr>
        <w:ind w:firstLine="560" w:firstLineChars="200"/>
        <w:rPr>
          <w:rFonts w:ascii="宋体" w:hAnsi="宋体" w:eastAsia="宋体" w:cs="宋体"/>
          <w:sz w:val="28"/>
          <w:szCs w:val="28"/>
        </w:rPr>
      </w:pPr>
      <w:r>
        <w:rPr>
          <w:rFonts w:hint="eastAsia" w:ascii="宋体" w:hAnsi="宋体" w:eastAsia="宋体" w:cs="宋体"/>
          <w:sz w:val="28"/>
          <w:szCs w:val="28"/>
        </w:rPr>
        <w:t>城市绿化是衡量一个城市现代化和文明程度的重要标志。注意生态保护、资源综合利用、人与自然和谐，不仅要有现代化的物质基础，还要有与之相配套的生态文明。加强城市绿化建设，努力为广大人民群众创造一个优美、舒适、宜居、方便的生活居住环境，是推进城市现代化和文明的重要指标。</w:t>
      </w:r>
    </w:p>
    <w:p>
      <w:pPr>
        <w:ind w:firstLine="560" w:firstLineChars="200"/>
        <w:rPr>
          <w:rFonts w:ascii="宋体" w:hAnsi="宋体" w:eastAsia="宋体" w:cs="宋体"/>
          <w:sz w:val="28"/>
          <w:szCs w:val="28"/>
        </w:rPr>
      </w:pPr>
      <w:r>
        <w:rPr>
          <w:rFonts w:hint="eastAsia" w:ascii="宋体" w:hAnsi="宋体" w:eastAsia="宋体" w:cs="宋体"/>
          <w:sz w:val="28"/>
          <w:szCs w:val="28"/>
        </w:rPr>
        <w:t>市民休闲公园的建设，不仅是满足人民生活水平不断提高的需要，也是落实十八大提出的全面建设小康社会宏伟目标的重要措施。通过东山市民休闲公园，着力打造城市特色，提升城市品位，构建社会主义和谐社会。</w:t>
      </w:r>
    </w:p>
    <w:p>
      <w:pPr>
        <w:ind w:firstLine="560" w:firstLineChars="200"/>
        <w:rPr>
          <w:rFonts w:ascii="宋体" w:hAnsi="宋体" w:eastAsia="宋体" w:cs="宋体"/>
          <w:sz w:val="28"/>
          <w:szCs w:val="28"/>
        </w:rPr>
      </w:pPr>
      <w:r>
        <w:rPr>
          <w:rFonts w:hint="eastAsia" w:ascii="宋体" w:hAnsi="宋体" w:eastAsia="宋体" w:cs="宋体"/>
          <w:sz w:val="28"/>
          <w:szCs w:val="28"/>
        </w:rPr>
        <w:t>7.项目总投资及资金来源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项目总投资5000万元，其中工程费用3992.01万元，工程建设其他费用553.44万元，基本预备费用454.55万元。</w:t>
      </w:r>
    </w:p>
    <w:p>
      <w:pPr>
        <w:ind w:firstLine="560" w:firstLineChars="200"/>
        <w:rPr>
          <w:rFonts w:ascii="宋体" w:hAnsi="宋体" w:eastAsia="宋体" w:cs="宋体"/>
          <w:sz w:val="28"/>
          <w:szCs w:val="28"/>
        </w:rPr>
      </w:pPr>
      <w:r>
        <w:rPr>
          <w:rFonts w:hint="eastAsia" w:ascii="宋体" w:hAnsi="宋体" w:eastAsia="宋体" w:cs="宋体"/>
          <w:sz w:val="28"/>
          <w:szCs w:val="28"/>
        </w:rPr>
        <w:t>本次续建项目使用政府一般债券资金115.99万元。</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30152"/>
      <w:bookmarkStart w:id="13" w:name="_Toc10859"/>
      <w:bookmarkStart w:id="14" w:name="_Toc12271"/>
      <w:r>
        <w:rPr>
          <w:rFonts w:hint="eastAsia" w:ascii="宋体" w:hAnsi="宋体" w:eastAsia="宋体" w:cs="宋体"/>
          <w:sz w:val="28"/>
          <w:szCs w:val="28"/>
        </w:rPr>
        <w:t>本项目需建设水体工程3281平方米；绿化工程面积124268.6平方米；人工草坪铺设；景观亭建设面积159.5平方米；廊架工程建设面积190.1平方米；运动场地建设面积3350平方米；道路7800平方米；安装路灯180套；其他配套建筑面积2015.8平方米；其他场地建设面积11000平方米。</w:t>
      </w:r>
      <w:bookmarkEnd w:id="12"/>
      <w:bookmarkEnd w:id="13"/>
      <w:bookmarkStart w:id="15" w:name="_Toc28894"/>
    </w:p>
    <w:p>
      <w:pPr>
        <w:spacing w:line="600" w:lineRule="exact"/>
        <w:ind w:firstLine="560" w:firstLineChars="200"/>
        <w:outlineLvl w:val="1"/>
        <w:rPr>
          <w:rFonts w:ascii="宋体" w:hAnsi="宋体" w:eastAsia="宋体" w:cs="宋体"/>
          <w:sz w:val="28"/>
          <w:szCs w:val="28"/>
        </w:rPr>
      </w:pPr>
      <w:bookmarkStart w:id="16" w:name="_Toc10011"/>
      <w:bookmarkStart w:id="17"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5"/>
      <w:bookmarkEnd w:id="16"/>
      <w:bookmarkEnd w:id="17"/>
    </w:p>
    <w:p>
      <w:pPr>
        <w:spacing w:line="600" w:lineRule="exact"/>
        <w:ind w:firstLine="643" w:firstLineChars="200"/>
        <w:outlineLvl w:val="1"/>
        <w:rPr>
          <w:rFonts w:ascii="楷体" w:hAnsi="楷体" w:eastAsia="楷体" w:cs="楷体"/>
          <w:b/>
          <w:sz w:val="32"/>
          <w:szCs w:val="32"/>
        </w:rPr>
      </w:pPr>
      <w:bookmarkStart w:id="18" w:name="_Toc7932"/>
      <w:r>
        <w:rPr>
          <w:rFonts w:hint="eastAsia" w:ascii="楷体" w:hAnsi="楷体" w:eastAsia="楷体" w:cs="楷体"/>
          <w:b/>
          <w:sz w:val="32"/>
          <w:szCs w:val="32"/>
        </w:rPr>
        <w:t>（三）评价对象和时段</w:t>
      </w:r>
      <w:bookmarkEnd w:id="14"/>
      <w:bookmarkEnd w:id="18"/>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本次考核评价对象：围场县东山市民休闲公园续建项目。从项目投入、管理、产出、效益等方面进行全面的评价考核。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9" w:name="_Toc29608"/>
      <w:r>
        <w:rPr>
          <w:rFonts w:hint="eastAsia" w:ascii="黑体" w:hAnsi="黑体" w:eastAsia="黑体" w:cs="黑体"/>
          <w:b/>
          <w:bCs/>
          <w:sz w:val="32"/>
          <w:szCs w:val="32"/>
        </w:rPr>
        <w:t>二、绩效评价工作开展情况</w:t>
      </w:r>
      <w:bookmarkEnd w:id="19"/>
    </w:p>
    <w:p>
      <w:pPr>
        <w:ind w:firstLine="643" w:firstLineChars="200"/>
        <w:outlineLvl w:val="1"/>
        <w:rPr>
          <w:rFonts w:ascii="楷体" w:hAnsi="楷体" w:eastAsia="楷体" w:cs="楷体"/>
          <w:b/>
          <w:bCs/>
          <w:sz w:val="32"/>
          <w:szCs w:val="32"/>
        </w:rPr>
      </w:pPr>
      <w:bookmarkStart w:id="20" w:name="_Toc28234"/>
      <w:r>
        <w:rPr>
          <w:rFonts w:hint="eastAsia" w:ascii="楷体" w:hAnsi="楷体" w:eastAsia="楷体" w:cs="楷体"/>
          <w:b/>
          <w:bCs/>
          <w:sz w:val="32"/>
          <w:szCs w:val="32"/>
        </w:rPr>
        <w:t>（一）绩效评价指标权重和绩效评价指标体系</w:t>
      </w:r>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1" w:name="_Toc12872"/>
            <w:bookmarkStart w:id="22" w:name="_Toc20068"/>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p>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21"/>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宋体" w:hAnsi="宋体" w:eastAsia="宋体" w:cs="宋体"/>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3" w:name="_Toc20552"/>
            <w:bookmarkStart w:id="24"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3"/>
      <w:bookmarkEnd w:id="24"/>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30379"/>
      <w:bookmarkStart w:id="26"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5"/>
      <w:bookmarkEnd w:id="26"/>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r>
        <w:rPr>
          <w:rFonts w:hint="eastAsia" w:ascii="宋体" w:hAnsi="宋体" w:eastAsia="宋体" w:cs="宋体"/>
          <w:szCs w:val="28"/>
        </w:rPr>
        <w:t>。</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8164"/>
      <w:bookmarkStart w:id="28" w:name="_Toc12042"/>
      <w:bookmarkStart w:id="29" w:name="_Toc20778"/>
      <w:bookmarkStart w:id="30"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7"/>
      <w:bookmarkEnd w:id="28"/>
      <w:bookmarkEnd w:id="29"/>
    </w:p>
    <w:p>
      <w:pPr>
        <w:ind w:firstLine="560" w:firstLineChars="200"/>
        <w:rPr>
          <w:rFonts w:ascii="宋体" w:hAnsi="宋体" w:eastAsia="宋体" w:cs="宋体"/>
          <w:sz w:val="28"/>
          <w:szCs w:val="28"/>
        </w:rPr>
      </w:pPr>
      <w:bookmarkStart w:id="31" w:name="_Toc22556"/>
      <w:bookmarkStart w:id="32" w:name="_Toc13042"/>
      <w:bookmarkStart w:id="33" w:name="_Toc31807"/>
      <w:bookmarkStart w:id="34" w:name="_Toc2087"/>
      <w:bookmarkStart w:id="35" w:name="_Toc17563"/>
      <w:bookmarkStart w:id="36" w:name="_Toc18780"/>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1"/>
      <w:bookmarkEnd w:id="32"/>
      <w:bookmarkEnd w:id="33"/>
      <w:bookmarkEnd w:id="34"/>
      <w:bookmarkEnd w:id="35"/>
      <w:bookmarkEnd w:id="36"/>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7" w:name="_Toc19058"/>
      <w:bookmarkStart w:id="38" w:name="_Toc1487"/>
      <w:bookmarkStart w:id="39" w:name="_Toc24311"/>
      <w:bookmarkStart w:id="40" w:name="_Toc27413"/>
      <w:bookmarkStart w:id="41" w:name="_Toc17036"/>
      <w:bookmarkStart w:id="42" w:name="_Toc24529"/>
      <w:bookmarkStart w:id="43" w:name="_Toc14572"/>
      <w:bookmarkStart w:id="44" w:name="_Toc24972"/>
      <w:bookmarkStart w:id="45" w:name="_Toc14297"/>
      <w:bookmarkStart w:id="46" w:name="_Toc15494"/>
      <w:r>
        <w:rPr>
          <w:rFonts w:hint="eastAsia" w:ascii="宋体" w:hAnsi="宋体" w:eastAsia="宋体" w:cs="宋体"/>
          <w:b/>
          <w:bCs/>
          <w:kern w:val="0"/>
          <w:sz w:val="28"/>
          <w:szCs w:val="28"/>
        </w:rPr>
        <w:t>1、明确项目团队的职责与分工</w:t>
      </w:r>
      <w:bookmarkEnd w:id="37"/>
      <w:bookmarkEnd w:id="38"/>
      <w:bookmarkEnd w:id="39"/>
      <w:bookmarkEnd w:id="40"/>
      <w:bookmarkEnd w:id="41"/>
      <w:bookmarkEnd w:id="42"/>
      <w:bookmarkEnd w:id="43"/>
      <w:bookmarkEnd w:id="44"/>
      <w:bookmarkEnd w:id="45"/>
      <w:bookmarkEnd w:id="46"/>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7" w:name="_Toc28394"/>
      <w:bookmarkStart w:id="48" w:name="_Toc31637"/>
      <w:bookmarkStart w:id="49" w:name="_Toc6642"/>
      <w:bookmarkStart w:id="50" w:name="_Toc29931"/>
      <w:bookmarkStart w:id="51" w:name="_Toc27143"/>
      <w:bookmarkStart w:id="52" w:name="_Toc25494"/>
      <w:r>
        <w:rPr>
          <w:rFonts w:hint="eastAsia" w:ascii="宋体" w:hAnsi="宋体" w:eastAsia="宋体" w:cs="宋体"/>
          <w:b/>
          <w:bCs/>
          <w:kern w:val="0"/>
          <w:sz w:val="28"/>
          <w:szCs w:val="28"/>
        </w:rPr>
        <w:t>2、评价工作各相关当事方的职责</w:t>
      </w:r>
      <w:bookmarkEnd w:id="47"/>
      <w:bookmarkEnd w:id="48"/>
      <w:bookmarkEnd w:id="49"/>
      <w:bookmarkEnd w:id="50"/>
      <w:bookmarkEnd w:id="51"/>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3" w:name="_Toc332"/>
      <w:bookmarkStart w:id="54" w:name="_Toc24530"/>
      <w:bookmarkStart w:id="55" w:name="_Toc17781"/>
      <w:bookmarkStart w:id="56" w:name="_Toc27067"/>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3"/>
      <w:bookmarkEnd w:id="54"/>
      <w:bookmarkEnd w:id="55"/>
      <w:bookmarkEnd w:id="56"/>
    </w:p>
    <w:p>
      <w:pPr>
        <w:adjustRightInd w:val="0"/>
        <w:snapToGrid w:val="0"/>
        <w:spacing w:line="600" w:lineRule="exact"/>
        <w:ind w:firstLine="640" w:firstLineChars="200"/>
        <w:outlineLvl w:val="0"/>
        <w:rPr>
          <w:rFonts w:ascii="黑体" w:hAnsi="黑体" w:eastAsia="黑体" w:cs="黑体"/>
          <w:sz w:val="32"/>
          <w:szCs w:val="32"/>
        </w:rPr>
      </w:pPr>
      <w:bookmarkStart w:id="57" w:name="_Toc20611"/>
      <w:r>
        <w:rPr>
          <w:rFonts w:hint="eastAsia" w:ascii="黑体" w:hAnsi="黑体" w:eastAsia="黑体" w:cs="黑体"/>
          <w:sz w:val="32"/>
          <w:szCs w:val="32"/>
        </w:rPr>
        <w:t>三、</w:t>
      </w:r>
      <w:bookmarkEnd w:id="30"/>
      <w:r>
        <w:rPr>
          <w:rFonts w:hint="eastAsia" w:ascii="黑体" w:hAnsi="黑体" w:eastAsia="黑体" w:cs="黑体"/>
          <w:sz w:val="32"/>
          <w:szCs w:val="32"/>
        </w:rPr>
        <w:t>项目实施及资金使用情况</w:t>
      </w:r>
      <w:bookmarkEnd w:id="57"/>
    </w:p>
    <w:p>
      <w:pPr>
        <w:ind w:firstLine="643" w:firstLineChars="200"/>
        <w:outlineLvl w:val="1"/>
        <w:rPr>
          <w:rFonts w:ascii="楷体" w:hAnsi="楷体" w:eastAsia="楷体" w:cs="楷体"/>
          <w:b/>
          <w:bCs/>
          <w:sz w:val="32"/>
          <w:szCs w:val="32"/>
        </w:rPr>
      </w:pPr>
      <w:bookmarkStart w:id="58" w:name="_Toc15753"/>
      <w:bookmarkStart w:id="59" w:name="_Toc6786"/>
      <w:r>
        <w:rPr>
          <w:rFonts w:hint="eastAsia" w:ascii="楷体" w:hAnsi="楷体" w:eastAsia="楷体" w:cs="楷体"/>
          <w:b/>
          <w:bCs/>
          <w:sz w:val="32"/>
          <w:szCs w:val="32"/>
        </w:rPr>
        <w:t>（一）项目实施情况</w:t>
      </w:r>
      <w:bookmarkEnd w:id="58"/>
      <w:bookmarkEnd w:id="59"/>
    </w:p>
    <w:p>
      <w:pPr>
        <w:ind w:firstLine="560" w:firstLineChars="200"/>
        <w:rPr>
          <w:rFonts w:ascii="宋体" w:hAnsi="宋体" w:eastAsia="宋体" w:cs="宋体"/>
          <w:sz w:val="28"/>
          <w:szCs w:val="28"/>
        </w:rPr>
      </w:pPr>
      <w:r>
        <w:rPr>
          <w:rFonts w:hint="eastAsia" w:ascii="宋体" w:hAnsi="宋体" w:eastAsia="宋体" w:cs="宋体"/>
          <w:sz w:val="28"/>
          <w:szCs w:val="28"/>
        </w:rPr>
        <w:t>2016年2月25日围场满族蒙古族自治县发展改革局对围场县东山市民休闲公园建设项目可行性研究报告做了批复。项目总投资5000万元，其中工程费用3992.01万元，工程建设其他费用553.44万元，基本预备费用454.55万元。</w:t>
      </w:r>
    </w:p>
    <w:p>
      <w:pPr>
        <w:ind w:firstLine="560" w:firstLineChars="200"/>
        <w:rPr>
          <w:rFonts w:ascii="宋体" w:hAnsi="宋体" w:eastAsia="宋体" w:cs="宋体"/>
          <w:sz w:val="28"/>
          <w:szCs w:val="28"/>
        </w:rPr>
      </w:pPr>
      <w:r>
        <w:rPr>
          <w:rFonts w:hint="eastAsia" w:ascii="宋体" w:hAnsi="宋体" w:eastAsia="宋体" w:cs="宋体"/>
          <w:sz w:val="28"/>
          <w:szCs w:val="28"/>
        </w:rPr>
        <w:t>2017年8月24日，本项目在围场县公共资源交易中心公开招标，经评标委员会评审，最终确定围场满族蒙古族自治县市政总公司为本项目（围场满族蒙古族自治县东山市民休闲公园续建工程）中标单位，中标价：243.1万元，并于9月2日与围场满族蒙古族自治县住房和城乡规划建设局签订了施工合同，同时约定了工程承包范围、合同工期、质量标准、合同价款等相关事宜，约定计划工期82天。</w:t>
      </w:r>
    </w:p>
    <w:p>
      <w:pPr>
        <w:ind w:firstLine="560" w:firstLineChars="200"/>
        <w:rPr>
          <w:rFonts w:ascii="宋体" w:hAnsi="宋体" w:eastAsia="宋体" w:cs="宋体"/>
          <w:sz w:val="28"/>
          <w:szCs w:val="28"/>
        </w:rPr>
      </w:pPr>
      <w:r>
        <w:rPr>
          <w:rFonts w:hint="eastAsia" w:ascii="宋体" w:hAnsi="宋体" w:eastAsia="宋体" w:cs="宋体"/>
          <w:sz w:val="28"/>
          <w:szCs w:val="28"/>
        </w:rPr>
        <w:t>计划开工日期：2017年9月3日</w:t>
      </w:r>
    </w:p>
    <w:p>
      <w:pPr>
        <w:ind w:firstLine="560" w:firstLineChars="200"/>
        <w:rPr>
          <w:rFonts w:ascii="宋体" w:hAnsi="宋体" w:eastAsia="宋体" w:cs="宋体"/>
          <w:sz w:val="28"/>
          <w:szCs w:val="28"/>
        </w:rPr>
      </w:pPr>
      <w:r>
        <w:rPr>
          <w:rFonts w:hint="eastAsia" w:ascii="宋体" w:hAnsi="宋体" w:eastAsia="宋体" w:cs="宋体"/>
          <w:sz w:val="28"/>
          <w:szCs w:val="28"/>
        </w:rPr>
        <w:t>计划竣工日期：2017年11月24日</w:t>
      </w:r>
    </w:p>
    <w:p>
      <w:pPr>
        <w:ind w:firstLine="560" w:firstLineChars="200"/>
        <w:rPr>
          <w:rFonts w:ascii="宋体" w:hAnsi="宋体" w:eastAsia="宋体" w:cs="宋体"/>
          <w:sz w:val="28"/>
          <w:szCs w:val="28"/>
        </w:rPr>
      </w:pPr>
      <w:r>
        <w:rPr>
          <w:rFonts w:hint="eastAsia" w:ascii="宋体" w:hAnsi="宋体" w:eastAsia="宋体" w:cs="宋体"/>
          <w:sz w:val="28"/>
          <w:szCs w:val="28"/>
        </w:rPr>
        <w:t>本工程于2017年11月24日竣工，建设单位组织施工、设计、监理单位共同验收，验收资料齐全，完成了合同约定的所有工程量，主要建筑材料合格，同意验收。</w:t>
      </w:r>
    </w:p>
    <w:p>
      <w:pPr>
        <w:ind w:firstLine="643" w:firstLineChars="200"/>
        <w:outlineLvl w:val="1"/>
        <w:rPr>
          <w:rFonts w:ascii="楷体" w:hAnsi="楷体" w:eastAsia="楷体" w:cs="楷体"/>
          <w:b/>
          <w:bCs/>
          <w:sz w:val="32"/>
          <w:szCs w:val="32"/>
        </w:rPr>
      </w:pPr>
      <w:bookmarkStart w:id="60" w:name="_Toc14809"/>
      <w:bookmarkStart w:id="61" w:name="_Toc11091"/>
      <w:r>
        <w:rPr>
          <w:rFonts w:hint="eastAsia" w:ascii="楷体" w:hAnsi="楷体" w:eastAsia="楷体" w:cs="楷体"/>
          <w:b/>
          <w:bCs/>
          <w:sz w:val="32"/>
          <w:szCs w:val="32"/>
        </w:rPr>
        <w:t>（二）资金使用情况</w:t>
      </w:r>
      <w:bookmarkEnd w:id="60"/>
      <w:bookmarkEnd w:id="61"/>
    </w:p>
    <w:p>
      <w:pPr>
        <w:ind w:firstLine="560" w:firstLineChars="200"/>
        <w:rPr>
          <w:rFonts w:ascii="宋体" w:hAnsi="宋体" w:eastAsia="宋体" w:cs="宋体"/>
          <w:sz w:val="28"/>
          <w:szCs w:val="28"/>
        </w:rPr>
      </w:pPr>
      <w:bookmarkStart w:id="62" w:name="_Toc15054"/>
      <w:bookmarkStart w:id="63" w:name="_Toc13622"/>
      <w:r>
        <w:rPr>
          <w:rFonts w:hint="eastAsia" w:ascii="宋体" w:hAnsi="宋体" w:eastAsia="宋体" w:cs="宋体"/>
          <w:sz w:val="28"/>
          <w:szCs w:val="28"/>
        </w:rPr>
        <w:t>2019年8月27日，县财政代付围场满族蒙古族自治县住房和城乡建设局东山公园续建项目工程款115.990838万元。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收款单位为围场满族蒙古族自治县市政总公司。</w:t>
      </w:r>
      <w:bookmarkEnd w:id="62"/>
      <w:bookmarkEnd w:id="63"/>
    </w:p>
    <w:p>
      <w:pPr>
        <w:ind w:firstLine="640" w:firstLineChars="200"/>
        <w:outlineLvl w:val="0"/>
        <w:rPr>
          <w:rFonts w:ascii="黑体" w:hAnsi="黑体" w:eastAsia="黑体" w:cs="黑体"/>
          <w:sz w:val="32"/>
          <w:szCs w:val="32"/>
        </w:rPr>
      </w:pPr>
      <w:bookmarkStart w:id="64" w:name="_Toc25872"/>
      <w:r>
        <w:rPr>
          <w:rFonts w:hint="eastAsia" w:ascii="黑体" w:hAnsi="黑体" w:eastAsia="黑体" w:cs="黑体"/>
          <w:sz w:val="32"/>
          <w:szCs w:val="32"/>
        </w:rPr>
        <w:t>四、绩效评价分析与结论</w:t>
      </w:r>
      <w:bookmarkEnd w:id="64"/>
    </w:p>
    <w:p>
      <w:pPr>
        <w:adjustRightInd w:val="0"/>
        <w:snapToGrid w:val="0"/>
        <w:spacing w:line="360" w:lineRule="auto"/>
        <w:ind w:firstLine="643" w:firstLineChars="200"/>
        <w:outlineLvl w:val="1"/>
        <w:rPr>
          <w:rFonts w:ascii="楷体" w:hAnsi="楷体" w:eastAsia="楷体" w:cs="楷体"/>
          <w:b/>
          <w:kern w:val="0"/>
          <w:sz w:val="32"/>
          <w:szCs w:val="32"/>
          <w:highlight w:val="yellow"/>
        </w:rPr>
      </w:pPr>
      <w:bookmarkStart w:id="65" w:name="_Toc16548"/>
      <w:bookmarkStart w:id="66" w:name="_Toc2427"/>
      <w:r>
        <w:rPr>
          <w:rFonts w:hint="eastAsia" w:ascii="楷体" w:hAnsi="楷体" w:eastAsia="楷体" w:cs="楷体"/>
          <w:b/>
          <w:kern w:val="0"/>
          <w:sz w:val="32"/>
          <w:szCs w:val="32"/>
        </w:rPr>
        <w:t>（一）绩效评价分析</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2016年2月25日围场满族蒙古族自治县发展改革局对围场县东山市民休闲公园建设项目可行性研究报告做了批复，本项目立项合规、方案可行、设立过程符合政策规定。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细化、可衡量。通过对围场县东山市民休闲公园续建项目的分析，我方认为方案可行，设施功能基本完善，能够满足居民正常使用，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本次绩效评价涉及到的项目工程资料和财务资料基本齐全。我方在检查资料时发现本项目竣工验收报告无验收时间，验收资料不完整扣减1分。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本项目债券资金按照使用要求均未用于经常性支出，未用于中央明令禁止的项目支出，资金使用合规。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我方在检查过程中未发现资金有挪用、抽逃、延迟支付现象，项目建设资金使用合理，账务处理基本合规。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本项目竣工验收报告显示，竣工日期为2017年11月24日，本工程项目能够按照合同约定计划工期完成施工进度，未出现工程滞后现象。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本项目完工后，建设单位组织验收，设计、施工、监理单位参加。项目已完成总承包合同约定的所有工程量，资料齐全，主要建筑材料合格，复试合格，本工程均符合相关要求验收合格。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项目建设完成后能够提高城市居民的生活环境，提升城市的品位，树立良好的城市形象，促进围场满族蒙古族自治县社会和谐发展，能够满足社会需要。</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通过本项目的续建工程，把城市绿化作为城市生态的重要载体，通过大力发展城市生态公园建设，使围场满族蒙古族自治县生态环境得到可持续发展的保障，在保障生态环境的前提下，社会环境也有明显改观。</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由于债券资金投入的项目多为社会公益性项目，本次的东山市民休闲公园续建项目不产生直接的经济效益。</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的建设，除了间接促进围场满族蒙古族自治县经济发展和社会进步外，还可以为招商引资创造极佳条件，拉动围场满族蒙古族自治县经济发展，另外可以带动周边地价的上涨。具体带来的经济效益还有待市场考证。此项考核指标得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7" w:name="_Toc14098"/>
      <w:bookmarkStart w:id="68" w:name="_Toc22148"/>
      <w:r>
        <w:rPr>
          <w:rFonts w:hint="eastAsia" w:ascii="楷体" w:hAnsi="楷体" w:eastAsia="楷体" w:cs="楷体"/>
          <w:b/>
          <w:kern w:val="0"/>
          <w:sz w:val="32"/>
          <w:szCs w:val="32"/>
        </w:rPr>
        <w:t>（二）绩效评价结论</w:t>
      </w:r>
      <w:bookmarkEnd w:id="67"/>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东山市民休闲公园续建项目绩效考评结果，其中：投入指标考评得分10分、管理指标考评得分29分、产出指标考评得分30分、效益指标考评得分26分。通过对各项指标的具体分析评价，汇总得出本次绩效评价考核综合得分为95分，总体评价为“优”。</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东山市民休闲公园续建项目组织和管理较好地执行了相关规定要求，组织管理有序，单位财务管理制度基本健全，对项目资金的监督管理总体有效，实施的社会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9" w:name="_Toc32395"/>
      <w:bookmarkStart w:id="70" w:name="_Toc29435"/>
      <w:r>
        <w:rPr>
          <w:rFonts w:hint="eastAsia" w:ascii="黑体" w:hAnsi="黑体" w:eastAsia="黑体" w:cs="黑体"/>
          <w:bCs/>
          <w:kern w:val="0"/>
          <w:sz w:val="32"/>
          <w:szCs w:val="32"/>
        </w:rPr>
        <w:t>五、</w:t>
      </w:r>
      <w:bookmarkEnd w:id="69"/>
      <w:r>
        <w:rPr>
          <w:rFonts w:hint="eastAsia" w:ascii="黑体" w:hAnsi="黑体" w:eastAsia="黑体" w:cs="黑体"/>
          <w:bCs/>
          <w:kern w:val="0"/>
          <w:sz w:val="32"/>
          <w:szCs w:val="32"/>
        </w:rPr>
        <w:t>意见及建议</w:t>
      </w:r>
      <w:bookmarkEnd w:id="70"/>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71" w:name="_Toc31396"/>
      <w:bookmarkStart w:id="72" w:name="_Toc25821"/>
      <w:bookmarkStart w:id="73" w:name="_Toc7010"/>
      <w:bookmarkStart w:id="74" w:name="_Toc5786"/>
      <w:bookmarkStart w:id="75" w:name="_Toc15246"/>
      <w:bookmarkStart w:id="76" w:name="_Toc26763"/>
      <w:r>
        <w:rPr>
          <w:rFonts w:hint="eastAsia" w:ascii="楷体" w:hAnsi="楷体" w:eastAsia="楷体" w:cs="楷体"/>
        </w:rPr>
        <w:t>（一）强化绩效理念，深入推进评价工作</w:t>
      </w:r>
      <w:bookmarkEnd w:id="71"/>
      <w:bookmarkEnd w:id="72"/>
      <w:bookmarkEnd w:id="73"/>
      <w:bookmarkEnd w:id="74"/>
      <w:bookmarkEnd w:id="75"/>
      <w:bookmarkEnd w:id="7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7" w:name="_Toc10505"/>
      <w:bookmarkStart w:id="78" w:name="_Toc14241"/>
      <w:bookmarkStart w:id="79" w:name="_Toc19932"/>
      <w:bookmarkStart w:id="80" w:name="_Toc21411"/>
      <w:bookmarkStart w:id="81" w:name="_Toc11860"/>
      <w:bookmarkStart w:id="82" w:name="_Toc6863"/>
      <w:r>
        <w:rPr>
          <w:rFonts w:hint="eastAsia" w:ascii="楷体" w:hAnsi="楷体" w:eastAsia="楷体" w:cs="楷体"/>
        </w:rPr>
        <w:t>（二）强化事前准备，切实提升评价质量</w:t>
      </w:r>
      <w:bookmarkEnd w:id="77"/>
      <w:bookmarkEnd w:id="78"/>
      <w:bookmarkEnd w:id="79"/>
      <w:bookmarkEnd w:id="80"/>
      <w:bookmarkEnd w:id="81"/>
      <w:bookmarkEnd w:id="82"/>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3" w:name="_Toc21034"/>
      <w:bookmarkStart w:id="84" w:name="_Toc3001"/>
      <w:bookmarkStart w:id="85" w:name="_Toc30061"/>
      <w:bookmarkStart w:id="86" w:name="_Toc11787"/>
      <w:bookmarkStart w:id="87" w:name="_Toc10592"/>
    </w:p>
    <w:p>
      <w:pPr>
        <w:pStyle w:val="3"/>
        <w:spacing w:line="240" w:lineRule="auto"/>
        <w:ind w:firstLine="643" w:firstLineChars="200"/>
        <w:rPr>
          <w:rFonts w:ascii="楷体" w:hAnsi="楷体" w:eastAsia="楷体" w:cs="楷体"/>
        </w:rPr>
      </w:pPr>
      <w:bookmarkStart w:id="88" w:name="_Toc16658"/>
      <w:r>
        <w:rPr>
          <w:rFonts w:hint="eastAsia" w:ascii="楷体" w:hAnsi="楷体" w:eastAsia="楷体" w:cs="楷体"/>
        </w:rPr>
        <w:t>（三）强化结果应用，不断巩固评价</w:t>
      </w:r>
      <w:bookmarkEnd w:id="83"/>
      <w:bookmarkEnd w:id="84"/>
      <w:bookmarkEnd w:id="85"/>
      <w:bookmarkEnd w:id="86"/>
      <w:bookmarkEnd w:id="87"/>
      <w:r>
        <w:rPr>
          <w:rFonts w:hint="eastAsia" w:ascii="楷体" w:hAnsi="楷体" w:eastAsia="楷体" w:cs="楷体"/>
        </w:rPr>
        <w:t>成效</w:t>
      </w:r>
      <w:bookmarkEnd w:id="88"/>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9" w:name="_Toc24195"/>
      <w:r>
        <w:rPr>
          <w:rFonts w:hint="eastAsia" w:ascii="黑体" w:hAnsi="黑体" w:eastAsia="黑体" w:cs="黑体"/>
          <w:bCs/>
          <w:kern w:val="0"/>
          <w:sz w:val="32"/>
          <w:szCs w:val="32"/>
        </w:rPr>
        <w:t>六、附件</w:t>
      </w:r>
      <w:bookmarkEnd w:id="89"/>
    </w:p>
    <w:p>
      <w:pPr>
        <w:pStyle w:val="3"/>
        <w:rPr>
          <w:rFonts w:ascii="宋体" w:hAnsi="宋体" w:eastAsia="宋体" w:cs="宋体"/>
          <w:sz w:val="28"/>
          <w:szCs w:val="28"/>
        </w:rPr>
      </w:pPr>
      <w:bookmarkStart w:id="90" w:name="_Toc164"/>
      <w:r>
        <w:rPr>
          <w:rFonts w:hint="eastAsia" w:ascii="楷体" w:hAnsi="楷体" w:eastAsia="楷体" w:cs="楷体"/>
        </w:rPr>
        <w:t>绩效评价指标体系得分表</w:t>
      </w:r>
      <w:bookmarkEnd w:id="90"/>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91" w:name="_Toc15162"/>
      <w:r>
        <w:rPr>
          <w:rFonts w:hint="eastAsia" w:asciiTheme="minorEastAsia" w:hAnsiTheme="minorEastAsia"/>
          <w:sz w:val="32"/>
          <w:szCs w:val="32"/>
        </w:rPr>
        <w:t>承德燕山会计师事务所         中国注册会计师：</w:t>
      </w:r>
      <w:bookmarkEnd w:id="91"/>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2" w:name="_Toc14815"/>
      <w:r>
        <w:rPr>
          <w:rFonts w:hint="eastAsia" w:asciiTheme="minorEastAsia" w:hAnsiTheme="minorEastAsia"/>
          <w:sz w:val="32"/>
          <w:szCs w:val="32"/>
        </w:rPr>
        <w:t>有限责任公司</w:t>
      </w:r>
      <w:bookmarkEnd w:id="92"/>
    </w:p>
    <w:p>
      <w:pPr>
        <w:ind w:firstLine="640" w:firstLineChars="200"/>
        <w:outlineLvl w:val="0"/>
        <w:rPr>
          <w:rFonts w:hint="eastAsia" w:asciiTheme="minorEastAsia" w:hAnsiTheme="minorEastAsia" w:eastAsiaTheme="minorEastAsia"/>
          <w:sz w:val="32"/>
          <w:szCs w:val="32"/>
          <w:lang w:eastAsia="zh-CN"/>
        </w:rPr>
      </w:pPr>
      <w:bookmarkStart w:id="93" w:name="_Toc13463"/>
      <w:r>
        <w:rPr>
          <w:rFonts w:hint="eastAsia" w:asciiTheme="minorEastAsia" w:hAnsiTheme="minorEastAsia"/>
          <w:sz w:val="32"/>
          <w:szCs w:val="32"/>
        </w:rPr>
        <w:t>河北·承德               中国注册会计师：</w:t>
      </w:r>
      <w:bookmarkEnd w:id="93"/>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4" w:name="_Toc29542"/>
      <w:r>
        <w:rPr>
          <w:rFonts w:hint="eastAsia" w:asciiTheme="minorEastAsia" w:hAnsiTheme="minorEastAsia"/>
          <w:sz w:val="32"/>
          <w:szCs w:val="32"/>
        </w:rPr>
        <w:t>二○二〇年十二月二十八日</w:t>
      </w:r>
      <w:bookmarkEnd w:id="94"/>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围场县东山市民休闲公园续建项目绩效评价指标体系得分表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95</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6712B"/>
    <w:rsid w:val="00847419"/>
    <w:rsid w:val="00AD56B4"/>
    <w:rsid w:val="03906ECE"/>
    <w:rsid w:val="03B73450"/>
    <w:rsid w:val="03D86CD1"/>
    <w:rsid w:val="047E3D7B"/>
    <w:rsid w:val="05297E7B"/>
    <w:rsid w:val="06B3136F"/>
    <w:rsid w:val="08645862"/>
    <w:rsid w:val="09DF3A36"/>
    <w:rsid w:val="0A617961"/>
    <w:rsid w:val="0CF76258"/>
    <w:rsid w:val="0FF14209"/>
    <w:rsid w:val="105E04DB"/>
    <w:rsid w:val="11CA6AB4"/>
    <w:rsid w:val="12192A13"/>
    <w:rsid w:val="13426D82"/>
    <w:rsid w:val="166035B3"/>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27F7BC1"/>
    <w:rsid w:val="32BD71CF"/>
    <w:rsid w:val="34B06338"/>
    <w:rsid w:val="35930DFA"/>
    <w:rsid w:val="38923051"/>
    <w:rsid w:val="393E31AB"/>
    <w:rsid w:val="39FB1AB6"/>
    <w:rsid w:val="3BB5552B"/>
    <w:rsid w:val="3D7533AC"/>
    <w:rsid w:val="3EE432ED"/>
    <w:rsid w:val="41A52C9E"/>
    <w:rsid w:val="46437D54"/>
    <w:rsid w:val="47C37A03"/>
    <w:rsid w:val="48771478"/>
    <w:rsid w:val="48E449AC"/>
    <w:rsid w:val="4A924A90"/>
    <w:rsid w:val="4B440C85"/>
    <w:rsid w:val="4C1C24FD"/>
    <w:rsid w:val="4DF57240"/>
    <w:rsid w:val="4F5D274A"/>
    <w:rsid w:val="4F887C83"/>
    <w:rsid w:val="53AD2E58"/>
    <w:rsid w:val="54252E1D"/>
    <w:rsid w:val="569318BE"/>
    <w:rsid w:val="577B4A42"/>
    <w:rsid w:val="5B267031"/>
    <w:rsid w:val="5B5C60F5"/>
    <w:rsid w:val="5C65427B"/>
    <w:rsid w:val="5DFA18B2"/>
    <w:rsid w:val="65B66C0D"/>
    <w:rsid w:val="66DB0898"/>
    <w:rsid w:val="6A236F78"/>
    <w:rsid w:val="6F886C32"/>
    <w:rsid w:val="70443140"/>
    <w:rsid w:val="710016B0"/>
    <w:rsid w:val="75840E38"/>
    <w:rsid w:val="772B6771"/>
    <w:rsid w:val="77AB17FD"/>
    <w:rsid w:val="7BD65235"/>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11790</Words>
  <Characters>2734</Characters>
  <Lines>22</Lines>
  <Paragraphs>28</Paragraphs>
  <TotalTime>19</TotalTime>
  <ScaleCrop>false</ScaleCrop>
  <LinksUpToDate>false</LinksUpToDate>
  <CharactersWithSpaces>14496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2021-04-15T02:51:00Z</cp:lastPrinted>
  <dcterms:modified xsi:type="dcterms:W3CDTF">2023-12-27T09:23:24Z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