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bookmarkStart w:id="93" w:name="_GoBack"/>
      <w:bookmarkEnd w:id="93"/>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52"/>
          <w:szCs w:val="52"/>
        </w:rPr>
      </w:pPr>
      <w:r>
        <w:rPr>
          <w:rFonts w:hint="eastAsia" w:ascii="宋体" w:hAnsi="宋体" w:eastAsia="宋体" w:cs="宋体"/>
          <w:b/>
          <w:bCs/>
          <w:sz w:val="52"/>
          <w:szCs w:val="52"/>
        </w:rPr>
        <w:t>围场县2019年城中村改造项目</w:t>
      </w:r>
    </w:p>
    <w:p>
      <w:pPr>
        <w:jc w:val="center"/>
        <w:rPr>
          <w:rFonts w:ascii="宋体" w:hAnsi="宋体" w:eastAsia="宋体" w:cs="宋体"/>
          <w:b/>
          <w:bCs/>
          <w:sz w:val="52"/>
          <w:szCs w:val="52"/>
        </w:rPr>
      </w:pPr>
      <w:r>
        <w:rPr>
          <w:rFonts w:hint="eastAsia" w:ascii="宋体" w:hAnsi="宋体" w:eastAsia="宋体" w:cs="宋体"/>
          <w:b/>
          <w:bCs/>
          <w:sz w:val="52"/>
          <w:szCs w:val="52"/>
        </w:rPr>
        <w:t>（棚户区改造）</w:t>
      </w:r>
    </w:p>
    <w:p>
      <w:pPr>
        <w:jc w:val="center"/>
        <w:rPr>
          <w:rFonts w:ascii="宋体" w:hAnsi="宋体" w:eastAsia="宋体" w:cs="宋体"/>
          <w:b/>
          <w:bCs/>
          <w:sz w:val="36"/>
          <w:szCs w:val="36"/>
        </w:rPr>
      </w:pPr>
      <w:r>
        <w:rPr>
          <w:rFonts w:hint="eastAsia" w:ascii="宋体" w:hAnsi="宋体" w:eastAsia="宋体" w:cs="宋体"/>
          <w:b/>
          <w:bCs/>
          <w:sz w:val="36"/>
          <w:szCs w:val="36"/>
        </w:rPr>
        <w:t>专项债券资金</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r>
        <w:rPr>
          <w:rFonts w:hint="eastAsia" w:ascii="宋体" w:hAnsi="宋体" w:eastAsia="宋体" w:cs="宋体"/>
          <w:b/>
          <w:bCs/>
          <w:sz w:val="52"/>
          <w:szCs w:val="52"/>
        </w:rPr>
        <w:t>绩效评价报告</w:t>
      </w:r>
    </w:p>
    <w:p>
      <w:pPr>
        <w:jc w:val="center"/>
        <w:rPr>
          <w:rFonts w:ascii="宋体" w:hAnsi="宋体" w:eastAsia="宋体" w:cs="宋体"/>
          <w:b/>
          <w:bCs/>
          <w:sz w:val="52"/>
          <w:szCs w:val="52"/>
        </w:rPr>
      </w:pPr>
    </w:p>
    <w:p>
      <w:pPr>
        <w:rPr>
          <w:rFonts w:ascii="宋体" w:hAnsi="宋体" w:eastAsia="宋体" w:cs="宋体"/>
          <w:b/>
          <w:bCs/>
          <w:sz w:val="52"/>
          <w:szCs w:val="52"/>
        </w:rPr>
      </w:pPr>
    </w:p>
    <w:p>
      <w:pPr>
        <w:rPr>
          <w:rFonts w:ascii="宋体" w:hAnsi="宋体" w:eastAsia="宋体" w:cs="宋体"/>
          <w:b/>
          <w:bCs/>
          <w:sz w:val="52"/>
          <w:szCs w:val="52"/>
        </w:rPr>
      </w:pPr>
    </w:p>
    <w:p>
      <w:pPr>
        <w:pStyle w:val="15"/>
        <w:ind w:firstLine="964" w:firstLineChars="300"/>
        <w:jc w:val="both"/>
        <w:rPr>
          <w:b/>
          <w:bCs/>
          <w:sz w:val="32"/>
          <w:szCs w:val="32"/>
          <w:u w:val="single"/>
        </w:rPr>
      </w:pPr>
      <w:r>
        <w:rPr>
          <w:rFonts w:hint="eastAsia"/>
          <w:b/>
          <w:bCs/>
          <w:sz w:val="32"/>
          <w:szCs w:val="32"/>
        </w:rPr>
        <w:t>编制机构：</w:t>
      </w:r>
      <w:r>
        <w:rPr>
          <w:rFonts w:hint="eastAsia" w:asciiTheme="minorHAnsi" w:hAnsiTheme="minorHAnsi" w:eastAsiaTheme="minorEastAsia" w:cstheme="minorBidi"/>
          <w:b/>
          <w:bCs/>
          <w:kern w:val="2"/>
          <w:sz w:val="32"/>
          <w:szCs w:val="32"/>
          <w:u w:val="single"/>
        </w:rPr>
        <w:t>承德燕山会计师事务所有限责任公司</w:t>
      </w:r>
    </w:p>
    <w:p>
      <w:pPr>
        <w:ind w:firstLine="964" w:firstLineChars="300"/>
        <w:rPr>
          <w:rFonts w:asciiTheme="minorEastAsia" w:hAnsiTheme="minorEastAsia" w:cstheme="minorEastAsia"/>
          <w:b/>
          <w:bCs/>
          <w:sz w:val="32"/>
          <w:szCs w:val="32"/>
        </w:rPr>
      </w:pPr>
      <w:r>
        <w:rPr>
          <w:rFonts w:hint="eastAsia"/>
          <w:b/>
          <w:bCs/>
          <w:sz w:val="32"/>
          <w:szCs w:val="32"/>
        </w:rPr>
        <w:t>编制时间：</w:t>
      </w:r>
      <w:r>
        <w:rPr>
          <w:rFonts w:hint="eastAsia" w:asciiTheme="minorEastAsia" w:hAnsiTheme="minorEastAsia" w:cstheme="minorEastAsia"/>
          <w:b/>
          <w:bCs/>
          <w:sz w:val="32"/>
          <w:szCs w:val="32"/>
          <w:u w:val="single"/>
        </w:rPr>
        <w:t xml:space="preserve">  2020  </w:t>
      </w:r>
      <w:r>
        <w:rPr>
          <w:rFonts w:hint="eastAsia" w:asciiTheme="minorEastAsia" w:hAnsiTheme="minorEastAsia" w:cstheme="minorEastAsia"/>
          <w:b/>
          <w:bCs/>
          <w:sz w:val="32"/>
          <w:szCs w:val="32"/>
        </w:rPr>
        <w:t>年</w:t>
      </w:r>
      <w:r>
        <w:rPr>
          <w:rFonts w:hint="eastAsia" w:asciiTheme="minorEastAsia" w:hAnsiTheme="minorEastAsia" w:cstheme="minorEastAsia"/>
          <w:b/>
          <w:bCs/>
          <w:sz w:val="32"/>
          <w:szCs w:val="32"/>
          <w:u w:val="single"/>
        </w:rPr>
        <w:t xml:space="preserve">  12  </w:t>
      </w:r>
      <w:r>
        <w:rPr>
          <w:rFonts w:hint="eastAsia" w:asciiTheme="minorEastAsia" w:hAnsiTheme="minorEastAsia" w:cstheme="minorEastAsia"/>
          <w:b/>
          <w:bCs/>
          <w:sz w:val="32"/>
          <w:szCs w:val="32"/>
        </w:rPr>
        <w:t>月</w:t>
      </w:r>
      <w:r>
        <w:rPr>
          <w:rFonts w:hint="eastAsia" w:asciiTheme="minorEastAsia" w:hAnsiTheme="minorEastAsia" w:cstheme="minorEastAsia"/>
          <w:b/>
          <w:bCs/>
          <w:sz w:val="32"/>
          <w:szCs w:val="32"/>
          <w:u w:val="single"/>
        </w:rPr>
        <w:t xml:space="preserve">  28  </w:t>
      </w:r>
      <w:r>
        <w:rPr>
          <w:rFonts w:hint="eastAsia" w:asciiTheme="minorEastAsia" w:hAnsiTheme="minorEastAsia" w:cstheme="minorEastAsia"/>
          <w:b/>
          <w:bCs/>
          <w:sz w:val="32"/>
          <w:szCs w:val="32"/>
        </w:rPr>
        <w:t>日</w:t>
      </w:r>
    </w:p>
    <w:p>
      <w:pPr>
        <w:ind w:firstLine="964" w:firstLineChars="300"/>
        <w:rPr>
          <w:rFonts w:asciiTheme="minorEastAsia" w:hAnsiTheme="minorEastAsia" w:cstheme="minorEastAsia"/>
          <w:b/>
          <w:bCs/>
          <w:sz w:val="32"/>
          <w:szCs w:val="32"/>
        </w:rPr>
      </w:pPr>
    </w:p>
    <w:p>
      <w:pPr>
        <w:ind w:firstLine="964" w:firstLineChars="300"/>
        <w:rPr>
          <w:rFonts w:asciiTheme="minorEastAsia" w:hAnsiTheme="minorEastAsia" w:cstheme="minorEastAsia"/>
          <w:b/>
          <w:bCs/>
          <w:sz w:val="32"/>
          <w:szCs w:val="32"/>
        </w:rPr>
      </w:pPr>
    </w:p>
    <w:p>
      <w:pPr>
        <w:ind w:firstLine="964" w:firstLineChars="300"/>
        <w:rPr>
          <w:rFonts w:asciiTheme="minorEastAsia" w:hAnsiTheme="minorEastAsia" w:cstheme="minorEastAsia"/>
          <w:b/>
          <w:bCs/>
          <w:sz w:val="32"/>
          <w:szCs w:val="32"/>
        </w:rPr>
        <w:sectPr>
          <w:footerReference r:id="rId3" w:type="default"/>
          <w:pgSz w:w="11906" w:h="16838"/>
          <w:pgMar w:top="1440" w:right="1800" w:bottom="1440" w:left="1800" w:header="851" w:footer="992" w:gutter="0"/>
          <w:cols w:space="425" w:num="1"/>
          <w:docGrid w:type="lines" w:linePitch="312" w:charSpace="0"/>
        </w:sectPr>
      </w:pPr>
    </w:p>
    <w:p>
      <w:pPr>
        <w:rPr>
          <w:rFonts w:ascii="宋体" w:hAnsi="宋体" w:eastAsia="宋体" w:cs="宋体"/>
          <w:b/>
          <w:bCs/>
          <w:sz w:val="32"/>
          <w:szCs w:val="32"/>
        </w:rPr>
      </w:pPr>
    </w:p>
    <w:p>
      <w:pPr>
        <w:rPr>
          <w:rFonts w:ascii="宋体" w:hAnsi="宋体" w:eastAsia="宋体" w:cs="宋体"/>
          <w:b/>
          <w:bCs/>
          <w:sz w:val="32"/>
          <w:szCs w:val="32"/>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sz w:val="32"/>
          <w:szCs w:val="32"/>
        </w:rPr>
      </w:pPr>
      <w:r>
        <w:rPr>
          <w:rFonts w:hint="eastAsia"/>
          <w:sz w:val="32"/>
          <w:szCs w:val="32"/>
        </w:rPr>
        <w:t>受托单位：承德燕山会计师事务所有限责任公司</w:t>
      </w:r>
    </w:p>
    <w:p>
      <w:pPr>
        <w:ind w:firstLine="960" w:firstLineChars="300"/>
        <w:rPr>
          <w:sz w:val="32"/>
          <w:szCs w:val="32"/>
        </w:rPr>
      </w:pPr>
      <w:r>
        <w:rPr>
          <w:rFonts w:hint="eastAsia"/>
          <w:sz w:val="32"/>
          <w:szCs w:val="32"/>
        </w:rPr>
        <w:t>报告文号：承燕会所审专字（2020）第293号</w:t>
      </w:r>
    </w:p>
    <w:p>
      <w:pPr>
        <w:ind w:firstLine="960" w:firstLineChars="300"/>
        <w:rPr>
          <w:sz w:val="32"/>
          <w:szCs w:val="32"/>
        </w:rPr>
      </w:pPr>
      <w:r>
        <w:rPr>
          <w:rFonts w:hint="eastAsia"/>
          <w:sz w:val="32"/>
          <w:szCs w:val="32"/>
        </w:rPr>
        <w:t>报告日期：2020-12-28</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rPr>
          <w:rFonts w:ascii="宋体" w:hAnsi="宋体" w:eastAsia="宋体" w:cs="宋体"/>
          <w:b/>
          <w:bCs/>
          <w:sz w:val="32"/>
          <w:szCs w:val="32"/>
        </w:rPr>
      </w:pPr>
      <w:r>
        <w:rPr>
          <w:rFonts w:hint="eastAsia"/>
          <w:sz w:val="30"/>
          <w:szCs w:val="30"/>
        </w:rPr>
        <w:t>联系电话：0314-2021210/2282221</w:t>
      </w:r>
    </w:p>
    <w:p>
      <w:pPr>
        <w:rPr>
          <w:rFonts w:ascii="宋体" w:hAnsi="宋体" w:eastAsia="宋体" w:cs="宋体"/>
          <w:b/>
          <w:bCs/>
          <w:sz w:val="32"/>
          <w:szCs w:val="32"/>
        </w:rPr>
      </w:pPr>
    </w:p>
    <w:p>
      <w:pPr>
        <w:rPr>
          <w:rFonts w:ascii="宋体" w:hAnsi="宋体" w:eastAsia="宋体" w:cs="宋体"/>
          <w:b/>
          <w:bCs/>
          <w:sz w:val="32"/>
          <w:szCs w:val="32"/>
        </w:rPr>
      </w:pPr>
    </w:p>
    <w:p>
      <w:pPr>
        <w:spacing w:line="440" w:lineRule="exact"/>
        <w:rPr>
          <w:rFonts w:ascii="仿宋" w:hAnsi="仿宋" w:eastAsia="仿宋"/>
          <w:b/>
          <w:bCs/>
          <w:sz w:val="28"/>
          <w:szCs w:val="28"/>
        </w:rPr>
        <w:sectPr>
          <w:footerReference r:id="rId4" w:type="default"/>
          <w:pgSz w:w="11906" w:h="16838"/>
          <w:pgMar w:top="1440" w:right="1800" w:bottom="1440" w:left="1800" w:header="851" w:footer="992" w:gutter="0"/>
          <w:pgNumType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joinstyle="miter"/>
            <v:imagedata r:id="rId10" o:title=""/>
            <o:lock v:ext="edit" aspectratio="t"/>
            <w10:wrap type="square"/>
          </v:shape>
          <o:OLEObject Type="Embed" ProgID="Word.Picture.8" ShapeID="_x0000_s1026" DrawAspect="Content" ObjectID="_1468075725" r:id="rId9">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620" w:firstLineChars="2200"/>
        <w:rPr>
          <w:rFonts w:ascii="仿宋" w:hAnsi="仿宋" w:eastAsia="仿宋" w:cs="仿宋_GB2312"/>
          <w:b/>
          <w:bCs/>
          <w:sz w:val="36"/>
          <w:szCs w:val="3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承燕会所审专字（2020）第293号</w:t>
      </w:r>
    </w:p>
    <w:p>
      <w:pPr>
        <w:rPr>
          <w:rFonts w:ascii="宋体" w:hAnsi="宋体" w:eastAsia="宋体" w:cs="宋体"/>
          <w:b/>
          <w:bCs/>
          <w:sz w:val="32"/>
          <w:szCs w:val="32"/>
        </w:rPr>
      </w:pPr>
    </w:p>
    <w:p>
      <w:pPr>
        <w:rPr>
          <w:rFonts w:ascii="宋体" w:hAnsi="宋体" w:eastAsia="宋体" w:cs="宋体"/>
          <w:b/>
          <w:bCs/>
          <w:sz w:val="32"/>
          <w:szCs w:val="32"/>
        </w:rPr>
      </w:pPr>
    </w:p>
    <w:sdt>
      <w:sdtPr>
        <w:rPr>
          <w:rFonts w:ascii="宋体" w:hAnsi="宋体" w:eastAsia="宋体"/>
          <w:sz w:val="28"/>
          <w:szCs w:val="28"/>
        </w:rPr>
        <w:id w:val="147470155"/>
        <w:docPartObj>
          <w:docPartGallery w:val="Table of Contents"/>
          <w:docPartUnique/>
        </w:docPartObj>
      </w:sdtPr>
      <w:sdtEndPr>
        <w:rPr>
          <w:rFonts w:hint="eastAsia" w:ascii="宋体" w:hAnsi="宋体" w:eastAsia="宋体" w:cs="宋体"/>
          <w:b/>
          <w:bCs/>
          <w:sz w:val="21"/>
          <w:szCs w:val="32"/>
        </w:rPr>
      </w:sdtEndPr>
      <w:sdtContent>
        <w:p>
          <w:pPr>
            <w:jc w:val="center"/>
            <w:rPr>
              <w:sz w:val="28"/>
              <w:szCs w:val="28"/>
            </w:rPr>
          </w:pPr>
          <w:r>
            <w:rPr>
              <w:rFonts w:ascii="宋体" w:hAnsi="宋体" w:eastAsia="宋体"/>
              <w:b/>
              <w:bCs/>
              <w:sz w:val="32"/>
              <w:szCs w:val="32"/>
            </w:rPr>
            <w:t>目</w:t>
          </w:r>
          <w:r>
            <w:rPr>
              <w:rFonts w:hint="eastAsia" w:ascii="宋体" w:hAnsi="宋体" w:eastAsia="宋体"/>
              <w:b/>
              <w:bCs/>
              <w:sz w:val="32"/>
              <w:szCs w:val="32"/>
            </w:rPr>
            <w:t xml:space="preserve"> </w:t>
          </w:r>
          <w:r>
            <w:rPr>
              <w:rFonts w:ascii="宋体" w:hAnsi="宋体" w:eastAsia="宋体"/>
              <w:b/>
              <w:bCs/>
              <w:sz w:val="32"/>
              <w:szCs w:val="32"/>
            </w:rPr>
            <w:t>录</w:t>
          </w:r>
        </w:p>
        <w:p>
          <w:pPr>
            <w:pStyle w:val="9"/>
            <w:tabs>
              <w:tab w:val="right" w:leader="dot" w:pos="8306"/>
            </w:tabs>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"1-2" \h \u </w:instrText>
          </w:r>
          <w:r>
            <w:rPr>
              <w:rFonts w:hint="eastAsia" w:ascii="宋体" w:hAnsi="宋体" w:eastAsia="宋体" w:cs="宋体"/>
              <w:b/>
              <w:bCs/>
              <w:sz w:val="28"/>
              <w:szCs w:val="28"/>
            </w:rPr>
            <w:fldChar w:fldCharType="separate"/>
          </w:r>
        </w:p>
        <w:p>
          <w:pPr>
            <w:pStyle w:val="9"/>
            <w:tabs>
              <w:tab w:val="right" w:leader="dot" w:pos="8306"/>
            </w:tabs>
            <w:rPr>
              <w:sz w:val="28"/>
              <w:szCs w:val="28"/>
            </w:rPr>
          </w:pPr>
          <w:r>
            <w:fldChar w:fldCharType="begin"/>
          </w:r>
          <w:r>
            <w:instrText xml:space="preserve"> HYPERLINK \l "_Toc27945" </w:instrText>
          </w:r>
          <w:r>
            <w:fldChar w:fldCharType="separate"/>
          </w:r>
          <w:r>
            <w:rPr>
              <w:rFonts w:hint="eastAsia" w:ascii="黑体" w:hAnsi="黑体" w:eastAsia="黑体" w:cs="黑体"/>
              <w:sz w:val="28"/>
              <w:szCs w:val="28"/>
            </w:rPr>
            <w:t>一、项目基本情况</w:t>
          </w:r>
          <w:r>
            <w:rPr>
              <w:sz w:val="28"/>
              <w:szCs w:val="28"/>
            </w:rPr>
            <w:tab/>
          </w:r>
          <w:r>
            <w:rPr>
              <w:sz w:val="28"/>
              <w:szCs w:val="28"/>
            </w:rPr>
            <w:fldChar w:fldCharType="begin"/>
          </w:r>
          <w:r>
            <w:rPr>
              <w:sz w:val="28"/>
              <w:szCs w:val="28"/>
            </w:rPr>
            <w:instrText xml:space="preserve"> PAGEREF _Toc27945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"_Toc3023" </w:instrText>
          </w:r>
          <w:r>
            <w:fldChar w:fldCharType="separate"/>
          </w:r>
          <w:r>
            <w:rPr>
              <w:rFonts w:hint="eastAsia" w:ascii="楷体" w:hAnsi="楷体" w:eastAsia="楷体" w:cs="楷体"/>
              <w:sz w:val="28"/>
              <w:szCs w:val="28"/>
            </w:rPr>
            <w:t>（一）项目概况</w:t>
          </w:r>
          <w:r>
            <w:rPr>
              <w:sz w:val="28"/>
              <w:szCs w:val="28"/>
            </w:rPr>
            <w:tab/>
          </w:r>
          <w:r>
            <w:rPr>
              <w:sz w:val="28"/>
              <w:szCs w:val="28"/>
            </w:rPr>
            <w:fldChar w:fldCharType="begin"/>
          </w:r>
          <w:r>
            <w:rPr>
              <w:sz w:val="28"/>
              <w:szCs w:val="28"/>
            </w:rPr>
            <w:instrText xml:space="preserve"> PAGEREF _Toc3023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"_Toc25308" </w:instrText>
          </w:r>
          <w:r>
            <w:fldChar w:fldCharType="separate"/>
          </w:r>
          <w:r>
            <w:rPr>
              <w:rFonts w:hint="eastAsia" w:ascii="楷体" w:hAnsi="楷体" w:eastAsia="楷体" w:cs="楷体"/>
              <w:sz w:val="28"/>
              <w:szCs w:val="28"/>
            </w:rPr>
            <w:t>（二）项目绩效目标</w:t>
          </w:r>
          <w:r>
            <w:rPr>
              <w:sz w:val="28"/>
              <w:szCs w:val="28"/>
            </w:rPr>
            <w:tab/>
          </w:r>
          <w:r>
            <w:rPr>
              <w:sz w:val="28"/>
              <w:szCs w:val="28"/>
            </w:rPr>
            <w:fldChar w:fldCharType="begin"/>
          </w:r>
          <w:r>
            <w:rPr>
              <w:sz w:val="28"/>
              <w:szCs w:val="28"/>
            </w:rPr>
            <w:instrText xml:space="preserve"> PAGEREF _Toc25308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"_Toc7932" </w:instrText>
          </w:r>
          <w:r>
            <w:fldChar w:fldCharType="separate"/>
          </w:r>
          <w:r>
            <w:rPr>
              <w:rFonts w:hint="eastAsia" w:ascii="楷体" w:hAnsi="楷体" w:eastAsia="楷体" w:cs="楷体"/>
              <w:sz w:val="28"/>
              <w:szCs w:val="28"/>
            </w:rPr>
            <w:t>（三）评价对象和时段</w:t>
          </w:r>
          <w:r>
            <w:rPr>
              <w:sz w:val="28"/>
              <w:szCs w:val="28"/>
            </w:rPr>
            <w:tab/>
          </w:r>
          <w:r>
            <w:rPr>
              <w:sz w:val="28"/>
              <w:szCs w:val="28"/>
            </w:rPr>
            <w:fldChar w:fldCharType="begin"/>
          </w:r>
          <w:r>
            <w:rPr>
              <w:sz w:val="28"/>
              <w:szCs w:val="28"/>
            </w:rPr>
            <w:instrText xml:space="preserve"> PAGEREF _Toc7932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"_Toc29608" </w:instrText>
          </w:r>
          <w:r>
            <w:fldChar w:fldCharType="separate"/>
          </w:r>
          <w:r>
            <w:rPr>
              <w:rFonts w:hint="eastAsia" w:ascii="黑体" w:hAnsi="黑体" w:eastAsia="黑体" w:cs="黑体"/>
              <w:bCs/>
              <w:sz w:val="28"/>
              <w:szCs w:val="28"/>
            </w:rPr>
            <w:t>二、绩效评价工作开展情况</w:t>
          </w:r>
          <w:r>
            <w:rPr>
              <w:sz w:val="28"/>
              <w:szCs w:val="28"/>
            </w:rPr>
            <w:tab/>
          </w:r>
          <w:r>
            <w:rPr>
              <w:sz w:val="28"/>
              <w:szCs w:val="28"/>
            </w:rPr>
            <w:fldChar w:fldCharType="begin"/>
          </w:r>
          <w:r>
            <w:rPr>
              <w:sz w:val="28"/>
              <w:szCs w:val="28"/>
            </w:rPr>
            <w:instrText xml:space="preserve"> PAGEREF _Toc29608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"_Toc28234" </w:instrText>
          </w:r>
          <w:r>
            <w:fldChar w:fldCharType="separate"/>
          </w:r>
          <w:r>
            <w:rPr>
              <w:rFonts w:hint="eastAsia" w:ascii="楷体" w:hAnsi="楷体" w:eastAsia="楷体" w:cs="楷体"/>
              <w:bCs/>
              <w:sz w:val="28"/>
              <w:szCs w:val="28"/>
            </w:rPr>
            <w:t>（一）绩效评价指标权重和绩效评价指标体系</w:t>
          </w:r>
          <w:r>
            <w:rPr>
              <w:sz w:val="28"/>
              <w:szCs w:val="28"/>
            </w:rPr>
            <w:tab/>
          </w:r>
          <w:r>
            <w:rPr>
              <w:sz w:val="28"/>
              <w:szCs w:val="28"/>
            </w:rPr>
            <w:fldChar w:fldCharType="begin"/>
          </w:r>
          <w:r>
            <w:rPr>
              <w:sz w:val="28"/>
              <w:szCs w:val="28"/>
            </w:rPr>
            <w:instrText xml:space="preserve"> PAGEREF _Toc28234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"_Toc20068" </w:instrText>
          </w:r>
          <w:r>
            <w:fldChar w:fldCharType="separate"/>
          </w:r>
          <w:r>
            <w:rPr>
              <w:rFonts w:hint="eastAsia" w:ascii="楷体" w:hAnsi="楷体" w:eastAsia="楷体" w:cs="楷体"/>
              <w:kern w:val="0"/>
              <w:sz w:val="28"/>
              <w:szCs w:val="28"/>
            </w:rPr>
            <w:t>（二）绩效评价目的和依据</w:t>
          </w:r>
          <w:r>
            <w:rPr>
              <w:sz w:val="28"/>
              <w:szCs w:val="28"/>
            </w:rPr>
            <w:tab/>
          </w:r>
          <w:r>
            <w:rPr>
              <w:sz w:val="28"/>
              <w:szCs w:val="28"/>
            </w:rPr>
            <w:fldChar w:fldCharType="begin"/>
          </w:r>
          <w:r>
            <w:rPr>
              <w:sz w:val="28"/>
              <w:szCs w:val="28"/>
            </w:rPr>
            <w:instrText xml:space="preserve"> PAGEREF _Toc20068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"_Toc20552" </w:instrText>
          </w:r>
          <w:r>
            <w:fldChar w:fldCharType="separate"/>
          </w:r>
          <w:r>
            <w:rPr>
              <w:rFonts w:hint="eastAsia" w:ascii="楷体" w:hAnsi="楷体" w:eastAsia="楷体" w:cs="楷体"/>
              <w:sz w:val="28"/>
              <w:szCs w:val="28"/>
            </w:rPr>
            <w:t>（三）绩效评价工作内容和范围</w:t>
          </w:r>
          <w:r>
            <w:rPr>
              <w:sz w:val="28"/>
              <w:szCs w:val="28"/>
            </w:rPr>
            <w:tab/>
          </w:r>
          <w:r>
            <w:rPr>
              <w:sz w:val="28"/>
              <w:szCs w:val="28"/>
            </w:rPr>
            <w:fldChar w:fldCharType="begin"/>
          </w:r>
          <w:r>
            <w:rPr>
              <w:sz w:val="28"/>
              <w:szCs w:val="28"/>
            </w:rPr>
            <w:instrText xml:space="preserve"> PAGEREF _Toc20552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"_Toc28016" </w:instrText>
          </w:r>
          <w:r>
            <w:fldChar w:fldCharType="separate"/>
          </w:r>
          <w:r>
            <w:rPr>
              <w:rFonts w:hint="eastAsia" w:ascii="楷体" w:hAnsi="楷体" w:eastAsia="楷体" w:cs="楷体"/>
              <w:bCs/>
              <w:sz w:val="28"/>
              <w:szCs w:val="28"/>
            </w:rPr>
            <w:t>（四）绩效评价标准和方法</w:t>
          </w:r>
          <w:r>
            <w:rPr>
              <w:sz w:val="28"/>
              <w:szCs w:val="28"/>
            </w:rPr>
            <w:tab/>
          </w:r>
          <w:r>
            <w:rPr>
              <w:sz w:val="28"/>
              <w:szCs w:val="28"/>
            </w:rPr>
            <w:fldChar w:fldCharType="begin"/>
          </w:r>
          <w:r>
            <w:rPr>
              <w:sz w:val="28"/>
              <w:szCs w:val="28"/>
            </w:rPr>
            <w:instrText xml:space="preserve"> PAGEREF _Toc28016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"_Toc20778" </w:instrText>
          </w:r>
          <w:r>
            <w:fldChar w:fldCharType="separate"/>
          </w:r>
          <w:r>
            <w:rPr>
              <w:rFonts w:hint="eastAsia" w:ascii="楷体" w:hAnsi="楷体" w:eastAsia="楷体" w:cs="楷体"/>
              <w:bCs/>
              <w:sz w:val="28"/>
              <w:szCs w:val="28"/>
            </w:rPr>
            <w:t>（五）绩效评价工作过程</w:t>
          </w:r>
          <w:r>
            <w:rPr>
              <w:sz w:val="28"/>
              <w:szCs w:val="28"/>
            </w:rPr>
            <w:tab/>
          </w:r>
          <w:r>
            <w:rPr>
              <w:sz w:val="28"/>
              <w:szCs w:val="28"/>
            </w:rPr>
            <w:fldChar w:fldCharType="begin"/>
          </w:r>
          <w:r>
            <w:rPr>
              <w:sz w:val="28"/>
              <w:szCs w:val="28"/>
            </w:rPr>
            <w:instrText xml:space="preserve"> PAGEREF _Toc20778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"_Toc20611" </w:instrText>
          </w:r>
          <w:r>
            <w:fldChar w:fldCharType="separate"/>
          </w:r>
          <w:r>
            <w:rPr>
              <w:rFonts w:hint="eastAsia" w:ascii="黑体" w:hAnsi="黑体" w:eastAsia="黑体" w:cs="黑体"/>
              <w:sz w:val="28"/>
              <w:szCs w:val="28"/>
            </w:rPr>
            <w:t>三、项目实施及资金使用情况</w:t>
          </w:r>
          <w:r>
            <w:rPr>
              <w:sz w:val="28"/>
              <w:szCs w:val="28"/>
            </w:rPr>
            <w:tab/>
          </w:r>
          <w:r>
            <w:rPr>
              <w:sz w:val="28"/>
              <w:szCs w:val="28"/>
            </w:rPr>
            <w:fldChar w:fldCharType="begin"/>
          </w:r>
          <w:r>
            <w:rPr>
              <w:sz w:val="28"/>
              <w:szCs w:val="28"/>
            </w:rPr>
            <w:instrText xml:space="preserve"> PAGEREF _Toc20611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"_Toc15753" </w:instrText>
          </w:r>
          <w:r>
            <w:fldChar w:fldCharType="separate"/>
          </w:r>
          <w:r>
            <w:rPr>
              <w:rFonts w:hint="eastAsia" w:ascii="楷体" w:hAnsi="楷体" w:eastAsia="楷体" w:cs="楷体"/>
              <w:bCs/>
              <w:sz w:val="28"/>
              <w:szCs w:val="28"/>
            </w:rPr>
            <w:t>（一）项目实施情况</w:t>
          </w:r>
          <w:r>
            <w:rPr>
              <w:sz w:val="28"/>
              <w:szCs w:val="28"/>
            </w:rPr>
            <w:tab/>
          </w:r>
          <w:r>
            <w:rPr>
              <w:sz w:val="28"/>
              <w:szCs w:val="28"/>
            </w:rPr>
            <w:fldChar w:fldCharType="begin"/>
          </w:r>
          <w:r>
            <w:rPr>
              <w:sz w:val="28"/>
              <w:szCs w:val="28"/>
            </w:rPr>
            <w:instrText xml:space="preserve"> PAGEREF _Toc15753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"_Toc11091" </w:instrText>
          </w:r>
          <w:r>
            <w:fldChar w:fldCharType="separate"/>
          </w:r>
          <w:r>
            <w:rPr>
              <w:rFonts w:hint="eastAsia" w:ascii="楷体" w:hAnsi="楷体" w:eastAsia="楷体" w:cs="楷体"/>
              <w:bCs/>
              <w:sz w:val="28"/>
              <w:szCs w:val="28"/>
            </w:rPr>
            <w:t>（二）资金使用情况</w:t>
          </w:r>
          <w:r>
            <w:rPr>
              <w:sz w:val="28"/>
              <w:szCs w:val="28"/>
            </w:rPr>
            <w:tab/>
          </w:r>
          <w:r>
            <w:rPr>
              <w:sz w:val="28"/>
              <w:szCs w:val="28"/>
            </w:rPr>
            <w:fldChar w:fldCharType="begin"/>
          </w:r>
          <w:r>
            <w:rPr>
              <w:sz w:val="28"/>
              <w:szCs w:val="28"/>
            </w:rPr>
            <w:instrText xml:space="preserve"> PAGEREF _Toc11091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9"/>
            <w:tabs>
              <w:tab w:val="right" w:leader="dot" w:pos="8306"/>
            </w:tabs>
            <w:rPr>
              <w:rFonts w:ascii="宋体" w:hAnsi="宋体" w:eastAsia="宋体" w:cs="宋体"/>
              <w:bCs/>
              <w:sz w:val="28"/>
              <w:szCs w:val="28"/>
            </w:rPr>
            <w:sectPr>
              <w:footerReference r:id="rId5" w:type="default"/>
              <w:pgSz w:w="11906" w:h="16838"/>
              <w:pgMar w:top="1440" w:right="1800" w:bottom="1440" w:left="1800" w:header="851" w:footer="992" w:gutter="0"/>
              <w:pgNumType w:start="1"/>
              <w:cols w:space="425" w:num="1"/>
              <w:docGrid w:type="lines" w:linePitch="312" w:charSpace="0"/>
            </w:sectPr>
          </w:pPr>
        </w:p>
        <w:p>
          <w:pPr>
            <w:pStyle w:val="9"/>
            <w:tabs>
              <w:tab w:val="right" w:leader="dot" w:pos="8306"/>
            </w:tabs>
            <w:rPr>
              <w:sz w:val="28"/>
              <w:szCs w:val="28"/>
            </w:rPr>
          </w:pPr>
          <w:r>
            <w:fldChar w:fldCharType="begin"/>
          </w:r>
          <w:r>
            <w:instrText xml:space="preserve"> HYPERLINK \l "_Toc25872" </w:instrText>
          </w:r>
          <w:r>
            <w:fldChar w:fldCharType="separate"/>
          </w:r>
          <w:r>
            <w:rPr>
              <w:rFonts w:hint="eastAsia" w:ascii="黑体" w:hAnsi="黑体" w:eastAsia="黑体" w:cs="黑体"/>
              <w:sz w:val="28"/>
              <w:szCs w:val="28"/>
            </w:rPr>
            <w:t>四、绩效评价分析与结论</w:t>
          </w:r>
          <w:r>
            <w:rPr>
              <w:sz w:val="28"/>
              <w:szCs w:val="28"/>
            </w:rPr>
            <w:tab/>
          </w:r>
          <w:r>
            <w:rPr>
              <w:sz w:val="28"/>
              <w:szCs w:val="28"/>
            </w:rPr>
            <w:fldChar w:fldCharType="begin"/>
          </w:r>
          <w:r>
            <w:rPr>
              <w:sz w:val="28"/>
              <w:szCs w:val="28"/>
            </w:rPr>
            <w:instrText xml:space="preserve"> PAGEREF _Toc25872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"_Toc2427" </w:instrText>
          </w:r>
          <w:r>
            <w:fldChar w:fldCharType="separate"/>
          </w:r>
          <w:r>
            <w:rPr>
              <w:rFonts w:hint="eastAsia" w:ascii="楷体" w:hAnsi="楷体" w:eastAsia="楷体" w:cs="楷体"/>
              <w:kern w:val="0"/>
              <w:sz w:val="28"/>
              <w:szCs w:val="28"/>
            </w:rPr>
            <w:t>（一）绩效评价分析</w:t>
          </w:r>
          <w:r>
            <w:rPr>
              <w:sz w:val="28"/>
              <w:szCs w:val="28"/>
            </w:rPr>
            <w:tab/>
          </w:r>
          <w:r>
            <w:rPr>
              <w:sz w:val="28"/>
              <w:szCs w:val="28"/>
            </w:rPr>
            <w:fldChar w:fldCharType="begin"/>
          </w:r>
          <w:r>
            <w:rPr>
              <w:sz w:val="28"/>
              <w:szCs w:val="28"/>
            </w:rPr>
            <w:instrText xml:space="preserve"> PAGEREF _Toc2427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"_Toc22148" </w:instrText>
          </w:r>
          <w:r>
            <w:fldChar w:fldCharType="separate"/>
          </w:r>
          <w:r>
            <w:rPr>
              <w:rFonts w:hint="eastAsia" w:ascii="楷体" w:hAnsi="楷体" w:eastAsia="楷体" w:cs="楷体"/>
              <w:kern w:val="0"/>
              <w:sz w:val="28"/>
              <w:szCs w:val="28"/>
            </w:rPr>
            <w:t>（二）绩效评价结论</w:t>
          </w:r>
          <w:r>
            <w:rPr>
              <w:sz w:val="28"/>
              <w:szCs w:val="28"/>
            </w:rPr>
            <w:tab/>
          </w:r>
          <w:r>
            <w:rPr>
              <w:sz w:val="28"/>
              <w:szCs w:val="28"/>
            </w:rPr>
            <w:fldChar w:fldCharType="begin"/>
          </w:r>
          <w:r>
            <w:rPr>
              <w:sz w:val="28"/>
              <w:szCs w:val="28"/>
            </w:rPr>
            <w:instrText xml:space="preserve"> PAGEREF _Toc22148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"_Toc29435" </w:instrText>
          </w:r>
          <w:r>
            <w:fldChar w:fldCharType="separate"/>
          </w:r>
          <w:r>
            <w:rPr>
              <w:rFonts w:hint="eastAsia" w:ascii="黑体" w:hAnsi="黑体" w:eastAsia="黑体" w:cs="黑体"/>
              <w:bCs/>
              <w:kern w:val="0"/>
              <w:sz w:val="28"/>
              <w:szCs w:val="28"/>
            </w:rPr>
            <w:t>五、意见及建议</w:t>
          </w:r>
          <w:r>
            <w:rPr>
              <w:sz w:val="28"/>
              <w:szCs w:val="28"/>
            </w:rPr>
            <w:tab/>
          </w:r>
          <w:r>
            <w:rPr>
              <w:sz w:val="28"/>
              <w:szCs w:val="28"/>
            </w:rPr>
            <w:fldChar w:fldCharType="begin"/>
          </w:r>
          <w:r>
            <w:rPr>
              <w:sz w:val="28"/>
              <w:szCs w:val="28"/>
            </w:rPr>
            <w:instrText xml:space="preserve"> PAGEREF _Toc29435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"_Toc15246" </w:instrText>
          </w:r>
          <w:r>
            <w:fldChar w:fldCharType="separate"/>
          </w:r>
          <w:r>
            <w:rPr>
              <w:rFonts w:hint="eastAsia" w:ascii="楷体" w:hAnsi="楷体" w:eastAsia="楷体" w:cs="楷体"/>
              <w:bCs/>
              <w:sz w:val="28"/>
              <w:szCs w:val="28"/>
            </w:rPr>
            <w:t>（一）强化绩效理念，深入推进评价工作</w:t>
          </w:r>
          <w:r>
            <w:rPr>
              <w:sz w:val="28"/>
              <w:szCs w:val="28"/>
            </w:rPr>
            <w:tab/>
          </w:r>
          <w:r>
            <w:rPr>
              <w:sz w:val="28"/>
              <w:szCs w:val="28"/>
            </w:rPr>
            <w:fldChar w:fldCharType="begin"/>
          </w:r>
          <w:r>
            <w:rPr>
              <w:sz w:val="28"/>
              <w:szCs w:val="28"/>
            </w:rPr>
            <w:instrText xml:space="preserve"> PAGEREF _Toc15246 </w:instrText>
          </w:r>
          <w:r>
            <w:rPr>
              <w:sz w:val="28"/>
              <w:szCs w:val="28"/>
            </w:rPr>
            <w:fldChar w:fldCharType="separate"/>
          </w:r>
          <w:r>
            <w:rPr>
              <w:sz w:val="28"/>
              <w:szCs w:val="28"/>
            </w:rPr>
            <w:t>26</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"_Toc19932" </w:instrText>
          </w:r>
          <w:r>
            <w:fldChar w:fldCharType="separate"/>
          </w:r>
          <w:r>
            <w:rPr>
              <w:rFonts w:hint="eastAsia" w:ascii="楷体" w:hAnsi="楷体" w:eastAsia="楷体" w:cs="楷体"/>
              <w:bCs/>
              <w:sz w:val="28"/>
              <w:szCs w:val="28"/>
            </w:rPr>
            <w:t>（二）强化事前准备，切实提升评价质量</w:t>
          </w:r>
          <w:r>
            <w:rPr>
              <w:sz w:val="28"/>
              <w:szCs w:val="28"/>
            </w:rPr>
            <w:tab/>
          </w:r>
          <w:r>
            <w:rPr>
              <w:sz w:val="28"/>
              <w:szCs w:val="28"/>
            </w:rPr>
            <w:fldChar w:fldCharType="begin"/>
          </w:r>
          <w:r>
            <w:rPr>
              <w:sz w:val="28"/>
              <w:szCs w:val="28"/>
            </w:rPr>
            <w:instrText xml:space="preserve"> PAGEREF _Toc19932 </w:instrText>
          </w:r>
          <w:r>
            <w:rPr>
              <w:sz w:val="28"/>
              <w:szCs w:val="28"/>
            </w:rPr>
            <w:fldChar w:fldCharType="separate"/>
          </w:r>
          <w:r>
            <w:rPr>
              <w:sz w:val="28"/>
              <w:szCs w:val="28"/>
            </w:rPr>
            <w:t>26</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"_Toc16658" </w:instrText>
          </w:r>
          <w:r>
            <w:fldChar w:fldCharType="separate"/>
          </w:r>
          <w:r>
            <w:rPr>
              <w:rFonts w:hint="eastAsia" w:ascii="楷体" w:hAnsi="楷体" w:eastAsia="楷体" w:cs="楷体"/>
              <w:bCs/>
              <w:sz w:val="28"/>
              <w:szCs w:val="28"/>
            </w:rPr>
            <w:t>（三）强化结果应用，不断巩固评价成效</w:t>
          </w:r>
          <w:r>
            <w:rPr>
              <w:sz w:val="28"/>
              <w:szCs w:val="28"/>
            </w:rPr>
            <w:tab/>
          </w:r>
          <w:r>
            <w:rPr>
              <w:sz w:val="28"/>
              <w:szCs w:val="28"/>
            </w:rPr>
            <w:fldChar w:fldCharType="begin"/>
          </w:r>
          <w:r>
            <w:rPr>
              <w:sz w:val="28"/>
              <w:szCs w:val="28"/>
            </w:rPr>
            <w:instrText xml:space="preserve"> PAGEREF _Toc16658 </w:instrText>
          </w:r>
          <w:r>
            <w:rPr>
              <w:sz w:val="28"/>
              <w:szCs w:val="28"/>
            </w:rPr>
            <w:fldChar w:fldCharType="separate"/>
          </w:r>
          <w:r>
            <w:rPr>
              <w:sz w:val="28"/>
              <w:szCs w:val="28"/>
            </w:rPr>
            <w:t>26</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"_Toc24195" </w:instrText>
          </w:r>
          <w:r>
            <w:fldChar w:fldCharType="separate"/>
          </w:r>
          <w:r>
            <w:rPr>
              <w:rFonts w:hint="eastAsia" w:ascii="黑体" w:hAnsi="黑体" w:eastAsia="黑体" w:cs="黑体"/>
              <w:bCs/>
              <w:kern w:val="0"/>
              <w:sz w:val="28"/>
              <w:szCs w:val="28"/>
            </w:rPr>
            <w:t>六、附件</w:t>
          </w:r>
          <w:r>
            <w:rPr>
              <w:sz w:val="28"/>
              <w:szCs w:val="28"/>
            </w:rPr>
            <w:tab/>
          </w:r>
          <w:r>
            <w:rPr>
              <w:sz w:val="28"/>
              <w:szCs w:val="28"/>
            </w:rPr>
            <w:fldChar w:fldCharType="begin"/>
          </w:r>
          <w:r>
            <w:rPr>
              <w:sz w:val="28"/>
              <w:szCs w:val="28"/>
            </w:rPr>
            <w:instrText xml:space="preserve"> PAGEREF _Toc24195 </w:instrText>
          </w:r>
          <w:r>
            <w:rPr>
              <w:sz w:val="28"/>
              <w:szCs w:val="28"/>
            </w:rPr>
            <w:fldChar w:fldCharType="separate"/>
          </w:r>
          <w:r>
            <w:rPr>
              <w:sz w:val="28"/>
              <w:szCs w:val="28"/>
            </w:rPr>
            <w:t>26</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"_Toc164" </w:instrText>
          </w:r>
          <w:r>
            <w:fldChar w:fldCharType="separate"/>
          </w:r>
          <w:r>
            <w:rPr>
              <w:rFonts w:hint="eastAsia" w:ascii="楷体" w:hAnsi="楷体" w:eastAsia="楷体" w:cs="楷体"/>
              <w:sz w:val="28"/>
              <w:szCs w:val="28"/>
            </w:rPr>
            <w:t>绩效评价指标体系得分表</w:t>
          </w:r>
          <w:r>
            <w:rPr>
              <w:sz w:val="28"/>
              <w:szCs w:val="28"/>
            </w:rPr>
            <w:tab/>
          </w:r>
          <w:r>
            <w:rPr>
              <w:sz w:val="28"/>
              <w:szCs w:val="28"/>
            </w:rPr>
            <w:fldChar w:fldCharType="begin"/>
          </w:r>
          <w:r>
            <w:rPr>
              <w:sz w:val="28"/>
              <w:szCs w:val="28"/>
            </w:rPr>
            <w:instrText xml:space="preserve"> PAGEREF _Toc164 </w:instrText>
          </w:r>
          <w:r>
            <w:rPr>
              <w:sz w:val="28"/>
              <w:szCs w:val="28"/>
            </w:rPr>
            <w:fldChar w:fldCharType="separate"/>
          </w:r>
          <w:r>
            <w:rPr>
              <w:sz w:val="28"/>
              <w:szCs w:val="28"/>
            </w:rPr>
            <w:t>26</w:t>
          </w:r>
          <w:r>
            <w:rPr>
              <w:sz w:val="28"/>
              <w:szCs w:val="28"/>
            </w:rPr>
            <w:fldChar w:fldCharType="end"/>
          </w:r>
          <w:r>
            <w:rPr>
              <w:sz w:val="28"/>
              <w:szCs w:val="28"/>
            </w:rPr>
            <w:fldChar w:fldCharType="end"/>
          </w:r>
        </w:p>
        <w:p>
          <w:pPr>
            <w:rPr>
              <w:rFonts w:ascii="宋体" w:hAnsi="宋体" w:eastAsia="宋体" w:cs="宋体"/>
              <w:b/>
              <w:bCs/>
              <w:sz w:val="32"/>
              <w:szCs w:val="32"/>
            </w:rPr>
          </w:pPr>
          <w:r>
            <w:rPr>
              <w:rFonts w:hint="eastAsia" w:ascii="宋体" w:hAnsi="宋体" w:eastAsia="宋体" w:cs="宋体"/>
              <w:bCs/>
              <w:szCs w:val="28"/>
            </w:rPr>
            <w:fldChar w:fldCharType="end"/>
          </w:r>
        </w:p>
      </w:sdtContent>
    </w:sdt>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sectPr>
          <w:footerReference r:id="rId6" w:type="default"/>
          <w:pgSz w:w="11906" w:h="16838"/>
          <w:pgMar w:top="1440" w:right="1800" w:bottom="1440" w:left="1800" w:header="851" w:footer="992" w:gutter="0"/>
          <w:pgNumType w:start="1"/>
          <w:cols w:space="425" w:num="1"/>
          <w:docGrid w:type="lines" w:linePitch="312" w:charSpace="0"/>
        </w:sectPr>
      </w:pPr>
    </w:p>
    <w:p>
      <w:pPr>
        <w:rPr>
          <w:rFonts w:ascii="宋体" w:hAnsi="宋体" w:eastAsia="宋体" w:cs="宋体"/>
          <w:b/>
          <w:bCs/>
          <w:sz w:val="32"/>
          <w:szCs w:val="32"/>
        </w:rPr>
      </w:pPr>
    </w:p>
    <w:p>
      <w:pPr>
        <w:jc w:val="center"/>
        <w:outlineLvl w:val="0"/>
        <w:rPr>
          <w:rFonts w:ascii="宋体" w:hAnsi="宋体" w:eastAsia="宋体" w:cs="宋体"/>
          <w:b/>
          <w:bCs/>
          <w:sz w:val="36"/>
          <w:szCs w:val="36"/>
        </w:rPr>
      </w:pPr>
      <w:bookmarkStart w:id="0" w:name="_Toc13259"/>
      <w:bookmarkStart w:id="1" w:name="_Toc29565"/>
      <w:bookmarkStart w:id="2" w:name="_Toc7123"/>
      <w:bookmarkStart w:id="3" w:name="_Toc25062"/>
      <w:bookmarkStart w:id="4" w:name="_Toc32502"/>
      <w:r>
        <w:rPr>
          <w:rFonts w:hint="eastAsia" w:ascii="宋体" w:hAnsi="宋体" w:eastAsia="宋体" w:cs="宋体"/>
          <w:b/>
          <w:bCs/>
          <w:sz w:val="36"/>
          <w:szCs w:val="36"/>
        </w:rPr>
        <w:t>围场县</w:t>
      </w:r>
      <w:bookmarkEnd w:id="0"/>
      <w:bookmarkEnd w:id="1"/>
      <w:r>
        <w:rPr>
          <w:rFonts w:hint="eastAsia" w:ascii="宋体" w:hAnsi="宋体" w:eastAsia="宋体" w:cs="宋体"/>
          <w:b/>
          <w:bCs/>
          <w:sz w:val="36"/>
          <w:szCs w:val="36"/>
        </w:rPr>
        <w:t>2019年城中村改造项目（棚户区改造）</w:t>
      </w:r>
    </w:p>
    <w:p>
      <w:pPr>
        <w:jc w:val="center"/>
        <w:outlineLvl w:val="0"/>
        <w:rPr>
          <w:rFonts w:ascii="宋体" w:hAnsi="宋体" w:eastAsia="宋体" w:cs="宋体"/>
          <w:b/>
          <w:bCs/>
          <w:sz w:val="36"/>
          <w:szCs w:val="36"/>
        </w:rPr>
      </w:pPr>
      <w:bookmarkStart w:id="5" w:name="_Toc3241"/>
      <w:bookmarkStart w:id="6" w:name="_Toc26503"/>
      <w:r>
        <w:rPr>
          <w:rFonts w:hint="eastAsia" w:ascii="宋体" w:hAnsi="宋体" w:eastAsia="宋体" w:cs="宋体"/>
          <w:b/>
          <w:bCs/>
          <w:sz w:val="36"/>
          <w:szCs w:val="36"/>
        </w:rPr>
        <w:t>专项债券资金绩效评价报告</w:t>
      </w:r>
      <w:bookmarkEnd w:id="2"/>
      <w:bookmarkEnd w:id="3"/>
      <w:bookmarkEnd w:id="4"/>
      <w:bookmarkEnd w:id="5"/>
      <w:bookmarkEnd w:id="6"/>
    </w:p>
    <w:p>
      <w:pPr>
        <w:spacing w:line="600" w:lineRule="exact"/>
        <w:ind w:right="-31" w:rightChars="-15"/>
        <w:rPr>
          <w:rFonts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ind w:firstLine="560" w:firstLineChars="200"/>
        <w:rPr>
          <w:rFonts w:ascii="宋体" w:hAnsi="宋体" w:eastAsia="宋体" w:cs="宋体"/>
          <w:sz w:val="28"/>
          <w:szCs w:val="28"/>
        </w:rPr>
      </w:pPr>
      <w:r>
        <w:rPr>
          <w:rFonts w:hint="eastAsia" w:ascii="宋体" w:hAnsi="宋体" w:eastAsia="宋体" w:cs="宋体"/>
          <w:color w:val="222222"/>
          <w:sz w:val="28"/>
          <w:szCs w:val="28"/>
          <w:shd w:val="clear" w:color="auto" w:fill="FFFFFF"/>
        </w:rPr>
        <w:t>根据《围场满族蒙古族自治县财政局内部财政资金拨付程序》，参照财政部、住房城乡建设部《试点发行地方政府棚户区改造专项债券管理办法》</w:t>
      </w:r>
      <w:r>
        <w:rPr>
          <w:rFonts w:hint="eastAsia" w:ascii="宋体" w:hAnsi="宋体" w:eastAsia="宋体" w:cs="宋体"/>
          <w:sz w:val="28"/>
          <w:szCs w:val="28"/>
        </w:rPr>
        <w:t>（财预〔2018〕28号）</w:t>
      </w:r>
      <w:r>
        <w:rPr>
          <w:rFonts w:hint="eastAsia" w:ascii="宋体" w:hAnsi="宋体" w:eastAsia="宋体" w:cs="宋体"/>
          <w:color w:val="222222"/>
          <w:sz w:val="28"/>
          <w:szCs w:val="28"/>
          <w:shd w:val="clear" w:color="auto" w:fill="FFFFFF"/>
        </w:rPr>
        <w:t>和</w:t>
      </w:r>
      <w:r>
        <w:rPr>
          <w:rFonts w:hint="eastAsia" w:ascii="宋体" w:hAnsi="宋体" w:eastAsia="宋体" w:cs="宋体"/>
          <w:sz w:val="28"/>
          <w:szCs w:val="28"/>
        </w:rPr>
        <w:t>财政部《项目支出绩效评价管理办法》（财预〔2020〕10号）等文件要求，承德燕山会计师事务所有限责任公司接受围场满族蒙古族自治县财政局委托，成立了绩效评价专项小组，对围场县2019年城中村改造项目（棚户区改造）专项债券资金使用情况做绩效评价咨询工作。</w:t>
      </w:r>
    </w:p>
    <w:p>
      <w:pPr>
        <w:ind w:firstLine="560" w:firstLineChars="200"/>
        <w:rPr>
          <w:rFonts w:ascii="宋体" w:hAnsi="宋体" w:eastAsia="宋体" w:cs="宋体"/>
          <w:sz w:val="28"/>
          <w:szCs w:val="28"/>
        </w:rPr>
      </w:pPr>
      <w:r>
        <w:rPr>
          <w:rFonts w:hint="eastAsia" w:ascii="宋体" w:hAnsi="宋体" w:eastAsia="宋体" w:cs="宋体"/>
          <w:sz w:val="28"/>
          <w:szCs w:val="28"/>
        </w:rPr>
        <w:t>本次绩效评价所涉及到的债券资金使用部分的项目资料、财务数据以及其他与本评价项目相关资料的真实性、合法性、完整性、有效性由被评价单位负责并提供给我方。我方的责任是依据本项目相关资料，根据2019年度围场县地方政府专项债</w:t>
      </w:r>
      <w:r>
        <w:rPr>
          <w:rFonts w:hint="eastAsia" w:ascii="宋体" w:hAnsi="宋体" w:eastAsia="宋体" w:cs="宋体"/>
          <w:sz w:val="28"/>
          <w:szCs w:val="28"/>
          <w:lang w:eastAsia="zh-CN"/>
        </w:rPr>
        <w:t>券</w:t>
      </w:r>
      <w:r>
        <w:rPr>
          <w:rFonts w:hint="eastAsia" w:ascii="宋体" w:hAnsi="宋体" w:eastAsia="宋体" w:cs="宋体"/>
          <w:sz w:val="28"/>
          <w:szCs w:val="28"/>
        </w:rPr>
        <w:t>资金的投入情况，从项目决策、项目管理、项目产出和项目效益四个方面进行全面综合的绩效考评工作。现将有关情况报告如下：</w:t>
      </w:r>
    </w:p>
    <w:p>
      <w:pPr>
        <w:spacing w:line="600" w:lineRule="exact"/>
        <w:ind w:firstLine="643" w:firstLineChars="200"/>
        <w:outlineLvl w:val="0"/>
        <w:rPr>
          <w:rFonts w:ascii="黑体" w:hAnsi="黑体" w:eastAsia="黑体" w:cs="黑体"/>
          <w:b/>
          <w:sz w:val="32"/>
          <w:szCs w:val="32"/>
        </w:rPr>
      </w:pPr>
      <w:bookmarkStart w:id="7" w:name="_Toc27945"/>
      <w:bookmarkStart w:id="8" w:name="_Toc8932"/>
      <w:r>
        <w:rPr>
          <w:rFonts w:hint="eastAsia" w:ascii="黑体" w:hAnsi="黑体" w:eastAsia="黑体" w:cs="黑体"/>
          <w:b/>
          <w:sz w:val="32"/>
          <w:szCs w:val="32"/>
        </w:rPr>
        <w:t>一、项目基本情况</w:t>
      </w:r>
      <w:bookmarkEnd w:id="7"/>
      <w:bookmarkEnd w:id="8"/>
    </w:p>
    <w:p>
      <w:pPr>
        <w:spacing w:line="600" w:lineRule="exact"/>
        <w:ind w:firstLine="643" w:firstLineChars="200"/>
        <w:outlineLvl w:val="1"/>
        <w:rPr>
          <w:rFonts w:ascii="楷体" w:hAnsi="楷体" w:eastAsia="楷体" w:cs="楷体"/>
          <w:b/>
          <w:sz w:val="32"/>
          <w:szCs w:val="32"/>
        </w:rPr>
      </w:pPr>
      <w:bookmarkStart w:id="9" w:name="_Toc1188"/>
      <w:bookmarkStart w:id="10" w:name="_Toc3023"/>
      <w:r>
        <w:rPr>
          <w:rFonts w:hint="eastAsia" w:ascii="楷体" w:hAnsi="楷体" w:eastAsia="楷体" w:cs="楷体"/>
          <w:b/>
          <w:sz w:val="32"/>
          <w:szCs w:val="32"/>
        </w:rPr>
        <w:t>（一）项目概况</w:t>
      </w:r>
      <w:bookmarkEnd w:id="9"/>
      <w:bookmarkEnd w:id="10"/>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根据围场满族蒙古族自治县人民政府文件（围政〔2019〕100号）精神，围场县人民政府做了关于2019年新增地方政府债券限额管理及使用方案的报告。根据河北省财政厅《关于下达市县2019年第一批新增政府债券资金的通知》（冀财债〔2019〕21号），下达围场县专项债券资金21000万元。</w:t>
      </w:r>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按照《地方政府专项债务预算管理办法》要求，结合围场县实际情况，本次安排2019年围场县城中村改造项目资金12000万元。</w:t>
      </w:r>
    </w:p>
    <w:p>
      <w:pPr>
        <w:ind w:firstLine="560" w:firstLineChars="200"/>
        <w:rPr>
          <w:rFonts w:ascii="宋体" w:hAnsi="宋体" w:eastAsia="宋体" w:cs="宋体"/>
          <w:sz w:val="28"/>
          <w:szCs w:val="28"/>
        </w:rPr>
      </w:pPr>
      <w:r>
        <w:rPr>
          <w:rFonts w:hint="eastAsia" w:ascii="宋体" w:hAnsi="宋体" w:eastAsia="宋体" w:cs="宋体"/>
          <w:sz w:val="28"/>
          <w:szCs w:val="28"/>
        </w:rPr>
        <w:t>1.项目名称</w:t>
      </w:r>
    </w:p>
    <w:p>
      <w:pPr>
        <w:ind w:firstLine="560" w:firstLineChars="200"/>
        <w:rPr>
          <w:rFonts w:ascii="宋体" w:hAnsi="宋体" w:eastAsia="宋体" w:cs="宋体"/>
          <w:sz w:val="28"/>
          <w:szCs w:val="28"/>
        </w:rPr>
      </w:pPr>
      <w:r>
        <w:rPr>
          <w:rFonts w:hint="eastAsia" w:ascii="宋体" w:hAnsi="宋体" w:eastAsia="宋体" w:cs="宋体"/>
          <w:sz w:val="28"/>
          <w:szCs w:val="28"/>
        </w:rPr>
        <w:t>围场县2019年城中村改造项目（棚户区改造）</w:t>
      </w:r>
    </w:p>
    <w:p>
      <w:pPr>
        <w:ind w:firstLine="560" w:firstLineChars="200"/>
        <w:rPr>
          <w:rFonts w:ascii="宋体" w:hAnsi="宋体" w:eastAsia="宋体" w:cs="宋体"/>
          <w:sz w:val="28"/>
          <w:szCs w:val="28"/>
        </w:rPr>
      </w:pPr>
      <w:r>
        <w:rPr>
          <w:rFonts w:hint="eastAsia" w:ascii="宋体" w:hAnsi="宋体" w:eastAsia="宋体" w:cs="宋体"/>
          <w:sz w:val="28"/>
          <w:szCs w:val="28"/>
        </w:rPr>
        <w:t>2.建设地点</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围场满族蒙古族自治县围场镇</w:t>
      </w:r>
    </w:p>
    <w:p>
      <w:pPr>
        <w:ind w:firstLine="560" w:firstLineChars="200"/>
        <w:rPr>
          <w:rFonts w:ascii="宋体" w:hAnsi="宋体" w:eastAsia="宋体" w:cs="宋体"/>
          <w:sz w:val="28"/>
          <w:szCs w:val="28"/>
        </w:rPr>
      </w:pPr>
      <w:r>
        <w:rPr>
          <w:rFonts w:hint="eastAsia" w:ascii="宋体" w:hAnsi="宋体" w:eastAsia="宋体" w:cs="宋体"/>
          <w:sz w:val="28"/>
          <w:szCs w:val="28"/>
        </w:rPr>
        <w:t>3.建设单位</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围场满族蒙古族自治县住房和城乡规划建设局</w:t>
      </w:r>
    </w:p>
    <w:p>
      <w:pPr>
        <w:ind w:firstLine="560" w:firstLineChars="200"/>
        <w:rPr>
          <w:rFonts w:ascii="宋体" w:hAnsi="宋体" w:eastAsia="宋体" w:cs="宋体"/>
          <w:sz w:val="28"/>
          <w:szCs w:val="28"/>
        </w:rPr>
      </w:pPr>
      <w:r>
        <w:rPr>
          <w:rFonts w:hint="eastAsia" w:ascii="宋体" w:hAnsi="宋体" w:eastAsia="宋体" w:cs="宋体"/>
          <w:sz w:val="28"/>
          <w:szCs w:val="28"/>
        </w:rPr>
        <w:t>4.项目概况</w:t>
      </w:r>
    </w:p>
    <w:p>
      <w:pPr>
        <w:ind w:firstLine="560" w:firstLineChars="200"/>
        <w:rPr>
          <w:rFonts w:ascii="宋体" w:hAnsi="宋体" w:eastAsia="宋体" w:cs="宋体"/>
          <w:sz w:val="28"/>
          <w:szCs w:val="28"/>
        </w:rPr>
      </w:pPr>
      <w:r>
        <w:rPr>
          <w:rFonts w:hint="eastAsia" w:ascii="宋体" w:hAnsi="宋体" w:eastAsia="宋体" w:cs="宋体"/>
          <w:sz w:val="28"/>
          <w:szCs w:val="28"/>
        </w:rPr>
        <w:t>为推进拆迁安置项目建设，年初县住保中心通过财政部门申请棚改专项债券资金1.2亿元，分别用于怡湖湾小区、木兰时代城、水务局拆迁项目建设。申请资金如下：怡湖湾小区由围场镇负责回迁安置，截至目前48户回迁户已回迁入住，需回购楼款2300万元；木兰时代城项目需返还拆迁成本及过渡费7650万元（含修路款）；水务局项目需回购楼房款2000万元，前期可行性研究报告费用50万元。</w:t>
      </w:r>
    </w:p>
    <w:p>
      <w:pPr>
        <w:ind w:firstLine="560" w:firstLineChars="200"/>
        <w:rPr>
          <w:rFonts w:ascii="宋体" w:hAnsi="宋体" w:eastAsia="宋体" w:cs="宋体"/>
          <w:sz w:val="28"/>
          <w:szCs w:val="28"/>
        </w:rPr>
      </w:pPr>
      <w:r>
        <w:rPr>
          <w:rFonts w:hint="eastAsia" w:ascii="宋体" w:hAnsi="宋体" w:eastAsia="宋体" w:cs="宋体"/>
          <w:sz w:val="28"/>
          <w:szCs w:val="28"/>
        </w:rPr>
        <w:t>2018年10月8日，围场满族蒙古族自治县住房和城乡规划建设局（甲方）与承德三强房地产开发有限公司（乙方）签订了水务小区回迁房屋购买协议。需甲方安置回迁住宅房屋162套，回迁建筑面积约20000㎡。地下室146套左右，甲方向乙方按市场价格下调5%予以回购，地下车位由甲方向乙方参照周边市场价格，以团购价格回迁房套数1:1比例（即162个）予以回购。</w:t>
      </w:r>
    </w:p>
    <w:p>
      <w:pPr>
        <w:ind w:firstLine="560" w:firstLineChars="200"/>
        <w:rPr>
          <w:rFonts w:ascii="宋体" w:hAnsi="宋体" w:eastAsia="宋体" w:cs="宋体"/>
          <w:sz w:val="28"/>
          <w:szCs w:val="28"/>
        </w:rPr>
      </w:pPr>
      <w:r>
        <w:rPr>
          <w:rFonts w:hint="eastAsia" w:ascii="宋体" w:hAnsi="宋体" w:eastAsia="宋体" w:cs="宋体"/>
          <w:sz w:val="28"/>
          <w:szCs w:val="28"/>
        </w:rPr>
        <w:t>2019年12月20日，甲乙双方就2018年10月8日签署的《围场水务小区回迁房屋购买协议》，根据围场县委县政府党政班子联席会议纪要〔2019〕4号文件，为进一步明确协议中的有关内容，经甲乙双方协商，就上述协议履行达成补充协议：回购房屋总建筑面积25839.08平方米，其中回购楼房166套，建筑面积21028.58平方米；回购西侧商业4套，建筑面积1048.64平方米；回购北侧商业1套，建筑面积72.71平方米；回购地下室162个，建筑面积3689.15平方米；回购地下停车位162个。回购价格：楼房回购单价6190元/平方米，西侧商业回购单价17000元/平方米，北侧商业回购单价16000元/平方米，地下室回购单价3100元/平方米，地下停车位回购单价120000元/个；以上五项合计回购总价款为18003.3515万元。</w:t>
      </w:r>
    </w:p>
    <w:p>
      <w:pPr>
        <w:ind w:firstLine="560" w:firstLineChars="200"/>
        <w:rPr>
          <w:rFonts w:ascii="宋体" w:hAnsi="宋体" w:eastAsia="宋体" w:cs="宋体"/>
          <w:sz w:val="28"/>
          <w:szCs w:val="28"/>
        </w:rPr>
      </w:pPr>
      <w:r>
        <w:rPr>
          <w:rFonts w:hint="eastAsia" w:ascii="宋体" w:hAnsi="宋体" w:eastAsia="宋体" w:cs="宋体"/>
          <w:sz w:val="28"/>
          <w:szCs w:val="28"/>
        </w:rPr>
        <w:t>5.项目总投资及资金来源</w:t>
      </w:r>
    </w:p>
    <w:p>
      <w:pPr>
        <w:ind w:firstLine="560" w:firstLineChars="200"/>
        <w:rPr>
          <w:rFonts w:ascii="宋体" w:hAnsi="宋体" w:eastAsia="宋体" w:cs="宋体"/>
          <w:sz w:val="28"/>
          <w:szCs w:val="28"/>
        </w:rPr>
      </w:pPr>
      <w:r>
        <w:rPr>
          <w:rFonts w:hint="eastAsia" w:ascii="宋体" w:hAnsi="宋体" w:eastAsia="宋体" w:cs="宋体"/>
          <w:sz w:val="28"/>
          <w:szCs w:val="28"/>
        </w:rPr>
        <w:t>项目总投资12000万元，资金全部由县财政解决，使用棚改专项债券资金。</w:t>
      </w:r>
    </w:p>
    <w:p>
      <w:pPr>
        <w:spacing w:line="600" w:lineRule="exact"/>
        <w:ind w:firstLine="643" w:firstLineChars="200"/>
        <w:outlineLvl w:val="1"/>
        <w:rPr>
          <w:rFonts w:ascii="宋体" w:hAnsi="宋体" w:eastAsia="宋体" w:cs="宋体"/>
          <w:sz w:val="28"/>
          <w:szCs w:val="28"/>
        </w:rPr>
      </w:pPr>
      <w:bookmarkStart w:id="11" w:name="_Toc25308"/>
      <w:r>
        <w:rPr>
          <w:rFonts w:hint="eastAsia" w:ascii="楷体" w:hAnsi="楷体" w:eastAsia="楷体" w:cs="楷体"/>
          <w:b/>
          <w:sz w:val="32"/>
          <w:szCs w:val="32"/>
        </w:rPr>
        <w:t>（二）项目绩效目标</w:t>
      </w:r>
      <w:bookmarkEnd w:id="11"/>
      <w:bookmarkStart w:id="12" w:name="_Toc28894"/>
      <w:bookmarkStart w:id="13" w:name="_Toc12271"/>
    </w:p>
    <w:p>
      <w:pPr>
        <w:spacing w:line="600" w:lineRule="exact"/>
        <w:ind w:firstLine="560" w:firstLineChars="200"/>
        <w:outlineLvl w:val="1"/>
        <w:rPr>
          <w:rFonts w:ascii="宋体" w:hAnsi="宋体" w:eastAsia="宋体" w:cs="宋体"/>
          <w:sz w:val="28"/>
          <w:szCs w:val="28"/>
        </w:rPr>
      </w:pPr>
      <w:bookmarkStart w:id="14" w:name="_Toc10011"/>
      <w:bookmarkStart w:id="15" w:name="_Toc31882"/>
      <w:r>
        <w:rPr>
          <w:rFonts w:hint="eastAsia" w:ascii="宋体" w:hAnsi="宋体" w:eastAsia="宋体" w:cs="宋体"/>
          <w:bCs/>
          <w:sz w:val="28"/>
          <w:szCs w:val="28"/>
        </w:rPr>
        <w:t>本次绩效评价的目标是将债券资金在项目实施过程中使用情况即项目准备阶段、采购阶段、执行阶段全面纳入绩效管理，从决策情况、资金管理和使用情况、相关制度的执行情况、实际产出情况（数量、质量、时效、成本）、取得的效益情况等方面，综合衡量项目资金使用效益，分析未完成绩效目标或偏离绩效目标较大的原因，研究并提出改进措施</w:t>
      </w:r>
      <w:r>
        <w:rPr>
          <w:rFonts w:hint="eastAsia" w:ascii="宋体" w:hAnsi="宋体" w:eastAsia="宋体" w:cs="宋体"/>
          <w:color w:val="000000"/>
          <w:kern w:val="0"/>
          <w:sz w:val="28"/>
          <w:szCs w:val="28"/>
        </w:rPr>
        <w:t>。</w:t>
      </w:r>
      <w:bookmarkEnd w:id="12"/>
      <w:bookmarkEnd w:id="14"/>
      <w:bookmarkEnd w:id="15"/>
    </w:p>
    <w:p>
      <w:pPr>
        <w:spacing w:line="600" w:lineRule="exact"/>
        <w:ind w:firstLine="643" w:firstLineChars="200"/>
        <w:outlineLvl w:val="1"/>
        <w:rPr>
          <w:rFonts w:ascii="楷体" w:hAnsi="楷体" w:eastAsia="楷体" w:cs="楷体"/>
          <w:b/>
          <w:sz w:val="32"/>
          <w:szCs w:val="32"/>
        </w:rPr>
      </w:pPr>
      <w:bookmarkStart w:id="16" w:name="_Toc7932"/>
      <w:r>
        <w:rPr>
          <w:rFonts w:hint="eastAsia" w:ascii="楷体" w:hAnsi="楷体" w:eastAsia="楷体" w:cs="楷体"/>
          <w:b/>
          <w:sz w:val="32"/>
          <w:szCs w:val="32"/>
        </w:rPr>
        <w:t>（三）评价对象和时段</w:t>
      </w:r>
      <w:bookmarkEnd w:id="13"/>
      <w:bookmarkEnd w:id="16"/>
    </w:p>
    <w:p>
      <w:pPr>
        <w:ind w:firstLine="560" w:firstLineChars="200"/>
        <w:rPr>
          <w:rFonts w:ascii="宋体" w:hAnsi="宋体" w:eastAsia="宋体" w:cs="宋体"/>
          <w:sz w:val="28"/>
          <w:szCs w:val="28"/>
        </w:rPr>
      </w:pPr>
      <w:r>
        <w:rPr>
          <w:rFonts w:hint="eastAsia" w:ascii="宋体" w:hAnsi="宋体" w:eastAsia="宋体" w:cs="宋体"/>
          <w:sz w:val="28"/>
          <w:szCs w:val="28"/>
        </w:rPr>
        <w:t>本次考核评价对象：围场县2019年城中村改造项目（棚户区改造）。从项目投入、管理、产出、效益等方面进行全面的评价考核。</w:t>
      </w:r>
    </w:p>
    <w:p>
      <w:pPr>
        <w:ind w:firstLine="560" w:firstLineChars="200"/>
        <w:rPr>
          <w:rFonts w:ascii="宋体" w:hAnsi="宋体" w:eastAsia="宋体" w:cs="宋体"/>
          <w:sz w:val="28"/>
          <w:szCs w:val="28"/>
        </w:rPr>
      </w:pPr>
      <w:r>
        <w:rPr>
          <w:rFonts w:hint="eastAsia" w:ascii="宋体" w:hAnsi="宋体" w:eastAsia="宋体" w:cs="宋体"/>
          <w:sz w:val="28"/>
          <w:szCs w:val="28"/>
        </w:rPr>
        <w:t>考核时段：从项目决策阶段立项开始，经过项目实施阶段到最后的项目结束竣工验收。</w:t>
      </w:r>
    </w:p>
    <w:p>
      <w:pPr>
        <w:ind w:firstLine="643" w:firstLineChars="200"/>
        <w:outlineLvl w:val="0"/>
        <w:rPr>
          <w:rFonts w:ascii="黑体" w:hAnsi="黑体" w:eastAsia="黑体" w:cs="黑体"/>
          <w:b/>
          <w:bCs/>
          <w:sz w:val="32"/>
          <w:szCs w:val="32"/>
        </w:rPr>
      </w:pPr>
      <w:bookmarkStart w:id="17" w:name="_Toc29608"/>
      <w:r>
        <w:rPr>
          <w:rFonts w:hint="eastAsia" w:ascii="黑体" w:hAnsi="黑体" w:eastAsia="黑体" w:cs="黑体"/>
          <w:b/>
          <w:bCs/>
          <w:sz w:val="32"/>
          <w:szCs w:val="32"/>
        </w:rPr>
        <w:t>二、绩效评价工作开展情况</w:t>
      </w:r>
      <w:bookmarkEnd w:id="17"/>
    </w:p>
    <w:p>
      <w:pPr>
        <w:ind w:firstLine="643" w:firstLineChars="200"/>
        <w:outlineLvl w:val="1"/>
        <w:rPr>
          <w:rFonts w:ascii="楷体" w:hAnsi="楷体" w:eastAsia="楷体" w:cs="楷体"/>
          <w:b/>
          <w:bCs/>
          <w:sz w:val="32"/>
          <w:szCs w:val="32"/>
        </w:rPr>
      </w:pPr>
      <w:bookmarkStart w:id="18" w:name="_Toc28234"/>
      <w:r>
        <w:rPr>
          <w:rFonts w:hint="eastAsia" w:ascii="楷体" w:hAnsi="楷体" w:eastAsia="楷体" w:cs="楷体"/>
          <w:b/>
          <w:bCs/>
          <w:sz w:val="32"/>
          <w:szCs w:val="32"/>
        </w:rPr>
        <w:t>（一）绩效评价指标权重和绩效评价指标体系</w:t>
      </w:r>
      <w:bookmarkEnd w:id="18"/>
    </w:p>
    <w:p>
      <w:pPr>
        <w:ind w:firstLine="562" w:firstLineChars="200"/>
        <w:rPr>
          <w:rFonts w:ascii="仿宋" w:hAnsi="仿宋" w:eastAsia="仿宋" w:cs="仿宋"/>
          <w:b/>
          <w:bCs/>
          <w:sz w:val="28"/>
          <w:szCs w:val="28"/>
        </w:rPr>
      </w:pPr>
      <w:r>
        <w:rPr>
          <w:rFonts w:hint="eastAsia" w:ascii="仿宋" w:hAnsi="仿宋" w:eastAsia="仿宋" w:cs="仿宋"/>
          <w:b/>
          <w:bCs/>
          <w:sz w:val="28"/>
          <w:szCs w:val="28"/>
        </w:rPr>
        <w:t>1.绩效评价指标权重</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145"/>
        <w:gridCol w:w="2024"/>
        <w:gridCol w:w="2551"/>
        <w:gridCol w:w="14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49" w:hRule="atLeast"/>
          <w:jc w:val="center"/>
        </w:trPr>
        <w:tc>
          <w:tcPr>
            <w:tcW w:w="1074"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3169" w:type="dxa"/>
            <w:gridSpan w:val="2"/>
            <w:tcBorders>
              <w:right w:val="single" w:color="auto" w:sz="4" w:space="0"/>
            </w:tcBorders>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内容</w:t>
            </w:r>
          </w:p>
        </w:tc>
        <w:tc>
          <w:tcPr>
            <w:tcW w:w="2551" w:type="dxa"/>
            <w:shd w:val="clear" w:color="auto" w:fill="CFCECE" w:themeFill="background2" w:themeFillShade="E5"/>
            <w:vAlign w:val="center"/>
          </w:tcPr>
          <w:p>
            <w:pPr>
              <w:jc w:val="center"/>
              <w:rPr>
                <w:rFonts w:asciiTheme="minorEastAsia" w:hAnsiTheme="minorEastAsia" w:cstheme="minorEastAsia"/>
                <w:b/>
                <w:bCs/>
                <w:kern w:val="0"/>
                <w:sz w:val="28"/>
                <w:szCs w:val="28"/>
              </w:rPr>
            </w:pPr>
          </w:p>
        </w:tc>
        <w:tc>
          <w:tcPr>
            <w:tcW w:w="1444"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exact"/>
          <w:jc w:val="center"/>
        </w:trPr>
        <w:tc>
          <w:tcPr>
            <w:tcW w:w="1074"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1145"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2019年1至12月</w:t>
            </w:r>
          </w:p>
        </w:tc>
        <w:tc>
          <w:tcPr>
            <w:tcW w:w="2024"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投入指标10分</w:t>
            </w:r>
          </w:p>
        </w:tc>
        <w:tc>
          <w:tcPr>
            <w:tcW w:w="2551"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项目立项管理10分</w:t>
            </w:r>
          </w:p>
        </w:tc>
        <w:tc>
          <w:tcPr>
            <w:tcW w:w="1444"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exact"/>
          <w:jc w:val="center"/>
        </w:trPr>
        <w:tc>
          <w:tcPr>
            <w:tcW w:w="1074"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1145" w:type="dxa"/>
            <w:vMerge w:val="continue"/>
            <w:vAlign w:val="center"/>
          </w:tcPr>
          <w:p>
            <w:pPr>
              <w:jc w:val="center"/>
              <w:rPr>
                <w:rFonts w:asciiTheme="minorEastAsia" w:hAnsiTheme="minorEastAsia" w:cstheme="minorEastAsia"/>
                <w:kern w:val="0"/>
                <w:sz w:val="28"/>
                <w:szCs w:val="28"/>
              </w:rPr>
            </w:pPr>
          </w:p>
        </w:tc>
        <w:tc>
          <w:tcPr>
            <w:tcW w:w="2024"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管理指标30分</w:t>
            </w:r>
          </w:p>
        </w:tc>
        <w:tc>
          <w:tcPr>
            <w:tcW w:w="2551"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业务管理15分</w:t>
            </w:r>
          </w:p>
        </w:tc>
        <w:tc>
          <w:tcPr>
            <w:tcW w:w="1444"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exact"/>
          <w:jc w:val="center"/>
        </w:trPr>
        <w:tc>
          <w:tcPr>
            <w:tcW w:w="1074" w:type="dxa"/>
            <w:vMerge w:val="continue"/>
            <w:vAlign w:val="center"/>
          </w:tcPr>
          <w:p>
            <w:pPr>
              <w:jc w:val="center"/>
            </w:pPr>
          </w:p>
        </w:tc>
        <w:tc>
          <w:tcPr>
            <w:tcW w:w="1145" w:type="dxa"/>
            <w:vMerge w:val="continue"/>
            <w:vAlign w:val="center"/>
          </w:tcPr>
          <w:p>
            <w:pPr>
              <w:jc w:val="center"/>
            </w:pPr>
          </w:p>
        </w:tc>
        <w:tc>
          <w:tcPr>
            <w:tcW w:w="2024" w:type="dxa"/>
            <w:vMerge w:val="continue"/>
            <w:tcBorders>
              <w:right w:val="single" w:color="auto" w:sz="4" w:space="0"/>
            </w:tcBorders>
            <w:vAlign w:val="center"/>
          </w:tcPr>
          <w:p>
            <w:pPr>
              <w:jc w:val="center"/>
            </w:pPr>
          </w:p>
        </w:tc>
        <w:tc>
          <w:tcPr>
            <w:tcW w:w="2551"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财务管理15分</w:t>
            </w:r>
          </w:p>
        </w:tc>
        <w:tc>
          <w:tcPr>
            <w:tcW w:w="1444"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exact"/>
          <w:jc w:val="center"/>
        </w:trPr>
        <w:tc>
          <w:tcPr>
            <w:tcW w:w="1074"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1145" w:type="dxa"/>
            <w:vMerge w:val="continue"/>
            <w:vAlign w:val="center"/>
          </w:tcPr>
          <w:p>
            <w:pPr>
              <w:jc w:val="center"/>
              <w:rPr>
                <w:rFonts w:asciiTheme="minorEastAsia" w:hAnsiTheme="minorEastAsia" w:cstheme="minorEastAsia"/>
                <w:kern w:val="0"/>
                <w:sz w:val="28"/>
                <w:szCs w:val="28"/>
              </w:rPr>
            </w:pPr>
          </w:p>
        </w:tc>
        <w:tc>
          <w:tcPr>
            <w:tcW w:w="2024"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产出指标30分</w:t>
            </w:r>
          </w:p>
        </w:tc>
        <w:tc>
          <w:tcPr>
            <w:tcW w:w="2551"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项目产出管理30分</w:t>
            </w:r>
          </w:p>
        </w:tc>
        <w:tc>
          <w:tcPr>
            <w:tcW w:w="1444"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exact"/>
          <w:jc w:val="center"/>
        </w:trPr>
        <w:tc>
          <w:tcPr>
            <w:tcW w:w="1074"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1145" w:type="dxa"/>
            <w:vMerge w:val="continue"/>
            <w:vAlign w:val="center"/>
          </w:tcPr>
          <w:p>
            <w:pPr>
              <w:jc w:val="center"/>
              <w:rPr>
                <w:rFonts w:asciiTheme="minorEastAsia" w:hAnsiTheme="minorEastAsia" w:cstheme="minorEastAsia"/>
                <w:kern w:val="0"/>
                <w:sz w:val="28"/>
                <w:szCs w:val="28"/>
              </w:rPr>
            </w:pPr>
          </w:p>
        </w:tc>
        <w:tc>
          <w:tcPr>
            <w:tcW w:w="2024"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效益指标30分</w:t>
            </w:r>
          </w:p>
        </w:tc>
        <w:tc>
          <w:tcPr>
            <w:tcW w:w="2551"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社会效益情况20分</w:t>
            </w:r>
          </w:p>
        </w:tc>
        <w:tc>
          <w:tcPr>
            <w:tcW w:w="1444"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exact"/>
          <w:jc w:val="center"/>
        </w:trPr>
        <w:tc>
          <w:tcPr>
            <w:tcW w:w="1074" w:type="dxa"/>
            <w:vMerge w:val="continue"/>
            <w:vAlign w:val="center"/>
          </w:tcPr>
          <w:p>
            <w:pPr>
              <w:jc w:val="center"/>
            </w:pPr>
          </w:p>
        </w:tc>
        <w:tc>
          <w:tcPr>
            <w:tcW w:w="1145" w:type="dxa"/>
            <w:vMerge w:val="continue"/>
            <w:vAlign w:val="center"/>
          </w:tcPr>
          <w:p>
            <w:pPr>
              <w:jc w:val="center"/>
            </w:pPr>
          </w:p>
        </w:tc>
        <w:tc>
          <w:tcPr>
            <w:tcW w:w="2024" w:type="dxa"/>
            <w:vMerge w:val="continue"/>
            <w:tcBorders>
              <w:right w:val="single" w:color="auto" w:sz="4" w:space="0"/>
            </w:tcBorders>
            <w:vAlign w:val="center"/>
          </w:tcPr>
          <w:p>
            <w:pPr>
              <w:jc w:val="center"/>
            </w:pPr>
          </w:p>
        </w:tc>
        <w:tc>
          <w:tcPr>
            <w:tcW w:w="2551"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经济效益情况10分</w:t>
            </w:r>
          </w:p>
        </w:tc>
        <w:tc>
          <w:tcPr>
            <w:tcW w:w="1444"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exact"/>
          <w:jc w:val="center"/>
        </w:trPr>
        <w:tc>
          <w:tcPr>
            <w:tcW w:w="4243" w:type="dxa"/>
            <w:gridSpan w:val="3"/>
            <w:tcBorders>
              <w:right w:val="single" w:color="auto" w:sz="4" w:space="0"/>
            </w:tcBorders>
            <w:vAlign w:val="center"/>
          </w:tcPr>
          <w:p>
            <w:pPr>
              <w:ind w:firstLine="560"/>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合计</w:t>
            </w:r>
          </w:p>
        </w:tc>
        <w:tc>
          <w:tcPr>
            <w:tcW w:w="2551" w:type="dxa"/>
            <w:vAlign w:val="center"/>
          </w:tcPr>
          <w:p>
            <w:pPr>
              <w:jc w:val="center"/>
              <w:rPr>
                <w:rFonts w:asciiTheme="minorEastAsia" w:hAnsiTheme="minorEastAsia" w:cstheme="minorEastAsia"/>
                <w:kern w:val="0"/>
                <w:sz w:val="28"/>
                <w:szCs w:val="28"/>
              </w:rPr>
            </w:pPr>
          </w:p>
        </w:tc>
        <w:tc>
          <w:tcPr>
            <w:tcW w:w="1444"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ind w:firstLine="562" w:firstLineChars="200"/>
        <w:rPr>
          <w:rFonts w:ascii="仿宋" w:hAnsi="仿宋" w:eastAsia="仿宋" w:cs="仿宋"/>
          <w:b/>
          <w:bCs/>
          <w:sz w:val="28"/>
          <w:szCs w:val="28"/>
        </w:rPr>
      </w:pPr>
    </w:p>
    <w:p>
      <w:pPr>
        <w:ind w:firstLine="562" w:firstLineChars="200"/>
        <w:rPr>
          <w:rFonts w:ascii="仿宋" w:hAnsi="仿宋" w:eastAsia="仿宋" w:cs="仿宋"/>
          <w:b/>
          <w:bCs/>
          <w:sz w:val="28"/>
          <w:szCs w:val="28"/>
        </w:rPr>
      </w:pP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2.绩效评价指标体系</w:t>
      </w:r>
    </w:p>
    <w:tbl>
      <w:tblPr>
        <w:tblStyle w:val="13"/>
        <w:tblW w:w="4916" w:type="pct"/>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238"/>
        <w:gridCol w:w="3085"/>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32"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bookmarkStart w:id="19" w:name="_Toc20068"/>
            <w:bookmarkStart w:id="20" w:name="_Toc12872"/>
            <w:r>
              <w:rPr>
                <w:rFonts w:hint="eastAsia" w:asciiTheme="minorEastAsia" w:hAnsiTheme="minorEastAsia"/>
                <w:b/>
                <w:bCs/>
                <w:sz w:val="24"/>
              </w:rPr>
              <w:t>一级指标</w:t>
            </w:r>
          </w:p>
        </w:tc>
        <w:tc>
          <w:tcPr>
            <w:tcW w:w="73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840"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687"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32"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3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840"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68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立项手续合规、方案可行得5分，无立项扣2分，方案欠佳扣2分；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732"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3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840"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68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32"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3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840"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68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732"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3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840"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68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32"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3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840"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5、政务公开情况（6分）；</w:t>
            </w:r>
          </w:p>
        </w:tc>
        <w:tc>
          <w:tcPr>
            <w:tcW w:w="168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项目依法依规公开、公示得6分，每有一项未公开扣减2分；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32"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3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840"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68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2"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3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840"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7、资金使用合规性（4分）</w:t>
            </w:r>
          </w:p>
        </w:tc>
        <w:tc>
          <w:tcPr>
            <w:tcW w:w="168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债券资金未用于经常性支出，未用于中央明令禁止的项目支出得4分，发现资金使用不合规每有一项扣1分；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732"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3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840"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8、</w:t>
            </w:r>
            <w:r>
              <w:rPr>
                <w:rFonts w:hint="eastAsia" w:asciiTheme="minorEastAsia" w:hAnsiTheme="minorEastAsia" w:cstheme="minorEastAsia"/>
                <w:color w:val="000000"/>
                <w:kern w:val="0"/>
                <w:sz w:val="24"/>
                <w:lang w:bidi="ar"/>
              </w:rPr>
              <w:t>资金到位率=实际到位资金/计划资金总额*100%</w:t>
            </w:r>
            <w:r>
              <w:rPr>
                <w:rFonts w:hint="eastAsia" w:ascii="宋体" w:hAnsi="宋体" w:eastAsia="宋体" w:cs="宋体"/>
                <w:color w:val="000000"/>
                <w:sz w:val="24"/>
              </w:rPr>
              <w:t>（3分）</w:t>
            </w:r>
          </w:p>
        </w:tc>
        <w:tc>
          <w:tcPr>
            <w:tcW w:w="168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cstheme="minorEastAsia"/>
                <w:color w:val="000000"/>
                <w:kern w:val="0"/>
                <w:sz w:val="24"/>
                <w:lang w:bidi="ar"/>
              </w:rPr>
              <w:t>资金到位率≥90%，得满分；85%≤到位率＜90%，得2分；75%≤到位率＜85%，得1分；到位率＜75%，得0.5分；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32"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3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840"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9、县级财政国库集中支付情况（4分）；</w:t>
            </w:r>
          </w:p>
        </w:tc>
        <w:tc>
          <w:tcPr>
            <w:tcW w:w="168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国库及时拨付项目资金得4分，未及时拨付每发现一次扣1分；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32"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3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840"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10、会计制度执行情况（4分）；</w:t>
            </w:r>
          </w:p>
        </w:tc>
        <w:tc>
          <w:tcPr>
            <w:tcW w:w="168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32"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3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840"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11、棚改项目完成情况（10分）；</w:t>
            </w:r>
          </w:p>
        </w:tc>
        <w:tc>
          <w:tcPr>
            <w:tcW w:w="168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考核期内本次棚改项目全部完成得10分，每有一项未完成扣2分；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732"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3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840"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12、完成项目债券资金使用率（10分）；</w:t>
            </w:r>
          </w:p>
        </w:tc>
        <w:tc>
          <w:tcPr>
            <w:tcW w:w="168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宋体"/>
                <w:color w:val="000000"/>
                <w:sz w:val="24"/>
              </w:rPr>
              <w:t>使用率≥95%得满分；85%≤使用率＜95%，得8分；75%≤使用率＜85%，得5分；使用率＜75%，得2分</w:t>
            </w:r>
            <w:r>
              <w:rPr>
                <w:rFonts w:hint="eastAsia" w:asciiTheme="minorEastAsia" w:hAnsiTheme="minorEastAsia"/>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732"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3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840"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13、总体目标实现情况（10分）；</w:t>
            </w:r>
          </w:p>
        </w:tc>
        <w:tc>
          <w:tcPr>
            <w:tcW w:w="168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达到预期建设目标得10分；未达到目标，每有一项扣减2分；截止到绩效评价仍未达到目标不得分；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732"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3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840"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14、社会效益实现情况（10分）；</w:t>
            </w:r>
          </w:p>
        </w:tc>
        <w:tc>
          <w:tcPr>
            <w:tcW w:w="1687"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项目的实施社会效益显著得10分，社会效益不明显得5分，社会效益差不得分；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732"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73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840"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15、社会环境（生态环境等）效益改善情况（10分）；</w:t>
            </w:r>
          </w:p>
        </w:tc>
        <w:tc>
          <w:tcPr>
            <w:tcW w:w="168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项目建设对社会环境（生态环境）效益有明显提升得10分，提升不明显得5分，影响社会环境不得分；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732"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3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840"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16、项目建设带来的直接经济效益（5分）；</w:t>
            </w:r>
          </w:p>
        </w:tc>
        <w:tc>
          <w:tcPr>
            <w:tcW w:w="168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项目建设能够持续带动当地直接经济效益明显提升得5分，直接经济效益不明显扣1分，无直接经济效益扣2分；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732"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3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840"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17、项目建设带来的间接经济效益（5分）；</w:t>
            </w:r>
          </w:p>
        </w:tc>
        <w:tc>
          <w:tcPr>
            <w:tcW w:w="168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项目建设能够持续带动当地间接经济效益明显提升得5分，间接经济效益一般得3分，无间接经济效益不得分；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32"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3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3527"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r>
    </w:tbl>
    <w:p>
      <w:pPr>
        <w:ind w:firstLine="643" w:firstLineChars="200"/>
        <w:outlineLvl w:val="1"/>
        <w:rPr>
          <w:rFonts w:ascii="楷体" w:hAnsi="楷体" w:eastAsia="楷体" w:cs="楷体"/>
          <w:b/>
          <w:kern w:val="0"/>
          <w:sz w:val="32"/>
          <w:szCs w:val="32"/>
        </w:rPr>
      </w:pPr>
      <w:r>
        <w:rPr>
          <w:rFonts w:hint="eastAsia" w:ascii="楷体" w:hAnsi="楷体" w:eastAsia="楷体" w:cs="楷体"/>
          <w:b/>
          <w:kern w:val="0"/>
          <w:sz w:val="32"/>
          <w:szCs w:val="32"/>
        </w:rPr>
        <w:t>（二）绩效评价目的和依据</w:t>
      </w:r>
      <w:bookmarkEnd w:id="19"/>
      <w:bookmarkEnd w:id="20"/>
    </w:p>
    <w:p>
      <w:pPr>
        <w:ind w:firstLine="562" w:firstLineChars="200"/>
        <w:rPr>
          <w:rFonts w:ascii="仿宋" w:hAnsi="仿宋" w:eastAsia="仿宋" w:cs="仿宋"/>
          <w:b/>
          <w:bCs/>
          <w:sz w:val="28"/>
          <w:szCs w:val="28"/>
        </w:rPr>
      </w:pPr>
      <w:r>
        <w:rPr>
          <w:rFonts w:hint="eastAsia" w:ascii="仿宋" w:hAnsi="仿宋" w:eastAsia="仿宋" w:cs="仿宋"/>
          <w:b/>
          <w:bCs/>
          <w:sz w:val="28"/>
          <w:szCs w:val="28"/>
        </w:rPr>
        <w:t>1.评价目的</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是整个评价工作开展所要达到的目标和结果，体现评价工作的最终价值，是整个评价工作的基本导向。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为了进一步规范项目管理制度，建立一支高素质的员工队伍，创造一种自我激励、自我约束和促进优秀人才脱颖而出的用人机制，为机关单位的成长和高效运作提供保障。</w:t>
      </w:r>
    </w:p>
    <w:p>
      <w:pPr>
        <w:ind w:firstLine="560" w:firstLineChars="200"/>
        <w:rPr>
          <w:rFonts w:ascii="宋体" w:hAnsi="宋体" w:eastAsia="宋体" w:cs="宋体"/>
          <w:sz w:val="28"/>
          <w:szCs w:val="28"/>
        </w:rPr>
      </w:pPr>
      <w:r>
        <w:rPr>
          <w:rFonts w:hint="eastAsia" w:ascii="宋体" w:hAnsi="宋体" w:eastAsia="宋体" w:cs="宋体"/>
          <w:sz w:val="28"/>
          <w:szCs w:val="28"/>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ind w:firstLine="560" w:firstLineChars="200"/>
        <w:rPr>
          <w:rFonts w:ascii="宋体" w:hAnsi="宋体" w:eastAsia="宋体" w:cs="宋体"/>
          <w:sz w:val="28"/>
          <w:szCs w:val="28"/>
        </w:rPr>
      </w:pPr>
      <w:r>
        <w:rPr>
          <w:rFonts w:hint="eastAsia" w:ascii="宋体" w:hAnsi="宋体" w:eastAsia="宋体" w:cs="宋体"/>
          <w:sz w:val="28"/>
          <w:szCs w:val="28"/>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ind w:firstLine="560" w:firstLineChars="200"/>
        <w:rPr>
          <w:rFonts w:ascii="宋体" w:hAnsi="宋体" w:eastAsia="宋体" w:cs="宋体"/>
          <w:sz w:val="28"/>
          <w:szCs w:val="28"/>
        </w:rPr>
      </w:pPr>
      <w:r>
        <w:rPr>
          <w:rFonts w:hint="eastAsia" w:ascii="宋体" w:hAnsi="宋体" w:eastAsia="宋体" w:cs="宋体"/>
          <w:sz w:val="28"/>
          <w:szCs w:val="28"/>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2.评价依据</w:t>
      </w:r>
    </w:p>
    <w:p>
      <w:pPr>
        <w:ind w:firstLine="560" w:firstLineChars="200"/>
        <w:rPr>
          <w:rFonts w:ascii="宋体" w:hAnsi="宋体" w:eastAsia="宋体" w:cs="宋体"/>
          <w:sz w:val="28"/>
          <w:szCs w:val="28"/>
        </w:rPr>
      </w:pPr>
      <w:r>
        <w:rPr>
          <w:rFonts w:hint="eastAsia" w:ascii="宋体" w:hAnsi="宋体" w:eastAsia="宋体" w:cs="宋体"/>
          <w:sz w:val="28"/>
          <w:szCs w:val="28"/>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spacing w:line="530" w:lineRule="exact"/>
        <w:ind w:left="0" w:firstLine="562" w:firstLineChars="200"/>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（1）法律依据</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《中华人民共和国预算法》（2018年修正）</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《中华人民共和国环境保护法》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《中华人民共和国合同法》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《中华人民共和国建筑法》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《中华人民共和国会计法》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《中华人民共和国公司法》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《中华人民共和国招标投标法》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《中华人民共和国政府采购法》</w:t>
      </w:r>
    </w:p>
    <w:p>
      <w:pPr>
        <w:pStyle w:val="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rPr>
        <w:t>（2）法规依据</w:t>
      </w:r>
    </w:p>
    <w:tbl>
      <w:tblPr>
        <w:tblStyle w:val="13"/>
        <w:tblW w:w="8279"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4"/>
        <w:gridCol w:w="5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2344" w:type="dxa"/>
            <w:shd w:val="clear" w:color="auto" w:fill="BEBEBE" w:themeFill="background1" w:themeFillShade="BF"/>
            <w:vAlign w:val="center"/>
          </w:tcPr>
          <w:p>
            <w:pPr>
              <w:pStyle w:val="17"/>
              <w:spacing w:before="156" w:after="156"/>
              <w:ind w:firstLine="0" w:firstLineChars="0"/>
              <w:jc w:val="center"/>
              <w:rPr>
                <w:rFonts w:ascii="宋体" w:hAnsi="宋体" w:eastAsia="宋体"/>
                <w:b/>
                <w:kern w:val="0"/>
                <w:sz w:val="24"/>
              </w:rPr>
            </w:pPr>
            <w:r>
              <w:rPr>
                <w:rFonts w:hint="eastAsia" w:ascii="宋体" w:hAnsi="宋体" w:eastAsia="宋体"/>
                <w:b/>
                <w:kern w:val="0"/>
                <w:sz w:val="24"/>
              </w:rPr>
              <w:t>文号</w:t>
            </w:r>
          </w:p>
        </w:tc>
        <w:tc>
          <w:tcPr>
            <w:tcW w:w="5935" w:type="dxa"/>
            <w:shd w:val="clear" w:color="auto" w:fill="BEBEBE" w:themeFill="background1" w:themeFillShade="BF"/>
            <w:vAlign w:val="center"/>
          </w:tcPr>
          <w:p>
            <w:pPr>
              <w:pStyle w:val="17"/>
              <w:spacing w:before="156" w:after="156"/>
              <w:ind w:firstLine="0" w:firstLineChars="0"/>
              <w:jc w:val="center"/>
              <w:rPr>
                <w:rFonts w:ascii="宋体" w:hAnsi="宋体" w:eastAsia="宋体"/>
                <w:b/>
                <w:kern w:val="0"/>
                <w:sz w:val="24"/>
              </w:rPr>
            </w:pPr>
            <w:r>
              <w:rPr>
                <w:rFonts w:hint="eastAsia" w:ascii="宋体" w:hAnsi="宋体" w:eastAsia="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9" w:type="dxa"/>
            <w:gridSpan w:val="2"/>
            <w:vAlign w:val="center"/>
          </w:tcPr>
          <w:p>
            <w:pPr>
              <w:pStyle w:val="17"/>
              <w:spacing w:before="156" w:after="156"/>
              <w:ind w:firstLine="0" w:firstLineChars="0"/>
              <w:jc w:val="center"/>
              <w:rPr>
                <w:rFonts w:ascii="宋体" w:hAnsi="宋体" w:eastAsia="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44"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国务院令第714</w:t>
            </w:r>
            <w:r>
              <w:rPr>
                <w:rFonts w:ascii="宋体" w:hAnsi="宋体" w:eastAsia="宋体"/>
                <w:kern w:val="0"/>
                <w:sz w:val="24"/>
              </w:rPr>
              <w:t>号</w:t>
            </w:r>
          </w:p>
        </w:tc>
        <w:tc>
          <w:tcPr>
            <w:tcW w:w="5935" w:type="dxa"/>
            <w:vAlign w:val="center"/>
          </w:tcPr>
          <w:p>
            <w:pPr>
              <w:pStyle w:val="17"/>
              <w:spacing w:before="156" w:after="156"/>
              <w:ind w:firstLine="0" w:firstLineChars="0"/>
              <w:rPr>
                <w:rFonts w:ascii="宋体" w:hAnsi="宋体" w:eastAsia="宋体"/>
                <w:kern w:val="0"/>
                <w:sz w:val="24"/>
              </w:rPr>
            </w:pPr>
            <w:r>
              <w:rPr>
                <w:rFonts w:hint="eastAsia" w:ascii="宋体" w:hAnsi="宋体" w:eastAsia="宋体"/>
                <w:kern w:val="0"/>
                <w:sz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44"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国务院令第393</w:t>
            </w:r>
            <w:r>
              <w:rPr>
                <w:rFonts w:ascii="宋体" w:hAnsi="宋体" w:eastAsia="宋体"/>
                <w:kern w:val="0"/>
                <w:sz w:val="24"/>
              </w:rPr>
              <w:t>号</w:t>
            </w:r>
          </w:p>
        </w:tc>
        <w:tc>
          <w:tcPr>
            <w:tcW w:w="5935" w:type="dxa"/>
            <w:vAlign w:val="center"/>
          </w:tcPr>
          <w:p>
            <w:pPr>
              <w:pStyle w:val="17"/>
              <w:spacing w:before="156" w:after="156"/>
              <w:ind w:firstLine="0" w:firstLineChars="0"/>
              <w:rPr>
                <w:rFonts w:ascii="宋体" w:hAnsi="宋体" w:eastAsia="宋体"/>
                <w:kern w:val="0"/>
                <w:sz w:val="24"/>
              </w:rPr>
            </w:pPr>
            <w:r>
              <w:rPr>
                <w:rFonts w:hint="eastAsia" w:ascii="宋体" w:hAnsi="宋体" w:eastAsia="宋体"/>
                <w:kern w:val="0"/>
                <w:sz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44"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国务院令第712号</w:t>
            </w:r>
          </w:p>
        </w:tc>
        <w:tc>
          <w:tcPr>
            <w:tcW w:w="5935"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44" w:type="dxa"/>
            <w:vAlign w:val="center"/>
          </w:tcPr>
          <w:p>
            <w:pPr>
              <w:pStyle w:val="17"/>
              <w:spacing w:before="156" w:after="156"/>
              <w:ind w:firstLine="0" w:firstLineChars="0"/>
              <w:jc w:val="left"/>
              <w:rPr>
                <w:rFonts w:ascii="宋体" w:hAnsi="宋体" w:eastAsia="宋体"/>
                <w:kern w:val="0"/>
                <w:sz w:val="24"/>
              </w:rPr>
            </w:pPr>
            <w:r>
              <w:rPr>
                <w:rFonts w:ascii="宋体" w:hAnsi="宋体" w:eastAsia="宋体"/>
                <w:kern w:val="0"/>
                <w:sz w:val="24"/>
              </w:rPr>
              <w:t>国发</w:t>
            </w:r>
            <w:r>
              <w:rPr>
                <w:rFonts w:hint="eastAsia" w:ascii="宋体" w:hAnsi="宋体" w:eastAsia="宋体"/>
                <w:kern w:val="0"/>
                <w:sz w:val="24"/>
              </w:rPr>
              <w:t>〔</w:t>
            </w:r>
            <w:r>
              <w:rPr>
                <w:rFonts w:ascii="宋体" w:hAnsi="宋体" w:eastAsia="宋体"/>
                <w:kern w:val="0"/>
                <w:sz w:val="24"/>
              </w:rPr>
              <w:t>2014</w:t>
            </w:r>
            <w:r>
              <w:rPr>
                <w:rFonts w:hint="eastAsia" w:ascii="宋体" w:hAnsi="宋体" w:eastAsia="宋体"/>
                <w:kern w:val="0"/>
                <w:sz w:val="24"/>
              </w:rPr>
              <w:t>〕</w:t>
            </w:r>
            <w:r>
              <w:rPr>
                <w:rFonts w:ascii="宋体" w:hAnsi="宋体" w:eastAsia="宋体"/>
                <w:kern w:val="0"/>
                <w:sz w:val="24"/>
              </w:rPr>
              <w:t>4</w:t>
            </w:r>
            <w:r>
              <w:rPr>
                <w:rFonts w:hint="eastAsia" w:ascii="宋体" w:hAnsi="宋体" w:eastAsia="宋体"/>
                <w:kern w:val="0"/>
                <w:sz w:val="24"/>
              </w:rPr>
              <w:t>3</w:t>
            </w:r>
            <w:r>
              <w:rPr>
                <w:rFonts w:ascii="宋体" w:hAnsi="宋体" w:eastAsia="宋体"/>
                <w:kern w:val="0"/>
                <w:sz w:val="24"/>
              </w:rPr>
              <w:t>号</w:t>
            </w:r>
          </w:p>
        </w:tc>
        <w:tc>
          <w:tcPr>
            <w:tcW w:w="5935" w:type="dxa"/>
            <w:vAlign w:val="center"/>
          </w:tcPr>
          <w:p>
            <w:pPr>
              <w:pStyle w:val="17"/>
              <w:spacing w:before="156" w:after="156"/>
              <w:ind w:firstLine="0" w:firstLineChars="0"/>
              <w:rPr>
                <w:rFonts w:ascii="宋体" w:hAnsi="宋体" w:eastAsia="宋体"/>
                <w:kern w:val="0"/>
                <w:sz w:val="24"/>
              </w:rPr>
            </w:pPr>
            <w:r>
              <w:rPr>
                <w:rFonts w:ascii="宋体" w:hAnsi="宋体" w:eastAsia="宋体"/>
                <w:kern w:val="0"/>
                <w:sz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344"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中发〔</w:t>
            </w:r>
            <w:r>
              <w:rPr>
                <w:rFonts w:ascii="宋体" w:hAnsi="宋体" w:eastAsia="宋体"/>
                <w:kern w:val="0"/>
                <w:sz w:val="24"/>
              </w:rPr>
              <w:t>201</w:t>
            </w:r>
            <w:r>
              <w:rPr>
                <w:rFonts w:hint="eastAsia" w:ascii="宋体" w:hAnsi="宋体" w:eastAsia="宋体"/>
                <w:kern w:val="0"/>
                <w:sz w:val="24"/>
              </w:rPr>
              <w:t>8〕34号</w:t>
            </w:r>
          </w:p>
        </w:tc>
        <w:tc>
          <w:tcPr>
            <w:tcW w:w="5935"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《中共中央国务院关于全面实施预算绩效管理的意见》</w:t>
            </w:r>
          </w:p>
        </w:tc>
      </w:tr>
    </w:tbl>
    <w:p>
      <w:pPr>
        <w:spacing w:before="156" w:after="156"/>
        <w:ind w:firstLine="622" w:firstLineChars="200"/>
        <w:rPr>
          <w:rFonts w:asciiTheme="minorEastAsia" w:hAnsiTheme="minorEastAsia" w:cstheme="minorEastAsia"/>
          <w:b/>
          <w:bCs/>
          <w:spacing w:val="15"/>
          <w:sz w:val="28"/>
          <w:szCs w:val="28"/>
        </w:rPr>
      </w:pPr>
      <w:r>
        <w:rPr>
          <w:rFonts w:hint="eastAsia" w:asciiTheme="minorEastAsia" w:hAnsiTheme="minorEastAsia" w:cstheme="minorEastAsia"/>
          <w:b/>
          <w:bCs/>
          <w:spacing w:val="15"/>
          <w:sz w:val="28"/>
          <w:szCs w:val="28"/>
        </w:rPr>
        <w:t>（3）部门规章</w:t>
      </w:r>
    </w:p>
    <w:tbl>
      <w:tblPr>
        <w:tblStyle w:val="1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75" w:type="dxa"/>
            <w:shd w:val="clear" w:color="auto" w:fill="BEBEBE" w:themeFill="background1" w:themeFillShade="BF"/>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文号</w:t>
            </w:r>
          </w:p>
        </w:tc>
        <w:tc>
          <w:tcPr>
            <w:tcW w:w="5721" w:type="dxa"/>
            <w:shd w:val="clear" w:color="auto" w:fill="BEBEBE" w:themeFill="background1" w:themeFillShade="BF"/>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财库〔2014〕214号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 xml:space="preserve">财政部关于印发《政府采购竞争性磋商采购方式管理暂行办法》的通知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财建〔2004〕729号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《财政部关于开展&lt;中央政府投资项目预算绩效评价工作指导意见&gt;的通知》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财预〔2020〕10号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财预〔2017〕50 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财预〔2016〕154号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财预〔2015〕32号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《2015年地方政府专项债券预算管理办法》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财预〔2011〕416号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财建〔2013〕165号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财预〔2014〕45号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《财政部关于印发&lt;地方财政管理绩效综合评价方案&gt;的通知》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财预〔2015〕82号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《关于印发预算绩效管理工作考核办法的通知》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财办预〔2016〕123号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《关于中央部门项目支出绩效自评工作的通知》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财预〔2018〕4号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财综〔2018〕42号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财预〔2018〕69号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7"/>
              <w:spacing w:before="156" w:after="156"/>
              <w:ind w:firstLine="0" w:firstLineChars="0"/>
              <w:jc w:val="center"/>
              <w:rPr>
                <w:rFonts w:ascii="宋体" w:hAnsi="宋体" w:eastAsia="宋体" w:cs="宋体"/>
                <w:kern w:val="0"/>
                <w:sz w:val="24"/>
              </w:rPr>
            </w:pPr>
            <w:r>
              <w:rPr>
                <w:rFonts w:hint="eastAsia" w:ascii="宋体" w:hAnsi="宋体" w:eastAsia="宋体" w:cs="宋体"/>
                <w:b/>
                <w:bCs/>
                <w:kern w:val="0"/>
                <w:sz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冀财金〔2015〕28号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《河北省财政厅印发关于财政助推金融创新支持经济发展的实施意见》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冀财综〔2018〕20号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《关于印发河北省政府购买服务第三方绩效评价实施暂行办法的通知》</w:t>
            </w:r>
          </w:p>
        </w:tc>
      </w:tr>
    </w:tbl>
    <w:p>
      <w:pPr>
        <w:pStyle w:val="17"/>
        <w:tabs>
          <w:tab w:val="left" w:pos="1623"/>
        </w:tabs>
        <w:spacing w:before="59"/>
        <w:ind w:left="560" w:firstLine="0" w:firstLineChars="0"/>
        <w:jc w:val="left"/>
        <w:rPr>
          <w:rFonts w:asciiTheme="minorEastAsia" w:hAnsiTheme="minorEastAsia" w:cstheme="minorEastAsia"/>
          <w:b/>
          <w:bCs/>
          <w:spacing w:val="-3"/>
          <w:sz w:val="28"/>
          <w:szCs w:val="28"/>
        </w:rPr>
      </w:pPr>
    </w:p>
    <w:p>
      <w:pPr>
        <w:pStyle w:val="17"/>
        <w:tabs>
          <w:tab w:val="left" w:pos="1623"/>
        </w:tabs>
        <w:spacing w:before="59"/>
        <w:ind w:left="560" w:firstLine="0" w:firstLineChars="0"/>
        <w:jc w:val="left"/>
        <w:rPr>
          <w:rFonts w:asciiTheme="minorEastAsia" w:hAnsiTheme="minorEastAsia" w:cstheme="minorEastAsia"/>
          <w:b/>
          <w:bCs/>
          <w:spacing w:val="-3"/>
          <w:sz w:val="28"/>
          <w:szCs w:val="28"/>
        </w:rPr>
      </w:pPr>
      <w:r>
        <w:rPr>
          <w:rFonts w:hint="eastAsia" w:asciiTheme="minorEastAsia" w:hAnsiTheme="minorEastAsia" w:cstheme="minorEastAsia"/>
          <w:b/>
          <w:bCs/>
          <w:spacing w:val="-3"/>
          <w:sz w:val="28"/>
          <w:szCs w:val="28"/>
        </w:rPr>
        <w:t>（4）相关资料</w:t>
      </w:r>
    </w:p>
    <w:tbl>
      <w:tblPr>
        <w:tblStyle w:val="12"/>
        <w:tblW w:w="8325" w:type="dxa"/>
        <w:tblInd w:w="92" w:type="dxa"/>
        <w:tblLayout w:type="fixed"/>
        <w:tblCellMar>
          <w:top w:w="0" w:type="dxa"/>
          <w:left w:w="108" w:type="dxa"/>
          <w:bottom w:w="0" w:type="dxa"/>
          <w:right w:w="108" w:type="dxa"/>
        </w:tblCellMar>
      </w:tblPr>
      <w:tblGrid>
        <w:gridCol w:w="1069"/>
        <w:gridCol w:w="7256"/>
      </w:tblGrid>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bookmarkStart w:id="21" w:name="_Toc22990"/>
            <w:bookmarkStart w:id="22" w:name="_Toc20552"/>
            <w:r>
              <w:rPr>
                <w:rFonts w:hint="eastAsia" w:ascii="宋体" w:hAnsi="宋体" w:eastAsia="宋体" w:cs="宋体"/>
                <w:b/>
                <w:bCs/>
                <w:color w:val="000000"/>
                <w:kern w:val="0"/>
                <w:sz w:val="24"/>
              </w:rPr>
              <w:t>序号</w:t>
            </w:r>
          </w:p>
        </w:tc>
        <w:tc>
          <w:tcPr>
            <w:tcW w:w="7256" w:type="dxa"/>
            <w:tcBorders>
              <w:top w:val="single" w:color="auto" w:sz="4" w:space="0"/>
              <w:left w:val="nil"/>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资料名称</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一</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项目前期工作资料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项目批复文件</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项目实施方案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省、市、县政府及各部门相关文件（针对本项目）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4</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项目中标通知书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5</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施工合同</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二</w:t>
            </w:r>
          </w:p>
        </w:tc>
        <w:tc>
          <w:tcPr>
            <w:tcW w:w="7256" w:type="dxa"/>
            <w:tcBorders>
              <w:top w:val="nil"/>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项目实施过程资料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资金支付凭证或工程款支付单据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color w:val="000000"/>
                <w:kern w:val="0"/>
                <w:sz w:val="24"/>
              </w:rPr>
              <w:t>工程竣工验收报告</w:t>
            </w:r>
          </w:p>
        </w:tc>
      </w:tr>
    </w:tbl>
    <w:p>
      <w:pPr>
        <w:pStyle w:val="4"/>
        <w:ind w:left="0" w:leftChars="0" w:firstLine="643" w:firstLineChars="200"/>
        <w:rPr>
          <w:rFonts w:hint="default" w:ascii="楷体" w:hAnsi="楷体" w:eastAsia="楷体" w:cs="楷体"/>
          <w:szCs w:val="32"/>
        </w:rPr>
      </w:pPr>
      <w:r>
        <w:rPr>
          <w:rFonts w:ascii="楷体" w:hAnsi="楷体" w:eastAsia="楷体" w:cs="楷体"/>
          <w:szCs w:val="32"/>
        </w:rPr>
        <w:t>（三）绩效评价工作内容和范围</w:t>
      </w:r>
      <w:bookmarkEnd w:id="21"/>
      <w:bookmarkEnd w:id="22"/>
    </w:p>
    <w:p>
      <w:pPr>
        <w:ind w:firstLine="560" w:firstLineChars="200"/>
        <w:rPr>
          <w:rFonts w:ascii="仿宋" w:hAnsi="仿宋" w:eastAsia="仿宋" w:cs="仿宋"/>
          <w:sz w:val="32"/>
          <w:szCs w:val="32"/>
        </w:rPr>
      </w:pPr>
      <w:r>
        <w:rPr>
          <w:rFonts w:hint="eastAsia" w:ascii="宋体" w:hAnsi="宋体" w:eastAsia="宋体" w:cs="宋体"/>
          <w:sz w:val="28"/>
          <w:szCs w:val="28"/>
        </w:rPr>
        <w:t>我们对本项目2019年度专项债券资金使用部分的项目资料的完整性、有效性作出判断，走访调查相关部门当事人，对围场县住房和城乡规划建设局提供的资料数据进行考察、核实，对绩效评价指标体系中的各项工作任务做出客观、公正的评判，不足之处究其原因作出响应</w:t>
      </w:r>
      <w:r>
        <w:rPr>
          <w:rFonts w:hint="eastAsia" w:ascii="仿宋" w:hAnsi="仿宋" w:eastAsia="仿宋" w:cs="仿宋"/>
          <w:sz w:val="32"/>
          <w:szCs w:val="32"/>
        </w:rPr>
        <w:t>。</w:t>
      </w:r>
    </w:p>
    <w:p>
      <w:pPr>
        <w:ind w:firstLine="560" w:firstLineChars="200"/>
        <w:rPr>
          <w:rFonts w:ascii="宋体" w:hAnsi="宋体" w:eastAsia="宋体" w:cs="宋体"/>
          <w:sz w:val="28"/>
          <w:szCs w:val="28"/>
        </w:rPr>
      </w:pPr>
      <w:r>
        <w:rPr>
          <w:rFonts w:hint="eastAsia" w:ascii="宋体" w:hAnsi="宋体" w:eastAsia="宋体" w:cs="宋体"/>
          <w:sz w:val="28"/>
          <w:szCs w:val="28"/>
        </w:rPr>
        <w:t>评价内容包括：</w:t>
      </w:r>
    </w:p>
    <w:p>
      <w:pPr>
        <w:ind w:firstLine="560" w:firstLineChars="200"/>
        <w:rPr>
          <w:rFonts w:ascii="宋体" w:hAnsi="宋体" w:eastAsia="宋体" w:cs="宋体"/>
          <w:sz w:val="28"/>
          <w:szCs w:val="28"/>
        </w:rPr>
      </w:pPr>
      <w:r>
        <w:rPr>
          <w:rFonts w:hint="eastAsia" w:ascii="宋体" w:hAnsi="宋体" w:eastAsia="宋体" w:cs="宋体"/>
          <w:sz w:val="28"/>
          <w:szCs w:val="28"/>
        </w:rPr>
        <w:t>1.决策情况；</w:t>
      </w:r>
    </w:p>
    <w:p>
      <w:pPr>
        <w:ind w:firstLine="560" w:firstLineChars="200"/>
        <w:rPr>
          <w:rFonts w:ascii="宋体" w:hAnsi="宋体" w:eastAsia="宋体" w:cs="宋体"/>
          <w:sz w:val="28"/>
          <w:szCs w:val="28"/>
        </w:rPr>
      </w:pPr>
      <w:r>
        <w:rPr>
          <w:rFonts w:hint="eastAsia" w:ascii="宋体" w:hAnsi="宋体" w:eastAsia="宋体" w:cs="宋体"/>
          <w:sz w:val="28"/>
          <w:szCs w:val="28"/>
        </w:rPr>
        <w:t>2.资金管理和使用情况；</w:t>
      </w:r>
    </w:p>
    <w:p>
      <w:pPr>
        <w:ind w:firstLine="560" w:firstLineChars="200"/>
        <w:rPr>
          <w:rFonts w:ascii="宋体" w:hAnsi="宋体" w:eastAsia="宋体" w:cs="宋体"/>
          <w:sz w:val="28"/>
          <w:szCs w:val="28"/>
        </w:rPr>
      </w:pPr>
      <w:r>
        <w:rPr>
          <w:rFonts w:hint="eastAsia" w:ascii="宋体" w:hAnsi="宋体" w:eastAsia="宋体" w:cs="宋体"/>
          <w:sz w:val="28"/>
          <w:szCs w:val="28"/>
        </w:rPr>
        <w:t>3.相关管理制度办法的健全性及执行情况；</w:t>
      </w:r>
    </w:p>
    <w:p>
      <w:pPr>
        <w:ind w:firstLine="560" w:firstLineChars="200"/>
        <w:rPr>
          <w:rFonts w:ascii="宋体" w:hAnsi="宋体" w:eastAsia="宋体" w:cs="宋体"/>
          <w:sz w:val="28"/>
          <w:szCs w:val="28"/>
        </w:rPr>
      </w:pPr>
      <w:r>
        <w:rPr>
          <w:rFonts w:hint="eastAsia" w:ascii="宋体" w:hAnsi="宋体" w:eastAsia="宋体" w:cs="宋体"/>
          <w:sz w:val="28"/>
          <w:szCs w:val="28"/>
        </w:rPr>
        <w:t>4.实现的产出情况；</w:t>
      </w:r>
    </w:p>
    <w:p>
      <w:pPr>
        <w:ind w:firstLine="560" w:firstLineChars="200"/>
        <w:rPr>
          <w:rFonts w:ascii="宋体" w:hAnsi="宋体" w:eastAsia="宋体" w:cs="宋体"/>
          <w:sz w:val="28"/>
          <w:szCs w:val="28"/>
        </w:rPr>
      </w:pPr>
      <w:r>
        <w:rPr>
          <w:rFonts w:hint="eastAsia" w:ascii="宋体" w:hAnsi="宋体" w:eastAsia="宋体" w:cs="宋体"/>
          <w:sz w:val="28"/>
          <w:szCs w:val="28"/>
        </w:rPr>
        <w:t>5.取得的效益情况；</w:t>
      </w:r>
    </w:p>
    <w:p>
      <w:pPr>
        <w:ind w:firstLine="560" w:firstLineChars="200"/>
        <w:rPr>
          <w:rFonts w:ascii="宋体" w:hAnsi="宋体" w:eastAsia="宋体" w:cs="宋体"/>
          <w:sz w:val="28"/>
          <w:szCs w:val="28"/>
        </w:rPr>
      </w:pPr>
      <w:r>
        <w:rPr>
          <w:rFonts w:hint="eastAsia" w:ascii="宋体" w:hAnsi="宋体" w:eastAsia="宋体" w:cs="宋体"/>
          <w:sz w:val="28"/>
          <w:szCs w:val="28"/>
        </w:rPr>
        <w:t>6.其他相关内容；</w:t>
      </w:r>
    </w:p>
    <w:p>
      <w:pPr>
        <w:ind w:firstLine="560" w:firstLineChars="200"/>
        <w:rPr>
          <w:rFonts w:ascii="宋体" w:hAnsi="宋体" w:eastAsia="宋体" w:cs="宋体"/>
          <w:sz w:val="28"/>
          <w:szCs w:val="28"/>
        </w:rPr>
      </w:pPr>
      <w:r>
        <w:rPr>
          <w:rFonts w:hint="eastAsia" w:ascii="宋体" w:hAnsi="宋体" w:eastAsia="宋体" w:cs="宋体"/>
          <w:sz w:val="28"/>
          <w:szCs w:val="28"/>
        </w:rPr>
        <w:t>评价范围包括2019年度围场县地方政府新增专项债</w:t>
      </w:r>
      <w:r>
        <w:rPr>
          <w:rFonts w:hint="eastAsia" w:ascii="宋体" w:hAnsi="宋体" w:eastAsia="宋体" w:cs="宋体"/>
          <w:sz w:val="28"/>
          <w:szCs w:val="28"/>
          <w:lang w:eastAsia="zh-CN"/>
        </w:rPr>
        <w:t>券</w:t>
      </w:r>
      <w:r>
        <w:rPr>
          <w:rFonts w:hint="eastAsia" w:ascii="宋体" w:hAnsi="宋体" w:eastAsia="宋体" w:cs="宋体"/>
          <w:sz w:val="28"/>
          <w:szCs w:val="28"/>
        </w:rPr>
        <w:t>资金的预算投入、支出情况。</w:t>
      </w:r>
    </w:p>
    <w:p>
      <w:pPr>
        <w:pStyle w:val="11"/>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3" w:name="_Toc28016"/>
      <w:bookmarkStart w:id="24" w:name="_Toc30379"/>
      <w:r>
        <w:rPr>
          <w:rFonts w:hint="eastAsia" w:ascii="楷体" w:hAnsi="楷体" w:eastAsia="楷体" w:cs="楷体"/>
          <w:b/>
          <w:bCs/>
          <w:color w:val="000000" w:themeColor="text1"/>
          <w:kern w:val="2"/>
          <w:sz w:val="32"/>
          <w:szCs w:val="32"/>
          <w14:textFill>
            <w14:solidFill>
              <w14:schemeClr w14:val="tx1"/>
            </w14:solidFill>
          </w14:textFill>
        </w:rPr>
        <w:t>（四）绩效评价标准和方法</w:t>
      </w:r>
      <w:bookmarkEnd w:id="23"/>
      <w:bookmarkEnd w:id="24"/>
    </w:p>
    <w:p>
      <w:pPr>
        <w:ind w:firstLine="560" w:firstLineChars="200"/>
        <w:rPr>
          <w:rFonts w:ascii="宋体" w:hAnsi="宋体" w:eastAsia="宋体" w:cs="宋体"/>
          <w:sz w:val="28"/>
          <w:szCs w:val="28"/>
        </w:rPr>
      </w:pPr>
      <w:r>
        <w:rPr>
          <w:rFonts w:hint="eastAsia" w:ascii="宋体" w:hAnsi="宋体" w:eastAsia="宋体" w:cs="宋体"/>
          <w:sz w:val="28"/>
          <w:szCs w:val="28"/>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17个三级指标。绩效评价采用百分制，满分为100分。考评结果等次：根据计算统计结果的分值，确定考评对象最后达到的等次，具体确定为：考评分值S≥80，为优；80＞S≥70，为良；70＞S≥60，为合格；S＜60，为不合格。</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ind w:firstLine="560" w:firstLineChars="200"/>
        <w:rPr>
          <w:rFonts w:ascii="宋体" w:hAnsi="宋体" w:eastAsia="宋体" w:cs="宋体"/>
          <w:sz w:val="28"/>
          <w:szCs w:val="28"/>
        </w:rPr>
      </w:pPr>
      <w:r>
        <w:rPr>
          <w:rFonts w:hint="eastAsia" w:ascii="宋体" w:hAnsi="宋体" w:eastAsia="宋体" w:cs="宋体"/>
          <w:sz w:val="28"/>
          <w:szCs w:val="28"/>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ind w:firstLine="560" w:firstLineChars="200"/>
        <w:rPr>
          <w:rFonts w:ascii="宋体" w:hAnsi="宋体" w:eastAsia="宋体" w:cs="宋体"/>
          <w:sz w:val="28"/>
          <w:szCs w:val="28"/>
        </w:rPr>
      </w:pPr>
      <w:r>
        <w:rPr>
          <w:rFonts w:hint="eastAsia" w:ascii="宋体" w:hAnsi="宋体" w:eastAsia="宋体" w:cs="宋体"/>
          <w:sz w:val="28"/>
          <w:szCs w:val="28"/>
        </w:rPr>
        <w:t>评价方法：</w:t>
      </w:r>
    </w:p>
    <w:p>
      <w:pPr>
        <w:ind w:firstLine="560" w:firstLineChars="200"/>
        <w:rPr>
          <w:rFonts w:ascii="宋体" w:hAnsi="宋体" w:eastAsia="宋体" w:cs="宋体"/>
          <w:sz w:val="28"/>
          <w:szCs w:val="28"/>
        </w:rPr>
      </w:pPr>
      <w:r>
        <w:rPr>
          <w:rFonts w:hint="eastAsia" w:ascii="宋体" w:hAnsi="宋体" w:eastAsia="宋体" w:cs="宋体"/>
          <w:sz w:val="28"/>
          <w:szCs w:val="28"/>
        </w:rPr>
        <w:t>1、层次分析法</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ind w:firstLine="560" w:firstLineChars="200"/>
        <w:rPr>
          <w:rFonts w:ascii="宋体" w:hAnsi="宋体" w:eastAsia="宋体" w:cs="宋体"/>
          <w:sz w:val="28"/>
          <w:szCs w:val="28"/>
        </w:rPr>
      </w:pPr>
      <w:r>
        <w:rPr>
          <w:rFonts w:hint="eastAsia" w:ascii="宋体" w:hAnsi="宋体" w:eastAsia="宋体" w:cs="宋体"/>
          <w:sz w:val="28"/>
          <w:szCs w:val="28"/>
        </w:rPr>
        <w:t>2、对比分析法</w:t>
      </w:r>
    </w:p>
    <w:p>
      <w:pPr>
        <w:ind w:firstLine="560" w:firstLineChars="200"/>
        <w:rPr>
          <w:rFonts w:ascii="宋体" w:hAnsi="宋体" w:eastAsia="宋体" w:cs="宋体"/>
          <w:sz w:val="28"/>
          <w:szCs w:val="28"/>
        </w:rPr>
      </w:pPr>
      <w:r>
        <w:rPr>
          <w:rFonts w:hint="eastAsia" w:ascii="宋体" w:hAnsi="宋体" w:eastAsia="宋体" w:cs="宋体"/>
          <w:sz w:val="28"/>
          <w:szCs w:val="28"/>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ind w:firstLine="560" w:firstLineChars="200"/>
        <w:rPr>
          <w:rFonts w:ascii="宋体" w:hAnsi="宋体" w:eastAsia="宋体" w:cs="宋体"/>
          <w:sz w:val="28"/>
          <w:szCs w:val="28"/>
        </w:rPr>
      </w:pPr>
      <w:r>
        <w:rPr>
          <w:rFonts w:hint="eastAsia" w:ascii="宋体" w:hAnsi="宋体" w:eastAsia="宋体" w:cs="宋体"/>
          <w:sz w:val="28"/>
          <w:szCs w:val="28"/>
        </w:rPr>
        <w:t>3、成本效益分析法。是指将投入与产出、效益进行关联性分析的方法。</w:t>
      </w:r>
    </w:p>
    <w:p>
      <w:pPr>
        <w:ind w:firstLine="560" w:firstLineChars="200"/>
        <w:rPr>
          <w:rFonts w:ascii="宋体" w:hAnsi="宋体" w:eastAsia="宋体" w:cs="宋体"/>
          <w:sz w:val="28"/>
          <w:szCs w:val="28"/>
        </w:rPr>
      </w:pPr>
      <w:r>
        <w:rPr>
          <w:rFonts w:hint="eastAsia" w:ascii="宋体" w:hAnsi="宋体" w:eastAsia="宋体" w:cs="宋体"/>
          <w:sz w:val="28"/>
          <w:szCs w:val="28"/>
        </w:rPr>
        <w:t>4、因素分析法。是指综合分析影响绩效目标实现、实施效果的内外部因素的方法。</w:t>
      </w:r>
    </w:p>
    <w:p>
      <w:pPr>
        <w:ind w:firstLine="560" w:firstLineChars="200"/>
        <w:rPr>
          <w:rFonts w:ascii="宋体" w:hAnsi="宋体" w:eastAsia="宋体" w:cs="宋体"/>
          <w:sz w:val="28"/>
          <w:szCs w:val="28"/>
        </w:rPr>
      </w:pPr>
      <w:r>
        <w:rPr>
          <w:rFonts w:hint="eastAsia" w:ascii="宋体" w:hAnsi="宋体" w:eastAsia="宋体" w:cs="宋体"/>
          <w:sz w:val="28"/>
          <w:szCs w:val="28"/>
        </w:rPr>
        <w:t>5、调查法</w:t>
      </w:r>
    </w:p>
    <w:p>
      <w:pPr>
        <w:ind w:firstLine="560" w:firstLineChars="200"/>
        <w:rPr>
          <w:rFonts w:ascii="宋体" w:hAnsi="宋体" w:eastAsia="宋体" w:cs="宋体"/>
          <w:szCs w:val="28"/>
        </w:rPr>
      </w:pPr>
      <w:r>
        <w:rPr>
          <w:rFonts w:hint="eastAsia" w:ascii="宋体" w:hAnsi="宋体" w:eastAsia="宋体" w:cs="宋体"/>
          <w:sz w:val="28"/>
          <w:szCs w:val="28"/>
        </w:rPr>
        <w:t>掌握客观、真实的信息、数据是后评价工作的先决条件和基础，在很多项目中，经常采用收集档案资料、座谈、电话、走访及调查等方法相结合的方式。</w:t>
      </w:r>
    </w:p>
    <w:p>
      <w:pPr>
        <w:pStyle w:val="11"/>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5" w:name="_Toc20778"/>
      <w:bookmarkStart w:id="26" w:name="_Toc12042"/>
      <w:bookmarkStart w:id="27" w:name="_Toc8164"/>
      <w:bookmarkStart w:id="28" w:name="_Toc29690"/>
      <w:r>
        <w:rPr>
          <w:rFonts w:hint="eastAsia" w:ascii="楷体" w:hAnsi="楷体" w:eastAsia="楷体" w:cs="楷体"/>
          <w:b/>
          <w:bCs/>
          <w:color w:val="000000" w:themeColor="text1"/>
          <w:kern w:val="2"/>
          <w:sz w:val="32"/>
          <w:szCs w:val="32"/>
          <w14:textFill>
            <w14:solidFill>
              <w14:schemeClr w14:val="tx1"/>
            </w14:solidFill>
          </w14:textFill>
        </w:rPr>
        <w:t>（五）绩效评价工作过程</w:t>
      </w:r>
      <w:bookmarkEnd w:id="25"/>
      <w:bookmarkEnd w:id="26"/>
      <w:bookmarkEnd w:id="27"/>
    </w:p>
    <w:p>
      <w:pPr>
        <w:ind w:firstLine="560" w:firstLineChars="200"/>
        <w:rPr>
          <w:rFonts w:ascii="宋体" w:hAnsi="宋体" w:eastAsia="宋体" w:cs="宋体"/>
          <w:sz w:val="28"/>
          <w:szCs w:val="28"/>
        </w:rPr>
      </w:pPr>
      <w:bookmarkStart w:id="29" w:name="_Toc18780"/>
      <w:bookmarkStart w:id="30" w:name="_Toc17563"/>
      <w:bookmarkStart w:id="31" w:name="_Toc22556"/>
      <w:bookmarkStart w:id="32" w:name="_Toc13042"/>
      <w:bookmarkStart w:id="33" w:name="_Toc2087"/>
      <w:bookmarkStart w:id="34" w:name="_Toc31807"/>
      <w:r>
        <w:rPr>
          <w:rFonts w:hint="eastAsia" w:ascii="宋体" w:hAnsi="宋体" w:eastAsia="宋体" w:cs="宋体"/>
          <w:sz w:val="28"/>
          <w:szCs w:val="28"/>
        </w:rPr>
        <w:t>围场满族蒙古族自治县财政局委托承德燕山会计师事务所有限责任公司对本项目专项债券资金使用情况的经济性、规范性、效益性和可持续性等进行客观、公正的分析和评判。根据绩效评价工作要求，我方做以下工作：</w:t>
      </w:r>
      <w:bookmarkEnd w:id="29"/>
      <w:bookmarkEnd w:id="30"/>
      <w:bookmarkEnd w:id="31"/>
      <w:bookmarkEnd w:id="32"/>
      <w:bookmarkEnd w:id="33"/>
      <w:bookmarkEnd w:id="34"/>
    </w:p>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35" w:name="_Toc24529"/>
      <w:bookmarkStart w:id="36" w:name="_Toc14297"/>
      <w:bookmarkStart w:id="37" w:name="_Toc15494"/>
      <w:bookmarkStart w:id="38" w:name="_Toc24311"/>
      <w:bookmarkStart w:id="39" w:name="_Toc14572"/>
      <w:bookmarkStart w:id="40" w:name="_Toc24972"/>
      <w:bookmarkStart w:id="41" w:name="_Toc17036"/>
      <w:bookmarkStart w:id="42" w:name="_Toc19058"/>
      <w:bookmarkStart w:id="43" w:name="_Toc1487"/>
      <w:bookmarkStart w:id="44" w:name="_Toc27413"/>
      <w:r>
        <w:rPr>
          <w:rFonts w:hint="eastAsia" w:ascii="宋体" w:hAnsi="宋体" w:eastAsia="宋体" w:cs="宋体"/>
          <w:b/>
          <w:bCs/>
          <w:kern w:val="0"/>
          <w:sz w:val="28"/>
          <w:szCs w:val="28"/>
        </w:rPr>
        <w:t>1、明确项目团队的职责与分工</w:t>
      </w:r>
      <w:bookmarkEnd w:id="35"/>
      <w:bookmarkEnd w:id="36"/>
      <w:bookmarkEnd w:id="37"/>
      <w:bookmarkEnd w:id="38"/>
      <w:bookmarkEnd w:id="39"/>
      <w:bookmarkEnd w:id="40"/>
      <w:bookmarkEnd w:id="41"/>
      <w:bookmarkEnd w:id="42"/>
      <w:bookmarkEnd w:id="43"/>
      <w:bookmarkEnd w:id="44"/>
    </w:p>
    <w:tbl>
      <w:tblPr>
        <w:tblStyle w:val="13"/>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5"/>
        <w:gridCol w:w="1428"/>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81"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5"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8"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11" w:type="dxa"/>
            <w:shd w:val="clear" w:color="auto" w:fill="BEBEBE" w:themeFill="background1" w:themeFillShade="BF"/>
            <w:vAlign w:val="center"/>
          </w:tcPr>
          <w:p>
            <w:pPr>
              <w:pStyle w:val="16"/>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负责人</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崔春华</w:t>
            </w:r>
          </w:p>
        </w:tc>
        <w:tc>
          <w:tcPr>
            <w:tcW w:w="4311"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2</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1" w:type="dxa"/>
            <w:vAlign w:val="center"/>
          </w:tcPr>
          <w:p>
            <w:pPr>
              <w:pStyle w:val="16"/>
              <w:ind w:firstLine="0"/>
              <w:jc w:val="center"/>
              <w:rPr>
                <w:rFonts w:ascii="宋体" w:hAnsi="宋体" w:eastAsia="宋体" w:cs="宋体"/>
                <w:b/>
                <w:bCs/>
                <w:spacing w:val="15"/>
                <w:sz w:val="24"/>
                <w:highlight w:val="yellow"/>
              </w:rPr>
            </w:pPr>
            <w:r>
              <w:rPr>
                <w:rFonts w:hint="eastAsia" w:ascii="宋体" w:hAnsi="宋体" w:eastAsia="宋体" w:cs="宋体"/>
                <w:b/>
                <w:bCs/>
                <w:spacing w:val="15"/>
                <w:sz w:val="24"/>
              </w:rPr>
              <w:t>3</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王雪</w:t>
            </w:r>
          </w:p>
        </w:tc>
        <w:tc>
          <w:tcPr>
            <w:tcW w:w="4311"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4</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5</w:t>
            </w:r>
          </w:p>
        </w:tc>
        <w:tc>
          <w:tcPr>
            <w:tcW w:w="1705" w:type="dxa"/>
            <w:vMerge w:val="restart"/>
            <w:vAlign w:val="center"/>
          </w:tcPr>
          <w:p>
            <w:pPr>
              <w:pStyle w:val="16"/>
              <w:ind w:firstLine="0"/>
              <w:jc w:val="center"/>
              <w:rPr>
                <w:rFonts w:ascii="宋体" w:hAnsi="宋体" w:eastAsia="宋体" w:cs="宋体"/>
                <w:kern w:val="0"/>
                <w:sz w:val="24"/>
              </w:rPr>
            </w:pPr>
            <w:r>
              <w:rPr>
                <w:rFonts w:hint="eastAsia" w:ascii="宋体" w:hAnsi="宋体" w:eastAsia="宋体" w:cs="宋体"/>
                <w:kern w:val="0"/>
                <w:sz w:val="24"/>
              </w:rPr>
              <w:t>监管审核</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吴丽珍</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资料检查、管理、归档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6</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7</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崔春华</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现场调查、走访，出具绩效评价报告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8</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9</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10</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敖立军</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11</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杨莉洁</w:t>
            </w:r>
          </w:p>
        </w:tc>
        <w:tc>
          <w:tcPr>
            <w:tcW w:w="4311" w:type="dxa"/>
            <w:vMerge w:val="continue"/>
            <w:vAlign w:val="center"/>
          </w:tcPr>
          <w:p>
            <w:pPr>
              <w:jc w:val="center"/>
              <w:rPr>
                <w:rFonts w:ascii="宋体" w:hAnsi="宋体" w:eastAsia="宋体" w:cs="宋体"/>
                <w:kern w:val="0"/>
                <w:sz w:val="24"/>
              </w:rPr>
            </w:pPr>
          </w:p>
        </w:tc>
      </w:tr>
    </w:tbl>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45" w:name="_Toc31637"/>
      <w:bookmarkStart w:id="46" w:name="_Toc6642"/>
      <w:bookmarkStart w:id="47" w:name="_Toc29931"/>
      <w:bookmarkStart w:id="48" w:name="_Toc27143"/>
      <w:bookmarkStart w:id="49" w:name="_Toc28394"/>
      <w:bookmarkStart w:id="50" w:name="_Toc25494"/>
      <w:r>
        <w:rPr>
          <w:rFonts w:hint="eastAsia" w:ascii="宋体" w:hAnsi="宋体" w:eastAsia="宋体" w:cs="宋体"/>
          <w:b/>
          <w:bCs/>
          <w:kern w:val="0"/>
          <w:sz w:val="28"/>
          <w:szCs w:val="28"/>
        </w:rPr>
        <w:t>2、评价工作各相关当事方的职责</w:t>
      </w:r>
      <w:bookmarkEnd w:id="45"/>
      <w:bookmarkEnd w:id="46"/>
      <w:bookmarkEnd w:id="47"/>
      <w:bookmarkEnd w:id="48"/>
      <w:bookmarkEnd w:id="49"/>
      <w:bookmarkEnd w:id="50"/>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268"/>
        <w:gridCol w:w="5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blHeader/>
          <w:jc w:val="center"/>
        </w:trPr>
        <w:tc>
          <w:tcPr>
            <w:tcW w:w="846"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序号</w:t>
            </w:r>
          </w:p>
        </w:tc>
        <w:tc>
          <w:tcPr>
            <w:tcW w:w="2268" w:type="dxa"/>
            <w:shd w:val="clear" w:color="auto" w:fill="BEBEBE"/>
            <w:vAlign w:val="center"/>
          </w:tcPr>
          <w:p>
            <w:pPr>
              <w:jc w:val="center"/>
              <w:rPr>
                <w:rFonts w:ascii="宋体" w:hAnsi="宋体" w:eastAsia="宋体"/>
                <w:b/>
                <w:bCs/>
                <w:kern w:val="0"/>
                <w:sz w:val="24"/>
              </w:rPr>
            </w:pPr>
            <w:r>
              <w:rPr>
                <w:rFonts w:hint="eastAsia" w:ascii="宋体" w:hAnsi="宋体" w:eastAsia="宋体"/>
                <w:b/>
                <w:bCs/>
                <w:spacing w:val="15"/>
                <w:kern w:val="0"/>
                <w:sz w:val="24"/>
              </w:rPr>
              <w:t>各相关当事方</w:t>
            </w:r>
          </w:p>
        </w:tc>
        <w:tc>
          <w:tcPr>
            <w:tcW w:w="5185"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846" w:type="dxa"/>
            <w:vAlign w:val="center"/>
          </w:tcPr>
          <w:p>
            <w:pPr>
              <w:jc w:val="center"/>
              <w:rPr>
                <w:rFonts w:ascii="宋体" w:hAnsi="宋体" w:eastAsia="宋体"/>
                <w:b/>
                <w:bCs/>
                <w:kern w:val="0"/>
                <w:sz w:val="24"/>
              </w:rPr>
            </w:pPr>
            <w:r>
              <w:rPr>
                <w:rFonts w:hint="eastAsia" w:ascii="宋体" w:hAnsi="宋体" w:eastAsia="宋体"/>
                <w:b/>
                <w:bCs/>
                <w:kern w:val="0"/>
                <w:sz w:val="24"/>
              </w:rPr>
              <w:t>1</w:t>
            </w:r>
          </w:p>
        </w:tc>
        <w:tc>
          <w:tcPr>
            <w:tcW w:w="2268"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委托方</w:t>
            </w:r>
          </w:p>
        </w:tc>
        <w:tc>
          <w:tcPr>
            <w:tcW w:w="5185" w:type="dxa"/>
            <w:vAlign w:val="center"/>
          </w:tcPr>
          <w:p>
            <w:pPr>
              <w:numPr>
                <w:ilvl w:val="0"/>
                <w:numId w:val="1"/>
              </w:numPr>
              <w:rPr>
                <w:rFonts w:ascii="宋体" w:hAnsi="宋体" w:eastAsia="宋体" w:cs="宋体"/>
                <w:spacing w:val="15"/>
                <w:kern w:val="0"/>
                <w:sz w:val="24"/>
              </w:rPr>
            </w:pPr>
            <w:r>
              <w:rPr>
                <w:rFonts w:hint="eastAsia" w:ascii="宋体" w:hAnsi="宋体" w:eastAsia="宋体" w:cs="宋体"/>
                <w:spacing w:val="15"/>
                <w:kern w:val="0"/>
                <w:sz w:val="24"/>
              </w:rPr>
              <w:t>明确王雪同志参加绩效评价工作，负责与相关部门沟通协调，确保绩效评价工作正常开展。</w:t>
            </w:r>
          </w:p>
          <w:p>
            <w:pPr>
              <w:rPr>
                <w:rFonts w:ascii="宋体" w:hAnsi="宋体" w:eastAsia="宋体"/>
                <w:spacing w:val="15"/>
                <w:kern w:val="0"/>
                <w:sz w:val="24"/>
              </w:rPr>
            </w:pPr>
            <w:r>
              <w:rPr>
                <w:rFonts w:hint="eastAsia" w:ascii="宋体" w:hAnsi="宋体" w:eastAsia="宋体" w:cs="宋体"/>
                <w:spacing w:val="15"/>
                <w:kern w:val="0"/>
                <w:sz w:val="24"/>
              </w:rPr>
              <w:t>2.整理好由委托方提供的与该项目有关的相关资料。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46" w:type="dxa"/>
            <w:vAlign w:val="center"/>
          </w:tcPr>
          <w:p>
            <w:pPr>
              <w:jc w:val="center"/>
              <w:rPr>
                <w:rFonts w:ascii="宋体" w:hAnsi="宋体" w:eastAsia="宋体"/>
                <w:b/>
                <w:bCs/>
                <w:kern w:val="0"/>
                <w:sz w:val="24"/>
              </w:rPr>
            </w:pPr>
            <w:r>
              <w:rPr>
                <w:rFonts w:hint="eastAsia" w:ascii="宋体" w:hAnsi="宋体" w:eastAsia="宋体"/>
                <w:b/>
                <w:bCs/>
                <w:kern w:val="0"/>
                <w:sz w:val="24"/>
              </w:rPr>
              <w:t>2</w:t>
            </w:r>
          </w:p>
        </w:tc>
        <w:tc>
          <w:tcPr>
            <w:tcW w:w="2268"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建设单位</w:t>
            </w:r>
          </w:p>
        </w:tc>
        <w:tc>
          <w:tcPr>
            <w:tcW w:w="5185"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jc w:val="center"/>
        </w:trPr>
        <w:tc>
          <w:tcPr>
            <w:tcW w:w="846" w:type="dxa"/>
            <w:vAlign w:val="center"/>
          </w:tcPr>
          <w:p>
            <w:pPr>
              <w:jc w:val="center"/>
              <w:rPr>
                <w:rFonts w:ascii="宋体" w:hAnsi="宋体" w:eastAsia="宋体"/>
                <w:b/>
                <w:bCs/>
                <w:kern w:val="0"/>
                <w:sz w:val="24"/>
              </w:rPr>
            </w:pPr>
            <w:r>
              <w:rPr>
                <w:rFonts w:hint="eastAsia" w:ascii="宋体" w:hAnsi="宋体" w:eastAsia="宋体"/>
                <w:b/>
                <w:bCs/>
                <w:kern w:val="0"/>
                <w:sz w:val="24"/>
              </w:rPr>
              <w:t>3</w:t>
            </w:r>
          </w:p>
        </w:tc>
        <w:tc>
          <w:tcPr>
            <w:tcW w:w="2268"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受托方</w:t>
            </w:r>
          </w:p>
        </w:tc>
        <w:tc>
          <w:tcPr>
            <w:tcW w:w="5185"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1.对</w:t>
            </w:r>
            <w:r>
              <w:rPr>
                <w:rFonts w:hint="eastAsia" w:ascii="宋体" w:hAnsi="宋体" w:eastAsia="宋体" w:cs="宋体"/>
                <w:sz w:val="24"/>
              </w:rPr>
              <w:t>本</w:t>
            </w:r>
            <w:r>
              <w:rPr>
                <w:rFonts w:hint="eastAsia" w:ascii="宋体" w:hAnsi="宋体" w:eastAsia="宋体" w:cs="宋体"/>
                <w:spacing w:val="15"/>
                <w:kern w:val="0"/>
                <w:sz w:val="24"/>
              </w:rPr>
              <w:t>项目资金安排的使用情况，组织实施情况和绩效目标实现程度及效果进行评价；</w:t>
            </w:r>
          </w:p>
          <w:p>
            <w:pPr>
              <w:rPr>
                <w:rFonts w:ascii="宋体" w:hAnsi="宋体" w:eastAsia="宋体"/>
                <w:spacing w:val="15"/>
                <w:kern w:val="0"/>
                <w:sz w:val="24"/>
              </w:rPr>
            </w:pPr>
            <w:r>
              <w:rPr>
                <w:rFonts w:hint="eastAsia" w:ascii="宋体" w:hAnsi="宋体" w:eastAsia="宋体" w:cs="宋体"/>
                <w:spacing w:val="15"/>
                <w:kern w:val="0"/>
                <w:sz w:val="24"/>
              </w:rPr>
              <w:t>2.对</w:t>
            </w:r>
            <w:r>
              <w:rPr>
                <w:rFonts w:hint="eastAsia" w:ascii="宋体" w:hAnsi="宋体" w:eastAsia="宋体" w:cs="宋体"/>
                <w:sz w:val="24"/>
              </w:rPr>
              <w:t>本</w:t>
            </w:r>
            <w:r>
              <w:rPr>
                <w:rFonts w:hint="eastAsia" w:ascii="宋体" w:hAnsi="宋体" w:eastAsia="宋体" w:cs="宋体"/>
                <w:spacing w:val="15"/>
                <w:kern w:val="0"/>
                <w:sz w:val="24"/>
              </w:rPr>
              <w:t>项目进行第三方绩效评价服务，并出具绩效评价报告；</w:t>
            </w:r>
          </w:p>
        </w:tc>
      </w:tr>
    </w:tbl>
    <w:p>
      <w:pPr>
        <w:ind w:firstLine="562" w:firstLineChars="200"/>
        <w:rPr>
          <w:rFonts w:ascii="宋体" w:hAnsi="宋体" w:eastAsia="宋体" w:cs="宋体"/>
          <w:b/>
          <w:bCs/>
          <w:sz w:val="28"/>
          <w:szCs w:val="28"/>
        </w:rPr>
      </w:pPr>
      <w:r>
        <w:rPr>
          <w:rFonts w:hint="eastAsia" w:ascii="宋体" w:hAnsi="宋体" w:eastAsia="宋体" w:cs="宋体"/>
          <w:b/>
          <w:bCs/>
          <w:sz w:val="28"/>
          <w:szCs w:val="28"/>
        </w:rPr>
        <w:t>3、资料收集与调查</w:t>
      </w:r>
    </w:p>
    <w:p>
      <w:pPr>
        <w:ind w:firstLine="560" w:firstLineChars="200"/>
        <w:rPr>
          <w:rFonts w:ascii="宋体" w:hAnsi="宋体" w:eastAsia="宋体" w:cs="宋体"/>
          <w:sz w:val="28"/>
          <w:szCs w:val="28"/>
        </w:rPr>
      </w:pPr>
      <w:r>
        <w:rPr>
          <w:rFonts w:hint="eastAsia" w:ascii="宋体" w:hAnsi="宋体" w:eastAsia="宋体" w:cs="宋体"/>
          <w:sz w:val="28"/>
          <w:szCs w:val="28"/>
        </w:rPr>
        <w:t>明确开展绩效评价工作所需的资料收集与调查方案，包括资料收集内容与途径、数据资料来源以及具体的调查方法。</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1）、资料调查法</w:t>
      </w:r>
    </w:p>
    <w:p>
      <w:pPr>
        <w:ind w:firstLine="560" w:firstLineChars="200"/>
        <w:rPr>
          <w:rFonts w:ascii="宋体" w:hAnsi="宋体" w:eastAsia="宋体" w:cs="宋体"/>
          <w:sz w:val="28"/>
          <w:szCs w:val="28"/>
        </w:rPr>
      </w:pPr>
      <w:r>
        <w:rPr>
          <w:rFonts w:hint="eastAsia" w:ascii="宋体" w:hAnsi="宋体" w:eastAsia="宋体" w:cs="宋体"/>
          <w:sz w:val="28"/>
          <w:szCs w:val="28"/>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2）、座谈调查法</w:t>
      </w:r>
    </w:p>
    <w:p>
      <w:pPr>
        <w:ind w:firstLine="560" w:firstLineChars="200"/>
        <w:rPr>
          <w:rFonts w:ascii="仿宋" w:hAnsi="仿宋" w:eastAsia="仿宋" w:cs="宋体"/>
          <w:bCs/>
          <w:kern w:val="0"/>
          <w:sz w:val="32"/>
          <w:szCs w:val="32"/>
        </w:rPr>
      </w:pPr>
      <w:r>
        <w:rPr>
          <w:rFonts w:hint="eastAsia" w:ascii="宋体" w:hAnsi="宋体" w:eastAsia="宋体" w:cs="宋体"/>
          <w:sz w:val="28"/>
          <w:szCs w:val="28"/>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3）、走访调查法</w:t>
      </w:r>
    </w:p>
    <w:p>
      <w:pPr>
        <w:ind w:firstLine="560" w:firstLineChars="200"/>
        <w:rPr>
          <w:rFonts w:ascii="宋体" w:hAnsi="宋体" w:eastAsia="宋体" w:cs="宋体"/>
          <w:sz w:val="28"/>
          <w:szCs w:val="28"/>
        </w:rPr>
      </w:pPr>
      <w:r>
        <w:rPr>
          <w:rFonts w:hint="eastAsia" w:ascii="宋体" w:hAnsi="宋体" w:eastAsia="宋体" w:cs="宋体"/>
          <w:sz w:val="28"/>
          <w:szCs w:val="28"/>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4、明确绩效评价工作质量控制措施</w:t>
      </w:r>
    </w:p>
    <w:p>
      <w:pPr>
        <w:ind w:firstLine="560" w:firstLineChars="200"/>
        <w:rPr>
          <w:rFonts w:ascii="宋体" w:hAnsi="宋体" w:eastAsia="宋体" w:cs="宋体"/>
          <w:sz w:val="28"/>
          <w:szCs w:val="28"/>
        </w:rPr>
      </w:pPr>
      <w:r>
        <w:rPr>
          <w:rFonts w:hint="eastAsia" w:ascii="宋体" w:hAnsi="宋体" w:eastAsia="宋体" w:cs="宋体"/>
          <w:sz w:val="28"/>
          <w:szCs w:val="28"/>
        </w:rPr>
        <w:t>整个实施过程中对具体绩效评价质量监控主要有外部监控和内部监控两个方面。</w:t>
      </w:r>
    </w:p>
    <w:p>
      <w:pPr>
        <w:ind w:firstLine="560" w:firstLineChars="200"/>
        <w:rPr>
          <w:rFonts w:ascii="宋体" w:hAnsi="宋体" w:eastAsia="宋体" w:cs="宋体"/>
          <w:sz w:val="28"/>
          <w:szCs w:val="28"/>
        </w:rPr>
      </w:pPr>
      <w:r>
        <w:rPr>
          <w:rFonts w:hint="eastAsia" w:ascii="宋体" w:hAnsi="宋体" w:eastAsia="宋体" w:cs="宋体"/>
          <w:sz w:val="28"/>
          <w:szCs w:val="28"/>
        </w:rPr>
        <w:t>外部监控主要包括财政部门或预算单位对评价小组成员评价工作组能力评价、第三方绩效评价方案的审核、评价实施过程的监控、评价报告的审核、评价质量评审；</w:t>
      </w:r>
    </w:p>
    <w:p>
      <w:pPr>
        <w:ind w:firstLine="560" w:firstLineChars="200"/>
        <w:rPr>
          <w:rFonts w:ascii="宋体" w:hAnsi="宋体" w:eastAsia="宋体" w:cs="宋体"/>
          <w:sz w:val="28"/>
          <w:szCs w:val="28"/>
        </w:rPr>
      </w:pPr>
      <w:bookmarkStart w:id="51" w:name="_Toc17781"/>
      <w:bookmarkStart w:id="52" w:name="_Toc27067"/>
      <w:bookmarkStart w:id="53" w:name="_Toc24530"/>
      <w:bookmarkStart w:id="54" w:name="_Toc332"/>
      <w:r>
        <w:rPr>
          <w:rFonts w:hint="eastAsia" w:ascii="宋体" w:hAnsi="宋体" w:eastAsia="宋体" w:cs="宋体"/>
          <w:sz w:val="28"/>
          <w:szCs w:val="28"/>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51"/>
      <w:bookmarkEnd w:id="52"/>
      <w:bookmarkEnd w:id="53"/>
      <w:bookmarkEnd w:id="54"/>
    </w:p>
    <w:p>
      <w:pPr>
        <w:ind w:firstLine="640" w:firstLineChars="200"/>
        <w:rPr>
          <w:rFonts w:ascii="宋体" w:hAnsi="宋体" w:eastAsia="宋体" w:cs="宋体"/>
          <w:sz w:val="28"/>
          <w:szCs w:val="28"/>
        </w:rPr>
      </w:pPr>
      <w:bookmarkStart w:id="55" w:name="_Toc20611"/>
      <w:r>
        <w:rPr>
          <w:rFonts w:hint="eastAsia" w:ascii="黑体" w:hAnsi="黑体" w:eastAsia="黑体" w:cs="黑体"/>
          <w:sz w:val="32"/>
          <w:szCs w:val="32"/>
        </w:rPr>
        <w:t>三、</w:t>
      </w:r>
      <w:bookmarkEnd w:id="28"/>
      <w:r>
        <w:rPr>
          <w:rFonts w:hint="eastAsia" w:ascii="黑体" w:hAnsi="黑体" w:eastAsia="黑体" w:cs="黑体"/>
          <w:sz w:val="32"/>
          <w:szCs w:val="32"/>
        </w:rPr>
        <w:t>项目实施及资金使用情况</w:t>
      </w:r>
      <w:bookmarkEnd w:id="55"/>
    </w:p>
    <w:p>
      <w:pPr>
        <w:ind w:firstLine="643" w:firstLineChars="200"/>
        <w:outlineLvl w:val="1"/>
        <w:rPr>
          <w:rFonts w:ascii="楷体" w:hAnsi="楷体" w:eastAsia="楷体" w:cs="楷体"/>
          <w:b/>
          <w:bCs/>
          <w:sz w:val="32"/>
          <w:szCs w:val="32"/>
        </w:rPr>
      </w:pPr>
      <w:bookmarkStart w:id="56" w:name="_Toc6786"/>
      <w:bookmarkStart w:id="57" w:name="_Toc15753"/>
      <w:r>
        <w:rPr>
          <w:rFonts w:hint="eastAsia" w:ascii="楷体" w:hAnsi="楷体" w:eastAsia="楷体" w:cs="楷体"/>
          <w:b/>
          <w:bCs/>
          <w:sz w:val="32"/>
          <w:szCs w:val="32"/>
        </w:rPr>
        <w:t>（一）项目实施情况</w:t>
      </w:r>
      <w:bookmarkEnd w:id="56"/>
      <w:bookmarkEnd w:id="57"/>
    </w:p>
    <w:p>
      <w:pPr>
        <w:ind w:firstLine="560" w:firstLineChars="200"/>
        <w:rPr>
          <w:rFonts w:ascii="宋体" w:hAnsi="宋体" w:eastAsia="宋体" w:cs="宋体"/>
          <w:sz w:val="28"/>
          <w:szCs w:val="28"/>
        </w:rPr>
      </w:pPr>
      <w:r>
        <w:rPr>
          <w:rFonts w:hint="eastAsia" w:ascii="宋体" w:hAnsi="宋体" w:eastAsia="宋体" w:cs="宋体"/>
          <w:sz w:val="28"/>
          <w:szCs w:val="28"/>
        </w:rPr>
        <w:t>2019年7月18日，围场满族蒙古族自治县征地拆迁补偿安置管理办公室向县政府递交了关于棚改专项债券资金的申请。申请棚改专项债券资金1.2亿元，分别用于怡湖湾小区、木兰时代城、水务局拆迁项目建设。</w:t>
      </w:r>
    </w:p>
    <w:p>
      <w:pPr>
        <w:ind w:firstLine="560" w:firstLineChars="200"/>
        <w:rPr>
          <w:rFonts w:ascii="宋体" w:hAnsi="宋体" w:eastAsia="宋体" w:cs="宋体"/>
          <w:sz w:val="28"/>
          <w:szCs w:val="28"/>
        </w:rPr>
      </w:pPr>
      <w:r>
        <w:rPr>
          <w:rFonts w:hint="eastAsia" w:ascii="宋体" w:hAnsi="宋体" w:eastAsia="宋体" w:cs="宋体"/>
          <w:sz w:val="28"/>
          <w:szCs w:val="28"/>
        </w:rPr>
        <w:t>2019年8月20日，县政府领导同意此资金申请，并请财政给予安排。</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住房和城乡规划建设局负责原水务局拆迁片区（含机井队）、西山泥石流治理庆沟片区、桃李街18户拆迁片区中6户（含底商4户）拆迁安置工作。承德三强房地产开发有限公司通过国土部门以招拍挂方式取得原水务局住宅楼及办公楼占地范围内的国有土地使用权，建设水务小区项目。并与围场满族蒙古族自治县住房和城乡建设局签订了水务小区回迁房屋购买协议和补充协议。</w:t>
      </w:r>
    </w:p>
    <w:p>
      <w:pPr>
        <w:ind w:firstLine="560" w:firstLineChars="200"/>
        <w:rPr>
          <w:rFonts w:ascii="宋体" w:hAnsi="宋体" w:eastAsia="宋体" w:cs="宋体"/>
          <w:sz w:val="28"/>
          <w:szCs w:val="28"/>
        </w:rPr>
      </w:pPr>
      <w:r>
        <w:rPr>
          <w:rFonts w:hint="eastAsia" w:ascii="宋体" w:hAnsi="宋体" w:eastAsia="宋体" w:cs="宋体"/>
          <w:sz w:val="28"/>
          <w:szCs w:val="28"/>
        </w:rPr>
        <w:t>回购楼房于2019年11月15日前竣工验收，具备交付条件，绿化工程于2020年7月31日前交工。甲方自2019年12月25日起安排回迁户办理回迁入住事宜。</w:t>
      </w:r>
    </w:p>
    <w:p>
      <w:pPr>
        <w:ind w:firstLine="560" w:firstLineChars="200"/>
        <w:rPr>
          <w:rFonts w:ascii="宋体" w:hAnsi="宋体" w:eastAsia="宋体" w:cs="宋体"/>
          <w:sz w:val="28"/>
          <w:szCs w:val="28"/>
        </w:rPr>
      </w:pPr>
      <w:r>
        <w:rPr>
          <w:rFonts w:hint="eastAsia" w:ascii="宋体" w:hAnsi="宋体" w:eastAsia="宋体" w:cs="宋体"/>
          <w:sz w:val="28"/>
          <w:szCs w:val="28"/>
        </w:rPr>
        <w:t>水务小区最终核定回购总价款为18003.3515万元。甲方已按《围场水务小区回迁房屋购买协议》约定，分两次向乙方支付了回购款7000万元，未支付部分11003.3515万元甲方要于补充协议签订后30日内支付乙方5000万元，剩余6003.3515万元于2020年2月29日前全部支付给乙方。</w:t>
      </w:r>
    </w:p>
    <w:p>
      <w:pPr>
        <w:ind w:firstLine="560" w:firstLineChars="200"/>
        <w:rPr>
          <w:rFonts w:ascii="宋体" w:hAnsi="宋体" w:eastAsia="宋体" w:cs="宋体"/>
          <w:sz w:val="28"/>
          <w:szCs w:val="28"/>
        </w:rPr>
      </w:pPr>
      <w:r>
        <w:rPr>
          <w:rFonts w:hint="eastAsia" w:ascii="宋体" w:hAnsi="宋体" w:eastAsia="宋体" w:cs="宋体"/>
          <w:sz w:val="28"/>
          <w:szCs w:val="28"/>
        </w:rPr>
        <w:t>2018年2月2日，围场镇人民政府向县财政申请拨付怡湖湾北侧片区回迁楼购楼预付款900万元。2018年4月9日，围场镇人民政府再次向县财政申请拨付怡湖湾北侧片区回迁楼剩余款项1445.33492万元。</w:t>
      </w:r>
    </w:p>
    <w:p>
      <w:pPr>
        <w:ind w:firstLine="560" w:firstLineChars="200"/>
        <w:rPr>
          <w:rFonts w:ascii="宋体" w:hAnsi="宋体" w:eastAsia="宋体" w:cs="宋体"/>
          <w:sz w:val="28"/>
          <w:szCs w:val="28"/>
        </w:rPr>
      </w:pPr>
      <w:r>
        <w:rPr>
          <w:rFonts w:hint="eastAsia" w:ascii="宋体" w:hAnsi="宋体" w:eastAsia="宋体" w:cs="宋体"/>
          <w:sz w:val="28"/>
          <w:szCs w:val="28"/>
        </w:rPr>
        <w:t>2016年4月19日，围场县金泰测绘服务有限公司对木兰时代城项目占地面积进行勘测。2016年7月26日，对前进新村片区地上附着物进行拆除。2016年11月5日对前进新村片区建筑施工围挡进行安装。</w:t>
      </w:r>
    </w:p>
    <w:p>
      <w:pPr>
        <w:ind w:firstLine="643" w:firstLineChars="200"/>
        <w:outlineLvl w:val="1"/>
        <w:rPr>
          <w:rFonts w:ascii="楷体" w:hAnsi="楷体" w:eastAsia="楷体" w:cs="楷体"/>
          <w:b/>
          <w:bCs/>
          <w:sz w:val="32"/>
          <w:szCs w:val="32"/>
        </w:rPr>
      </w:pPr>
      <w:bookmarkStart w:id="58" w:name="_Toc14809"/>
      <w:bookmarkStart w:id="59" w:name="_Toc11091"/>
      <w:r>
        <w:rPr>
          <w:rFonts w:hint="eastAsia" w:ascii="楷体" w:hAnsi="楷体" w:eastAsia="楷体" w:cs="楷体"/>
          <w:b/>
          <w:bCs/>
          <w:sz w:val="32"/>
          <w:szCs w:val="32"/>
        </w:rPr>
        <w:t>（二）资金使用情况</w:t>
      </w:r>
      <w:bookmarkEnd w:id="58"/>
      <w:bookmarkEnd w:id="59"/>
    </w:p>
    <w:p>
      <w:pPr>
        <w:ind w:firstLine="560" w:firstLineChars="200"/>
        <w:rPr>
          <w:rFonts w:ascii="宋体" w:hAnsi="宋体" w:eastAsia="宋体" w:cs="宋体"/>
          <w:sz w:val="28"/>
          <w:szCs w:val="28"/>
        </w:rPr>
      </w:pPr>
      <w:bookmarkStart w:id="60" w:name="_Toc13622"/>
      <w:bookmarkStart w:id="61" w:name="_Toc15054"/>
      <w:r>
        <w:rPr>
          <w:rFonts w:hint="eastAsia" w:ascii="宋体" w:hAnsi="宋体" w:eastAsia="宋体" w:cs="宋体"/>
          <w:sz w:val="28"/>
          <w:szCs w:val="28"/>
        </w:rPr>
        <w:t>2019年10月30日，围场县财政局分两笔资金拨付围场满族蒙古族自治县住房和城乡建设局房屋征收与补偿办公室棚改专项债券资金3565万元和8435万元。</w:t>
      </w:r>
      <w:bookmarkEnd w:id="60"/>
      <w:bookmarkEnd w:id="61"/>
    </w:p>
    <w:p>
      <w:pPr>
        <w:ind w:firstLine="560" w:firstLineChars="200"/>
        <w:rPr>
          <w:rFonts w:ascii="宋体" w:hAnsi="宋体" w:eastAsia="宋体" w:cs="宋体"/>
          <w:sz w:val="28"/>
          <w:szCs w:val="28"/>
        </w:rPr>
      </w:pPr>
      <w:r>
        <w:rPr>
          <w:rFonts w:hint="eastAsia" w:ascii="宋体" w:hAnsi="宋体" w:eastAsia="宋体" w:cs="宋体"/>
          <w:sz w:val="28"/>
          <w:szCs w:val="28"/>
        </w:rPr>
        <w:t>2019年11月5日，围场满族蒙古族自治县住房和城乡建设局房屋征收与补偿办公室支付围场镇财政所棚改专项债券资金6000万元。</w:t>
      </w:r>
    </w:p>
    <w:p>
      <w:pPr>
        <w:ind w:firstLine="560" w:firstLineChars="200"/>
        <w:rPr>
          <w:rFonts w:ascii="宋体" w:hAnsi="宋体" w:eastAsia="宋体" w:cs="宋体"/>
          <w:sz w:val="28"/>
          <w:szCs w:val="28"/>
        </w:rPr>
      </w:pPr>
      <w:r>
        <w:rPr>
          <w:rFonts w:hint="eastAsia" w:ascii="宋体" w:hAnsi="宋体" w:eastAsia="宋体" w:cs="宋体"/>
          <w:sz w:val="28"/>
          <w:szCs w:val="28"/>
        </w:rPr>
        <w:t>围场镇财政所退回围场满族蒙古族自治县住房和城乡建设局房屋征收与补偿办公室2577.72898万元。其中：2019年11月20日，使用棚改债券还县财政局677.72898万元（暂存），支付围场县住房保障管理中心棚改债券专项额1900万元(暂存)，用于支付水务小区回迁购房款。</w:t>
      </w:r>
    </w:p>
    <w:p>
      <w:pPr>
        <w:ind w:firstLine="560" w:firstLineChars="200"/>
        <w:rPr>
          <w:rFonts w:ascii="宋体" w:hAnsi="宋体" w:eastAsia="宋体" w:cs="宋体"/>
          <w:sz w:val="28"/>
          <w:szCs w:val="28"/>
        </w:rPr>
      </w:pPr>
      <w:r>
        <w:rPr>
          <w:rFonts w:hint="eastAsia" w:ascii="宋体" w:hAnsi="宋体" w:eastAsia="宋体" w:cs="宋体"/>
          <w:sz w:val="28"/>
          <w:szCs w:val="28"/>
        </w:rPr>
        <w:t>2019年12月24日，围场满族蒙古族自治县住房和城乡建设局房屋征收与补偿办公室支付围场满族蒙古族自治县天亿会计服务有限公司工程项目咨询费（棚改债券资金）50万元。</w:t>
      </w:r>
    </w:p>
    <w:p>
      <w:pPr>
        <w:ind w:firstLine="560" w:firstLineChars="200"/>
        <w:rPr>
          <w:rFonts w:ascii="宋体" w:hAnsi="宋体" w:eastAsia="宋体" w:cs="宋体"/>
          <w:sz w:val="28"/>
          <w:szCs w:val="28"/>
        </w:rPr>
      </w:pPr>
      <w:r>
        <w:rPr>
          <w:rFonts w:hint="eastAsia" w:ascii="宋体" w:hAnsi="宋体" w:eastAsia="宋体" w:cs="宋体"/>
          <w:sz w:val="28"/>
          <w:szCs w:val="28"/>
        </w:rPr>
        <w:t>2020年1月15日，围场满族蒙古族自治县住房和城乡建设局房屋征收与补偿办公室支付承德三强房地产开发有限公司回购楼房款（基建支出棚改债券资金）4747.116万元。</w:t>
      </w:r>
    </w:p>
    <w:p>
      <w:pPr>
        <w:ind w:firstLine="560" w:firstLineChars="200"/>
        <w:rPr>
          <w:rFonts w:ascii="宋体" w:hAnsi="宋体" w:eastAsia="宋体" w:cs="宋体"/>
          <w:sz w:val="28"/>
          <w:szCs w:val="28"/>
        </w:rPr>
      </w:pPr>
      <w:r>
        <w:rPr>
          <w:rFonts w:hint="eastAsia" w:ascii="宋体" w:hAnsi="宋体" w:eastAsia="宋体" w:cs="宋体"/>
          <w:sz w:val="28"/>
          <w:szCs w:val="28"/>
        </w:rPr>
        <w:t>2020年3月5日，围场满族蒙古族自治县住房和城乡建设局房屋征收与补偿办公室支付承德三强房地产开发有限公司回购楼房款（基建支出棚改债券资金）552.884万元。</w:t>
      </w:r>
    </w:p>
    <w:p>
      <w:pPr>
        <w:ind w:firstLine="560" w:firstLineChars="200"/>
        <w:rPr>
          <w:rFonts w:ascii="宋体" w:hAnsi="宋体" w:eastAsia="宋体" w:cs="宋体"/>
          <w:sz w:val="28"/>
          <w:szCs w:val="28"/>
        </w:rPr>
      </w:pPr>
      <w:r>
        <w:rPr>
          <w:rFonts w:hint="eastAsia" w:ascii="宋体" w:hAnsi="宋体" w:eastAsia="宋体" w:cs="宋体"/>
          <w:sz w:val="28"/>
          <w:szCs w:val="28"/>
        </w:rPr>
        <w:t>水务小区共计使用棚改专项债券资金7200万元。</w:t>
      </w:r>
    </w:p>
    <w:p>
      <w:pPr>
        <w:ind w:firstLine="560" w:firstLineChars="200"/>
        <w:rPr>
          <w:rFonts w:ascii="宋体" w:hAnsi="宋体" w:eastAsia="宋体" w:cs="宋体"/>
          <w:sz w:val="28"/>
          <w:szCs w:val="28"/>
        </w:rPr>
      </w:pPr>
      <w:r>
        <w:rPr>
          <w:rFonts w:hint="eastAsia" w:ascii="宋体" w:hAnsi="宋体" w:eastAsia="宋体" w:cs="宋体"/>
          <w:sz w:val="28"/>
          <w:szCs w:val="28"/>
        </w:rPr>
        <w:t>围场镇财政所使用债券资金3422.27102万元，分配给怡湖湾小区和木兰时代城项目，用于支付前期借款。</w:t>
      </w:r>
    </w:p>
    <w:p>
      <w:pPr>
        <w:ind w:firstLine="560" w:firstLineChars="200"/>
        <w:rPr>
          <w:rFonts w:ascii="宋体" w:hAnsi="宋体" w:eastAsia="宋体" w:cs="宋体"/>
          <w:sz w:val="28"/>
          <w:szCs w:val="28"/>
        </w:rPr>
      </w:pPr>
      <w:r>
        <w:rPr>
          <w:rFonts w:hint="eastAsia" w:ascii="宋体" w:hAnsi="宋体" w:eastAsia="宋体" w:cs="宋体"/>
          <w:sz w:val="28"/>
          <w:szCs w:val="28"/>
        </w:rPr>
        <w:t>2018年2月28日，围场镇财政所收到县财政怡湖湾回迁楼购楼借款900万元。</w:t>
      </w:r>
    </w:p>
    <w:p>
      <w:pPr>
        <w:ind w:firstLine="560" w:firstLineChars="200"/>
        <w:rPr>
          <w:rFonts w:ascii="宋体" w:hAnsi="宋体" w:eastAsia="宋体" w:cs="宋体"/>
          <w:sz w:val="28"/>
          <w:szCs w:val="28"/>
        </w:rPr>
      </w:pPr>
      <w:r>
        <w:rPr>
          <w:rFonts w:hint="eastAsia" w:ascii="宋体" w:hAnsi="宋体" w:eastAsia="宋体" w:cs="宋体"/>
          <w:sz w:val="28"/>
          <w:szCs w:val="28"/>
        </w:rPr>
        <w:t>2018年5月31日，围场镇财政所收到县财政怡湖湾回迁楼购楼借款1445.33492万元。</w:t>
      </w:r>
    </w:p>
    <w:p>
      <w:pPr>
        <w:ind w:firstLine="560" w:firstLineChars="200"/>
        <w:rPr>
          <w:rFonts w:ascii="宋体" w:hAnsi="宋体" w:eastAsia="宋体" w:cs="宋体"/>
          <w:sz w:val="28"/>
          <w:szCs w:val="28"/>
        </w:rPr>
      </w:pPr>
      <w:r>
        <w:rPr>
          <w:rFonts w:hint="eastAsia" w:ascii="宋体" w:hAnsi="宋体" w:eastAsia="宋体" w:cs="宋体"/>
          <w:sz w:val="28"/>
          <w:szCs w:val="28"/>
        </w:rPr>
        <w:t>2018年10月30日，围场镇财政所收到县财政怡湖湾回迁户过渡费和入网资金24.914万元。</w:t>
      </w:r>
    </w:p>
    <w:p>
      <w:pPr>
        <w:ind w:firstLine="560" w:firstLineChars="200"/>
        <w:rPr>
          <w:rFonts w:ascii="宋体" w:hAnsi="宋体" w:eastAsia="宋体" w:cs="宋体"/>
          <w:sz w:val="28"/>
          <w:szCs w:val="28"/>
        </w:rPr>
      </w:pPr>
      <w:r>
        <w:rPr>
          <w:rFonts w:hint="eastAsia" w:ascii="宋体" w:hAnsi="宋体" w:eastAsia="宋体" w:cs="宋体"/>
          <w:sz w:val="28"/>
          <w:szCs w:val="28"/>
        </w:rPr>
        <w:t>2018年7月25日，围场镇财政所支付怡湖湾回迁楼购楼款1123.703781万元。</w:t>
      </w:r>
    </w:p>
    <w:p>
      <w:pPr>
        <w:ind w:firstLine="560" w:firstLineChars="200"/>
        <w:rPr>
          <w:rFonts w:ascii="宋体" w:hAnsi="宋体" w:eastAsia="宋体" w:cs="宋体"/>
          <w:sz w:val="28"/>
          <w:szCs w:val="28"/>
        </w:rPr>
      </w:pPr>
      <w:r>
        <w:rPr>
          <w:rFonts w:hint="eastAsia" w:ascii="宋体" w:hAnsi="宋体" w:eastAsia="宋体" w:cs="宋体"/>
          <w:sz w:val="28"/>
          <w:szCs w:val="28"/>
        </w:rPr>
        <w:t>2018年9月17日，围场镇财政所支付怡湖湾北侧片区拆迁户款278.930037万元。</w:t>
      </w:r>
    </w:p>
    <w:p>
      <w:pPr>
        <w:ind w:firstLine="560" w:firstLineChars="200"/>
        <w:rPr>
          <w:rFonts w:ascii="宋体" w:hAnsi="宋体" w:eastAsia="宋体" w:cs="宋体"/>
          <w:sz w:val="28"/>
          <w:szCs w:val="28"/>
        </w:rPr>
      </w:pPr>
      <w:r>
        <w:rPr>
          <w:rFonts w:hint="eastAsia" w:ascii="宋体" w:hAnsi="宋体" w:eastAsia="宋体" w:cs="宋体"/>
          <w:sz w:val="28"/>
          <w:szCs w:val="28"/>
        </w:rPr>
        <w:t>2018年11月6日，围场镇财政所支付怡湖湾北侧片区拆迁户安置费、入网费22.0336万元。</w:t>
      </w:r>
    </w:p>
    <w:p>
      <w:pPr>
        <w:ind w:firstLine="560" w:firstLineChars="200"/>
        <w:rPr>
          <w:rFonts w:ascii="宋体" w:hAnsi="宋体" w:eastAsia="宋体" w:cs="宋体"/>
          <w:sz w:val="28"/>
          <w:szCs w:val="28"/>
        </w:rPr>
      </w:pPr>
      <w:r>
        <w:rPr>
          <w:rFonts w:hint="eastAsia" w:ascii="宋体" w:hAnsi="宋体" w:eastAsia="宋体" w:cs="宋体"/>
          <w:sz w:val="28"/>
          <w:szCs w:val="28"/>
        </w:rPr>
        <w:t>2018年12月20日，围场镇财政所支付怡湖湾片区拆除费17.7537万元。</w:t>
      </w:r>
    </w:p>
    <w:p>
      <w:pPr>
        <w:ind w:firstLine="560" w:firstLineChars="200"/>
        <w:rPr>
          <w:rFonts w:ascii="宋体" w:hAnsi="宋体" w:eastAsia="宋体" w:cs="宋体"/>
          <w:sz w:val="28"/>
          <w:szCs w:val="28"/>
        </w:rPr>
      </w:pPr>
      <w:r>
        <w:rPr>
          <w:rFonts w:hint="eastAsia" w:ascii="宋体" w:hAnsi="宋体" w:eastAsia="宋体" w:cs="宋体"/>
          <w:sz w:val="28"/>
          <w:szCs w:val="28"/>
        </w:rPr>
        <w:t>2018年12月21日，围场镇财政所支付怡湖湾片区评估费4.6万元。</w:t>
      </w:r>
    </w:p>
    <w:p>
      <w:pPr>
        <w:ind w:firstLine="560" w:firstLineChars="200"/>
        <w:rPr>
          <w:rFonts w:ascii="宋体" w:hAnsi="宋体" w:eastAsia="宋体" w:cs="宋体"/>
          <w:sz w:val="28"/>
          <w:szCs w:val="28"/>
          <w:highlight w:val="red"/>
        </w:rPr>
      </w:pPr>
      <w:r>
        <w:rPr>
          <w:rFonts w:hint="eastAsia" w:ascii="宋体" w:hAnsi="宋体" w:eastAsia="宋体" w:cs="宋体"/>
          <w:sz w:val="28"/>
          <w:szCs w:val="28"/>
        </w:rPr>
        <w:t>2019年11月7日，围场镇财政所还县财政局怡湖湾项目借款2370.24892万元。结余23.227802万元。</w:t>
      </w:r>
    </w:p>
    <w:p>
      <w:pPr>
        <w:ind w:firstLine="560" w:firstLineChars="200"/>
        <w:rPr>
          <w:rFonts w:ascii="宋体" w:hAnsi="宋体" w:eastAsia="宋体" w:cs="宋体"/>
          <w:sz w:val="28"/>
          <w:szCs w:val="28"/>
        </w:rPr>
      </w:pPr>
      <w:r>
        <w:rPr>
          <w:rFonts w:hint="eastAsia" w:ascii="宋体" w:hAnsi="宋体" w:eastAsia="宋体" w:cs="宋体"/>
          <w:sz w:val="28"/>
          <w:szCs w:val="28"/>
        </w:rPr>
        <w:t>2016年木兰时代城项目开始实施，其中2016年至2020年部分支出1599.513万元（前期借款）。</w:t>
      </w:r>
    </w:p>
    <w:p>
      <w:pPr>
        <w:ind w:firstLine="560" w:firstLineChars="200"/>
        <w:rPr>
          <w:rFonts w:ascii="宋体" w:hAnsi="宋体" w:eastAsia="宋体" w:cs="宋体"/>
          <w:sz w:val="28"/>
          <w:szCs w:val="28"/>
        </w:rPr>
      </w:pPr>
      <w:r>
        <w:rPr>
          <w:rFonts w:hint="eastAsia" w:ascii="宋体" w:hAnsi="宋体" w:eastAsia="宋体" w:cs="宋体"/>
          <w:sz w:val="28"/>
          <w:szCs w:val="28"/>
        </w:rPr>
        <w:t>2019年11月29日，围场镇财政所还土储中心木兰时代城项目有关借款1052.0221万元。</w:t>
      </w:r>
    </w:p>
    <w:p>
      <w:pPr>
        <w:ind w:firstLine="640" w:firstLineChars="200"/>
        <w:outlineLvl w:val="0"/>
        <w:rPr>
          <w:rFonts w:ascii="黑体" w:hAnsi="黑体" w:eastAsia="黑体" w:cs="黑体"/>
          <w:sz w:val="32"/>
          <w:szCs w:val="32"/>
        </w:rPr>
      </w:pPr>
      <w:bookmarkStart w:id="62" w:name="_Toc25872"/>
      <w:r>
        <w:rPr>
          <w:rFonts w:hint="eastAsia" w:ascii="黑体" w:hAnsi="黑体" w:eastAsia="黑体" w:cs="黑体"/>
          <w:sz w:val="32"/>
          <w:szCs w:val="32"/>
        </w:rPr>
        <w:t>四、绩效评价分析与结论</w:t>
      </w:r>
      <w:bookmarkEnd w:id="62"/>
      <w:r>
        <w:rPr>
          <w:rFonts w:hint="eastAsia" w:ascii="黑体" w:hAnsi="黑体" w:eastAsia="黑体" w:cs="黑体"/>
          <w:sz w:val="32"/>
          <w:szCs w:val="32"/>
        </w:rPr>
        <w:t xml:space="preserve"> </w:t>
      </w:r>
    </w:p>
    <w:p>
      <w:pPr>
        <w:adjustRightInd w:val="0"/>
        <w:snapToGrid w:val="0"/>
        <w:spacing w:line="360" w:lineRule="auto"/>
        <w:ind w:firstLine="643" w:firstLineChars="200"/>
        <w:outlineLvl w:val="1"/>
        <w:rPr>
          <w:rFonts w:ascii="楷体" w:hAnsi="楷体" w:eastAsia="楷体" w:cs="楷体"/>
          <w:b/>
          <w:kern w:val="0"/>
          <w:sz w:val="32"/>
          <w:szCs w:val="32"/>
        </w:rPr>
      </w:pPr>
      <w:bookmarkStart w:id="63" w:name="_Toc16548"/>
      <w:bookmarkStart w:id="64" w:name="_Toc2427"/>
      <w:r>
        <w:rPr>
          <w:rFonts w:hint="eastAsia" w:ascii="楷体" w:hAnsi="楷体" w:eastAsia="楷体" w:cs="楷体"/>
          <w:b/>
          <w:kern w:val="0"/>
          <w:sz w:val="32"/>
          <w:szCs w:val="32"/>
        </w:rPr>
        <w:t>（一）绩效评价分析</w:t>
      </w:r>
      <w:bookmarkEnd w:id="63"/>
      <w:bookmarkEnd w:id="64"/>
    </w:p>
    <w:p>
      <w:pPr>
        <w:ind w:firstLine="560" w:firstLineChars="200"/>
        <w:rPr>
          <w:rFonts w:ascii="宋体" w:hAnsi="宋体" w:eastAsia="宋体" w:cs="宋体"/>
          <w:sz w:val="28"/>
          <w:szCs w:val="28"/>
        </w:rPr>
      </w:pPr>
      <w:r>
        <w:rPr>
          <w:rFonts w:hint="eastAsia" w:ascii="宋体" w:hAnsi="宋体" w:eastAsia="宋体" w:cs="宋体"/>
          <w:sz w:val="28"/>
          <w:szCs w:val="28"/>
        </w:rPr>
        <w:t>1.投入指标</w:t>
      </w:r>
    </w:p>
    <w:p>
      <w:pPr>
        <w:ind w:firstLine="560" w:firstLineChars="200"/>
        <w:rPr>
          <w:rFonts w:ascii="宋体" w:hAnsi="宋体" w:eastAsia="宋体" w:cs="宋体"/>
          <w:sz w:val="28"/>
          <w:szCs w:val="28"/>
        </w:rPr>
      </w:pPr>
      <w:r>
        <w:rPr>
          <w:rFonts w:hint="eastAsia" w:ascii="宋体" w:hAnsi="宋体" w:eastAsia="宋体" w:cs="宋体"/>
          <w:sz w:val="28"/>
          <w:szCs w:val="28"/>
        </w:rPr>
        <w:t>投入指标绩效评价设定分值为10分，考评得分 10分。</w:t>
      </w:r>
    </w:p>
    <w:p>
      <w:pPr>
        <w:ind w:firstLine="560" w:firstLineChars="200"/>
        <w:rPr>
          <w:rFonts w:ascii="宋体" w:hAnsi="宋体" w:eastAsia="宋体" w:cs="宋体"/>
          <w:sz w:val="28"/>
          <w:szCs w:val="28"/>
        </w:rPr>
      </w:pPr>
      <w:r>
        <w:rPr>
          <w:rFonts w:hint="eastAsia" w:ascii="宋体" w:hAnsi="宋体" w:eastAsia="宋体" w:cs="宋体"/>
          <w:sz w:val="28"/>
          <w:szCs w:val="28"/>
        </w:rPr>
        <w:t>（1）项目立项管理</w:t>
      </w:r>
    </w:p>
    <w:p>
      <w:pPr>
        <w:ind w:firstLine="560" w:firstLineChars="200"/>
        <w:rPr>
          <w:rFonts w:ascii="宋体" w:hAnsi="宋体" w:eastAsia="宋体" w:cs="宋体"/>
          <w:sz w:val="28"/>
          <w:szCs w:val="28"/>
        </w:rPr>
      </w:pPr>
      <w:r>
        <w:rPr>
          <w:rFonts w:hint="eastAsia" w:ascii="宋体" w:hAnsi="宋体" w:eastAsia="宋体" w:cs="宋体"/>
          <w:sz w:val="28"/>
          <w:szCs w:val="28"/>
        </w:rPr>
        <w:t>①项目立项合规性指标标准分值为5分，考评得分5分。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根据河北省财政厅《关于下达市县2019年第一批新增政府债券资金的通知》（冀财债〔2019〕21号），下达围场县专项债券资金21000万元。2019年7月18日，围场满族蒙古族自治县征地拆迁补偿安置管理办公室向县政府递交了关于棚改专项债券资金的申请。申请棚改专项债券资金1.2亿元。2019年8月20日，县政府领导同意按以确定方案落实，并请财政给予安排。我方从以上的通知和批复看，本项目立项合规、方案可行、设立过程符合政策规定。</w:t>
      </w:r>
    </w:p>
    <w:p>
      <w:pPr>
        <w:ind w:firstLine="560" w:firstLineChars="200"/>
        <w:rPr>
          <w:rFonts w:ascii="宋体" w:hAnsi="宋体" w:eastAsia="宋体" w:cs="宋体"/>
          <w:sz w:val="28"/>
          <w:szCs w:val="28"/>
        </w:rPr>
      </w:pPr>
      <w:r>
        <w:rPr>
          <w:rFonts w:hint="eastAsia" w:ascii="宋体" w:hAnsi="宋体" w:eastAsia="宋体" w:cs="宋体"/>
          <w:sz w:val="28"/>
          <w:szCs w:val="28"/>
        </w:rPr>
        <w:t>②项目投入经济性、筹资合规性指标标准分值为3分，考评得分3分。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本次城中村棚改项目实施单位按照项目所设定的绩效目标依据充分，投入可行，资金使用专项棚改债券资金，来源合规，符合客观实际，能够达到设定的目标。</w:t>
      </w:r>
    </w:p>
    <w:p>
      <w:pPr>
        <w:ind w:firstLine="560" w:firstLineChars="200"/>
        <w:rPr>
          <w:rFonts w:ascii="宋体" w:hAnsi="宋体" w:eastAsia="宋体" w:cs="宋体"/>
          <w:sz w:val="28"/>
          <w:szCs w:val="28"/>
        </w:rPr>
      </w:pPr>
      <w:r>
        <w:rPr>
          <w:rFonts w:hint="eastAsia" w:ascii="宋体" w:hAnsi="宋体" w:eastAsia="宋体" w:cs="宋体"/>
          <w:sz w:val="28"/>
          <w:szCs w:val="28"/>
        </w:rPr>
        <w:t>③项目可持续性指标标准分值为2分，考评得分2分。</w:t>
      </w:r>
    </w:p>
    <w:p>
      <w:pPr>
        <w:ind w:firstLine="560" w:firstLineChars="200"/>
        <w:rPr>
          <w:rFonts w:ascii="宋体" w:hAnsi="宋体" w:eastAsia="宋体" w:cs="宋体"/>
          <w:sz w:val="28"/>
          <w:szCs w:val="28"/>
        </w:rPr>
      </w:pPr>
      <w:r>
        <w:rPr>
          <w:rFonts w:hint="eastAsia" w:ascii="宋体" w:hAnsi="宋体" w:eastAsia="宋体" w:cs="宋体"/>
          <w:sz w:val="28"/>
          <w:szCs w:val="28"/>
        </w:rPr>
        <w:t>项目建设单位严格按照方案实施，依据绩效目标设定的绩效指标清晰、合理、细化、可衡量。我方通过对围场县2019年城中村改造项目（棚户区改造）的分析，项目完成后未来可持续性较强。</w:t>
      </w:r>
    </w:p>
    <w:p>
      <w:pPr>
        <w:ind w:firstLine="560" w:firstLineChars="200"/>
        <w:rPr>
          <w:rFonts w:ascii="宋体" w:hAnsi="宋体" w:eastAsia="宋体" w:cs="宋体"/>
          <w:sz w:val="28"/>
          <w:szCs w:val="28"/>
        </w:rPr>
      </w:pPr>
      <w:r>
        <w:rPr>
          <w:rFonts w:hint="eastAsia" w:ascii="宋体" w:hAnsi="宋体" w:eastAsia="宋体" w:cs="宋体"/>
          <w:sz w:val="28"/>
          <w:szCs w:val="28"/>
        </w:rPr>
        <w:t>2.管理指标</w:t>
      </w:r>
    </w:p>
    <w:p>
      <w:pPr>
        <w:ind w:firstLine="560" w:firstLineChars="200"/>
        <w:rPr>
          <w:rFonts w:ascii="宋体" w:hAnsi="宋体" w:eastAsia="宋体" w:cs="宋体"/>
          <w:sz w:val="28"/>
          <w:szCs w:val="28"/>
        </w:rPr>
      </w:pPr>
      <w:r>
        <w:rPr>
          <w:rFonts w:hint="eastAsia" w:ascii="宋体" w:hAnsi="宋体" w:eastAsia="宋体" w:cs="宋体"/>
          <w:sz w:val="28"/>
          <w:szCs w:val="28"/>
        </w:rPr>
        <w:t>管理指标绩效评价设定分值为30分，考评得分30分。</w:t>
      </w:r>
    </w:p>
    <w:p>
      <w:pPr>
        <w:ind w:firstLine="560" w:firstLineChars="200"/>
        <w:rPr>
          <w:rFonts w:ascii="宋体" w:hAnsi="宋体" w:eastAsia="宋体" w:cs="宋体"/>
          <w:sz w:val="28"/>
          <w:szCs w:val="28"/>
        </w:rPr>
      </w:pPr>
      <w:r>
        <w:rPr>
          <w:rFonts w:hint="eastAsia" w:ascii="宋体" w:hAnsi="宋体" w:eastAsia="宋体" w:cs="宋体"/>
          <w:sz w:val="28"/>
          <w:szCs w:val="28"/>
        </w:rPr>
        <w:t>（1）业务管理指标绩效评价设定分值为15分，考评得分15分。</w:t>
      </w:r>
    </w:p>
    <w:p>
      <w:pPr>
        <w:ind w:firstLine="560" w:firstLineChars="200"/>
        <w:rPr>
          <w:rFonts w:ascii="宋体" w:hAnsi="宋体" w:eastAsia="宋体" w:cs="宋体"/>
          <w:sz w:val="28"/>
          <w:szCs w:val="28"/>
        </w:rPr>
      </w:pPr>
      <w:r>
        <w:rPr>
          <w:rFonts w:hint="eastAsia" w:ascii="宋体" w:hAnsi="宋体" w:eastAsia="宋体" w:cs="宋体"/>
          <w:sz w:val="28"/>
          <w:szCs w:val="28"/>
        </w:rPr>
        <w:t>①项目资料的完整性指标标准分值为6分，考评得分6分。</w:t>
      </w:r>
    </w:p>
    <w:p>
      <w:pPr>
        <w:ind w:firstLine="560" w:firstLineChars="200"/>
        <w:rPr>
          <w:rFonts w:ascii="宋体" w:hAnsi="宋体" w:eastAsia="宋体" w:cs="宋体"/>
          <w:sz w:val="28"/>
          <w:szCs w:val="28"/>
        </w:rPr>
      </w:pPr>
      <w:r>
        <w:rPr>
          <w:rFonts w:hint="eastAsia" w:ascii="宋体" w:hAnsi="宋体" w:eastAsia="宋体" w:cs="宋体"/>
          <w:sz w:val="28"/>
          <w:szCs w:val="28"/>
        </w:rPr>
        <w:t>本项目绩效评价涉及到的资料基本齐全，签署的回迁房屋购买协议清晰明确，财务凭证和收据完整，此项考核指标完成良好，给予6分。</w:t>
      </w:r>
    </w:p>
    <w:p>
      <w:pPr>
        <w:ind w:firstLine="560" w:firstLineChars="200"/>
        <w:rPr>
          <w:rFonts w:ascii="宋体" w:hAnsi="宋体" w:eastAsia="宋体" w:cs="宋体"/>
          <w:sz w:val="28"/>
          <w:szCs w:val="28"/>
        </w:rPr>
      </w:pPr>
      <w:r>
        <w:rPr>
          <w:rFonts w:hint="eastAsia" w:ascii="宋体" w:hAnsi="宋体" w:eastAsia="宋体" w:cs="宋体"/>
          <w:sz w:val="28"/>
          <w:szCs w:val="28"/>
        </w:rPr>
        <w:t>②政务公开情况指标标准分值为6分，考评得分6分。</w:t>
      </w:r>
    </w:p>
    <w:p>
      <w:pPr>
        <w:ind w:firstLine="560" w:firstLineChars="200"/>
        <w:rPr>
          <w:rFonts w:ascii="宋体" w:hAnsi="宋体" w:eastAsia="宋体" w:cs="宋体"/>
          <w:sz w:val="28"/>
          <w:szCs w:val="28"/>
        </w:rPr>
      </w:pPr>
      <w:r>
        <w:rPr>
          <w:rFonts w:hint="eastAsia" w:ascii="宋体" w:hAnsi="宋体" w:eastAsia="宋体" w:cs="宋体"/>
          <w:sz w:val="28"/>
          <w:szCs w:val="28"/>
        </w:rPr>
        <w:t>本次棚改专项债券资金提交了项目资金申请，并得到了县政府的批复，所有申请过程全部公开透明，资金支出明细清楚，无遗漏。</w:t>
      </w:r>
    </w:p>
    <w:p>
      <w:pPr>
        <w:ind w:firstLine="560" w:firstLineChars="200"/>
        <w:rPr>
          <w:rFonts w:ascii="宋体" w:hAnsi="宋体" w:eastAsia="宋体" w:cs="宋体"/>
          <w:sz w:val="28"/>
          <w:szCs w:val="28"/>
        </w:rPr>
      </w:pPr>
      <w:r>
        <w:rPr>
          <w:rFonts w:hint="eastAsia" w:ascii="宋体" w:hAnsi="宋体" w:eastAsia="宋体" w:cs="宋体"/>
          <w:sz w:val="28"/>
          <w:szCs w:val="28"/>
        </w:rPr>
        <w:t>③变更控制情况指标标准分值为3分，考评得分3分。</w:t>
      </w:r>
    </w:p>
    <w:p>
      <w:pPr>
        <w:ind w:firstLine="560" w:firstLineChars="200"/>
        <w:rPr>
          <w:sz w:val="28"/>
          <w:szCs w:val="28"/>
        </w:rPr>
      </w:pPr>
      <w:r>
        <w:rPr>
          <w:rFonts w:hint="eastAsia" w:ascii="宋体" w:hAnsi="宋体" w:eastAsia="宋体" w:cs="宋体"/>
          <w:sz w:val="28"/>
          <w:szCs w:val="28"/>
        </w:rPr>
        <w:t>围场县2019年城中村棚改项目债券资金使用部分项目无变更情况，能够按照原计划设定目标实施完成，没有因项目变更对工程进度造成影响，项目能够按照资金使用情况顺利进行。</w:t>
      </w:r>
    </w:p>
    <w:p>
      <w:pPr>
        <w:pStyle w:val="15"/>
        <w:ind w:firstLine="560" w:firstLineChars="200"/>
        <w:jc w:val="both"/>
        <w:rPr>
          <w:rFonts w:hAnsi="宋体" w:cs="宋体"/>
          <w:kern w:val="2"/>
          <w:sz w:val="28"/>
          <w:szCs w:val="28"/>
        </w:rPr>
      </w:pPr>
      <w:r>
        <w:rPr>
          <w:rFonts w:hint="eastAsia" w:hAnsi="宋体" w:cs="宋体"/>
          <w:kern w:val="2"/>
          <w:sz w:val="28"/>
          <w:szCs w:val="28"/>
        </w:rPr>
        <w:t>（2）财务管理指标绩效评价设定分值为15分，考评得分15分。</w:t>
      </w:r>
    </w:p>
    <w:p>
      <w:pPr>
        <w:ind w:firstLine="560" w:firstLineChars="200"/>
        <w:rPr>
          <w:rFonts w:ascii="宋体" w:hAnsi="宋体" w:eastAsia="宋体" w:cs="宋体"/>
          <w:sz w:val="28"/>
          <w:szCs w:val="28"/>
        </w:rPr>
      </w:pPr>
      <w:r>
        <w:rPr>
          <w:rFonts w:hint="eastAsia" w:ascii="宋体" w:hAnsi="宋体" w:eastAsia="宋体" w:cs="宋体"/>
          <w:sz w:val="28"/>
          <w:szCs w:val="28"/>
        </w:rPr>
        <w:t>①资金使用合规性指标标准分值为4分，考评得分4分。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本项目债券资金使用部分全部用于2019年棚改项目，未用于经常性支出，也未用于中央明令禁止的项目支出，棚改专项债券资金使用合规。</w:t>
      </w:r>
    </w:p>
    <w:p>
      <w:pPr>
        <w:ind w:firstLine="560" w:firstLineChars="200"/>
        <w:rPr>
          <w:rFonts w:ascii="宋体" w:hAnsi="宋体" w:eastAsia="宋体" w:cs="宋体"/>
          <w:sz w:val="28"/>
          <w:szCs w:val="28"/>
        </w:rPr>
      </w:pPr>
      <w:r>
        <w:rPr>
          <w:rFonts w:hint="eastAsia" w:ascii="宋体" w:hAnsi="宋体" w:eastAsia="宋体" w:cs="宋体"/>
          <w:sz w:val="28"/>
          <w:szCs w:val="28"/>
        </w:rPr>
        <w:t>②资金到位率指标标准分值为3分，考评得分3分。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资金到位率=实际到位资金/计划资金总额*100%</w:t>
      </w:r>
    </w:p>
    <w:p>
      <w:pPr>
        <w:ind w:firstLine="560" w:firstLineChars="200"/>
        <w:rPr>
          <w:rFonts w:ascii="宋体" w:hAnsi="宋体" w:eastAsia="宋体" w:cs="宋体"/>
          <w:sz w:val="28"/>
          <w:szCs w:val="28"/>
        </w:rPr>
      </w:pPr>
      <w:r>
        <w:rPr>
          <w:rFonts w:hint="eastAsia" w:ascii="宋体" w:hAnsi="宋体" w:eastAsia="宋体" w:cs="宋体"/>
          <w:sz w:val="28"/>
          <w:szCs w:val="28"/>
        </w:rPr>
        <w:t>2019年10月30日，围场县财政局分两笔资金拨付围场满族蒙古族自治县住房和城乡建设局房屋征收与补偿办公室棚改专项债券资金3565万元和8435万元。</w:t>
      </w:r>
    </w:p>
    <w:p>
      <w:pPr>
        <w:ind w:firstLine="560" w:firstLineChars="200"/>
        <w:rPr>
          <w:rFonts w:ascii="宋体" w:hAnsi="宋体" w:eastAsia="宋体" w:cs="宋体"/>
          <w:sz w:val="28"/>
          <w:szCs w:val="28"/>
        </w:rPr>
      </w:pPr>
      <w:r>
        <w:rPr>
          <w:rFonts w:hint="eastAsia" w:ascii="宋体" w:hAnsi="宋体" w:eastAsia="宋体" w:cs="宋体"/>
          <w:sz w:val="28"/>
          <w:szCs w:val="28"/>
        </w:rPr>
        <w:t>资金到位率100%。</w:t>
      </w:r>
    </w:p>
    <w:p>
      <w:pPr>
        <w:ind w:firstLine="560" w:firstLineChars="200"/>
        <w:rPr>
          <w:rFonts w:ascii="宋体" w:hAnsi="宋体" w:eastAsia="宋体" w:cs="宋体"/>
          <w:sz w:val="28"/>
          <w:szCs w:val="28"/>
        </w:rPr>
      </w:pPr>
      <w:r>
        <w:rPr>
          <w:rFonts w:hint="eastAsia" w:ascii="宋体" w:hAnsi="宋体" w:eastAsia="宋体" w:cs="宋体"/>
          <w:sz w:val="28"/>
          <w:szCs w:val="28"/>
        </w:rPr>
        <w:t>③县级财政国库集中支付情况指标标准分值为4分，考评得分4分。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本项目已按国库集中支付制度要求在县级财政集中支付，支付凭证清晰，实施机构按照项目实施进度和回迁房屋购买协议要求已全部支付，未出现资金拖欠现象。</w:t>
      </w:r>
    </w:p>
    <w:p>
      <w:pPr>
        <w:ind w:firstLine="560" w:firstLineChars="200"/>
        <w:rPr>
          <w:rFonts w:ascii="宋体" w:hAnsi="宋体" w:eastAsia="宋体" w:cs="宋体"/>
          <w:sz w:val="28"/>
          <w:szCs w:val="28"/>
        </w:rPr>
      </w:pPr>
      <w:r>
        <w:rPr>
          <w:rFonts w:hint="eastAsia" w:ascii="宋体" w:hAnsi="宋体" w:eastAsia="宋体" w:cs="宋体"/>
          <w:sz w:val="28"/>
          <w:szCs w:val="28"/>
        </w:rPr>
        <w:t>④会计制度执行情况（项目单位）指标标准分值为4分，考评得分4分。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我方评价小组在检查中未发现债券资金有挪用、抽逃、延迟支付现象，项目建设资金使用合理，账务处理基本合规。</w:t>
      </w:r>
    </w:p>
    <w:p>
      <w:pPr>
        <w:ind w:firstLine="560" w:firstLineChars="200"/>
        <w:rPr>
          <w:rFonts w:ascii="宋体" w:hAnsi="宋体" w:eastAsia="宋体" w:cs="宋体"/>
          <w:sz w:val="28"/>
          <w:szCs w:val="28"/>
        </w:rPr>
      </w:pPr>
      <w:r>
        <w:rPr>
          <w:rFonts w:hint="eastAsia" w:ascii="宋体" w:hAnsi="宋体" w:eastAsia="宋体" w:cs="宋体"/>
          <w:sz w:val="28"/>
          <w:szCs w:val="28"/>
        </w:rPr>
        <w:t>3.产出指标</w:t>
      </w:r>
    </w:p>
    <w:p>
      <w:pPr>
        <w:ind w:firstLine="560" w:firstLineChars="200"/>
        <w:rPr>
          <w:rFonts w:ascii="宋体" w:hAnsi="宋体" w:eastAsia="宋体" w:cs="宋体"/>
          <w:sz w:val="28"/>
          <w:szCs w:val="28"/>
        </w:rPr>
      </w:pPr>
      <w:r>
        <w:rPr>
          <w:rFonts w:hint="eastAsia" w:ascii="宋体" w:hAnsi="宋体" w:eastAsia="宋体" w:cs="宋体"/>
          <w:sz w:val="28"/>
          <w:szCs w:val="28"/>
        </w:rPr>
        <w:t>产出指标绩效评价设定分值为30分，考评得分28分。</w:t>
      </w:r>
    </w:p>
    <w:p>
      <w:pPr>
        <w:ind w:firstLine="560" w:firstLineChars="200"/>
        <w:rPr>
          <w:rFonts w:ascii="宋体" w:hAnsi="宋体" w:eastAsia="宋体" w:cs="宋体"/>
          <w:sz w:val="28"/>
          <w:szCs w:val="28"/>
        </w:rPr>
      </w:pPr>
      <w:r>
        <w:rPr>
          <w:rFonts w:hint="eastAsia" w:ascii="宋体" w:hAnsi="宋体" w:eastAsia="宋体" w:cs="宋体"/>
          <w:sz w:val="28"/>
          <w:szCs w:val="28"/>
        </w:rPr>
        <w:t>（1）项目产出管理</w:t>
      </w:r>
    </w:p>
    <w:p>
      <w:pPr>
        <w:ind w:firstLine="560" w:firstLineChars="200"/>
        <w:rPr>
          <w:rFonts w:ascii="宋体" w:hAnsi="宋体" w:eastAsia="宋体" w:cs="宋体"/>
          <w:sz w:val="28"/>
          <w:szCs w:val="28"/>
        </w:rPr>
      </w:pPr>
      <w:r>
        <w:rPr>
          <w:rFonts w:hint="eastAsia" w:ascii="宋体" w:hAnsi="宋体" w:eastAsia="宋体" w:cs="宋体"/>
          <w:sz w:val="28"/>
          <w:szCs w:val="28"/>
        </w:rPr>
        <w:t>①棚改项目完成情况指标标准分值为10分，考评得分10分。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本次棚改回迁项目按计划已全部完成，回迁购房款已全部拨付到位，县住房和城乡建设局已安排回迁户办理完回迁入住事宜。此次棚改回迁项目总体完成情况良好，我方给予此项考核指标满分10分。</w:t>
      </w:r>
    </w:p>
    <w:p>
      <w:pPr>
        <w:ind w:firstLine="560" w:firstLineChars="200"/>
        <w:rPr>
          <w:rFonts w:ascii="宋体" w:hAnsi="宋体" w:eastAsia="宋体" w:cs="宋体"/>
          <w:sz w:val="28"/>
          <w:szCs w:val="28"/>
        </w:rPr>
      </w:pPr>
      <w:r>
        <w:rPr>
          <w:rFonts w:hint="eastAsia" w:ascii="宋体" w:hAnsi="宋体" w:eastAsia="宋体" w:cs="宋体"/>
          <w:sz w:val="28"/>
          <w:szCs w:val="28"/>
        </w:rPr>
        <w:t>②完成项目债券资金使用率指标标准分值为10分，考评得分8分。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本次城中村棚改项目共计使用专项债券资金11350万元，余额650万元未使用，债券资金使用率94.58%。按照绩效评价指标体系评分标准，本项指标给予8分。</w:t>
      </w:r>
    </w:p>
    <w:p>
      <w:pPr>
        <w:ind w:firstLine="560" w:firstLineChars="200"/>
        <w:rPr>
          <w:rFonts w:ascii="宋体" w:hAnsi="宋体" w:eastAsia="宋体" w:cs="宋体"/>
          <w:sz w:val="28"/>
          <w:szCs w:val="28"/>
        </w:rPr>
      </w:pPr>
      <w:r>
        <w:rPr>
          <w:rFonts w:hint="eastAsia" w:ascii="宋体" w:hAnsi="宋体" w:eastAsia="宋体" w:cs="宋体"/>
          <w:sz w:val="28"/>
          <w:szCs w:val="28"/>
        </w:rPr>
        <w:t>③总体目标实现情况指标标准分值为10分，考评得分10分。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本项目按照围政〔2019〕100号文件要求，已完成的城中村改造项目与计划实施的实际项目基本吻合，主要改造和回迁工作按照要求全部完成，总体目标已经实现。</w:t>
      </w:r>
    </w:p>
    <w:p>
      <w:pPr>
        <w:ind w:firstLine="560" w:firstLineChars="200"/>
        <w:rPr>
          <w:rFonts w:ascii="宋体" w:hAnsi="宋体" w:eastAsia="宋体" w:cs="宋体"/>
          <w:sz w:val="28"/>
          <w:szCs w:val="28"/>
        </w:rPr>
      </w:pPr>
      <w:r>
        <w:rPr>
          <w:rFonts w:hint="eastAsia" w:ascii="宋体" w:hAnsi="宋体" w:eastAsia="宋体" w:cs="宋体"/>
          <w:sz w:val="28"/>
          <w:szCs w:val="28"/>
        </w:rPr>
        <w:t>4.效益指标</w:t>
      </w:r>
    </w:p>
    <w:p>
      <w:pPr>
        <w:ind w:firstLine="560" w:firstLineChars="200"/>
        <w:rPr>
          <w:rFonts w:ascii="宋体" w:hAnsi="宋体" w:eastAsia="宋体" w:cs="宋体"/>
          <w:sz w:val="28"/>
          <w:szCs w:val="28"/>
        </w:rPr>
      </w:pPr>
      <w:r>
        <w:rPr>
          <w:rFonts w:hint="eastAsia" w:ascii="宋体" w:hAnsi="宋体" w:eastAsia="宋体" w:cs="宋体"/>
          <w:sz w:val="28"/>
          <w:szCs w:val="28"/>
        </w:rPr>
        <w:t>效益指标绩效评价设定分值为30分，考评得分26分。</w:t>
      </w:r>
    </w:p>
    <w:p>
      <w:pPr>
        <w:ind w:firstLine="560" w:firstLineChars="200"/>
        <w:rPr>
          <w:rFonts w:ascii="宋体" w:hAnsi="宋体" w:eastAsia="宋体" w:cs="宋体"/>
          <w:sz w:val="28"/>
          <w:szCs w:val="28"/>
        </w:rPr>
      </w:pPr>
      <w:r>
        <w:rPr>
          <w:rFonts w:hint="eastAsia" w:ascii="宋体" w:hAnsi="宋体" w:eastAsia="宋体" w:cs="宋体"/>
          <w:sz w:val="28"/>
          <w:szCs w:val="28"/>
        </w:rPr>
        <w:t>（1）社会效益指标绩效评价设定分值为20分，考评得分18分。</w:t>
      </w:r>
    </w:p>
    <w:p>
      <w:pPr>
        <w:ind w:firstLine="560" w:firstLineChars="200"/>
        <w:rPr>
          <w:rFonts w:ascii="宋体" w:hAnsi="宋体" w:eastAsia="宋体" w:cs="宋体"/>
          <w:sz w:val="28"/>
          <w:szCs w:val="28"/>
        </w:rPr>
      </w:pPr>
      <w:r>
        <w:rPr>
          <w:rFonts w:hint="eastAsia" w:ascii="宋体" w:hAnsi="宋体" w:eastAsia="宋体" w:cs="宋体"/>
          <w:sz w:val="28"/>
          <w:szCs w:val="28"/>
        </w:rPr>
        <w:t>①社会效益实现情况指标标准分值为10分，考评得分10分。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通过城中村改造项目的实施，做好安置点建设，维护群众利益；依法征地拆迁，及时化解因拆迁土地权属等纠纷产生的矛盾问题，密切了干群关系，维护社会稳定；各项征迁工作顺利开展，切实改变城乡面貌，不断提升城市品质；积极做好宣传，广大被征地农户、乡镇和企业对本项目现行征地政策及补偿标准等几乎家喻户晓；征地拆迁工作阳光透明、公正公开，得到了广大群众的拥护、支持和理解，项目的实施社会效益显著。我方给予此项考核指标10分。</w:t>
      </w:r>
    </w:p>
    <w:p>
      <w:pPr>
        <w:ind w:firstLine="560" w:firstLineChars="200"/>
        <w:rPr>
          <w:rFonts w:ascii="宋体" w:hAnsi="宋体" w:eastAsia="宋体" w:cs="宋体"/>
          <w:sz w:val="28"/>
          <w:szCs w:val="28"/>
        </w:rPr>
      </w:pPr>
      <w:r>
        <w:rPr>
          <w:rFonts w:hint="eastAsia" w:ascii="宋体" w:hAnsi="宋体" w:eastAsia="宋体" w:cs="宋体"/>
          <w:sz w:val="28"/>
          <w:szCs w:val="28"/>
        </w:rPr>
        <w:t>②社会环境（生态环境等）效益改善情况指标标准分值为10分，考评得分8分。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项目前期会对当地区域环境有一定负面影响，并且会一直持续到项目改造完成居民入住后，这些施工过程中对环境的污染才会逐渐消失。通过城中村改造提升，实现了改造目标，呼应百姓需求、保障改善民生，实施城市总体规划、提高城市居民生活品质，有助于环境可持续发展。城中村改造，将主城区城中村打造成配套完善、生活便利、环境优美、管理有序的新型城市形象。陈旧的设施得以改善，有助于提升城市形象以及将城市更加的美化起来。按照政府主导、市场运作、科学规划、安置为先的原则，建高楼、腾空间、增绿地、造景观。坚持重点改造与成片开发相结合，综合开发与配套建设相结合，项目用地征迁与城中村改造相结合，积极稳妥地加以推进改善居住环境。</w:t>
      </w:r>
    </w:p>
    <w:p>
      <w:pPr>
        <w:ind w:firstLine="560" w:firstLineChars="200"/>
        <w:rPr>
          <w:rFonts w:ascii="宋体" w:hAnsi="宋体" w:eastAsia="宋体" w:cs="宋体"/>
          <w:sz w:val="28"/>
          <w:szCs w:val="28"/>
        </w:rPr>
      </w:pPr>
      <w:r>
        <w:rPr>
          <w:rFonts w:hint="eastAsia" w:ascii="宋体" w:hAnsi="宋体" w:eastAsia="宋体" w:cs="宋体"/>
          <w:sz w:val="28"/>
          <w:szCs w:val="28"/>
        </w:rPr>
        <w:t>总体情况分析，本项目的实施利大于弊，有助于美化城市、提升形象、改善环境，促进持续发展。此项考核指标得8分。</w:t>
      </w:r>
    </w:p>
    <w:p>
      <w:pPr>
        <w:ind w:firstLine="560" w:firstLineChars="200"/>
        <w:rPr>
          <w:rFonts w:ascii="宋体" w:hAnsi="宋体" w:eastAsia="宋体" w:cs="宋体"/>
          <w:sz w:val="28"/>
          <w:szCs w:val="28"/>
        </w:rPr>
      </w:pPr>
      <w:r>
        <w:rPr>
          <w:rFonts w:hint="eastAsia" w:ascii="宋体" w:hAnsi="宋体" w:eastAsia="宋体" w:cs="宋体"/>
          <w:sz w:val="28"/>
          <w:szCs w:val="28"/>
        </w:rPr>
        <w:t>（2）经济效益指标绩效评价设定分值为10分，考评得分8分。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①直接经济效益指标标准分值为5分，考评得分5分。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对城中村进行改造，归入城市统一的规划管理中，有利于改善人民的生活质量，增加了就业机会，得到国家的合理补偿款。开发商介入城中村改造工程，缓解了仅由政府投资或者村民出资改造时的财政紧张和困难，解决了村民的安置补偿问题，同时开发商也会享受到优惠的国家政策，实现了企业利润，提高了企业的竞争力。直接经济效益明显。</w:t>
      </w:r>
    </w:p>
    <w:p>
      <w:pPr>
        <w:ind w:firstLine="560" w:firstLineChars="200"/>
        <w:rPr>
          <w:rFonts w:ascii="宋体" w:hAnsi="宋体" w:eastAsia="宋体" w:cs="宋体"/>
          <w:sz w:val="28"/>
          <w:szCs w:val="28"/>
        </w:rPr>
      </w:pPr>
      <w:r>
        <w:rPr>
          <w:rFonts w:hint="eastAsia" w:ascii="宋体" w:hAnsi="宋体" w:eastAsia="宋体" w:cs="宋体"/>
          <w:sz w:val="28"/>
          <w:szCs w:val="28"/>
        </w:rPr>
        <w:t>②间接经济效益指标标准分值5分，考评得分3分。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城中村改造完成后，住房条件改善了，通风良好、结构合理，水、电、气、暖、网络电视等居住配套设施齐全。改造后将成为功能齐全的综合区域，蕴含着巨大商机，将会给安置在该区域内的村民提供大量就业岗位，同时为村民从事第三产业提供良好的区位优势，随着周边配套设施的不断完善，村民个人收入在未来几年也将大大提高。我方考虑到此项目完成后不能确定马上产生经济效益，因此给予此项考核指标3分。</w:t>
      </w:r>
    </w:p>
    <w:p>
      <w:pPr>
        <w:adjustRightInd w:val="0"/>
        <w:snapToGrid w:val="0"/>
        <w:spacing w:line="360" w:lineRule="auto"/>
        <w:ind w:firstLine="643" w:firstLineChars="200"/>
        <w:outlineLvl w:val="1"/>
        <w:rPr>
          <w:rFonts w:ascii="楷体" w:hAnsi="楷体" w:eastAsia="楷体" w:cs="楷体"/>
          <w:b/>
          <w:kern w:val="0"/>
          <w:sz w:val="32"/>
          <w:szCs w:val="32"/>
        </w:rPr>
      </w:pPr>
      <w:bookmarkStart w:id="65" w:name="_Toc14098"/>
      <w:bookmarkStart w:id="66" w:name="_Toc22148"/>
      <w:r>
        <w:rPr>
          <w:rFonts w:hint="eastAsia" w:ascii="楷体" w:hAnsi="楷体" w:eastAsia="楷体" w:cs="楷体"/>
          <w:b/>
          <w:kern w:val="0"/>
          <w:sz w:val="32"/>
          <w:szCs w:val="32"/>
        </w:rPr>
        <w:t>（二）绩效评价结论</w:t>
      </w:r>
      <w:bookmarkEnd w:id="65"/>
      <w:bookmarkEnd w:id="66"/>
    </w:p>
    <w:p>
      <w:pPr>
        <w:ind w:firstLine="560" w:firstLineChars="200"/>
        <w:rPr>
          <w:rFonts w:ascii="宋体" w:hAnsi="宋体" w:eastAsia="宋体" w:cs="宋体"/>
          <w:sz w:val="28"/>
          <w:szCs w:val="28"/>
        </w:rPr>
      </w:pPr>
      <w:r>
        <w:rPr>
          <w:rFonts w:hint="eastAsia" w:ascii="宋体" w:hAnsi="宋体" w:eastAsia="宋体" w:cs="宋体"/>
          <w:sz w:val="28"/>
          <w:szCs w:val="28"/>
        </w:rPr>
        <w:t>绩效评价结果采取评分和评级相结合的方式，具体分值和等级可根据不同评价内容设定。总分一般设置为100分，等级一般划分为四档：80（含）-100分为优、70（含）-80分为良、60（含）-70分为合格、60分以下为不合格。</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绩效评价指标综合得分情况：</w:t>
      </w:r>
    </w:p>
    <w:p>
      <w:pPr>
        <w:ind w:firstLine="560" w:firstLineChars="200"/>
        <w:rPr>
          <w:rFonts w:ascii="宋体" w:hAnsi="宋体" w:eastAsia="宋体" w:cs="宋体"/>
          <w:sz w:val="28"/>
          <w:szCs w:val="28"/>
        </w:rPr>
      </w:pPr>
      <w:r>
        <w:rPr>
          <w:rFonts w:hint="eastAsia" w:ascii="宋体" w:hAnsi="宋体" w:eastAsia="宋体" w:cs="宋体"/>
          <w:sz w:val="28"/>
          <w:szCs w:val="28"/>
        </w:rPr>
        <w:t>围场县2019年城中村改造项目（棚户区改造）绩效考评结果，其中：投入指标考评得分10分、管理指标考评得分30分、产出指标考评得分28分、效益指标考评得分26分。通过对各项指标的具体分析评价，汇总得出本次绩效评价考核综合得分为94分，总体评价为“优”。</w:t>
      </w:r>
    </w:p>
    <w:p>
      <w:pPr>
        <w:ind w:firstLine="560" w:firstLineChars="200"/>
        <w:rPr>
          <w:rFonts w:ascii="宋体" w:hAnsi="宋体" w:eastAsia="宋体" w:cs="宋体"/>
          <w:sz w:val="28"/>
          <w:szCs w:val="28"/>
        </w:rPr>
      </w:pPr>
      <w:r>
        <w:rPr>
          <w:rFonts w:hint="eastAsia" w:ascii="宋体" w:hAnsi="宋体" w:eastAsia="宋体" w:cs="宋体"/>
          <w:sz w:val="28"/>
          <w:szCs w:val="28"/>
        </w:rPr>
        <w:t>评价结果表明，围场县2019年城中村改造项目（棚户区改造）组织和管理较好地执行了相关规定要求，对项目资金的监督管理总体有效，实施的经济效益和持续性较明显，资金使用合理合规。通过项目建设，对社会效益影响是长期的，促进了围场县的经济繁荣。</w:t>
      </w:r>
    </w:p>
    <w:p>
      <w:pPr>
        <w:ind w:firstLine="640" w:firstLineChars="200"/>
        <w:rPr>
          <w:rFonts w:ascii="黑体" w:hAnsi="黑体" w:eastAsia="黑体" w:cs="黑体"/>
          <w:bCs/>
          <w:kern w:val="0"/>
          <w:sz w:val="32"/>
          <w:szCs w:val="32"/>
        </w:rPr>
      </w:pPr>
      <w:bookmarkStart w:id="67" w:name="_Toc32395"/>
      <w:bookmarkStart w:id="68" w:name="_Toc29435"/>
      <w:r>
        <w:rPr>
          <w:rFonts w:hint="eastAsia" w:ascii="黑体" w:hAnsi="黑体" w:eastAsia="黑体" w:cs="黑体"/>
          <w:sz w:val="32"/>
          <w:szCs w:val="32"/>
        </w:rPr>
        <w:t>五、</w:t>
      </w:r>
      <w:bookmarkEnd w:id="67"/>
      <w:r>
        <w:rPr>
          <w:rFonts w:hint="eastAsia" w:ascii="黑体" w:hAnsi="黑体" w:eastAsia="黑体" w:cs="黑体"/>
          <w:sz w:val="32"/>
          <w:szCs w:val="32"/>
        </w:rPr>
        <w:t>意见及建议</w:t>
      </w:r>
      <w:bookmarkEnd w:id="68"/>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应加强项目管理、完善建设程序，做好各方协调工作。为了提高项目资金使用效益，建设单位应成立专项资金管理小组，设立专项账户，资金使用严格按照上级专项补助资金管理办法执行，政府有关部门和项目主管部门要加强监管和检查，加强财务管理工作。</w:t>
      </w:r>
    </w:p>
    <w:p>
      <w:pPr>
        <w:pStyle w:val="3"/>
        <w:spacing w:line="240" w:lineRule="auto"/>
        <w:ind w:firstLine="643" w:firstLineChars="200"/>
        <w:rPr>
          <w:rFonts w:ascii="楷体" w:hAnsi="楷体" w:eastAsia="楷体" w:cs="楷体"/>
        </w:rPr>
      </w:pPr>
      <w:bookmarkStart w:id="69" w:name="_Toc25821"/>
      <w:bookmarkStart w:id="70" w:name="_Toc7010"/>
      <w:bookmarkStart w:id="71" w:name="_Toc5786"/>
      <w:bookmarkStart w:id="72" w:name="_Toc26763"/>
      <w:bookmarkStart w:id="73" w:name="_Toc15246"/>
      <w:bookmarkStart w:id="74" w:name="_Toc31396"/>
      <w:r>
        <w:rPr>
          <w:rFonts w:hint="eastAsia" w:ascii="楷体" w:hAnsi="楷体" w:eastAsia="楷体" w:cs="楷体"/>
        </w:rPr>
        <w:t>（一）强化绩效理念，深入推进评价工作</w:t>
      </w:r>
      <w:bookmarkEnd w:id="69"/>
      <w:bookmarkEnd w:id="70"/>
      <w:bookmarkEnd w:id="71"/>
      <w:bookmarkEnd w:id="72"/>
      <w:bookmarkEnd w:id="73"/>
      <w:bookmarkEnd w:id="74"/>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进一步强化各部门绩效管理理念，健全完善制度办法，切实加强组织领导，深入推进评价工作，提升整体绩效管理水平。</w:t>
      </w:r>
    </w:p>
    <w:p>
      <w:pPr>
        <w:pStyle w:val="3"/>
        <w:spacing w:line="240" w:lineRule="auto"/>
        <w:ind w:firstLine="643" w:firstLineChars="200"/>
        <w:rPr>
          <w:rFonts w:ascii="楷体" w:hAnsi="楷体" w:eastAsia="楷体" w:cs="楷体"/>
        </w:rPr>
      </w:pPr>
      <w:bookmarkStart w:id="75" w:name="_Toc10505"/>
      <w:bookmarkStart w:id="76" w:name="_Toc21411"/>
      <w:bookmarkStart w:id="77" w:name="_Toc19932"/>
      <w:bookmarkStart w:id="78" w:name="_Toc14241"/>
      <w:bookmarkStart w:id="79" w:name="_Toc11860"/>
      <w:bookmarkStart w:id="80" w:name="_Toc6863"/>
      <w:r>
        <w:rPr>
          <w:rFonts w:hint="eastAsia" w:ascii="楷体" w:hAnsi="楷体" w:eastAsia="楷体" w:cs="楷体"/>
        </w:rPr>
        <w:t>（二）强化事前准备，切实提升评价质量</w:t>
      </w:r>
      <w:bookmarkEnd w:id="75"/>
      <w:bookmarkEnd w:id="76"/>
      <w:bookmarkEnd w:id="77"/>
      <w:bookmarkEnd w:id="78"/>
      <w:bookmarkEnd w:id="79"/>
      <w:bookmarkEnd w:id="80"/>
    </w:p>
    <w:p>
      <w:pPr>
        <w:widowControl/>
        <w:ind w:firstLine="560" w:firstLineChars="200"/>
        <w:jc w:val="left"/>
        <w:rPr>
          <w:rFonts w:ascii="宋体" w:hAnsi="宋体" w:eastAsia="宋体" w:cs="宋体"/>
          <w:sz w:val="28"/>
          <w:szCs w:val="28"/>
        </w:rPr>
      </w:pPr>
      <w:r>
        <w:rPr>
          <w:rFonts w:ascii="宋体" w:hAnsi="宋体" w:eastAsia="宋体" w:cs="宋体"/>
          <w:sz w:val="28"/>
          <w:szCs w:val="28"/>
        </w:rPr>
        <w:t>在推进自身评价工作开展时，结合评价工作实际，规范评价标准，确保绩效评价结果规范化、科学化，切实提高评价质量。</w:t>
      </w:r>
      <w:bookmarkStart w:id="81" w:name="_Toc11787"/>
      <w:bookmarkStart w:id="82" w:name="_Toc21034"/>
      <w:bookmarkStart w:id="83" w:name="_Toc30061"/>
      <w:bookmarkStart w:id="84" w:name="_Toc10592"/>
      <w:bookmarkStart w:id="85" w:name="_Toc3001"/>
    </w:p>
    <w:p>
      <w:pPr>
        <w:pStyle w:val="3"/>
        <w:spacing w:line="240" w:lineRule="auto"/>
        <w:ind w:firstLine="643" w:firstLineChars="200"/>
        <w:rPr>
          <w:rFonts w:ascii="楷体" w:hAnsi="楷体" w:eastAsia="楷体" w:cs="楷体"/>
        </w:rPr>
      </w:pPr>
      <w:bookmarkStart w:id="86" w:name="_Toc16658"/>
      <w:r>
        <w:rPr>
          <w:rFonts w:hint="eastAsia" w:ascii="楷体" w:hAnsi="楷体" w:eastAsia="楷体" w:cs="楷体"/>
        </w:rPr>
        <w:t>（三）强化结果应用，不断巩固评价</w:t>
      </w:r>
      <w:bookmarkEnd w:id="81"/>
      <w:bookmarkEnd w:id="82"/>
      <w:bookmarkEnd w:id="83"/>
      <w:bookmarkEnd w:id="84"/>
      <w:bookmarkEnd w:id="85"/>
      <w:r>
        <w:rPr>
          <w:rFonts w:hint="eastAsia" w:ascii="楷体" w:hAnsi="楷体" w:eastAsia="楷体" w:cs="楷体"/>
        </w:rPr>
        <w:t>成效</w:t>
      </w:r>
      <w:bookmarkEnd w:id="86"/>
    </w:p>
    <w:p>
      <w:pPr>
        <w:ind w:firstLine="560" w:firstLineChars="200"/>
        <w:rPr>
          <w:rFonts w:ascii="宋体" w:hAnsi="宋体" w:eastAsia="宋体" w:cs="宋体"/>
          <w:sz w:val="28"/>
          <w:szCs w:val="28"/>
        </w:rPr>
      </w:pPr>
      <w:r>
        <w:rPr>
          <w:rFonts w:ascii="宋体" w:hAnsi="宋体" w:eastAsia="宋体" w:cs="宋体"/>
          <w:sz w:val="28"/>
          <w:szCs w:val="28"/>
        </w:rPr>
        <w:t>加强评价结果的运用，将绩效评价结果纳入</w:t>
      </w:r>
      <w:r>
        <w:rPr>
          <w:rFonts w:hint="eastAsia" w:ascii="宋体" w:hAnsi="宋体" w:eastAsia="宋体" w:cs="宋体"/>
          <w:sz w:val="28"/>
          <w:szCs w:val="28"/>
        </w:rPr>
        <w:t>本单位</w:t>
      </w:r>
      <w:r>
        <w:rPr>
          <w:rFonts w:ascii="宋体" w:hAnsi="宋体" w:eastAsia="宋体" w:cs="宋体"/>
          <w:sz w:val="28"/>
          <w:szCs w:val="28"/>
        </w:rPr>
        <w:t>的年终考核中来，成为考核奖惩</w:t>
      </w:r>
      <w:r>
        <w:rPr>
          <w:rFonts w:hint="eastAsia" w:ascii="宋体" w:hAnsi="宋体" w:eastAsia="宋体" w:cs="宋体"/>
          <w:sz w:val="28"/>
          <w:szCs w:val="28"/>
        </w:rPr>
        <w:t>的</w:t>
      </w:r>
      <w:r>
        <w:rPr>
          <w:rFonts w:ascii="宋体" w:hAnsi="宋体" w:eastAsia="宋体" w:cs="宋体"/>
          <w:sz w:val="28"/>
          <w:szCs w:val="28"/>
        </w:rPr>
        <w:t>重要指标，区县和部门对绩效评价中发现的问题进一步整改落实，不断促进民生工程工作提质增效</w:t>
      </w:r>
      <w:r>
        <w:rPr>
          <w:rFonts w:hint="eastAsia" w:ascii="宋体" w:hAnsi="宋体" w:eastAsia="宋体" w:cs="宋体"/>
          <w:sz w:val="28"/>
          <w:szCs w:val="28"/>
        </w:rPr>
        <w:t>。</w:t>
      </w:r>
    </w:p>
    <w:p>
      <w:pPr>
        <w:ind w:firstLine="640" w:firstLineChars="200"/>
        <w:rPr>
          <w:rFonts w:ascii="黑体" w:hAnsi="黑体" w:eastAsia="黑体" w:cs="黑体"/>
          <w:sz w:val="32"/>
          <w:szCs w:val="32"/>
        </w:rPr>
      </w:pPr>
      <w:bookmarkStart w:id="87" w:name="_Toc24195"/>
      <w:r>
        <w:rPr>
          <w:rFonts w:hint="eastAsia" w:ascii="黑体" w:hAnsi="黑体" w:eastAsia="黑体" w:cs="黑体"/>
          <w:sz w:val="32"/>
          <w:szCs w:val="32"/>
        </w:rPr>
        <w:t>六、附件</w:t>
      </w:r>
      <w:bookmarkEnd w:id="87"/>
    </w:p>
    <w:p>
      <w:pPr>
        <w:pStyle w:val="3"/>
        <w:rPr>
          <w:rFonts w:ascii="宋体" w:hAnsi="宋体" w:eastAsia="宋体" w:cs="宋体"/>
          <w:sz w:val="28"/>
          <w:szCs w:val="28"/>
        </w:rPr>
      </w:pPr>
      <w:bookmarkStart w:id="88" w:name="_Toc164"/>
      <w:r>
        <w:rPr>
          <w:rFonts w:hint="eastAsia" w:ascii="楷体" w:hAnsi="楷体" w:eastAsia="楷体" w:cs="楷体"/>
        </w:rPr>
        <w:t>绩效评价指标体系得分表</w:t>
      </w:r>
      <w:bookmarkEnd w:id="88"/>
    </w:p>
    <w:p>
      <w:pPr>
        <w:adjustRightInd w:val="0"/>
        <w:snapToGrid w:val="0"/>
        <w:spacing w:line="540" w:lineRule="exact"/>
        <w:outlineLvl w:val="0"/>
        <w:rPr>
          <w:rFonts w:asciiTheme="minorEastAsia" w:hAnsiTheme="minorEastAsia"/>
          <w:sz w:val="32"/>
          <w:szCs w:val="32"/>
        </w:rPr>
      </w:pPr>
      <w:bookmarkStart w:id="89" w:name="_Toc15162"/>
    </w:p>
    <w:p>
      <w:pPr>
        <w:adjustRightInd w:val="0"/>
        <w:snapToGrid w:val="0"/>
        <w:spacing w:line="540" w:lineRule="exact"/>
        <w:outlineLvl w:val="0"/>
        <w:rPr>
          <w:rFonts w:asciiTheme="minorEastAsia" w:hAnsiTheme="minorEastAsia"/>
          <w:sz w:val="32"/>
          <w:szCs w:val="32"/>
        </w:rPr>
      </w:pPr>
      <w:r>
        <w:rPr>
          <w:rFonts w:hint="eastAsia" w:asciiTheme="minorEastAsia" w:hAnsiTheme="minorEastAsia"/>
          <w:sz w:val="32"/>
          <w:szCs w:val="32"/>
        </w:rPr>
        <w:t>承德燕山会计师事务所         中国注册会计师：</w:t>
      </w:r>
      <w:bookmarkEnd w:id="89"/>
      <w:r>
        <w:rPr>
          <w:rFonts w:hint="eastAsia" w:asciiTheme="minorEastAsia" w:hAnsiTheme="minorEastAsia"/>
          <w:sz w:val="32"/>
          <w:szCs w:val="32"/>
        </w:rPr>
        <w:t>崔春华</w:t>
      </w:r>
    </w:p>
    <w:p>
      <w:pPr>
        <w:adjustRightInd w:val="0"/>
        <w:snapToGrid w:val="0"/>
        <w:spacing w:line="540" w:lineRule="exact"/>
        <w:ind w:firstLine="640" w:firstLineChars="200"/>
        <w:outlineLvl w:val="0"/>
        <w:rPr>
          <w:rFonts w:asciiTheme="minorEastAsia" w:hAnsiTheme="minorEastAsia"/>
          <w:sz w:val="32"/>
          <w:szCs w:val="32"/>
        </w:rPr>
      </w:pPr>
      <w:bookmarkStart w:id="90" w:name="_Toc14815"/>
      <w:r>
        <w:rPr>
          <w:rFonts w:hint="eastAsia" w:asciiTheme="minorEastAsia" w:hAnsiTheme="minorEastAsia"/>
          <w:sz w:val="32"/>
          <w:szCs w:val="32"/>
        </w:rPr>
        <w:t>有限责任公司</w:t>
      </w:r>
      <w:bookmarkEnd w:id="90"/>
    </w:p>
    <w:p>
      <w:pPr>
        <w:ind w:firstLine="640" w:firstLineChars="200"/>
        <w:outlineLvl w:val="0"/>
        <w:rPr>
          <w:rFonts w:asciiTheme="minorEastAsia" w:hAnsiTheme="minorEastAsia"/>
          <w:sz w:val="32"/>
          <w:szCs w:val="32"/>
        </w:rPr>
      </w:pPr>
      <w:bookmarkStart w:id="91" w:name="_Toc13463"/>
      <w:r>
        <w:rPr>
          <w:rFonts w:hint="eastAsia" w:asciiTheme="minorEastAsia" w:hAnsiTheme="minorEastAsia"/>
          <w:sz w:val="32"/>
          <w:szCs w:val="32"/>
        </w:rPr>
        <w:t>河北·承德               中国注册会计师：</w:t>
      </w:r>
      <w:bookmarkEnd w:id="91"/>
      <w:r>
        <w:rPr>
          <w:rFonts w:hint="eastAsia" w:asciiTheme="minorEastAsia" w:hAnsiTheme="minorEastAsia"/>
          <w:sz w:val="32"/>
          <w:szCs w:val="32"/>
        </w:rPr>
        <w:t>白秀云</w:t>
      </w:r>
    </w:p>
    <w:p>
      <w:pPr>
        <w:ind w:firstLine="640" w:firstLineChars="200"/>
        <w:rPr>
          <w:rFonts w:asciiTheme="minorEastAsia" w:hAnsiTheme="minorEastAsia"/>
          <w:sz w:val="32"/>
          <w:szCs w:val="32"/>
        </w:rPr>
      </w:pPr>
      <w:r>
        <w:rPr>
          <w:rFonts w:hint="eastAsia" w:asciiTheme="minorEastAsia" w:hAnsiTheme="minorEastAsia"/>
          <w:sz w:val="32"/>
          <w:szCs w:val="32"/>
        </w:rPr>
        <w:t xml:space="preserve">                     </w:t>
      </w:r>
    </w:p>
    <w:p>
      <w:pPr>
        <w:ind w:firstLine="4160" w:firstLineChars="1300"/>
        <w:rPr>
          <w:rFonts w:ascii="宋体" w:hAnsi="宋体" w:eastAsia="宋体" w:cs="宋体"/>
          <w:sz w:val="28"/>
          <w:szCs w:val="28"/>
        </w:rPr>
        <w:sectPr>
          <w:footerReference r:id="rId7" w:type="default"/>
          <w:pgSz w:w="11906" w:h="16838"/>
          <w:pgMar w:top="1440" w:right="1800" w:bottom="1440" w:left="1800" w:header="851" w:footer="992" w:gutter="0"/>
          <w:pgNumType w:start="1"/>
          <w:cols w:space="425" w:num="1"/>
          <w:docGrid w:type="lines" w:linePitch="312" w:charSpace="0"/>
        </w:sectPr>
      </w:pPr>
      <w:r>
        <w:rPr>
          <w:rFonts w:hint="eastAsia" w:asciiTheme="minorEastAsia" w:hAnsiTheme="minorEastAsia"/>
          <w:sz w:val="32"/>
          <w:szCs w:val="32"/>
        </w:rPr>
        <w:t xml:space="preserve"> </w:t>
      </w:r>
      <w:bookmarkStart w:id="92" w:name="_Toc29542"/>
      <w:r>
        <w:rPr>
          <w:rFonts w:hint="eastAsia" w:asciiTheme="minorEastAsia" w:hAnsiTheme="minorEastAsia"/>
          <w:sz w:val="32"/>
          <w:szCs w:val="32"/>
        </w:rPr>
        <w:t>二○二〇年十二月二十八日</w:t>
      </w:r>
      <w:bookmarkEnd w:id="92"/>
    </w:p>
    <w:p>
      <w:pPr>
        <w:jc w:val="center"/>
        <w:rPr>
          <w:rFonts w:ascii="宋体" w:hAnsi="宋体" w:eastAsia="宋体" w:cs="宋体"/>
          <w:b/>
          <w:bCs/>
          <w:sz w:val="28"/>
          <w:szCs w:val="28"/>
          <w:highlight w:val="yellow"/>
        </w:rPr>
      </w:pPr>
      <w:r>
        <w:rPr>
          <w:rFonts w:hint="eastAsia" w:ascii="宋体" w:hAnsi="宋体" w:eastAsia="宋体" w:cs="宋体"/>
          <w:b/>
          <w:bCs/>
          <w:sz w:val="28"/>
          <w:szCs w:val="28"/>
        </w:rPr>
        <w:t>围场县2019年城中村改造项目（棚户区改造）绩效评价指标体系得分表</w:t>
      </w:r>
    </w:p>
    <w:tbl>
      <w:tblPr>
        <w:tblStyle w:val="13"/>
        <w:tblW w:w="4895" w:type="pct"/>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1452"/>
        <w:gridCol w:w="4889"/>
        <w:gridCol w:w="4864"/>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515"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523"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61"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752"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447"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51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523"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61"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752"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立项手续合规、方案可行得5分，无立项扣2分，方案欠佳扣2分；</w:t>
            </w:r>
          </w:p>
        </w:tc>
        <w:tc>
          <w:tcPr>
            <w:tcW w:w="447"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51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523"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61"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752"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447"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51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523"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61"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752"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447"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51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523"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61"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752"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c>
          <w:tcPr>
            <w:tcW w:w="447"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51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523"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61"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5、政务公开情况（6分）；</w:t>
            </w:r>
          </w:p>
        </w:tc>
        <w:tc>
          <w:tcPr>
            <w:tcW w:w="1752"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项目依法依规公开、公示得6分，每有一项未公开扣减2分；</w:t>
            </w:r>
          </w:p>
        </w:tc>
        <w:tc>
          <w:tcPr>
            <w:tcW w:w="447"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51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523"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61"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752"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c>
          <w:tcPr>
            <w:tcW w:w="447"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51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523"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61"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7、资金使用合规性（4分）</w:t>
            </w:r>
          </w:p>
        </w:tc>
        <w:tc>
          <w:tcPr>
            <w:tcW w:w="1752"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债券资金未用于经常性支出，未用于中央明令禁止的项目支出得4分，发现资金使用不合规每有一项扣1分；</w:t>
            </w:r>
          </w:p>
        </w:tc>
        <w:tc>
          <w:tcPr>
            <w:tcW w:w="447"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51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523"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61"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8、</w:t>
            </w:r>
            <w:r>
              <w:rPr>
                <w:rFonts w:hint="eastAsia" w:asciiTheme="minorEastAsia" w:hAnsiTheme="minorEastAsia" w:cstheme="minorEastAsia"/>
                <w:color w:val="000000"/>
                <w:kern w:val="0"/>
                <w:sz w:val="24"/>
                <w:lang w:bidi="ar"/>
              </w:rPr>
              <w:t>资金到位率=实际到位资金/计划资金总额*100%</w:t>
            </w:r>
            <w:r>
              <w:rPr>
                <w:rFonts w:hint="eastAsia" w:ascii="宋体" w:hAnsi="宋体" w:eastAsia="宋体" w:cs="宋体"/>
                <w:color w:val="000000"/>
                <w:sz w:val="24"/>
              </w:rPr>
              <w:t>（3分）</w:t>
            </w:r>
          </w:p>
        </w:tc>
        <w:tc>
          <w:tcPr>
            <w:tcW w:w="1752"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cstheme="minorEastAsia"/>
                <w:color w:val="000000"/>
                <w:kern w:val="0"/>
                <w:sz w:val="24"/>
                <w:lang w:bidi="ar"/>
              </w:rPr>
              <w:t>资金到位率≥90%，得满分；85%≤到位率＜90%，得2分；75%≤到位率＜85%，得1分；到位率＜75%，得0.5分；</w:t>
            </w:r>
          </w:p>
        </w:tc>
        <w:tc>
          <w:tcPr>
            <w:tcW w:w="447"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51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523"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61"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9、县级财政国库集中支付情况（4分）；</w:t>
            </w:r>
          </w:p>
        </w:tc>
        <w:tc>
          <w:tcPr>
            <w:tcW w:w="1752"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国库及时拨付项目资金得4分，未及时拨付每发现一次扣1分；</w:t>
            </w:r>
          </w:p>
        </w:tc>
        <w:tc>
          <w:tcPr>
            <w:tcW w:w="447"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51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523"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61"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10、会计制度执行情况（4分）；</w:t>
            </w:r>
          </w:p>
        </w:tc>
        <w:tc>
          <w:tcPr>
            <w:tcW w:w="1752"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c>
          <w:tcPr>
            <w:tcW w:w="447"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51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523"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761"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11、棚改项目完成情况（10分）；</w:t>
            </w:r>
          </w:p>
        </w:tc>
        <w:tc>
          <w:tcPr>
            <w:tcW w:w="1752"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考核期内本次棚改项目全部完成得10分，每有一项未完成扣2分；</w:t>
            </w:r>
          </w:p>
        </w:tc>
        <w:tc>
          <w:tcPr>
            <w:tcW w:w="447"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51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523"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61"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12、完成项目债券资金使用率（10分）；</w:t>
            </w:r>
          </w:p>
        </w:tc>
        <w:tc>
          <w:tcPr>
            <w:tcW w:w="1752"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宋体"/>
                <w:color w:val="000000"/>
                <w:sz w:val="24"/>
              </w:rPr>
              <w:t>使用率≥95%得满分；85%≤使用率＜95%，得8分；75%≤使用率＜85%，得5分；使用率＜75%，得2分</w:t>
            </w:r>
            <w:r>
              <w:rPr>
                <w:rFonts w:hint="eastAsia" w:asciiTheme="minorEastAsia" w:hAnsiTheme="minorEastAsia"/>
                <w:bCs/>
                <w:sz w:val="24"/>
              </w:rPr>
              <w:t>；</w:t>
            </w:r>
          </w:p>
        </w:tc>
        <w:tc>
          <w:tcPr>
            <w:tcW w:w="447"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51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523"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61"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13、总体目标实现情况（10分）；</w:t>
            </w:r>
          </w:p>
        </w:tc>
        <w:tc>
          <w:tcPr>
            <w:tcW w:w="1752"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达到预期建设目标得10分；未达到目标，每有一项扣减2分；截止到绩效评价仍未达到目标不得分；</w:t>
            </w:r>
          </w:p>
        </w:tc>
        <w:tc>
          <w:tcPr>
            <w:tcW w:w="447"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51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523"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61"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14、社会效益实现情况（10分）；</w:t>
            </w:r>
          </w:p>
        </w:tc>
        <w:tc>
          <w:tcPr>
            <w:tcW w:w="1752"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项目的实施社会效益显著得10分，社会效益不明显得5分，社会效益差不得分；</w:t>
            </w:r>
          </w:p>
        </w:tc>
        <w:tc>
          <w:tcPr>
            <w:tcW w:w="447"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515"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523"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61"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15、社会环境（生态环境等）效益改善情况（10分）；</w:t>
            </w:r>
          </w:p>
        </w:tc>
        <w:tc>
          <w:tcPr>
            <w:tcW w:w="1752"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项目建设对社会环境（生态环境）效益有明显提升得10分，提升不明显得5分，影响社会环境不得分；</w:t>
            </w:r>
          </w:p>
        </w:tc>
        <w:tc>
          <w:tcPr>
            <w:tcW w:w="447"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51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523" w:type="pct"/>
            <w:vMerge w:val="restar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经济效益情况（10分）</w:t>
            </w:r>
          </w:p>
        </w:tc>
        <w:tc>
          <w:tcPr>
            <w:tcW w:w="1761"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16、项目建设带来的直接经济效益（5分）；</w:t>
            </w:r>
          </w:p>
        </w:tc>
        <w:tc>
          <w:tcPr>
            <w:tcW w:w="1752"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项目建设能够持续带动当地直接经济效益明显提升得5分，直接经济效益不明显扣1分，无直接经济效益扣2分；</w:t>
            </w:r>
          </w:p>
        </w:tc>
        <w:tc>
          <w:tcPr>
            <w:tcW w:w="447" w:type="pct"/>
            <w:vAlign w:val="center"/>
          </w:tcPr>
          <w:p>
            <w:pPr>
              <w:pStyle w:val="16"/>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51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523"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61"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17、项目建设带来的间接经济效益（5分）；</w:t>
            </w:r>
          </w:p>
        </w:tc>
        <w:tc>
          <w:tcPr>
            <w:tcW w:w="1752"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项目建设能够持续带动当地间接经济效益明显提升得5分，间接经济效益一般得3分，无间接经济效益不得分；</w:t>
            </w:r>
          </w:p>
        </w:tc>
        <w:tc>
          <w:tcPr>
            <w:tcW w:w="447" w:type="pct"/>
            <w:vAlign w:val="center"/>
          </w:tcPr>
          <w:p>
            <w:pPr>
              <w:pStyle w:val="16"/>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515"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523"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3513"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447"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94</w:t>
            </w:r>
          </w:p>
        </w:tc>
      </w:tr>
    </w:tbl>
    <w:p>
      <w:pPr>
        <w:rPr>
          <w:rFonts w:ascii="宋体" w:hAnsi="宋体" w:eastAsia="宋体" w:cs="宋体"/>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仿宋_GB2312">
    <w:altName w:val="仿宋"/>
    <w:panose1 w:val="02010609030101010101"/>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785"/>
        <w:tab w:val="clear" w:pos="8306"/>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785"/>
        <w:tab w:val="clear" w:pos="8306"/>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DhkZTc0NjRhMjU1NjU1Y2NkNTk0NDgxZWRjZDYifQ=="/>
  </w:docVars>
  <w:rsids>
    <w:rsidRoot w:val="41A52C9E"/>
    <w:rsid w:val="00146582"/>
    <w:rsid w:val="00190F04"/>
    <w:rsid w:val="001B3712"/>
    <w:rsid w:val="004D58BD"/>
    <w:rsid w:val="00A270B1"/>
    <w:rsid w:val="00CF4C61"/>
    <w:rsid w:val="016403C8"/>
    <w:rsid w:val="03906ECE"/>
    <w:rsid w:val="03B73450"/>
    <w:rsid w:val="03D327B2"/>
    <w:rsid w:val="047E3D7B"/>
    <w:rsid w:val="069266A6"/>
    <w:rsid w:val="06B3136F"/>
    <w:rsid w:val="070274EC"/>
    <w:rsid w:val="07B73E18"/>
    <w:rsid w:val="09DF3A36"/>
    <w:rsid w:val="0A617961"/>
    <w:rsid w:val="0CF76258"/>
    <w:rsid w:val="0FF14209"/>
    <w:rsid w:val="105E04DB"/>
    <w:rsid w:val="11CA6AB4"/>
    <w:rsid w:val="12192A13"/>
    <w:rsid w:val="12C11841"/>
    <w:rsid w:val="13426D82"/>
    <w:rsid w:val="166035B3"/>
    <w:rsid w:val="1671287C"/>
    <w:rsid w:val="179E01C8"/>
    <w:rsid w:val="18B14196"/>
    <w:rsid w:val="18F62EB1"/>
    <w:rsid w:val="19B12636"/>
    <w:rsid w:val="1C0818FD"/>
    <w:rsid w:val="1CEE6327"/>
    <w:rsid w:val="1DCB30AC"/>
    <w:rsid w:val="1DCF5F00"/>
    <w:rsid w:val="1E3912B7"/>
    <w:rsid w:val="1F011179"/>
    <w:rsid w:val="21C358CA"/>
    <w:rsid w:val="25666D90"/>
    <w:rsid w:val="25893EE2"/>
    <w:rsid w:val="25D00022"/>
    <w:rsid w:val="260B4647"/>
    <w:rsid w:val="261A33D3"/>
    <w:rsid w:val="27DD72F2"/>
    <w:rsid w:val="284D6241"/>
    <w:rsid w:val="297639A8"/>
    <w:rsid w:val="2B052CF6"/>
    <w:rsid w:val="2B284D4B"/>
    <w:rsid w:val="2C137100"/>
    <w:rsid w:val="2E0437B8"/>
    <w:rsid w:val="327F7BC1"/>
    <w:rsid w:val="32E84633"/>
    <w:rsid w:val="34B06338"/>
    <w:rsid w:val="39FB1AB6"/>
    <w:rsid w:val="3A3558CA"/>
    <w:rsid w:val="3ADF6B49"/>
    <w:rsid w:val="3BB5552B"/>
    <w:rsid w:val="3D7533AC"/>
    <w:rsid w:val="3EE432ED"/>
    <w:rsid w:val="418C02E4"/>
    <w:rsid w:val="41A52C9E"/>
    <w:rsid w:val="434B6767"/>
    <w:rsid w:val="46437D54"/>
    <w:rsid w:val="47C37A03"/>
    <w:rsid w:val="48771478"/>
    <w:rsid w:val="48E449AC"/>
    <w:rsid w:val="4A924A90"/>
    <w:rsid w:val="4B440C85"/>
    <w:rsid w:val="4C1C24FD"/>
    <w:rsid w:val="4CAC50F6"/>
    <w:rsid w:val="4D1A1F89"/>
    <w:rsid w:val="4DF57240"/>
    <w:rsid w:val="4E9F03B5"/>
    <w:rsid w:val="4F5D274A"/>
    <w:rsid w:val="4F887C83"/>
    <w:rsid w:val="53AD2E58"/>
    <w:rsid w:val="54252E1D"/>
    <w:rsid w:val="55A76370"/>
    <w:rsid w:val="569318BE"/>
    <w:rsid w:val="573A41D7"/>
    <w:rsid w:val="577B4A42"/>
    <w:rsid w:val="596A4606"/>
    <w:rsid w:val="5B267031"/>
    <w:rsid w:val="5DFA18B2"/>
    <w:rsid w:val="5E461547"/>
    <w:rsid w:val="5F1F7A5F"/>
    <w:rsid w:val="60F1692D"/>
    <w:rsid w:val="66DB0898"/>
    <w:rsid w:val="68017FA2"/>
    <w:rsid w:val="6A236F78"/>
    <w:rsid w:val="6B7B15DF"/>
    <w:rsid w:val="6BAE6284"/>
    <w:rsid w:val="6C2162AF"/>
    <w:rsid w:val="6E494E32"/>
    <w:rsid w:val="6F886C32"/>
    <w:rsid w:val="70443140"/>
    <w:rsid w:val="704716FA"/>
    <w:rsid w:val="710016B0"/>
    <w:rsid w:val="7191201E"/>
    <w:rsid w:val="75515C0D"/>
    <w:rsid w:val="75840E38"/>
    <w:rsid w:val="772B6771"/>
    <w:rsid w:val="77AB17FD"/>
    <w:rsid w:val="7D87276F"/>
    <w:rsid w:val="7EE268D3"/>
    <w:rsid w:val="7FA6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ascii="黑体" w:hAnsi="黑体" w:eastAsia="宋体" w:cs="黑体"/>
      <w:b/>
      <w:bCs/>
      <w:kern w:val="44"/>
      <w:sz w:val="28"/>
      <w:szCs w:val="28"/>
    </w:rPr>
  </w:style>
  <w:style w:type="paragraph" w:styleId="3">
    <w:name w:val="heading 2"/>
    <w:basedOn w:val="1"/>
    <w:next w:val="1"/>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qFormat/>
    <w:uiPriority w:val="0"/>
    <w:pPr>
      <w:keepNext/>
      <w:keepLines/>
      <w:ind w:left="840" w:leftChars="400"/>
      <w:outlineLvl w:val="2"/>
    </w:pPr>
    <w:rPr>
      <w:rFonts w:hint="eastAsia" w:cs="Times New Roman"/>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pPr>
      <w:ind w:left="520"/>
    </w:pPr>
    <w:rPr>
      <w:rFonts w:ascii="Noto Sans CJK JP Black" w:hAnsi="Noto Sans CJK JP Black" w:eastAsia="Noto Sans CJK JP Black" w:cs="Noto Sans CJK JP Black"/>
      <w:sz w:val="28"/>
      <w:szCs w:val="28"/>
    </w:rPr>
  </w:style>
  <w:style w:type="paragraph" w:styleId="6">
    <w:name w:val="Balloon Text"/>
    <w:basedOn w:val="1"/>
    <w:link w:val="20"/>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6">
    <w:name w:val="列出段落1"/>
    <w:basedOn w:val="1"/>
    <w:qFormat/>
    <w:uiPriority w:val="99"/>
    <w:pPr>
      <w:ind w:firstLine="420"/>
    </w:pPr>
  </w:style>
  <w:style w:type="paragraph" w:styleId="17">
    <w:name w:val="List Paragraph"/>
    <w:basedOn w:val="1"/>
    <w:unhideWhenUsed/>
    <w:qFormat/>
    <w:uiPriority w:val="99"/>
    <w:pPr>
      <w:ind w:firstLine="420" w:firstLineChars="200"/>
    </w:pPr>
  </w:style>
  <w:style w:type="paragraph" w:customStyle="1" w:styleId="18">
    <w:name w:val="WPSOffice手动目录 1"/>
    <w:qFormat/>
    <w:uiPriority w:val="0"/>
    <w:rPr>
      <w:rFonts w:ascii="Times New Roman" w:hAnsi="Times New Roman" w:eastAsia="宋体" w:cs="Times New Roman"/>
      <w:lang w:val="en-US" w:eastAsia="zh-CN" w:bidi="ar-SA"/>
    </w:rPr>
  </w:style>
  <w:style w:type="paragraph" w:customStyle="1" w:styleId="1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0">
    <w:name w:val="批注框文本 字符"/>
    <w:basedOn w:val="14"/>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34</Pages>
  <Words>2480</Words>
  <Characters>14140</Characters>
  <Lines>117</Lines>
  <Paragraphs>33</Paragraphs>
  <TotalTime>34</TotalTime>
  <ScaleCrop>false</ScaleCrop>
  <LinksUpToDate>false</LinksUpToDate>
  <CharactersWithSpaces>16587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WPS_1551162903</cp:lastModifiedBy>
  <cp:lastPrinted>2021-04-26T07:37:00Z</cp:lastPrinted>
  <dcterms:modified xsi:type="dcterms:W3CDTF">2023-12-27T09:21:00Z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DAA1F51971B6458FBEE3EC10A69D4F46</vt:lpwstr>
  </property>
</Properties>
</file>