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F0D0D1">
      <w:pPr>
        <w:pageBreakBefore w:val="0"/>
        <w:kinsoku/>
        <w:wordWrap w:val="0"/>
        <w:overflowPunct/>
        <w:bidi w:val="0"/>
        <w:rPr>
          <w:rFonts w:hint="eastAsia" w:ascii="仿宋_GB2312" w:hAnsi="仿宋_GB2312" w:eastAsia="仿宋_GB2312" w:cs="仿宋_GB2312"/>
          <w:color w:val="000000" w:themeColor="text1"/>
          <w:sz w:val="36"/>
          <w:szCs w:val="36"/>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6"/>
          <w:szCs w:val="36"/>
          <w:highlight w:val="none"/>
          <w:lang w:val="en-US" w:eastAsia="zh-CN"/>
          <w14:textFill>
            <w14:solidFill>
              <w14:schemeClr w14:val="tx1"/>
            </w14:solidFill>
          </w14:textFill>
        </w:rPr>
        <w:t xml:space="preserve"> </w:t>
      </w:r>
    </w:p>
    <w:p w14:paraId="56370C62">
      <w:pPr>
        <w:pageBreakBefore w:val="0"/>
        <w:kinsoku/>
        <w:wordWrap w:val="0"/>
        <w:overflowPunct/>
        <w:bidi w:val="0"/>
        <w:rPr>
          <w:rFonts w:hint="default" w:ascii="仿宋_GB2312" w:hAnsi="仿宋_GB2312" w:eastAsia="仿宋_GB2312" w:cs="仿宋_GB2312"/>
          <w:color w:val="000000" w:themeColor="text1"/>
          <w:sz w:val="36"/>
          <w:szCs w:val="36"/>
          <w:highlight w:val="none"/>
          <w14:textFill>
            <w14:solidFill>
              <w14:schemeClr w14:val="tx1"/>
            </w14:solidFill>
          </w14:textFill>
        </w:rPr>
      </w:pPr>
    </w:p>
    <w:p w14:paraId="69D8AC44">
      <w:pPr>
        <w:pageBreakBefore w:val="0"/>
        <w:kinsoku/>
        <w:wordWrap w:val="0"/>
        <w:overflowPunct/>
        <w:bidi w:val="0"/>
        <w:rPr>
          <w:rFonts w:hint="default" w:ascii="仿宋_GB2312" w:hAnsi="仿宋_GB2312" w:eastAsia="仿宋_GB2312" w:cs="仿宋_GB2312"/>
          <w:color w:val="000000" w:themeColor="text1"/>
          <w:sz w:val="36"/>
          <w:szCs w:val="36"/>
          <w:highlight w:val="none"/>
          <w14:textFill>
            <w14:solidFill>
              <w14:schemeClr w14:val="tx1"/>
            </w14:solidFill>
          </w14:textFill>
        </w:rPr>
      </w:pPr>
    </w:p>
    <w:p w14:paraId="7F41454D">
      <w:pPr>
        <w:pageBreakBefore w:val="0"/>
        <w:kinsoku/>
        <w:wordWrap w:val="0"/>
        <w:overflowPunct/>
        <w:bidi w:val="0"/>
        <w:rPr>
          <w:rFonts w:hint="default" w:ascii="仿宋_GB2312" w:hAnsi="仿宋_GB2312" w:eastAsia="仿宋_GB2312" w:cs="仿宋_GB2312"/>
          <w:color w:val="000000" w:themeColor="text1"/>
          <w:sz w:val="36"/>
          <w:szCs w:val="36"/>
          <w:highlight w:val="none"/>
          <w14:textFill>
            <w14:solidFill>
              <w14:schemeClr w14:val="tx1"/>
            </w14:solidFill>
          </w14:textFill>
        </w:rPr>
      </w:pPr>
    </w:p>
    <w:p w14:paraId="41B033E2">
      <w:pPr>
        <w:pageBreakBefore w:val="0"/>
        <w:kinsoku/>
        <w:wordWrap w:val="0"/>
        <w:overflowPunct/>
        <w:bidi w:val="0"/>
        <w:rPr>
          <w:rFonts w:hint="default" w:ascii="仿宋_GB2312" w:hAnsi="仿宋_GB2312" w:eastAsia="仿宋_GB2312" w:cs="仿宋_GB2312"/>
          <w:color w:val="000000" w:themeColor="text1"/>
          <w:sz w:val="36"/>
          <w:szCs w:val="36"/>
          <w:highlight w:val="none"/>
          <w14:textFill>
            <w14:solidFill>
              <w14:schemeClr w14:val="tx1"/>
            </w14:solidFill>
          </w14:textFill>
        </w:rPr>
      </w:pPr>
    </w:p>
    <w:p w14:paraId="1061FE6A">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方正小标宋_GBK" w:hAnsi="方正小标宋_GBK" w:eastAsia="方正小标宋_GBK" w:cs="方正小标宋_GBK"/>
          <w:color w:val="000000" w:themeColor="text1"/>
          <w:sz w:val="72"/>
          <w:szCs w:val="72"/>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72"/>
          <w:szCs w:val="72"/>
          <w:highlight w:val="none"/>
          <w14:textFill>
            <w14:solidFill>
              <w14:schemeClr w14:val="tx1"/>
            </w14:solidFill>
          </w14:textFill>
        </w:rPr>
        <w:t>建设项目环境影响报告表</w:t>
      </w:r>
    </w:p>
    <w:p w14:paraId="60B54145">
      <w:pPr>
        <w:keepNext w:val="0"/>
        <w:keepLines w:val="0"/>
        <w:pageBreakBefore w:val="0"/>
        <w:widowControl w:val="0"/>
        <w:kinsoku/>
        <w:wordWrap w:val="0"/>
        <w:overflowPunct/>
        <w:topLinePunct w:val="0"/>
        <w:autoSpaceDE/>
        <w:autoSpaceDN/>
        <w:bidi w:val="0"/>
        <w:adjustRightInd/>
        <w:snapToGrid/>
        <w:spacing w:before="251" w:beforeLines="80"/>
        <w:jc w:val="center"/>
        <w:textAlignment w:val="auto"/>
        <w:rPr>
          <w:rFonts w:hint="default" w:ascii="仿宋_GB2312" w:hAnsi="仿宋_GB2312" w:eastAsia="仿宋_GB2312" w:cs="仿宋_GB2312"/>
          <w:color w:val="000000" w:themeColor="text1"/>
          <w:sz w:val="36"/>
          <w:szCs w:val="36"/>
          <w:highlight w:val="none"/>
          <w14:textFill>
            <w14:solidFill>
              <w14:schemeClr w14:val="tx1"/>
            </w14:solidFill>
          </w14:textFill>
        </w:rPr>
      </w:pPr>
      <w:r>
        <w:rPr>
          <w:rFonts w:hint="eastAsia" w:ascii="方正楷体_GB2312" w:hAnsi="方正楷体_GB2312" w:eastAsia="方正楷体_GB2312" w:cs="方正楷体_GB2312"/>
          <w:color w:val="000000" w:themeColor="text1"/>
          <w:sz w:val="48"/>
          <w:szCs w:val="48"/>
          <w:highlight w:val="none"/>
          <w14:textFill>
            <w14:solidFill>
              <w14:schemeClr w14:val="tx1"/>
            </w14:solidFill>
          </w14:textFill>
        </w:rPr>
        <w:t>（污染影响类）</w:t>
      </w:r>
    </w:p>
    <w:p w14:paraId="28DE4174">
      <w:pPr>
        <w:pageBreakBefore w:val="0"/>
        <w:kinsoku/>
        <w:wordWrap w:val="0"/>
        <w:overflowPunct/>
        <w:bidi w:val="0"/>
        <w:rPr>
          <w:rFonts w:hint="default" w:ascii="Times New Roman" w:hAnsi="Times New Roman" w:eastAsia="宋体" w:cs="Times New Roman"/>
          <w:color w:val="000000" w:themeColor="text1"/>
          <w:highlight w:val="none"/>
          <w14:textFill>
            <w14:solidFill>
              <w14:schemeClr w14:val="tx1"/>
            </w14:solidFill>
          </w14:textFill>
        </w:rPr>
      </w:pPr>
    </w:p>
    <w:p w14:paraId="5B33B602">
      <w:pPr>
        <w:pageBreakBefore w:val="0"/>
        <w:kinsoku/>
        <w:wordWrap w:val="0"/>
        <w:overflowPunct/>
        <w:bidi w:val="0"/>
        <w:jc w:val="center"/>
        <w:rPr>
          <w:rFonts w:hint="default" w:ascii="Times New Roman" w:hAnsi="Times New Roman" w:eastAsia="宋体" w:cs="Times New Roman"/>
          <w:color w:val="000000" w:themeColor="text1"/>
          <w:sz w:val="52"/>
          <w:szCs w:val="52"/>
          <w:highlight w:val="none"/>
          <w14:textFill>
            <w14:solidFill>
              <w14:schemeClr w14:val="tx1"/>
            </w14:solidFill>
          </w14:textFill>
        </w:rPr>
      </w:pPr>
    </w:p>
    <w:p w14:paraId="035FD3E2">
      <w:pPr>
        <w:pageBreakBefore w:val="0"/>
        <w:kinsoku/>
        <w:wordWrap w:val="0"/>
        <w:overflowPunct/>
        <w:bidi w:val="0"/>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692935DF">
      <w:pPr>
        <w:pStyle w:val="25"/>
        <w:pageBreakBefore w:val="0"/>
        <w:kinsoku/>
        <w:wordWrap w:val="0"/>
        <w:overflowPunct/>
        <w:bidi w:val="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6E0B1305">
      <w:pPr>
        <w:pageBreakBefore w:val="0"/>
        <w:kinsoku/>
        <w:wordWrap w:val="0"/>
        <w:overflowPunct/>
        <w:bidi w:val="0"/>
        <w:rPr>
          <w:rFonts w:hint="default" w:ascii="Times New Roman" w:hAnsi="Times New Roman" w:eastAsia="宋体" w:cs="Times New Roman"/>
          <w:color w:val="000000" w:themeColor="text1"/>
          <w:highlight w:val="none"/>
          <w14:textFill>
            <w14:solidFill>
              <w14:schemeClr w14:val="tx1"/>
            </w14:solidFill>
          </w14:textFill>
        </w:rPr>
      </w:pPr>
    </w:p>
    <w:p w14:paraId="1C7157A0">
      <w:pPr>
        <w:pageBreakBefore w:val="0"/>
        <w:kinsoku/>
        <w:wordWrap w:val="0"/>
        <w:overflowPunct/>
        <w:bidi w:val="0"/>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6A536F67">
      <w:pPr>
        <w:pStyle w:val="2"/>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6953CD18">
      <w:pPr>
        <w:pageBreakBefore w:val="0"/>
        <w:kinsoku/>
        <w:wordWrap w:val="0"/>
        <w:overflowPunct/>
        <w:bidi w:val="0"/>
        <w:ind w:firstLine="1040"/>
        <w:rPr>
          <w:rFonts w:hint="default" w:ascii="Times New Roman" w:hAnsi="Times New Roman" w:eastAsia="宋体" w:cs="Times New Roman"/>
          <w:color w:val="000000" w:themeColor="text1"/>
          <w:sz w:val="44"/>
          <w:szCs w:val="44"/>
          <w:highlight w:val="none"/>
          <w14:textFill>
            <w14:solidFill>
              <w14:schemeClr w14:val="tx1"/>
            </w14:solidFill>
          </w14:textFill>
        </w:rPr>
      </w:pPr>
    </w:p>
    <w:p w14:paraId="56A76A5B">
      <w:pPr>
        <w:keepNext w:val="0"/>
        <w:keepLines w:val="0"/>
        <w:pageBreakBefore w:val="0"/>
        <w:widowControl/>
        <w:kinsoku/>
        <w:wordWrap w:val="0"/>
        <w:overflowPunct/>
        <w:topLinePunct w:val="0"/>
        <w:autoSpaceDE/>
        <w:autoSpaceDN/>
        <w:bidi w:val="0"/>
        <w:adjustRightInd w:val="0"/>
        <w:snapToGrid w:val="0"/>
        <w:spacing w:line="288" w:lineRule="auto"/>
        <w:ind w:left="0" w:firstLine="1037" w:firstLineChars="0"/>
        <w:jc w:val="left"/>
        <w:textAlignment w:val="auto"/>
        <w:rPr>
          <w:rFonts w:hint="default" w:ascii="Times New Roman" w:hAnsi="Times New Roman" w:eastAsia="方正仿宋_GB2312" w:cs="Times New Roman"/>
          <w:color w:val="000000" w:themeColor="text1"/>
          <w:sz w:val="36"/>
          <w:szCs w:val="36"/>
          <w:highlight w:val="none"/>
          <w14:textFill>
            <w14:solidFill>
              <w14:schemeClr w14:val="tx1"/>
            </w14:solidFill>
          </w14:textFill>
        </w:rPr>
      </w:pPr>
    </w:p>
    <w:p w14:paraId="5A62E591">
      <w:pPr>
        <w:keepNext w:val="0"/>
        <w:keepLines w:val="0"/>
        <w:pageBreakBefore w:val="0"/>
        <w:widowControl/>
        <w:kinsoku/>
        <w:wordWrap w:val="0"/>
        <w:overflowPunct/>
        <w:topLinePunct w:val="0"/>
        <w:autoSpaceDE/>
        <w:autoSpaceDN/>
        <w:bidi w:val="0"/>
        <w:adjustRightInd w:val="0"/>
        <w:snapToGrid w:val="0"/>
        <w:spacing w:line="288" w:lineRule="auto"/>
        <w:ind w:left="0" w:firstLine="1037" w:firstLineChars="0"/>
        <w:jc w:val="left"/>
        <w:textAlignment w:val="auto"/>
        <w:rPr>
          <w:rFonts w:hint="default" w:ascii="Times New Roman" w:hAnsi="Times New Roman" w:eastAsia="方正仿宋_GB2312" w:cs="Times New Roman"/>
          <w:color w:val="000000" w:themeColor="text1"/>
          <w:spacing w:val="-11"/>
          <w:sz w:val="36"/>
          <w:szCs w:val="36"/>
          <w:highlight w:val="none"/>
          <w:u w:val="single"/>
          <w:lang w:val="en-US" w:eastAsia="zh-CN"/>
          <w14:textFill>
            <w14:solidFill>
              <w14:schemeClr w14:val="tx1"/>
            </w14:solidFill>
          </w14:textFill>
        </w:rPr>
      </w:pPr>
      <w:r>
        <w:rPr>
          <w:rFonts w:hint="default" w:ascii="Times New Roman" w:hAnsi="Times New Roman" w:eastAsia="方正仿宋_GB2312" w:cs="Times New Roman"/>
          <w:color w:val="000000" w:themeColor="text1"/>
          <w:sz w:val="36"/>
          <w:szCs w:val="36"/>
          <w:highlight w:val="none"/>
          <w14:textFill>
            <w14:solidFill>
              <w14:schemeClr w14:val="tx1"/>
            </w14:solidFill>
          </w14:textFill>
        </w:rPr>
        <w:t>项目名称：</w:t>
      </w:r>
      <w:r>
        <w:rPr>
          <w:rFonts w:hint="eastAsia" w:eastAsia="方正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方正仿宋_GB2312" w:cs="Times New Roman"/>
          <w:color w:val="000000" w:themeColor="text1"/>
          <w:sz w:val="36"/>
          <w:szCs w:val="36"/>
          <w:highlight w:val="none"/>
          <w:u w:val="single"/>
          <w:lang w:val="en-US" w:eastAsia="zh-CN"/>
          <w14:textFill>
            <w14:solidFill>
              <w14:schemeClr w14:val="tx1"/>
            </w14:solidFill>
          </w14:textFill>
        </w:rPr>
        <w:t xml:space="preserve">沥青搅拌站改造提升建设项目  </w:t>
      </w:r>
      <w:r>
        <w:rPr>
          <w:rFonts w:hint="default" w:ascii="Times New Roman" w:hAnsi="Times New Roman" w:eastAsia="方正仿宋_GB2312" w:cs="Times New Roman"/>
          <w:color w:val="000000" w:themeColor="text1"/>
          <w:spacing w:val="-11"/>
          <w:sz w:val="36"/>
          <w:szCs w:val="36"/>
          <w:highlight w:val="none"/>
          <w:u w:val="single"/>
          <w:lang w:val="en-US" w:eastAsia="zh-CN"/>
          <w14:textFill>
            <w14:solidFill>
              <w14:schemeClr w14:val="tx1"/>
            </w14:solidFill>
          </w14:textFill>
        </w:rPr>
        <w:t xml:space="preserve"> </w:t>
      </w:r>
    </w:p>
    <w:p w14:paraId="2AA9507D">
      <w:pPr>
        <w:keepNext w:val="0"/>
        <w:keepLines w:val="0"/>
        <w:pageBreakBefore w:val="0"/>
        <w:widowControl/>
        <w:kinsoku/>
        <w:wordWrap w:val="0"/>
        <w:overflowPunct/>
        <w:topLinePunct w:val="0"/>
        <w:autoSpaceDE/>
        <w:autoSpaceDN/>
        <w:bidi w:val="0"/>
        <w:adjustRightInd w:val="0"/>
        <w:snapToGrid w:val="0"/>
        <w:spacing w:line="288" w:lineRule="auto"/>
        <w:ind w:left="0" w:firstLine="1037" w:firstLineChars="0"/>
        <w:jc w:val="left"/>
        <w:textAlignment w:val="auto"/>
        <w:rPr>
          <w:rFonts w:hint="default" w:ascii="Times New Roman" w:hAnsi="Times New Roman" w:eastAsia="方正仿宋_GB2312" w:cs="Times New Roman"/>
          <w:color w:val="000000" w:themeColor="text1"/>
          <w:sz w:val="36"/>
          <w:szCs w:val="36"/>
          <w:highlight w:val="none"/>
          <w:u w:val="single"/>
          <w14:textFill>
            <w14:solidFill>
              <w14:schemeClr w14:val="tx1"/>
            </w14:solidFill>
          </w14:textFill>
        </w:rPr>
      </w:pPr>
      <w:r>
        <w:rPr>
          <w:rFonts w:hint="default" w:ascii="Times New Roman" w:hAnsi="Times New Roman" w:eastAsia="方正仿宋_GB2312" w:cs="Times New Roman"/>
          <w:color w:val="000000" w:themeColor="text1"/>
          <w:spacing w:val="-11"/>
          <w:sz w:val="36"/>
          <w:szCs w:val="36"/>
          <w:highlight w:val="none"/>
          <w14:textFill>
            <w14:solidFill>
              <w14:schemeClr w14:val="tx1"/>
            </w14:solidFill>
          </w14:textFill>
        </w:rPr>
        <w:t>建设单位（盖章）：</w:t>
      </w:r>
      <w:r>
        <w:rPr>
          <w:rFonts w:hint="default" w:ascii="Times New Roman" w:hAnsi="Times New Roman" w:eastAsia="方正仿宋_GB2312" w:cs="Times New Roman"/>
          <w:color w:val="000000" w:themeColor="text1"/>
          <w:spacing w:val="-11"/>
          <w:sz w:val="36"/>
          <w:szCs w:val="36"/>
          <w:highlight w:val="none"/>
          <w:u w:val="single"/>
          <w:lang w:val="en-US" w:eastAsia="zh-CN"/>
          <w14:textFill>
            <w14:solidFill>
              <w14:schemeClr w14:val="tx1"/>
            </w14:solidFill>
          </w14:textFill>
        </w:rPr>
        <w:t>承德路瑞公路养护工程有限公司</w:t>
      </w:r>
    </w:p>
    <w:p w14:paraId="1E080172">
      <w:pPr>
        <w:keepNext w:val="0"/>
        <w:keepLines w:val="0"/>
        <w:pageBreakBefore w:val="0"/>
        <w:widowControl/>
        <w:kinsoku/>
        <w:wordWrap w:val="0"/>
        <w:overflowPunct/>
        <w:topLinePunct w:val="0"/>
        <w:autoSpaceDE/>
        <w:autoSpaceDN/>
        <w:bidi w:val="0"/>
        <w:adjustRightInd w:val="0"/>
        <w:snapToGrid w:val="0"/>
        <w:spacing w:line="288" w:lineRule="auto"/>
        <w:ind w:left="0" w:firstLine="1037" w:firstLineChars="0"/>
        <w:jc w:val="left"/>
        <w:textAlignment w:val="auto"/>
        <w:rPr>
          <w:rFonts w:hint="default" w:ascii="Times New Roman" w:hAnsi="Times New Roman" w:eastAsia="宋体" w:cs="Times New Roman"/>
          <w:color w:val="000000" w:themeColor="text1"/>
          <w:sz w:val="36"/>
          <w:szCs w:val="36"/>
          <w:highlight w:val="none"/>
          <w:u w:val="single"/>
          <w14:textFill>
            <w14:solidFill>
              <w14:schemeClr w14:val="tx1"/>
            </w14:solidFill>
          </w14:textFill>
        </w:rPr>
      </w:pPr>
      <w:r>
        <w:rPr>
          <w:rFonts w:hint="default" w:ascii="Times New Roman" w:hAnsi="Times New Roman" w:eastAsia="方正仿宋_GB2312" w:cs="Times New Roman"/>
          <w:color w:val="000000" w:themeColor="text1"/>
          <w:sz w:val="36"/>
          <w:szCs w:val="36"/>
          <w:highlight w:val="none"/>
          <w14:textFill>
            <w14:solidFill>
              <w14:schemeClr w14:val="tx1"/>
            </w14:solidFill>
          </w14:textFill>
        </w:rPr>
        <w:t>编制日期：</w:t>
      </w:r>
      <w:r>
        <w:rPr>
          <w:rFonts w:hint="default" w:ascii="Times New Roman" w:hAnsi="Times New Roman" w:eastAsia="方正仿宋_GB2312" w:cs="Times New Roman"/>
          <w:color w:val="000000" w:themeColor="text1"/>
          <w:sz w:val="36"/>
          <w:szCs w:val="36"/>
          <w:highlight w:val="none"/>
          <w:u w:val="single"/>
          <w14:textFill>
            <w14:solidFill>
              <w14:schemeClr w14:val="tx1"/>
            </w14:solidFill>
          </w14:textFill>
        </w:rPr>
        <w:t xml:space="preserve">         202</w:t>
      </w:r>
      <w:r>
        <w:rPr>
          <w:rFonts w:hint="default" w:ascii="Times New Roman" w:hAnsi="Times New Roman" w:eastAsia="方正仿宋_GB2312" w:cs="Times New Roman"/>
          <w:color w:val="000000" w:themeColor="text1"/>
          <w:sz w:val="36"/>
          <w:szCs w:val="36"/>
          <w:highlight w:val="none"/>
          <w:u w:val="single"/>
          <w:lang w:val="en-US" w:eastAsia="zh-CN"/>
          <w14:textFill>
            <w14:solidFill>
              <w14:schemeClr w14:val="tx1"/>
            </w14:solidFill>
          </w14:textFill>
        </w:rPr>
        <w:t>4</w:t>
      </w:r>
      <w:r>
        <w:rPr>
          <w:rFonts w:hint="default" w:ascii="Times New Roman" w:hAnsi="Times New Roman" w:eastAsia="方正仿宋_GB2312" w:cs="Times New Roman"/>
          <w:color w:val="000000" w:themeColor="text1"/>
          <w:sz w:val="36"/>
          <w:szCs w:val="36"/>
          <w:highlight w:val="none"/>
          <w:u w:val="single"/>
          <w14:textFill>
            <w14:solidFill>
              <w14:schemeClr w14:val="tx1"/>
            </w14:solidFill>
          </w14:textFill>
        </w:rPr>
        <w:t>年</w:t>
      </w:r>
      <w:r>
        <w:rPr>
          <w:rFonts w:hint="eastAsia" w:eastAsia="方正仿宋_GB2312" w:cs="Times New Roman"/>
          <w:color w:val="000000" w:themeColor="text1"/>
          <w:sz w:val="36"/>
          <w:szCs w:val="36"/>
          <w:highlight w:val="none"/>
          <w:u w:val="single"/>
          <w:lang w:val="en-US" w:eastAsia="zh-CN"/>
          <w14:textFill>
            <w14:solidFill>
              <w14:schemeClr w14:val="tx1"/>
            </w14:solidFill>
          </w14:textFill>
        </w:rPr>
        <w:t>9</w:t>
      </w:r>
      <w:r>
        <w:rPr>
          <w:rFonts w:hint="default" w:ascii="Times New Roman" w:hAnsi="Times New Roman" w:eastAsia="方正仿宋_GB2312" w:cs="Times New Roman"/>
          <w:color w:val="000000" w:themeColor="text1"/>
          <w:sz w:val="36"/>
          <w:szCs w:val="36"/>
          <w:highlight w:val="none"/>
          <w:u w:val="single"/>
          <w14:textFill>
            <w14:solidFill>
              <w14:schemeClr w14:val="tx1"/>
            </w14:solidFill>
          </w14:textFill>
        </w:rPr>
        <w:t xml:space="preserve">月       </w:t>
      </w:r>
      <w:r>
        <w:rPr>
          <w:rFonts w:hint="eastAsia" w:eastAsia="方正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 xml:space="preserve">  </w:t>
      </w:r>
    </w:p>
    <w:p w14:paraId="6837B979">
      <w:pPr>
        <w:pageBreakBefore w:val="0"/>
        <w:kinsoku/>
        <w:wordWrap w:val="0"/>
        <w:overflowPunct/>
        <w:bidi w:val="0"/>
        <w:adjustRightInd w:val="0"/>
        <w:snapToGrid w:val="0"/>
        <w:spacing w:line="288" w:lineRule="auto"/>
        <w:ind w:firstLine="1040"/>
        <w:rPr>
          <w:rFonts w:hint="default" w:ascii="Times New Roman" w:hAnsi="Times New Roman" w:eastAsia="宋体" w:cs="Times New Roman"/>
          <w:color w:val="000000" w:themeColor="text1"/>
          <w:sz w:val="36"/>
          <w:szCs w:val="36"/>
          <w:highlight w:val="none"/>
          <w:u w:val="single"/>
          <w14:textFill>
            <w14:solidFill>
              <w14:schemeClr w14:val="tx1"/>
            </w14:solidFill>
          </w14:textFill>
        </w:rPr>
      </w:pPr>
      <w:bookmarkStart w:id="0" w:name="_Hlk57884087"/>
    </w:p>
    <w:p w14:paraId="462BB3F4">
      <w:pPr>
        <w:pageBreakBefore w:val="0"/>
        <w:kinsoku/>
        <w:wordWrap w:val="0"/>
        <w:overflowPunct/>
        <w:bidi w:val="0"/>
        <w:adjustRightInd w:val="0"/>
        <w:snapToGrid w:val="0"/>
        <w:spacing w:line="288" w:lineRule="auto"/>
        <w:ind w:firstLine="1040"/>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547C35A8">
      <w:pPr>
        <w:pageBreakBefore w:val="0"/>
        <w:kinsoku/>
        <w:wordWrap w:val="0"/>
        <w:overflowPunct/>
        <w:bidi w:val="0"/>
        <w:adjustRightInd w:val="0"/>
        <w:snapToGrid w:val="0"/>
        <w:spacing w:line="288" w:lineRule="auto"/>
        <w:ind w:firstLine="1040"/>
        <w:rPr>
          <w:rFonts w:hint="default" w:ascii="Times New Roman" w:hAnsi="Times New Roman" w:eastAsia="宋体" w:cs="Times New Roman"/>
          <w:color w:val="000000" w:themeColor="text1"/>
          <w:sz w:val="36"/>
          <w:szCs w:val="36"/>
          <w:highlight w:val="none"/>
          <w14:textFill>
            <w14:solidFill>
              <w14:schemeClr w14:val="tx1"/>
            </w14:solidFill>
          </w14:textFill>
        </w:rPr>
      </w:pPr>
    </w:p>
    <w:p w14:paraId="39D97458">
      <w:pPr>
        <w:pageBreakBefore w:val="0"/>
        <w:kinsoku/>
        <w:wordWrap w:val="0"/>
        <w:overflowPunct/>
        <w:bidi w:val="0"/>
        <w:adjustRightInd w:val="0"/>
        <w:snapToGrid w:val="0"/>
        <w:spacing w:line="288" w:lineRule="auto"/>
        <w:ind w:firstLine="1040"/>
        <w:rPr>
          <w:rFonts w:hint="default" w:ascii="Times New Roman" w:hAnsi="Times New Roman" w:eastAsia="宋体" w:cs="Times New Roman"/>
          <w:color w:val="000000" w:themeColor="text1"/>
          <w:sz w:val="36"/>
          <w:szCs w:val="36"/>
          <w:highlight w:val="none"/>
          <w14:textFill>
            <w14:solidFill>
              <w14:schemeClr w14:val="tx1"/>
            </w14:solidFill>
          </w14:textFill>
        </w:rPr>
      </w:pPr>
    </w:p>
    <w:bookmarkEnd w:id="0"/>
    <w:p w14:paraId="2C2BCBDB">
      <w:pPr>
        <w:pageBreakBefore w:val="0"/>
        <w:kinsoku/>
        <w:wordWrap w:val="0"/>
        <w:overflowPunct/>
        <w:bidi w:val="0"/>
        <w:adjustRightInd w:val="0"/>
        <w:snapToGrid w:val="0"/>
        <w:spacing w:line="288" w:lineRule="auto"/>
        <w:jc w:val="center"/>
        <w:rPr>
          <w:rFonts w:hint="default" w:ascii="楷体_GB2312" w:hAnsi="Times New Roman" w:eastAsia="楷体_GB2312" w:cs="Times New Roman"/>
          <w:color w:val="000000" w:themeColor="text1"/>
          <w:sz w:val="36"/>
          <w:szCs w:val="36"/>
          <w:highlight w:val="none"/>
          <w14:textFill>
            <w14:solidFill>
              <w14:schemeClr w14:val="tx1"/>
            </w14:solidFill>
          </w14:textFill>
        </w:rPr>
      </w:pPr>
      <w:r>
        <w:rPr>
          <w:rFonts w:hint="default" w:ascii="楷体_GB2312" w:hAnsi="Times New Roman" w:eastAsia="楷体_GB2312" w:cs="Times New Roman"/>
          <w:color w:val="000000" w:themeColor="text1"/>
          <w:sz w:val="36"/>
          <w:szCs w:val="36"/>
          <w:highlight w:val="none"/>
          <w14:textFill>
            <w14:solidFill>
              <w14:schemeClr w14:val="tx1"/>
            </w14:solidFill>
          </w14:textFill>
        </w:rPr>
        <w:t>中华人民共和国生态环境部制</w:t>
      </w:r>
    </w:p>
    <w:p w14:paraId="5C15966A">
      <w:pPr>
        <w:pageBreakBefore w:val="0"/>
        <w:kinsoku/>
        <w:wordWrap w:val="0"/>
        <w:overflowPunct/>
        <w:bidi w:val="0"/>
        <w:adjustRightInd w:val="0"/>
        <w:snapToGrid w:val="0"/>
        <w:spacing w:line="288" w:lineRule="auto"/>
        <w:ind w:firstLine="1040"/>
        <w:rPr>
          <w:rFonts w:hint="default" w:ascii="Times New Roman" w:hAnsi="Times New Roman" w:eastAsia="宋体" w:cs="Times New Roman"/>
          <w:color w:val="000000" w:themeColor="text1"/>
          <w:sz w:val="36"/>
          <w:szCs w:val="36"/>
          <w:highlight w:val="none"/>
          <w14:textFill>
            <w14:solidFill>
              <w14:schemeClr w14:val="tx1"/>
            </w14:solidFill>
          </w14:textFill>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1CB83E8">
      <w:pPr>
        <w:pStyle w:val="25"/>
        <w:pageBreakBefore w:val="0"/>
        <w:kinsoku/>
        <w:wordWrap w:val="0"/>
        <w:overflowPunct/>
        <w:bidi w:val="0"/>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0BC9759">
      <w:pPr>
        <w:pStyle w:val="26"/>
        <w:pageBreakBefore w:val="0"/>
        <w:kinsoku/>
        <w:wordWrap w:val="0"/>
        <w:overflowPunct/>
        <w:bidi w:val="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黑体" w:hAnsi="黑体" w:eastAsia="黑体" w:cs="Times New Roman"/>
          <w:snapToGrid w:val="0"/>
          <w:color w:val="000000" w:themeColor="text1"/>
          <w:sz w:val="30"/>
          <w:szCs w:val="30"/>
          <w:highlight w:val="none"/>
          <w14:textFill>
            <w14:solidFill>
              <w14:schemeClr w14:val="tx1"/>
            </w14:solidFill>
          </w14:textFill>
        </w:rPr>
        <w:t>一、建设项目基本情况</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70"/>
        <w:gridCol w:w="2477"/>
        <w:gridCol w:w="2080"/>
        <w:gridCol w:w="3043"/>
      </w:tblGrid>
      <w:tr w14:paraId="7F430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08B048D4">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建设项目名称</w:t>
            </w:r>
          </w:p>
        </w:tc>
        <w:tc>
          <w:tcPr>
            <w:tcW w:w="7600" w:type="dxa"/>
            <w:gridSpan w:val="3"/>
            <w:vAlign w:val="center"/>
          </w:tcPr>
          <w:p w14:paraId="2B73B589">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沥青搅拌站改造提升建设项目</w:t>
            </w:r>
          </w:p>
        </w:tc>
      </w:tr>
      <w:tr w14:paraId="0EFD2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10A2CE70">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项目代码</w:t>
            </w:r>
          </w:p>
        </w:tc>
        <w:tc>
          <w:tcPr>
            <w:tcW w:w="7600" w:type="dxa"/>
            <w:gridSpan w:val="3"/>
            <w:vAlign w:val="center"/>
          </w:tcPr>
          <w:p w14:paraId="5441D8D0">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2403-130828-89-02-971463</w:t>
            </w:r>
          </w:p>
        </w:tc>
      </w:tr>
      <w:tr w14:paraId="6C406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5F18F429">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建设单位联系人</w:t>
            </w:r>
          </w:p>
        </w:tc>
        <w:tc>
          <w:tcPr>
            <w:tcW w:w="2477" w:type="dxa"/>
            <w:vAlign w:val="center"/>
          </w:tcPr>
          <w:p w14:paraId="30E67366">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汪虎</w:t>
            </w:r>
          </w:p>
        </w:tc>
        <w:tc>
          <w:tcPr>
            <w:tcW w:w="2080" w:type="dxa"/>
            <w:vAlign w:val="center"/>
          </w:tcPr>
          <w:p w14:paraId="6ECA3141">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联系方式</w:t>
            </w:r>
          </w:p>
        </w:tc>
        <w:tc>
          <w:tcPr>
            <w:tcW w:w="3043" w:type="dxa"/>
            <w:vAlign w:val="center"/>
          </w:tcPr>
          <w:p w14:paraId="162781F2">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186*******</w:t>
            </w:r>
            <w:bookmarkStart w:id="3" w:name="_GoBack"/>
            <w:bookmarkEnd w:id="3"/>
          </w:p>
        </w:tc>
      </w:tr>
      <w:tr w14:paraId="61189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33CEC3F7">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建设地点</w:t>
            </w:r>
          </w:p>
        </w:tc>
        <w:tc>
          <w:tcPr>
            <w:tcW w:w="7600" w:type="dxa"/>
            <w:gridSpan w:val="3"/>
            <w:vAlign w:val="center"/>
          </w:tcPr>
          <w:p w14:paraId="303D6F4F">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ascii="宋体" w:hAnsi="宋体" w:cs="宋体"/>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河北</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省（自治区）</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承德</w:t>
            </w:r>
            <w:r>
              <w:rPr>
                <w:rFonts w:hint="default" w:ascii="Times New Roman" w:hAnsi="Times New Roman" w:cs="Times New Roman"/>
                <w:color w:val="000000" w:themeColor="text1"/>
                <w:szCs w:val="21"/>
                <w:highlight w:val="none"/>
                <w14:textFill>
                  <w14:solidFill>
                    <w14:schemeClr w14:val="tx1"/>
                  </w14:solidFill>
                </w14:textFill>
              </w:rPr>
              <w:t>市</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围场满族蒙古族自治县</w:t>
            </w:r>
            <w:r>
              <w:rPr>
                <w:rFonts w:hint="default" w:ascii="Times New Roman" w:hAnsi="Times New Roman" w:cs="Times New Roman"/>
                <w:color w:val="000000" w:themeColor="text1"/>
                <w:szCs w:val="21"/>
                <w:highlight w:val="none"/>
                <w:u w:val="single"/>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县（区）</w:t>
            </w:r>
            <w:r>
              <w:rPr>
                <w:rFonts w:hint="default" w:ascii="Times New Roman" w:hAnsi="Times New Roman" w:cs="Times New Roman"/>
                <w:color w:val="000000" w:themeColor="text1"/>
                <w:szCs w:val="21"/>
                <w:highlight w:val="none"/>
                <w:u w:val="single"/>
                <w:lang w:val="en-US" w:eastAsia="zh-CN"/>
                <w14:textFill>
                  <w14:solidFill>
                    <w14:schemeClr w14:val="tx1"/>
                  </w14:solidFill>
                </w14:textFill>
              </w:rPr>
              <w:t>牌楼乡于家湾村4组</w:t>
            </w:r>
          </w:p>
        </w:tc>
      </w:tr>
      <w:tr w14:paraId="789A4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7F268AF0">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地理坐标</w:t>
            </w:r>
          </w:p>
        </w:tc>
        <w:tc>
          <w:tcPr>
            <w:tcW w:w="7600" w:type="dxa"/>
            <w:gridSpan w:val="3"/>
            <w:vAlign w:val="center"/>
          </w:tcPr>
          <w:p w14:paraId="23CBD248">
            <w:pPr>
              <w:pageBreakBefore w:val="0"/>
              <w:kinsoku/>
              <w:wordWrap w:val="0"/>
              <w:overflowPunct/>
              <w:topLinePunct w:val="0"/>
              <w:bidi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11</w:t>
            </w:r>
            <w:r>
              <w:rPr>
                <w:rFonts w:hint="eastAsia" w:cs="Times New Roman"/>
                <w:color w:val="000000" w:themeColor="text1"/>
                <w:sz w:val="21"/>
                <w:szCs w:val="21"/>
                <w:highlight w:val="none"/>
                <w:u w:val="single"/>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度</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eastAsia" w:cs="Times New Roman"/>
                <w:color w:val="000000" w:themeColor="text1"/>
                <w:sz w:val="21"/>
                <w:szCs w:val="21"/>
                <w:highlight w:val="none"/>
                <w:u w:val="single"/>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分</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eastAsia" w:cs="Times New Roman"/>
                <w:color w:val="000000" w:themeColor="text1"/>
                <w:sz w:val="21"/>
                <w:szCs w:val="21"/>
                <w:highlight w:val="none"/>
                <w:u w:val="single"/>
                <w:lang w:val="en-US" w:eastAsia="zh-CN"/>
                <w14:textFill>
                  <w14:solidFill>
                    <w14:schemeClr w14:val="tx1"/>
                  </w14:solidFill>
                </w14:textFill>
              </w:rPr>
              <w:t>54.410</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秒，</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4</w:t>
            </w:r>
            <w:r>
              <w:rPr>
                <w:rFonts w:hint="eastAsia" w:cs="Times New Roman"/>
                <w:color w:val="000000" w:themeColor="text1"/>
                <w:sz w:val="21"/>
                <w:szCs w:val="21"/>
                <w:highlight w:val="none"/>
                <w:u w:val="singl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度</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u w:val="single"/>
                <w:lang w:val="en-US" w:eastAsia="zh-CN"/>
                <w14:textFill>
                  <w14:solidFill>
                    <w14:schemeClr w14:val="tx1"/>
                  </w14:solidFill>
                </w14:textFill>
              </w:rPr>
              <w:t>5</w:t>
            </w:r>
            <w:r>
              <w:rPr>
                <w:rFonts w:hint="eastAsia" w:cs="Times New Roman"/>
                <w:color w:val="000000" w:themeColor="text1"/>
                <w:sz w:val="21"/>
                <w:szCs w:val="21"/>
                <w:highlight w:val="none"/>
                <w:u w:val="singl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分</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eastAsia" w:cs="Times New Roman"/>
                <w:color w:val="000000" w:themeColor="text1"/>
                <w:sz w:val="21"/>
                <w:szCs w:val="21"/>
                <w:highlight w:val="none"/>
                <w:u w:val="single"/>
                <w:lang w:val="en-US" w:eastAsia="zh-CN"/>
                <w14:textFill>
                  <w14:solidFill>
                    <w14:schemeClr w14:val="tx1"/>
                  </w14:solidFill>
                </w14:textFill>
              </w:rPr>
              <w:t>46.360</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r>
              <w:rPr>
                <w:rFonts w:hint="default" w:ascii="Times New Roman" w:hAnsi="Times New Roman" w:eastAsia="宋体" w:cs="Times New Roman"/>
                <w:color w:val="000000" w:themeColor="text1"/>
                <w:sz w:val="21"/>
                <w:szCs w:val="21"/>
                <w:highlight w:val="none"/>
                <w14:textFill>
                  <w14:solidFill>
                    <w14:schemeClr w14:val="tx1"/>
                  </w14:solidFill>
                </w14:textFill>
              </w:rPr>
              <w:t>秒）</w:t>
            </w:r>
          </w:p>
        </w:tc>
      </w:tr>
      <w:tr w14:paraId="34E4E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0DFDDACC">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国民经济</w:t>
            </w:r>
          </w:p>
          <w:p w14:paraId="31FDEC9F">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行业类别</w:t>
            </w:r>
          </w:p>
        </w:tc>
        <w:tc>
          <w:tcPr>
            <w:tcW w:w="2477" w:type="dxa"/>
            <w:vAlign w:val="center"/>
          </w:tcPr>
          <w:p w14:paraId="20A73349">
            <w:pPr>
              <w:pageBreakBefore w:val="0"/>
              <w:kinsoku/>
              <w:wordWrap w:val="0"/>
              <w:overflowPunct/>
              <w:topLinePunct w:val="0"/>
              <w:bidi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w:t>
            </w:r>
            <w:r>
              <w:rPr>
                <w:rFonts w:hint="eastAsia" w:cs="Times New Roman"/>
                <w:color w:val="000000" w:themeColor="text1"/>
                <w:sz w:val="21"/>
                <w:szCs w:val="21"/>
                <w:highlight w:val="none"/>
                <w:lang w:val="en-US" w:eastAsia="zh-CN"/>
                <w14:textFill>
                  <w14:solidFill>
                    <w14:schemeClr w14:val="tx1"/>
                  </w14:solidFill>
                </w14:textFill>
              </w:rPr>
              <w:t>3099</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r>
              <w:rPr>
                <w:rFonts w:hint="eastAsia" w:cs="Times New Roman"/>
                <w:color w:val="000000" w:themeColor="text1"/>
                <w:sz w:val="21"/>
                <w:szCs w:val="21"/>
                <w:highlight w:val="none"/>
                <w:lang w:val="en-US" w:eastAsia="zh-CN"/>
                <w14:textFill>
                  <w14:solidFill>
                    <w14:schemeClr w14:val="tx1"/>
                  </w14:solidFill>
                </w14:textFill>
              </w:rPr>
              <w:t>其他非金属矿物制品制造</w:t>
            </w:r>
          </w:p>
        </w:tc>
        <w:tc>
          <w:tcPr>
            <w:tcW w:w="2080" w:type="dxa"/>
            <w:vAlign w:val="center"/>
          </w:tcPr>
          <w:p w14:paraId="58C1E80C">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1" w:name="_Hlk49843745"/>
            <w:r>
              <w:rPr>
                <w:rFonts w:hint="default" w:ascii="Times New Roman" w:hAnsi="Times New Roman" w:eastAsia="宋体" w:cs="Times New Roman"/>
                <w:color w:val="000000" w:themeColor="text1"/>
                <w:sz w:val="21"/>
                <w:szCs w:val="21"/>
                <w:highlight w:val="none"/>
                <w14:textFill>
                  <w14:solidFill>
                    <w14:schemeClr w14:val="tx1"/>
                  </w14:solidFill>
                </w14:textFill>
              </w:rPr>
              <w:t>建设项目</w:t>
            </w:r>
          </w:p>
          <w:p w14:paraId="29C047D6">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行业类别</w:t>
            </w:r>
            <w:bookmarkEnd w:id="1"/>
          </w:p>
        </w:tc>
        <w:tc>
          <w:tcPr>
            <w:tcW w:w="3043" w:type="dxa"/>
            <w:vAlign w:val="center"/>
          </w:tcPr>
          <w:p w14:paraId="2FB79D62">
            <w:pPr>
              <w:pageBreakBefore w:val="0"/>
              <w:kinsoku/>
              <w:wordWrap w:val="0"/>
              <w:overflowPunct/>
              <w:topLinePunct w:val="0"/>
              <w:bidi w:val="0"/>
              <w:adjustRightInd w:val="0"/>
              <w:snapToGrid w:val="0"/>
              <w:spacing w:line="320" w:lineRule="exact"/>
              <w:ind w:right="0" w:firstLine="0" w:firstLineChars="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二十七</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非</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金属</w:t>
            </w:r>
            <w:r>
              <w:rPr>
                <w:rFonts w:hint="eastAsia" w:cs="Times New Roman"/>
                <w:color w:val="000000" w:themeColor="text1"/>
                <w:sz w:val="21"/>
                <w:szCs w:val="21"/>
                <w:highlight w:val="none"/>
                <w:lang w:val="en-US" w:eastAsia="zh-CN"/>
                <w14:textFill>
                  <w14:solidFill>
                    <w14:schemeClr w14:val="tx1"/>
                  </w14:solidFill>
                </w14:textFill>
              </w:rPr>
              <w:t>矿物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制品业</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60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石墨及其他非金属矿物制品制造309</w:t>
            </w:r>
            <w:r>
              <w:rPr>
                <w:rFonts w:hint="eastAsia"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其他</w:t>
            </w:r>
          </w:p>
        </w:tc>
      </w:tr>
      <w:tr w14:paraId="33F58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5E467CBC">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建设性质</w:t>
            </w:r>
          </w:p>
        </w:tc>
        <w:tc>
          <w:tcPr>
            <w:tcW w:w="2477" w:type="dxa"/>
            <w:vAlign w:val="center"/>
          </w:tcPr>
          <w:p w14:paraId="4060CFCA">
            <w:pPr>
              <w:pageBreakBefore w:val="0"/>
              <w:kinsoku/>
              <w:wordWrap w:val="0"/>
              <w:overflowPunct/>
              <w:topLinePunct w:val="0"/>
              <w:bidi w:val="0"/>
              <w:spacing w:line="320" w:lineRule="exact"/>
              <w:ind w:right="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highlight w:val="none"/>
                <w14:textFill>
                  <w14:solidFill>
                    <w14:schemeClr w14:val="tx1"/>
                  </w14:solidFill>
                </w14:textFill>
              </w:rPr>
              <w:t>新建（迁建）</w:t>
            </w:r>
          </w:p>
          <w:p w14:paraId="42B44EB7">
            <w:pPr>
              <w:pageBreakBefore w:val="0"/>
              <w:kinsoku/>
              <w:wordWrap w:val="0"/>
              <w:overflowPunct/>
              <w:topLinePunct w:val="0"/>
              <w:bidi w:val="0"/>
              <w:spacing w:line="320" w:lineRule="exact"/>
              <w:ind w:right="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highlight w:val="none"/>
                <w14:textFill>
                  <w14:solidFill>
                    <w14:schemeClr w14:val="tx1"/>
                  </w14:solidFill>
                </w14:textFill>
              </w:rPr>
              <w:t>改建</w:t>
            </w:r>
          </w:p>
          <w:p w14:paraId="45FDA91F">
            <w:pPr>
              <w:pageBreakBefore w:val="0"/>
              <w:kinsoku/>
              <w:wordWrap w:val="0"/>
              <w:overflowPunct/>
              <w:topLinePunct w:val="0"/>
              <w:bidi w:val="0"/>
              <w:spacing w:line="320" w:lineRule="exact"/>
              <w:ind w:right="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highlight w:val="none"/>
                <w14:textFill>
                  <w14:solidFill>
                    <w14:schemeClr w14:val="tx1"/>
                  </w14:solidFill>
                </w14:textFill>
              </w:rPr>
              <w:t>扩建</w:t>
            </w:r>
          </w:p>
          <w:p w14:paraId="4F5B9D9A">
            <w:pPr>
              <w:pageBreakBefore w:val="0"/>
              <w:kinsoku/>
              <w:wordWrap w:val="0"/>
              <w:overflowPunct/>
              <w:topLinePunct w:val="0"/>
              <w:bidi w:val="0"/>
              <w:spacing w:line="320" w:lineRule="exact"/>
              <w:ind w:right="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highlight w:val="none"/>
                <w14:textFill>
                  <w14:solidFill>
                    <w14:schemeClr w14:val="tx1"/>
                  </w14:solidFill>
                </w14:textFill>
              </w:rPr>
              <w:t>技术改造</w:t>
            </w:r>
          </w:p>
        </w:tc>
        <w:tc>
          <w:tcPr>
            <w:tcW w:w="2080" w:type="dxa"/>
            <w:vAlign w:val="center"/>
          </w:tcPr>
          <w:p w14:paraId="41507537">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建设项目</w:t>
            </w:r>
          </w:p>
          <w:p w14:paraId="438595DA">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申报情形</w:t>
            </w:r>
          </w:p>
        </w:tc>
        <w:tc>
          <w:tcPr>
            <w:tcW w:w="3043" w:type="dxa"/>
            <w:vAlign w:val="center"/>
          </w:tcPr>
          <w:p w14:paraId="3F4E5F17">
            <w:pPr>
              <w:pageBreakBefore w:val="0"/>
              <w:kinsoku/>
              <w:wordWrap w:val="0"/>
              <w:overflowPunct/>
              <w:topLinePunct w:val="0"/>
              <w:bidi w:val="0"/>
              <w:spacing w:line="320" w:lineRule="exact"/>
              <w:ind w:right="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首次申报项目             </w:t>
            </w:r>
          </w:p>
          <w:p w14:paraId="519629B8">
            <w:pPr>
              <w:pageBreakBefore w:val="0"/>
              <w:kinsoku/>
              <w:wordWrap w:val="0"/>
              <w:overflowPunct/>
              <w:topLinePunct w:val="0"/>
              <w:bidi w:val="0"/>
              <w:spacing w:line="320" w:lineRule="exact"/>
              <w:ind w:right="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highlight w:val="none"/>
                <w14:textFill>
                  <w14:solidFill>
                    <w14:schemeClr w14:val="tx1"/>
                  </w14:solidFill>
                </w14:textFill>
              </w:rPr>
              <w:t>不予批准后再次申报项目</w:t>
            </w:r>
          </w:p>
          <w:p w14:paraId="2B00E7A3">
            <w:pPr>
              <w:pageBreakBefore w:val="0"/>
              <w:kinsoku/>
              <w:wordWrap w:val="0"/>
              <w:overflowPunct/>
              <w:topLinePunct w:val="0"/>
              <w:bidi w:val="0"/>
              <w:spacing w:line="320" w:lineRule="exact"/>
              <w:ind w:right="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超五年重新审核项目     </w:t>
            </w:r>
          </w:p>
          <w:p w14:paraId="0FC92159">
            <w:pPr>
              <w:pageBreakBefore w:val="0"/>
              <w:kinsoku/>
              <w:wordWrap w:val="0"/>
              <w:overflowPunct/>
              <w:topLinePunct w:val="0"/>
              <w:bidi w:val="0"/>
              <w:spacing w:line="320" w:lineRule="exact"/>
              <w:ind w:right="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highlight w:val="none"/>
                <w14:textFill>
                  <w14:solidFill>
                    <w14:schemeClr w14:val="tx1"/>
                  </w14:solidFill>
                </w14:textFill>
              </w:rPr>
              <w:t>重大变动重新报批项目</w:t>
            </w:r>
          </w:p>
        </w:tc>
      </w:tr>
      <w:tr w14:paraId="69D85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47AC858D">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项目审批</w:t>
            </w:r>
          </w:p>
          <w:p w14:paraId="4546486A">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（核准/备案）</w:t>
            </w:r>
          </w:p>
          <w:p w14:paraId="240E81B1">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部门（选填）</w:t>
            </w:r>
          </w:p>
        </w:tc>
        <w:tc>
          <w:tcPr>
            <w:tcW w:w="2477" w:type="dxa"/>
            <w:vAlign w:val="center"/>
          </w:tcPr>
          <w:p w14:paraId="27A9E7DE">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围场满族蒙古族自治县行政审批局</w:t>
            </w:r>
          </w:p>
        </w:tc>
        <w:tc>
          <w:tcPr>
            <w:tcW w:w="2080" w:type="dxa"/>
            <w:vAlign w:val="center"/>
          </w:tcPr>
          <w:p w14:paraId="6DA6E6F9">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项目审批（核准/</w:t>
            </w:r>
          </w:p>
          <w:p w14:paraId="51476B98">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备案）文号（选填）</w:t>
            </w:r>
          </w:p>
        </w:tc>
        <w:tc>
          <w:tcPr>
            <w:tcW w:w="3043" w:type="dxa"/>
            <w:vAlign w:val="center"/>
          </w:tcPr>
          <w:p w14:paraId="225CBDCD">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围审批备字</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202</w:t>
            </w:r>
            <w:r>
              <w:rPr>
                <w:rFonts w:hint="eastAsia" w:cs="Times New Roman"/>
                <w:color w:val="000000" w:themeColor="text1"/>
                <w:sz w:val="21"/>
                <w:szCs w:val="21"/>
                <w:highlight w:val="none"/>
                <w:lang w:val="en-US" w:eastAsia="zh-CN"/>
                <w14:textFill>
                  <w14:solidFill>
                    <w14:schemeClr w14:val="tx1"/>
                  </w14:solidFill>
                </w14:textFill>
              </w:rPr>
              <w:t>4</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号</w:t>
            </w:r>
          </w:p>
        </w:tc>
      </w:tr>
      <w:tr w14:paraId="08178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159DFC93">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总投资（万元）</w:t>
            </w:r>
          </w:p>
        </w:tc>
        <w:tc>
          <w:tcPr>
            <w:tcW w:w="2477" w:type="dxa"/>
            <w:vAlign w:val="center"/>
          </w:tcPr>
          <w:p w14:paraId="4FEEDCD7">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279</w:t>
            </w:r>
          </w:p>
        </w:tc>
        <w:tc>
          <w:tcPr>
            <w:tcW w:w="2080" w:type="dxa"/>
            <w:tcMar>
              <w:top w:w="16" w:type="dxa"/>
              <w:left w:w="16" w:type="dxa"/>
              <w:right w:w="16" w:type="dxa"/>
            </w:tcMar>
            <w:vAlign w:val="center"/>
          </w:tcPr>
          <w:p w14:paraId="09AF6B74">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环保投资（万元）</w:t>
            </w:r>
          </w:p>
        </w:tc>
        <w:tc>
          <w:tcPr>
            <w:tcW w:w="3043" w:type="dxa"/>
            <w:vAlign w:val="center"/>
          </w:tcPr>
          <w:p w14:paraId="66C7EFC5">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r>
      <w:tr w14:paraId="3689C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719F96D0">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环保投资占比（%）</w:t>
            </w:r>
          </w:p>
        </w:tc>
        <w:tc>
          <w:tcPr>
            <w:tcW w:w="2477" w:type="dxa"/>
            <w:vAlign w:val="center"/>
          </w:tcPr>
          <w:p w14:paraId="7A3D09EA">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7.16</w:t>
            </w:r>
          </w:p>
        </w:tc>
        <w:tc>
          <w:tcPr>
            <w:tcW w:w="2080" w:type="dxa"/>
            <w:tcMar>
              <w:top w:w="16" w:type="dxa"/>
              <w:left w:w="16" w:type="dxa"/>
              <w:right w:w="16" w:type="dxa"/>
            </w:tcMar>
            <w:vAlign w:val="center"/>
          </w:tcPr>
          <w:p w14:paraId="18FBBE81">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施工工期</w:t>
            </w:r>
          </w:p>
        </w:tc>
        <w:tc>
          <w:tcPr>
            <w:tcW w:w="3043" w:type="dxa"/>
            <w:vAlign w:val="center"/>
          </w:tcPr>
          <w:p w14:paraId="53033CBF">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个月</w:t>
            </w:r>
          </w:p>
        </w:tc>
      </w:tr>
      <w:tr w14:paraId="3183A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0" w:type="dxa"/>
            <w:tcMar>
              <w:top w:w="16" w:type="dxa"/>
              <w:left w:w="16" w:type="dxa"/>
              <w:right w:w="16" w:type="dxa"/>
            </w:tcMar>
            <w:vAlign w:val="center"/>
          </w:tcPr>
          <w:p w14:paraId="140E6C89">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是否开工建设</w:t>
            </w:r>
          </w:p>
        </w:tc>
        <w:tc>
          <w:tcPr>
            <w:tcW w:w="2477" w:type="dxa"/>
            <w:vAlign w:val="center"/>
          </w:tcPr>
          <w:p w14:paraId="1A0F41B5">
            <w:pPr>
              <w:pageBreakBefore w:val="0"/>
              <w:kinsoku/>
              <w:wordWrap w:val="0"/>
              <w:overflowPunct/>
              <w:topLinePunct w:val="0"/>
              <w:bidi w:val="0"/>
              <w:adjustRightInd w:val="0"/>
              <w:snapToGrid w:val="0"/>
              <w:spacing w:line="320" w:lineRule="exact"/>
              <w:ind w:right="0"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p w14:paraId="6462FEFD">
            <w:pPr>
              <w:pageBreakBefore w:val="0"/>
              <w:kinsoku/>
              <w:wordWrap w:val="0"/>
              <w:overflowPunct/>
              <w:topLinePunct w:val="0"/>
              <w:bidi w:val="0"/>
              <w:adjustRightInd w:val="0"/>
              <w:snapToGrid w:val="0"/>
              <w:spacing w:line="320" w:lineRule="exact"/>
              <w:ind w:right="0" w:firstLine="0" w:firstLineChars="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highlight w:val="none"/>
                <w14:textFill>
                  <w14:solidFill>
                    <w14:schemeClr w14:val="tx1"/>
                  </w14:solidFill>
                </w14:textFill>
              </w:rPr>
              <w:t>是：</w:t>
            </w:r>
            <w:r>
              <w:rPr>
                <w:rFonts w:hint="default" w:ascii="Times New Roman" w:hAnsi="Times New Roman" w:eastAsia="宋体" w:cs="Times New Roman"/>
                <w:color w:val="000000" w:themeColor="text1"/>
                <w:sz w:val="21"/>
                <w:szCs w:val="21"/>
                <w:highlight w:val="none"/>
                <w:u w:val="single"/>
                <w14:textFill>
                  <w14:solidFill>
                    <w14:schemeClr w14:val="tx1"/>
                  </w14:solidFill>
                </w14:textFill>
              </w:rPr>
              <w:t xml:space="preserve">             </w:t>
            </w:r>
          </w:p>
        </w:tc>
        <w:tc>
          <w:tcPr>
            <w:tcW w:w="2080" w:type="dxa"/>
            <w:tcMar>
              <w:top w:w="16" w:type="dxa"/>
              <w:left w:w="16" w:type="dxa"/>
              <w:right w:w="16" w:type="dxa"/>
            </w:tcMar>
            <w:vAlign w:val="center"/>
          </w:tcPr>
          <w:p w14:paraId="1FA4CB8E">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用地（用海）</w:t>
            </w:r>
          </w:p>
          <w:p w14:paraId="739B7DDC">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面积（m</w:t>
            </w:r>
            <w:r>
              <w:rPr>
                <w:rFonts w:hint="default" w:ascii="Times New Roman" w:hAnsi="Times New Roman" w:eastAsia="宋体" w:cs="Times New Roman"/>
                <w:color w:val="000000" w:themeColor="text1"/>
                <w:spacing w:val="-6"/>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w:t>
            </w:r>
          </w:p>
        </w:tc>
        <w:tc>
          <w:tcPr>
            <w:tcW w:w="3043" w:type="dxa"/>
            <w:vAlign w:val="center"/>
          </w:tcPr>
          <w:p w14:paraId="3FB34A51">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27442.80</w:t>
            </w:r>
          </w:p>
        </w:tc>
      </w:tr>
      <w:tr w14:paraId="4A0CE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0" w:type="dxa"/>
            <w:vAlign w:val="center"/>
          </w:tcPr>
          <w:p w14:paraId="3E3BBFF5">
            <w:pPr>
              <w:pageBreakBefore w:val="0"/>
              <w:kinsoku/>
              <w:wordWrap w:val="0"/>
              <w:overflowPunct/>
              <w:topLinePunct w:val="0"/>
              <w:autoSpaceDE w:val="0"/>
              <w:autoSpaceDN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专项评价设置情况</w:t>
            </w:r>
          </w:p>
        </w:tc>
        <w:tc>
          <w:tcPr>
            <w:tcW w:w="7600" w:type="dxa"/>
            <w:gridSpan w:val="3"/>
            <w:vAlign w:val="center"/>
          </w:tcPr>
          <w:p w14:paraId="65B54F18">
            <w:pPr>
              <w:keepNext w:val="0"/>
              <w:keepLines w:val="0"/>
              <w:pageBreakBefore w:val="0"/>
              <w:widowControl w:val="0"/>
              <w:kinsoku/>
              <w:wordWrap w:val="0"/>
              <w:overflowPunct/>
              <w:topLinePunct w:val="0"/>
              <w:autoSpaceDE w:val="0"/>
              <w:autoSpaceDN w:val="0"/>
              <w:bidi w:val="0"/>
              <w:adjustRightInd w:val="0"/>
              <w:snapToGrid w:val="0"/>
              <w:spacing w:line="320" w:lineRule="exact"/>
              <w:ind w:right="0" w:firstLine="420" w:firstLineChars="200"/>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本项目排放的废气中含有苯并[a]芘，且厂界500米范围内存在环境空气保护目标，根据《建设项目环境影响报告表编制技术指南（污染影响类）（试行）》表1专项评价设置原则表可知，本项目需设置大气专项评价。</w:t>
            </w:r>
          </w:p>
        </w:tc>
      </w:tr>
      <w:tr w14:paraId="31038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0" w:type="dxa"/>
            <w:vAlign w:val="center"/>
          </w:tcPr>
          <w:p w14:paraId="658E29D0">
            <w:pPr>
              <w:pageBreakBefore w:val="0"/>
              <w:kinsoku/>
              <w:wordWrap w:val="0"/>
              <w:overflowPunct/>
              <w:topLinePunct w:val="0"/>
              <w:autoSpaceDE w:val="0"/>
              <w:autoSpaceDN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规划情况</w:t>
            </w:r>
          </w:p>
        </w:tc>
        <w:tc>
          <w:tcPr>
            <w:tcW w:w="7600" w:type="dxa"/>
            <w:gridSpan w:val="3"/>
            <w:vAlign w:val="center"/>
          </w:tcPr>
          <w:p w14:paraId="2E701D7B">
            <w:pPr>
              <w:keepNext w:val="0"/>
              <w:keepLines w:val="0"/>
              <w:pageBreakBefore w:val="0"/>
              <w:widowControl w:val="0"/>
              <w:kinsoku/>
              <w:wordWrap w:val="0"/>
              <w:overflowPunct/>
              <w:topLinePunct w:val="0"/>
              <w:autoSpaceDE w:val="0"/>
              <w:autoSpaceDN w:val="0"/>
              <w:bidi w:val="0"/>
              <w:adjustRightInd w:val="0"/>
              <w:snapToGrid w:val="0"/>
              <w:spacing w:line="320" w:lineRule="exact"/>
              <w:ind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无</w:t>
            </w:r>
          </w:p>
        </w:tc>
      </w:tr>
      <w:tr w14:paraId="114D6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0" w:type="dxa"/>
            <w:vAlign w:val="center"/>
          </w:tcPr>
          <w:p w14:paraId="10237394">
            <w:pPr>
              <w:pageBreakBefore w:val="0"/>
              <w:kinsoku/>
              <w:wordWrap w:val="0"/>
              <w:overflowPunct/>
              <w:topLinePunct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规划环境影响评价情况</w:t>
            </w:r>
          </w:p>
        </w:tc>
        <w:tc>
          <w:tcPr>
            <w:tcW w:w="7600" w:type="dxa"/>
            <w:gridSpan w:val="3"/>
            <w:vAlign w:val="center"/>
          </w:tcPr>
          <w:p w14:paraId="41C4E958">
            <w:pPr>
              <w:keepNext w:val="0"/>
              <w:keepLines w:val="0"/>
              <w:pageBreakBefore w:val="0"/>
              <w:widowControl w:val="0"/>
              <w:kinsoku/>
              <w:wordWrap w:val="0"/>
              <w:overflowPunct/>
              <w:topLinePunct w:val="0"/>
              <w:autoSpaceDE w:val="0"/>
              <w:autoSpaceDN w:val="0"/>
              <w:bidi w:val="0"/>
              <w:adjustRightInd w:val="0"/>
              <w:snapToGrid w:val="0"/>
              <w:spacing w:line="320" w:lineRule="exact"/>
              <w:ind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无</w:t>
            </w:r>
          </w:p>
        </w:tc>
      </w:tr>
      <w:tr w14:paraId="53160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70" w:type="dxa"/>
            <w:vAlign w:val="center"/>
          </w:tcPr>
          <w:p w14:paraId="4F301F1D">
            <w:pPr>
              <w:pageBreakBefore w:val="0"/>
              <w:kinsoku/>
              <w:wordWrap w:val="0"/>
              <w:overflowPunct/>
              <w:topLinePunct w:val="0"/>
              <w:autoSpaceDE w:val="0"/>
              <w:autoSpaceDN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规划及规划环境影响评价符合性分析</w:t>
            </w:r>
          </w:p>
        </w:tc>
        <w:tc>
          <w:tcPr>
            <w:tcW w:w="7600" w:type="dxa"/>
            <w:gridSpan w:val="3"/>
            <w:vAlign w:val="center"/>
          </w:tcPr>
          <w:p w14:paraId="5BA63123">
            <w:pPr>
              <w:keepNext w:val="0"/>
              <w:keepLines w:val="0"/>
              <w:pageBreakBefore w:val="0"/>
              <w:widowControl w:val="0"/>
              <w:kinsoku/>
              <w:wordWrap w:val="0"/>
              <w:overflowPunct/>
              <w:topLinePunct w:val="0"/>
              <w:bidi w:val="0"/>
              <w:spacing w:line="320" w:lineRule="exact"/>
              <w:ind w:firstLine="0" w:firstLineChars="0"/>
              <w:jc w:val="center"/>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w:t>
            </w:r>
          </w:p>
        </w:tc>
      </w:tr>
    </w:tbl>
    <w:p w14:paraId="6F01051E">
      <w:pPr>
        <w:pageBreakBefore w:val="0"/>
        <w:kinsoku/>
        <w:wordWrap w:val="0"/>
        <w:overflowPunct/>
        <w:topLinePunct w:val="0"/>
        <w:autoSpaceDE w:val="0"/>
        <w:autoSpaceDN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6"/>
      </w:tblGrid>
      <w:tr w14:paraId="32945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71" w:hRule="atLeast"/>
          <w:jc w:val="center"/>
        </w:trPr>
        <w:tc>
          <w:tcPr>
            <w:tcW w:w="424" w:type="dxa"/>
            <w:vAlign w:val="center"/>
          </w:tcPr>
          <w:p w14:paraId="489F7C18">
            <w:pPr>
              <w:pageBreakBefore w:val="0"/>
              <w:kinsoku/>
              <w:wordWrap w:val="0"/>
              <w:overflowPunct/>
              <w:topLinePunct w:val="0"/>
              <w:autoSpaceDE w:val="0"/>
              <w:autoSpaceDN w:val="0"/>
              <w:bidi w:val="0"/>
              <w:adjustRightInd w:val="0"/>
              <w:snapToGrid w:val="0"/>
              <w:spacing w:line="320" w:lineRule="exact"/>
              <w:ind w:right="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其他符合性分析</w:t>
            </w:r>
          </w:p>
        </w:tc>
        <w:tc>
          <w:tcPr>
            <w:tcW w:w="8636" w:type="dxa"/>
            <w:vAlign w:val="center"/>
          </w:tcPr>
          <w:p w14:paraId="77C66042">
            <w:pPr>
              <w:keepNext w:val="0"/>
              <w:keepLines w:val="0"/>
              <w:pageBreakBefore w:val="0"/>
              <w:widowControl w:val="0"/>
              <w:kinsoku/>
              <w:wordWrap w:val="0"/>
              <w:overflowPunct/>
              <w:topLinePunct w:val="0"/>
              <w:autoSpaceDE w:val="0"/>
              <w:autoSpaceDN w:val="0"/>
              <w:bidi w:val="0"/>
              <w:adjustRightInd w:val="0"/>
              <w:snapToGrid w:val="0"/>
              <w:spacing w:line="480" w:lineRule="exact"/>
              <w:jc w:val="both"/>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一、市场准入符合性判定</w:t>
            </w:r>
          </w:p>
          <w:p w14:paraId="36076404">
            <w:pPr>
              <w:pStyle w:val="26"/>
              <w:pageBreakBefore w:val="0"/>
              <w:kinsoku/>
              <w:wordWrap w:val="0"/>
              <w:overflowPunct/>
              <w:bidi w:val="0"/>
              <w:spacing w:before="0" w:beforeAutospacing="0" w:after="0" w:afterAutospacing="0" w:line="480" w:lineRule="exact"/>
              <w:ind w:firstLine="480"/>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根据</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国家发展改革委 商务部关于印发《市场准入负面清单（2022年版）》的通知（发改体改规</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2022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397号）</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，应严格落实</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全国一张清单</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管理要求，坚决维护市场准入负面清单制度的统一性、严肃性和权威性，确保</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一单尽列、单外无单</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61D33B3C">
            <w:pPr>
              <w:pageBreakBefore w:val="0"/>
              <w:kinsoku/>
              <w:wordWrap w:val="0"/>
              <w:overflowPunct/>
              <w:bidi w:val="0"/>
              <w:spacing w:line="480" w:lineRule="exact"/>
              <w:ind w:firstLine="480"/>
              <w:rPr>
                <w:color w:val="000000" w:themeColor="text1"/>
                <w:highlight w:val="none"/>
                <w14:textFill>
                  <w14:solidFill>
                    <w14:schemeClr w14:val="tx1"/>
                  </w14:solidFill>
                </w14:textFill>
              </w:rPr>
            </w:pPr>
            <w:r>
              <w:rPr>
                <w:color w:val="000000" w:themeColor="text1"/>
                <w:sz w:val="21"/>
                <w:szCs w:val="21"/>
                <w:highlight w:val="none"/>
                <w14:textFill>
                  <w14:solidFill>
                    <w14:schemeClr w14:val="tx1"/>
                  </w14:solidFill>
                </w14:textFill>
              </w:rPr>
              <w:t>根据《市场准入负面清单（2022年版）》，禁止准入类共6项，涉及生态环境保护的3项，本项目</w:t>
            </w:r>
            <w:r>
              <w:rPr>
                <w:rFonts w:hint="eastAsia"/>
                <w:color w:val="000000" w:themeColor="text1"/>
                <w:sz w:val="21"/>
                <w:szCs w:val="21"/>
                <w:highlight w:val="none"/>
                <w:lang w:val="en-US" w:eastAsia="zh-CN"/>
                <w14:textFill>
                  <w14:solidFill>
                    <w14:schemeClr w14:val="tx1"/>
                  </w14:solidFill>
                </w14:textFill>
              </w:rPr>
              <w:t>与之相符性如下</w:t>
            </w:r>
            <w:r>
              <w:rPr>
                <w:color w:val="000000" w:themeColor="text1"/>
                <w:sz w:val="21"/>
                <w:szCs w:val="21"/>
                <w:highlight w:val="none"/>
                <w14:textFill>
                  <w14:solidFill>
                    <w14:schemeClr w14:val="tx1"/>
                  </w14:solidFill>
                </w14:textFill>
              </w:rPr>
              <w:t>。</w:t>
            </w:r>
          </w:p>
          <w:p w14:paraId="1FF859E0">
            <w:pPr>
              <w:pStyle w:val="90"/>
              <w:pageBreakBefore w:val="0"/>
              <w:widowControl w:val="0"/>
              <w:kinsoku/>
              <w:wordWrap w:val="0"/>
              <w:overflowPunct/>
              <w:bidi w:val="0"/>
              <w:spacing w:line="480" w:lineRule="exact"/>
              <w:ind w:firstLine="0" w:firstLineChars="0"/>
              <w:jc w:val="center"/>
              <w:rPr>
                <w:rStyle w:val="34"/>
                <w:b/>
                <w:i w:val="0"/>
                <w:color w:val="000000" w:themeColor="text1"/>
                <w:highlight w:val="none"/>
                <w14:textFill>
                  <w14:solidFill>
                    <w14:schemeClr w14:val="tx1"/>
                  </w14:solidFill>
                </w14:textFill>
              </w:rPr>
            </w:pPr>
            <w:r>
              <w:rPr>
                <w:rStyle w:val="34"/>
                <w:rFonts w:hint="eastAsia"/>
                <w:b/>
                <w:i w:val="0"/>
                <w:color w:val="000000" w:themeColor="text1"/>
                <w:highlight w:val="none"/>
                <w:lang w:val="en-US" w:eastAsia="zh-CN"/>
                <w14:textFill>
                  <w14:solidFill>
                    <w14:schemeClr w14:val="tx1"/>
                  </w14:solidFill>
                </w14:textFill>
              </w:rPr>
              <w:t xml:space="preserve">表1-1 </w:t>
            </w:r>
            <w:r>
              <w:rPr>
                <w:rStyle w:val="34"/>
                <w:rFonts w:hint="eastAsia"/>
                <w:b/>
                <w:i w:val="0"/>
                <w:color w:val="000000" w:themeColor="text1"/>
                <w:highlight w:val="none"/>
                <w14:textFill>
                  <w14:solidFill>
                    <w14:schemeClr w14:val="tx1"/>
                  </w14:solidFill>
                </w14:textFill>
              </w:rPr>
              <w:t xml:space="preserve"> </w:t>
            </w:r>
            <w:r>
              <w:rPr>
                <w:rStyle w:val="34"/>
                <w:b/>
                <w:i w:val="0"/>
                <w:color w:val="000000" w:themeColor="text1"/>
                <w:highlight w:val="none"/>
                <w14:textFill>
                  <w14:solidFill>
                    <w14:schemeClr w14:val="tx1"/>
                  </w14:solidFill>
                </w14:textFill>
              </w:rPr>
              <w:t>《市场准入负面清单（2022年版）》</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2351"/>
              <w:gridCol w:w="865"/>
              <w:gridCol w:w="4636"/>
            </w:tblGrid>
            <w:tr w14:paraId="3050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noWrap w:val="0"/>
                  <w:vAlign w:val="center"/>
                </w:tcPr>
                <w:p w14:paraId="2740BF43">
                  <w:pPr>
                    <w:pageBreakBefore w:val="0"/>
                    <w:kinsoku/>
                    <w:wordWrap w:val="0"/>
                    <w:overflowPunct/>
                    <w:bidi w:val="0"/>
                    <w:spacing w:line="32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项目号</w:t>
                  </w:r>
                </w:p>
              </w:tc>
              <w:tc>
                <w:tcPr>
                  <w:tcW w:w="1398" w:type="pct"/>
                  <w:noWrap w:val="0"/>
                  <w:vAlign w:val="center"/>
                </w:tcPr>
                <w:p w14:paraId="5B2AB40C">
                  <w:pPr>
                    <w:pageBreakBefore w:val="0"/>
                    <w:kinsoku/>
                    <w:wordWrap w:val="0"/>
                    <w:overflowPunct/>
                    <w:bidi w:val="0"/>
                    <w:spacing w:line="32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禁止或许可事项</w:t>
                  </w:r>
                </w:p>
              </w:tc>
              <w:tc>
                <w:tcPr>
                  <w:tcW w:w="514" w:type="pct"/>
                  <w:noWrap w:val="0"/>
                  <w:vAlign w:val="center"/>
                </w:tcPr>
                <w:p w14:paraId="29CDEF91">
                  <w:pPr>
                    <w:pageBreakBefore w:val="0"/>
                    <w:kinsoku/>
                    <w:wordWrap w:val="0"/>
                    <w:overflowPunct/>
                    <w:bidi w:val="0"/>
                    <w:spacing w:line="32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事项</w:t>
                  </w:r>
                </w:p>
                <w:p w14:paraId="3BC0D244">
                  <w:pPr>
                    <w:pageBreakBefore w:val="0"/>
                    <w:kinsoku/>
                    <w:wordWrap w:val="0"/>
                    <w:overflowPunct/>
                    <w:bidi w:val="0"/>
                    <w:spacing w:line="32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编码</w:t>
                  </w:r>
                </w:p>
              </w:tc>
              <w:tc>
                <w:tcPr>
                  <w:tcW w:w="2754" w:type="pct"/>
                  <w:noWrap w:val="0"/>
                  <w:vAlign w:val="center"/>
                </w:tcPr>
                <w:p w14:paraId="4CFC7E4E">
                  <w:pPr>
                    <w:pageBreakBefore w:val="0"/>
                    <w:kinsoku/>
                    <w:wordWrap w:val="0"/>
                    <w:overflowPunct/>
                    <w:bidi w:val="0"/>
                    <w:spacing w:line="320" w:lineRule="exact"/>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禁止或许可准入措施描述</w:t>
                  </w:r>
                </w:p>
              </w:tc>
            </w:tr>
            <w:tr w14:paraId="53BB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noWrap w:val="0"/>
                  <w:vAlign w:val="center"/>
                </w:tcPr>
                <w:p w14:paraId="2F1A99FE">
                  <w:pPr>
                    <w:pageBreakBefore w:val="0"/>
                    <w:kinsoku/>
                    <w:wordWrap w:val="0"/>
                    <w:overflowPunct/>
                    <w:bidi w:val="0"/>
                    <w:spacing w:line="320" w:lineRule="exact"/>
                    <w:ind w:firstLine="0" w:firstLineChars="0"/>
                    <w:jc w:val="center"/>
                    <w:rPr>
                      <w:b/>
                      <w:bCs/>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一、禁止准入类</w:t>
                  </w:r>
                </w:p>
              </w:tc>
            </w:tr>
            <w:tr w14:paraId="7CE0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noWrap w:val="0"/>
                  <w:vAlign w:val="center"/>
                </w:tcPr>
                <w:p w14:paraId="093CCD45">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398" w:type="pct"/>
                  <w:noWrap w:val="0"/>
                  <w:vAlign w:val="center"/>
                </w:tcPr>
                <w:p w14:paraId="01F4A997">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法律法规</w:t>
                  </w:r>
                  <w:r>
                    <w:rPr>
                      <w:color w:val="000000" w:themeColor="text1"/>
                      <w:sz w:val="21"/>
                      <w:szCs w:val="21"/>
                      <w:highlight w:val="none"/>
                      <w14:textFill>
                        <w14:solidFill>
                          <w14:schemeClr w14:val="tx1"/>
                        </w14:solidFill>
                      </w14:textFill>
                    </w:rPr>
                    <w:t>、国务院决定等明确设立且与市场准入相关的禁止性规定</w:t>
                  </w:r>
                </w:p>
              </w:tc>
              <w:tc>
                <w:tcPr>
                  <w:tcW w:w="514" w:type="pct"/>
                  <w:noWrap w:val="0"/>
                  <w:vAlign w:val="center"/>
                </w:tcPr>
                <w:p w14:paraId="44D4BDD6">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100001</w:t>
                  </w:r>
                </w:p>
              </w:tc>
              <w:tc>
                <w:tcPr>
                  <w:tcW w:w="2754" w:type="pct"/>
                  <w:noWrap w:val="0"/>
                  <w:vAlign w:val="center"/>
                </w:tcPr>
                <w:p w14:paraId="191A9514">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法律法规</w:t>
                  </w:r>
                  <w:r>
                    <w:rPr>
                      <w:color w:val="000000" w:themeColor="text1"/>
                      <w:sz w:val="21"/>
                      <w:szCs w:val="21"/>
                      <w:highlight w:val="none"/>
                      <w14:textFill>
                        <w14:solidFill>
                          <w14:schemeClr w14:val="tx1"/>
                        </w14:solidFill>
                      </w14:textFill>
                    </w:rPr>
                    <w:t>、国务院决定等明确设立，且与市场准入相关的禁止性规定（见附件）</w:t>
                  </w:r>
                </w:p>
              </w:tc>
            </w:tr>
            <w:tr w14:paraId="7FF8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noWrap w:val="0"/>
                  <w:vAlign w:val="center"/>
                </w:tcPr>
                <w:p w14:paraId="1FCA4755">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1398" w:type="pct"/>
                  <w:noWrap w:val="0"/>
                  <w:vAlign w:val="center"/>
                </w:tcPr>
                <w:p w14:paraId="64CC7E83">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国家产业政策明令淘汰和限制的产品、技术、工艺、设备及行为</w:t>
                  </w:r>
                </w:p>
              </w:tc>
              <w:tc>
                <w:tcPr>
                  <w:tcW w:w="514" w:type="pct"/>
                  <w:noWrap w:val="0"/>
                  <w:vAlign w:val="center"/>
                </w:tcPr>
                <w:p w14:paraId="3FAB3B15">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100002</w:t>
                  </w:r>
                </w:p>
              </w:tc>
              <w:tc>
                <w:tcPr>
                  <w:tcW w:w="2754" w:type="pct"/>
                  <w:noWrap w:val="0"/>
                  <w:vAlign w:val="center"/>
                </w:tcPr>
                <w:p w14:paraId="3A57A904">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《产业结构调整指导目录》中的淘汰类项目，禁止投资；限制类项目，禁止新建禁止投资建设《汽车产业投资管理规定》所列的汽车投资禁止类事项</w:t>
                  </w:r>
                </w:p>
              </w:tc>
            </w:tr>
            <w:tr w14:paraId="39B2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2" w:type="pct"/>
                  <w:noWrap w:val="0"/>
                  <w:vAlign w:val="center"/>
                </w:tcPr>
                <w:p w14:paraId="2A680B3A">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1398" w:type="pct"/>
                  <w:noWrap w:val="0"/>
                  <w:vAlign w:val="center"/>
                </w:tcPr>
                <w:p w14:paraId="7989C998">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不符合主体功能区建设要求的各类开发活动</w:t>
                  </w:r>
                </w:p>
              </w:tc>
              <w:tc>
                <w:tcPr>
                  <w:tcW w:w="514" w:type="pct"/>
                  <w:noWrap w:val="0"/>
                  <w:vAlign w:val="center"/>
                </w:tcPr>
                <w:p w14:paraId="1256DC15">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100003</w:t>
                  </w:r>
                </w:p>
              </w:tc>
              <w:tc>
                <w:tcPr>
                  <w:tcW w:w="2754" w:type="pct"/>
                  <w:noWrap w:val="0"/>
                  <w:vAlign w:val="center"/>
                </w:tcPr>
                <w:p w14:paraId="413625B3">
                  <w:pPr>
                    <w:pageBreakBefore w:val="0"/>
                    <w:kinsoku/>
                    <w:wordWrap w:val="0"/>
                    <w:overflowPunct/>
                    <w:bidi w:val="0"/>
                    <w:spacing w:line="320" w:lineRule="exact"/>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地方国家重点生态功能区产业准入负面清单（或禁止限制目录）、农产品主产区产业准入负面清单（或禁止限制目录）所列有关事项</w:t>
                  </w:r>
                </w:p>
              </w:tc>
            </w:tr>
          </w:tbl>
          <w:p w14:paraId="455BC45C">
            <w:pPr>
              <w:pStyle w:val="24"/>
              <w:pageBreakBefore w:val="0"/>
              <w:kinsoku/>
              <w:wordWrap w:val="0"/>
              <w:overflowPunct/>
              <w:bidi w:val="0"/>
              <w:spacing w:line="480" w:lineRule="exact"/>
              <w:ind w:left="0" w:firstLine="420" w:firstLineChars="200"/>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注：该表只列出涉及生态环境保护的3项禁止准入类事项。</w:t>
            </w:r>
          </w:p>
          <w:p w14:paraId="79BB7D87">
            <w:pPr>
              <w:pStyle w:val="24"/>
              <w:pageBreakBefore w:val="0"/>
              <w:kinsoku/>
              <w:wordWrap w:val="0"/>
              <w:overflowPunct/>
              <w:bidi w:val="0"/>
              <w:spacing w:line="480" w:lineRule="exact"/>
              <w:ind w:left="0" w:firstLine="420" w:firstLineChars="200"/>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下面分别对上述三项禁止准入类事项进行分析判定。</w:t>
            </w:r>
          </w:p>
          <w:p w14:paraId="5F96E829">
            <w:pPr>
              <w:pStyle w:val="24"/>
              <w:pageBreakBefore w:val="0"/>
              <w:kinsoku/>
              <w:wordWrap w:val="0"/>
              <w:overflowPunct/>
              <w:bidi w:val="0"/>
              <w:spacing w:line="480" w:lineRule="exact"/>
              <w:ind w:left="0" w:firstLine="422" w:firstLineChars="200"/>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（1）</w:t>
            </w:r>
            <w:r>
              <w:rPr>
                <w:rFonts w:hint="eastAsia"/>
                <w:b/>
                <w:bCs/>
                <w:color w:val="000000" w:themeColor="text1"/>
                <w:szCs w:val="21"/>
                <w:highlight w:val="none"/>
                <w:lang w:eastAsia="zh-CN"/>
                <w14:textFill>
                  <w14:solidFill>
                    <w14:schemeClr w14:val="tx1"/>
                  </w14:solidFill>
                </w14:textFill>
              </w:rPr>
              <w:t>法律法规</w:t>
            </w:r>
            <w:r>
              <w:rPr>
                <w:rFonts w:hint="eastAsia"/>
                <w:b/>
                <w:bCs/>
                <w:color w:val="000000" w:themeColor="text1"/>
                <w:szCs w:val="21"/>
                <w:highlight w:val="none"/>
                <w14:textFill>
                  <w14:solidFill>
                    <w14:schemeClr w14:val="tx1"/>
                  </w14:solidFill>
                </w14:textFill>
              </w:rPr>
              <w:t>、国务院决定等明确设立且与市场准入相关的禁止性规定的分析</w:t>
            </w:r>
          </w:p>
          <w:p w14:paraId="7FBDE65E">
            <w:pPr>
              <w:keepNext w:val="0"/>
              <w:keepLines w:val="0"/>
              <w:pageBreakBefore w:val="0"/>
              <w:widowControl/>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根据《国民经济行业分类》（GB/T4754-2017），本项目行业属于C3099 其他非金属矿物制品制造，根据《市场准入负面清单（2022年版）》与市场准入相关的禁止性规定，本项目不属于《市场准入负面清单（2022年版）》禁止准入类中</w:t>
            </w:r>
            <w:r>
              <w:rPr>
                <w:rFonts w:hint="eastAsia" w:cs="Times New Roman"/>
                <w:color w:val="000000" w:themeColor="text1"/>
                <w:kern w:val="0"/>
                <w:sz w:val="21"/>
                <w:szCs w:val="21"/>
                <w:highlight w:val="none"/>
                <w:lang w:val="en-US" w:eastAsia="zh-CN" w:bidi="ar-SA"/>
                <w14:textFill>
                  <w14:solidFill>
                    <w14:schemeClr w14:val="tx1"/>
                  </w14:solidFill>
                </w14:textFill>
              </w:rPr>
              <w:t>法律法规</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、国务院决定等明确设立且与市场准入相关的禁止性事项。</w:t>
            </w:r>
          </w:p>
          <w:p w14:paraId="61CCB390">
            <w:pPr>
              <w:pageBreakBefore w:val="0"/>
              <w:widowControl w:val="0"/>
              <w:kinsoku/>
              <w:wordWrap w:val="0"/>
              <w:overflowPunct/>
              <w:bidi w:val="0"/>
              <w:spacing w:line="480" w:lineRule="exact"/>
              <w:ind w:firstLine="482"/>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（2）国家产业政策明令淘汰和限制的产品、技术、工艺、设备及行为的分析</w:t>
            </w:r>
          </w:p>
          <w:p w14:paraId="43C6C470">
            <w:pPr>
              <w:pageBreakBefore w:val="0"/>
              <w:widowControl w:val="0"/>
              <w:kinsoku/>
              <w:wordWrap w:val="0"/>
              <w:overflowPunct/>
              <w:bidi w:val="0"/>
              <w:spacing w:line="480" w:lineRule="exa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根据《产业结构调整指导目录（</w:t>
            </w:r>
            <w:r>
              <w:rPr>
                <w:rFonts w:hint="eastAsia"/>
                <w:color w:val="000000" w:themeColor="text1"/>
                <w:highlight w:val="none"/>
                <w:lang w:val="en-US" w:eastAsia="zh-CN"/>
                <w14:textFill>
                  <w14:solidFill>
                    <w14:schemeClr w14:val="tx1"/>
                  </w14:solidFill>
                </w14:textFill>
              </w:rPr>
              <w:t>2024</w:t>
            </w:r>
            <w:r>
              <w:rPr>
                <w:rFonts w:hint="eastAsia"/>
                <w:color w:val="000000" w:themeColor="text1"/>
                <w:highlight w:val="none"/>
                <w14:textFill>
                  <w14:solidFill>
                    <w14:schemeClr w14:val="tx1"/>
                  </w14:solidFill>
                </w14:textFill>
              </w:rPr>
              <w:t>年本）》，</w:t>
            </w: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项目不属于限制类、淘汰类</w:t>
            </w: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，符合国家产业政策；</w:t>
            </w:r>
          </w:p>
          <w:p w14:paraId="68433728">
            <w:pPr>
              <w:pageBreakBefore w:val="0"/>
              <w:widowControl w:val="0"/>
              <w:kinsoku/>
              <w:wordWrap w:val="0"/>
              <w:overflowPunct/>
              <w:bidi w:val="0"/>
              <w:spacing w:line="480" w:lineRule="exa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经查阅《高耗能落后机电设备（产品）淘汰目录》（第一批至第四批），项目所用设备</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产品</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不在上述目录内。</w:t>
            </w:r>
          </w:p>
          <w:p w14:paraId="1CD01842">
            <w:pPr>
              <w:pageBreakBefore w:val="0"/>
              <w:widowControl w:val="0"/>
              <w:kinsoku/>
              <w:wordWrap w:val="0"/>
              <w:overflowPunct/>
              <w:bidi w:val="0"/>
              <w:spacing w:line="480" w:lineRule="exact"/>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对照《限期淘汰产生严重污染环境的工业固体废物的落后生产工艺设备名录》，项目生产工艺及所用设备不属于淘汰类工艺及设备。</w:t>
            </w:r>
          </w:p>
          <w:p w14:paraId="4EBFAE50">
            <w:pPr>
              <w:pageBreakBefore w:val="0"/>
              <w:widowControl w:val="0"/>
              <w:kinsoku/>
              <w:wordWrap w:val="0"/>
              <w:overflowPunct/>
              <w:bidi w:val="0"/>
              <w:spacing w:line="480" w:lineRule="exact"/>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本项目已在</w:t>
            </w:r>
            <w:r>
              <w:rPr>
                <w:rFonts w:hint="eastAsia"/>
                <w:color w:val="000000" w:themeColor="text1"/>
                <w:highlight w:val="none"/>
                <w:lang w:val="en-US" w:eastAsia="zh-CN"/>
                <w14:textFill>
                  <w14:solidFill>
                    <w14:schemeClr w14:val="tx1"/>
                  </w14:solidFill>
                </w14:textFill>
              </w:rPr>
              <w:t>围场满族蒙古族自治县行政审批局备案，备案信息文号为：围审批备字〔2024〕34号。</w:t>
            </w:r>
          </w:p>
          <w:p w14:paraId="6C140486">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由以上分析可知，本项目不属于《市场准入负面清单（</w:t>
            </w:r>
            <w:r>
              <w:rPr>
                <w:color w:val="000000" w:themeColor="text1"/>
                <w:highlight w:val="none"/>
                <w14:textFill>
                  <w14:solidFill>
                    <w14:schemeClr w14:val="tx1"/>
                  </w14:solidFill>
                </w14:textFill>
              </w:rPr>
              <w:t>2022年版）》禁止准入类中</w:t>
            </w:r>
            <w:r>
              <w:rPr>
                <w:rFonts w:hint="eastAsia"/>
                <w:color w:val="000000" w:themeColor="text1"/>
                <w:highlight w:val="none"/>
                <w14:textFill>
                  <w14:solidFill>
                    <w14:schemeClr w14:val="tx1"/>
                  </w14:solidFill>
                </w14:textFill>
              </w:rPr>
              <w:t>国家产业政策明令淘汰和限制的产品、技术、工艺、设备及行为</w:t>
            </w:r>
            <w:r>
              <w:rPr>
                <w:color w:val="000000" w:themeColor="text1"/>
                <w:highlight w:val="none"/>
                <w14:textFill>
                  <w14:solidFill>
                    <w14:schemeClr w14:val="tx1"/>
                  </w14:solidFill>
                </w14:textFill>
              </w:rPr>
              <w:t>。</w:t>
            </w:r>
          </w:p>
          <w:p w14:paraId="07CF1531">
            <w:pPr>
              <w:pageBreakBefore w:val="0"/>
              <w:widowControl w:val="0"/>
              <w:kinsoku/>
              <w:wordWrap w:val="0"/>
              <w:overflowPunct/>
              <w:bidi w:val="0"/>
              <w:spacing w:line="480" w:lineRule="exact"/>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（3）禁止不符合主体功能区建设要求的各类开发活动要求的分析</w:t>
            </w:r>
          </w:p>
          <w:p w14:paraId="7D9713F3">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color w:val="000000" w:themeColor="text1"/>
                <w:highlight w:val="none"/>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根据本项目“四、环境功能规划符合性分析”可知，本项目符合《河北省主体功能区规划》《承德市城市总体规划》《围场满族蒙古族自治县国土空间总体规划》要求，且符合《承德市重点水源涵养生态功能保护区规划》的相关要求，具体内容分析详见“四、环境功能规划符合性分析”。</w:t>
            </w:r>
          </w:p>
          <w:p w14:paraId="3BAC30C8">
            <w:pPr>
              <w:keepNext w:val="0"/>
              <w:keepLines w:val="0"/>
              <w:pageBreakBefore w:val="0"/>
              <w:widowControl w:val="0"/>
              <w:kinsoku/>
              <w:wordWrap/>
              <w:overflowPunct/>
              <w:topLinePunct w:val="0"/>
              <w:autoSpaceDE w:val="0"/>
              <w:autoSpaceDN w:val="0"/>
              <w:bidi w:val="0"/>
              <w:adjustRightInd w:val="0"/>
              <w:snapToGrid w:val="0"/>
              <w:spacing w:line="480" w:lineRule="exact"/>
              <w:ind w:firstLine="420" w:firstLineChars="200"/>
              <w:jc w:val="both"/>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综上所述，</w:t>
            </w:r>
            <w:r>
              <w:rPr>
                <w:rFonts w:hint="default" w:ascii="Times New Roman" w:hAnsi="Times New Roman" w:eastAsia="宋体" w:cs="Times New Roman"/>
                <w:b w:val="0"/>
                <w:bCs w:val="0"/>
                <w:color w:val="000000" w:themeColor="text1"/>
                <w:highlight w:val="none"/>
                <w14:textFill>
                  <w14:solidFill>
                    <w14:schemeClr w14:val="tx1"/>
                  </w14:solidFill>
                </w14:textFill>
              </w:rPr>
              <w:t>本项目不属于《市场准入负面清单（2022年版）》禁止准入类项目。因此，项目符合相关政策要求。</w:t>
            </w:r>
          </w:p>
          <w:p w14:paraId="052DB955">
            <w:pPr>
              <w:keepNext/>
              <w:keepLines/>
              <w:pageBreakBefore w:val="0"/>
              <w:kinsoku/>
              <w:wordWrap w:val="0"/>
              <w:overflowPunct/>
              <w:topLinePunct w:val="0"/>
              <w:autoSpaceDE/>
              <w:autoSpaceDN/>
              <w:bidi w:val="0"/>
              <w:adjustRightInd/>
              <w:snapToGrid/>
              <w:spacing w:line="480" w:lineRule="exact"/>
              <w:textAlignment w:val="auto"/>
              <w:outlineLvl w:val="2"/>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二、</w:t>
            </w:r>
            <w:r>
              <w:rPr>
                <w:rFonts w:hint="eastAsia" w:ascii="宋体" w:hAnsi="宋体" w:eastAsia="宋体" w:cs="宋体"/>
                <w:b/>
                <w:bCs/>
                <w:color w:val="000000" w:themeColor="text1"/>
                <w:highlight w:val="none"/>
                <w:lang w:val="en-US" w:eastAsia="zh-CN"/>
                <w14:textFill>
                  <w14:solidFill>
                    <w14:schemeClr w14:val="tx1"/>
                  </w14:solidFill>
                </w14:textFill>
              </w:rPr>
              <w:t>“三线一单”</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符合性分析</w:t>
            </w:r>
          </w:p>
          <w:p w14:paraId="199162D1">
            <w:pPr>
              <w:pageBreakBefore w:val="0"/>
              <w:widowControl/>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根据《关于规划环境影响评价加强空间管制、总量管控和环境准入的指导意见（试行）》等文件，要求以生态保护红线、环境质量底线、资源利用上线和环境准入负面清单（以下简称“三线一单”</w:t>
            </w:r>
            <w:r>
              <w:rPr>
                <w:rFonts w:hint="default" w:ascii="Times New Roman" w:hAnsi="Times New Roman" w:eastAsia="宋体" w:cs="Times New Roman"/>
                <w:color w:val="000000" w:themeColor="text1"/>
                <w:highlight w:val="none"/>
                <w14:textFill>
                  <w14:solidFill>
                    <w14:schemeClr w14:val="tx1"/>
                  </w14:solidFill>
                </w14:textFill>
              </w:rPr>
              <w:t>）为手段，强化空间、总量、准入环境管理，划框子、定规则、查落实、强基础。</w:t>
            </w:r>
          </w:p>
          <w:p w14:paraId="131D6902">
            <w:pPr>
              <w:keepNext w:val="0"/>
              <w:keepLines w:val="0"/>
              <w:pageBreakBefore w:val="0"/>
              <w:widowControl w:val="0"/>
              <w:kinsoku/>
              <w:wordWrap w:val="0"/>
              <w:overflowPunct/>
              <w:topLinePunct w:val="0"/>
              <w:autoSpaceDE w:val="0"/>
              <w:autoSpaceDN w:val="0"/>
              <w:bidi w:val="0"/>
              <w:adjustRightInd w:val="0"/>
              <w:snapToGrid w:val="0"/>
              <w:spacing w:line="480" w:lineRule="exact"/>
              <w:jc w:val="both"/>
              <w:textAlignment w:val="auto"/>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1、</w:t>
            </w:r>
            <w:r>
              <w:rPr>
                <w:rFonts w:hint="default"/>
                <w:b/>
                <w:bCs/>
                <w:color w:val="000000" w:themeColor="text1"/>
                <w:highlight w:val="none"/>
                <w14:textFill>
                  <w14:solidFill>
                    <w14:schemeClr w14:val="tx1"/>
                  </w14:solidFill>
                </w14:textFill>
              </w:rPr>
              <w:t>生态保护红线</w:t>
            </w:r>
          </w:p>
          <w:p w14:paraId="7972D136">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生态保护红线是生态空间范围内具有特殊重要生</w:t>
            </w:r>
            <w:r>
              <w:rPr>
                <w:rFonts w:hint="default"/>
                <w:color w:val="000000" w:themeColor="text1"/>
                <w:highlight w:val="none"/>
                <w:lang w:val="en-US" w:eastAsia="zh-CN"/>
                <w14:textFill>
                  <w14:solidFill>
                    <w14:schemeClr w14:val="tx1"/>
                  </w14:solidFill>
                </w14:textFill>
              </w:rPr>
              <w:t>态</w:t>
            </w:r>
            <w:r>
              <w:rPr>
                <w:rFonts w:hint="default"/>
                <w:color w:val="000000" w:themeColor="text1"/>
                <w:highlight w:val="none"/>
                <w14:textFill>
                  <w14:solidFill>
                    <w14:schemeClr w14:val="tx1"/>
                  </w14:solidFill>
                </w14:textFill>
              </w:rPr>
              <w:t>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w:t>
            </w:r>
            <w:r>
              <w:rPr>
                <w:rFonts w:hint="eastAsia"/>
                <w:color w:val="000000" w:themeColor="text1"/>
                <w:highlight w:val="none"/>
                <w:lang w:eastAsia="zh-CN"/>
                <w14:textFill>
                  <w14:solidFill>
                    <w14:schemeClr w14:val="tx1"/>
                  </w14:solidFill>
                </w14:textFill>
              </w:rPr>
              <w:t>基础设施</w:t>
            </w:r>
            <w:r>
              <w:rPr>
                <w:rFonts w:hint="default"/>
                <w:color w:val="000000" w:themeColor="text1"/>
                <w:highlight w:val="none"/>
                <w14:textFill>
                  <w14:solidFill>
                    <w14:schemeClr w14:val="tx1"/>
                  </w14:solidFill>
                </w14:textFill>
              </w:rPr>
              <w:t>项目外，在生态保护红线范围内，严控各类开发建设活动，依法不予审批技改工业项目和矿产开发项目的环评文件。</w:t>
            </w:r>
          </w:p>
          <w:p w14:paraId="284715DA">
            <w:pPr>
              <w:pStyle w:val="2"/>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textAlignment w:val="auto"/>
              <w:rPr>
                <w:rFonts w:hint="default"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eastAsia" w:cs="Times New Roman"/>
                <w:b/>
                <w:bCs/>
                <w:color w:val="000000" w:themeColor="text1"/>
                <w:kern w:val="2"/>
                <w:sz w:val="21"/>
                <w:szCs w:val="24"/>
                <w:highlight w:val="none"/>
                <w:lang w:val="en-US" w:eastAsia="zh-CN" w:bidi="ar-SA"/>
                <w14:textFill>
                  <w14:solidFill>
                    <w14:schemeClr w14:val="tx1"/>
                  </w14:solidFill>
                </w14:textFill>
              </w:rPr>
              <w:t>本项目位于河北省承德市围场满族蒙古族自治县牌楼乡于家湾村4组，</w:t>
            </w:r>
            <w:r>
              <w:rPr>
                <w:rFonts w:hint="eastAsia"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t>场址周围无自然保护区、风景名胜区、生活饮用水源地和其他特别需要保护的敏感目标，不在生态红线范围内。项目距离最近地生态红线距离为1140m。</w:t>
            </w:r>
          </w:p>
          <w:p w14:paraId="48037DF8">
            <w:pPr>
              <w:pStyle w:val="2"/>
              <w:keepNext w:val="0"/>
              <w:keepLines w:val="0"/>
              <w:pageBreakBefore w:val="0"/>
              <w:widowControl w:val="0"/>
              <w:kinsoku/>
              <w:wordWrap w:val="0"/>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401945" cy="3781425"/>
                  <wp:effectExtent l="0" t="0" r="8255" b="952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5401945" cy="3781425"/>
                          </a:xfrm>
                          <a:prstGeom prst="rect">
                            <a:avLst/>
                          </a:prstGeom>
                          <a:noFill/>
                          <a:ln>
                            <a:noFill/>
                          </a:ln>
                        </pic:spPr>
                      </pic:pic>
                    </a:graphicData>
                  </a:graphic>
                </wp:inline>
              </w:drawing>
            </w:r>
          </w:p>
          <w:p w14:paraId="7371837C">
            <w:pPr>
              <w:pStyle w:val="2"/>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ascii="Times New Roman" w:hAnsi="Times New Roman" w:eastAsia="宋体" w:cs="Times New Roman"/>
                <w:b/>
                <w:bCs/>
                <w:color w:val="000000" w:themeColor="text1"/>
                <w:kern w:val="2"/>
                <w:sz w:val="21"/>
                <w:szCs w:val="24"/>
                <w:highlight w:val="none"/>
                <w:lang w:val="en-US" w:eastAsia="zh-CN" w:bidi="ar-SA"/>
                <w14:textFill>
                  <w14:solidFill>
                    <w14:schemeClr w14:val="tx1"/>
                  </w14:solidFill>
                </w14:textFill>
              </w:rPr>
            </w:pPr>
            <w:r>
              <w:rPr>
                <w:rFonts w:hint="eastAsia"/>
                <w:b/>
                <w:bCs/>
                <w:color w:val="000000" w:themeColor="text1"/>
                <w:kern w:val="0"/>
                <w:szCs w:val="21"/>
                <w:highlight w:val="none"/>
                <w14:textFill>
                  <w14:solidFill>
                    <w14:schemeClr w14:val="tx1"/>
                  </w14:solidFill>
                </w14:textFill>
              </w:rPr>
              <w:t>图1-</w:t>
            </w:r>
            <w:r>
              <w:rPr>
                <w:rFonts w:hint="eastAsia"/>
                <w:b/>
                <w:bCs/>
                <w:color w:val="000000" w:themeColor="text1"/>
                <w:kern w:val="0"/>
                <w:szCs w:val="21"/>
                <w:highlight w:val="none"/>
                <w:lang w:val="en-US" w:eastAsia="zh-CN"/>
                <w14:textFill>
                  <w14:solidFill>
                    <w14:schemeClr w14:val="tx1"/>
                  </w14:solidFill>
                </w14:textFill>
              </w:rPr>
              <w:t>1</w:t>
            </w:r>
            <w:r>
              <w:rPr>
                <w:rFonts w:hint="eastAsia"/>
                <w:b/>
                <w:bCs/>
                <w:color w:val="000000" w:themeColor="text1"/>
                <w:kern w:val="0"/>
                <w:szCs w:val="21"/>
                <w:highlight w:val="none"/>
                <w14:textFill>
                  <w14:solidFill>
                    <w14:schemeClr w14:val="tx1"/>
                  </w14:solidFill>
                </w14:textFill>
              </w:rPr>
              <w:t xml:space="preserve"> </w:t>
            </w:r>
            <w:r>
              <w:rPr>
                <w:rFonts w:hint="eastAsia"/>
                <w:b/>
                <w:bCs/>
                <w:color w:val="000000" w:themeColor="text1"/>
                <w:szCs w:val="21"/>
                <w:highlight w:val="none"/>
                <w:lang w:val="en-US" w:eastAsia="zh-CN"/>
                <w14:textFill>
                  <w14:solidFill>
                    <w14:schemeClr w14:val="tx1"/>
                  </w14:solidFill>
                </w14:textFill>
              </w:rPr>
              <w:t>本项目与生态保护红线位置关系</w:t>
            </w:r>
            <w:r>
              <w:rPr>
                <w:rFonts w:hint="eastAsia"/>
                <w:b/>
                <w:bCs/>
                <w:color w:val="000000" w:themeColor="text1"/>
                <w:szCs w:val="21"/>
                <w:highlight w:val="none"/>
                <w14:textFill>
                  <w14:solidFill>
                    <w14:schemeClr w14:val="tx1"/>
                  </w14:solidFill>
                </w14:textFill>
              </w:rPr>
              <w:t>图</w:t>
            </w:r>
          </w:p>
          <w:p w14:paraId="0648AD67">
            <w:pPr>
              <w:keepNext w:val="0"/>
              <w:keepLines w:val="0"/>
              <w:pageBreakBefore w:val="0"/>
              <w:widowControl w:val="0"/>
              <w:kinsoku/>
              <w:wordWrap w:val="0"/>
              <w:overflowPunct/>
              <w:topLinePunct w:val="0"/>
              <w:autoSpaceDE w:val="0"/>
              <w:autoSpaceDN w:val="0"/>
              <w:bidi w:val="0"/>
              <w:adjustRightInd w:val="0"/>
              <w:snapToGrid w:val="0"/>
              <w:spacing w:line="480" w:lineRule="exact"/>
              <w:jc w:val="both"/>
              <w:textAlignment w:val="auto"/>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环境质量底线</w:t>
            </w:r>
          </w:p>
          <w:p w14:paraId="5321BDC6">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rFonts w:hint="default" w:eastAsia="宋体"/>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①环境空气</w:t>
            </w:r>
          </w:p>
          <w:p w14:paraId="2AF2841A">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color w:val="000000" w:themeColor="text1"/>
                <w:highlight w:val="none"/>
                <w:lang w:bidi="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根据</w:t>
            </w:r>
            <w:r>
              <w:rPr>
                <w:rFonts w:hint="eastAsia"/>
                <w:color w:val="000000" w:themeColor="text1"/>
                <w:kern w:val="0"/>
                <w:highlight w:val="none"/>
                <w:lang w:val="en-US" w:eastAsia="zh-CN" w:bidi="ar"/>
                <w14:textFill>
                  <w14:solidFill>
                    <w14:schemeClr w14:val="tx1"/>
                  </w14:solidFill>
                </w14:textFill>
              </w:rPr>
              <w:t>《2023年承德市生态环境状况公报》和</w:t>
            </w:r>
            <w:r>
              <w:rPr>
                <w:rFonts w:hint="eastAsia"/>
                <w:color w:val="000000" w:themeColor="text1"/>
                <w:highlight w:val="none"/>
                <w:lang w:val="en-US" w:eastAsia="zh-CN"/>
                <w14:textFill>
                  <w14:solidFill>
                    <w14:schemeClr w14:val="tx1"/>
                  </w14:solidFill>
                </w14:textFill>
              </w:rPr>
              <w:t>承德市大气污染防治工作领导小组办公室发布的《关于2023年12月份全市空气质量预警监测结果的通报》（承气领办</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2024〕12号）中的附件2可知，</w:t>
            </w:r>
            <w:r>
              <w:rPr>
                <w:rFonts w:hint="eastAsia"/>
                <w:b w:val="0"/>
                <w:bCs w:val="0"/>
                <w:color w:val="000000" w:themeColor="text1"/>
                <w:highlight w:val="none"/>
                <w:lang w:val="en-US" w:eastAsia="zh-CN"/>
                <w14:textFill>
                  <w14:solidFill>
                    <w14:schemeClr w14:val="tx1"/>
                  </w14:solidFill>
                </w14:textFill>
              </w:rPr>
              <w:t>围场满族蒙古族自治县</w:t>
            </w:r>
            <w:r>
              <w:rPr>
                <w:rFonts w:hint="eastAsia" w:eastAsia="宋体"/>
                <w:color w:val="000000" w:themeColor="text1"/>
                <w:highlight w:val="none"/>
                <w:lang w:val="en-US" w:eastAsia="zh-CN"/>
                <w14:textFill>
                  <w14:solidFill>
                    <w14:schemeClr w14:val="tx1"/>
                  </w14:solidFill>
                </w14:textFill>
              </w:rPr>
              <w:t>2023</w:t>
            </w:r>
            <w:r>
              <w:rPr>
                <w:rFonts w:ascii="宋体" w:hAnsi="宋体" w:cs="宋体"/>
                <w:color w:val="000000" w:themeColor="text1"/>
                <w:highlight w:val="none"/>
                <w14:textFill>
                  <w14:solidFill>
                    <w14:schemeClr w14:val="tx1"/>
                  </w14:solidFill>
                </w14:textFill>
              </w:rPr>
              <w:t>年区域空气质量现状评价因子</w:t>
            </w:r>
            <w:r>
              <w:rPr>
                <w:rFonts w:eastAsia="Times New Roman"/>
                <w:color w:val="000000" w:themeColor="text1"/>
                <w:highlight w:val="none"/>
                <w14:textFill>
                  <w14:solidFill>
                    <w14:schemeClr w14:val="tx1"/>
                  </w14:solidFill>
                </w14:textFill>
              </w:rPr>
              <w:t>PM</w:t>
            </w:r>
            <w:r>
              <w:rPr>
                <w:rFonts w:eastAsia="Times New Roman"/>
                <w:color w:val="000000" w:themeColor="text1"/>
                <w:position w:val="-2"/>
                <w:sz w:val="15"/>
                <w:szCs w:val="15"/>
                <w:highlight w:val="none"/>
                <w14:textFill>
                  <w14:solidFill>
                    <w14:schemeClr w14:val="tx1"/>
                  </w14:solidFill>
                </w14:textFill>
              </w:rPr>
              <w:t>10</w:t>
            </w:r>
            <w:r>
              <w:rPr>
                <w:rFonts w:ascii="宋体" w:hAnsi="宋体" w:cs="宋体"/>
                <w:color w:val="000000" w:themeColor="text1"/>
                <w:highlight w:val="none"/>
                <w14:textFill>
                  <w14:solidFill>
                    <w14:schemeClr w14:val="tx1"/>
                  </w14:solidFill>
                </w14:textFill>
              </w:rPr>
              <w:t>年平均质量</w:t>
            </w:r>
            <w:r>
              <w:rPr>
                <w:rFonts w:ascii="宋体" w:hAnsi="宋体" w:cs="宋体"/>
                <w:color w:val="000000" w:themeColor="text1"/>
                <w:spacing w:val="-2"/>
                <w:highlight w:val="none"/>
                <w14:textFill>
                  <w14:solidFill>
                    <w14:schemeClr w14:val="tx1"/>
                  </w14:solidFill>
                </w14:textFill>
              </w:rPr>
              <w:t>浓度及</w:t>
            </w:r>
            <w:r>
              <w:rPr>
                <w:rFonts w:eastAsia="Times New Roman"/>
                <w:color w:val="000000" w:themeColor="text1"/>
                <w:spacing w:val="-2"/>
                <w:highlight w:val="none"/>
                <w14:textFill>
                  <w14:solidFill>
                    <w14:schemeClr w14:val="tx1"/>
                  </w14:solidFill>
                </w14:textFill>
              </w:rPr>
              <w:t>95%</w:t>
            </w:r>
            <w:r>
              <w:rPr>
                <w:rFonts w:ascii="宋体" w:hAnsi="宋体" w:cs="宋体"/>
                <w:color w:val="000000" w:themeColor="text1"/>
                <w:spacing w:val="-2"/>
                <w:highlight w:val="none"/>
                <w14:textFill>
                  <w14:solidFill>
                    <w14:schemeClr w14:val="tx1"/>
                  </w14:solidFill>
                </w14:textFill>
              </w:rPr>
              <w:t>百分位数日平均浓度、</w:t>
            </w:r>
            <w:r>
              <w:rPr>
                <w:rFonts w:eastAsia="Times New Roman"/>
                <w:color w:val="000000" w:themeColor="text1"/>
                <w:highlight w:val="none"/>
                <w14:textFill>
                  <w14:solidFill>
                    <w14:schemeClr w14:val="tx1"/>
                  </w14:solidFill>
                </w14:textFill>
              </w:rPr>
              <w:t>PM</w:t>
            </w:r>
            <w:r>
              <w:rPr>
                <w:rFonts w:eastAsia="Times New Roman"/>
                <w:color w:val="000000" w:themeColor="text1"/>
                <w:spacing w:val="-2"/>
                <w:position w:val="-2"/>
                <w:sz w:val="15"/>
                <w:szCs w:val="15"/>
                <w:highlight w:val="none"/>
                <w14:textFill>
                  <w14:solidFill>
                    <w14:schemeClr w14:val="tx1"/>
                  </w14:solidFill>
                </w14:textFill>
              </w:rPr>
              <w:t>2.5</w:t>
            </w:r>
            <w:r>
              <w:rPr>
                <w:rFonts w:ascii="宋体" w:hAnsi="宋体" w:cs="宋体"/>
                <w:color w:val="000000" w:themeColor="text1"/>
                <w:spacing w:val="-2"/>
                <w:highlight w:val="none"/>
                <w14:textFill>
                  <w14:solidFill>
                    <w14:schemeClr w14:val="tx1"/>
                  </w14:solidFill>
                </w14:textFill>
              </w:rPr>
              <w:t>年平均质量浓度及</w:t>
            </w:r>
            <w:r>
              <w:rPr>
                <w:rFonts w:eastAsia="Times New Roman"/>
                <w:color w:val="000000" w:themeColor="text1"/>
                <w:spacing w:val="-2"/>
                <w:highlight w:val="none"/>
                <w14:textFill>
                  <w14:solidFill>
                    <w14:schemeClr w14:val="tx1"/>
                  </w14:solidFill>
                </w14:textFill>
              </w:rPr>
              <w:t>95%</w:t>
            </w:r>
            <w:r>
              <w:rPr>
                <w:rFonts w:ascii="宋体" w:hAnsi="宋体" w:cs="宋体"/>
                <w:color w:val="000000" w:themeColor="text1"/>
                <w:spacing w:val="-2"/>
                <w:highlight w:val="none"/>
                <w14:textFill>
                  <w14:solidFill>
                    <w14:schemeClr w14:val="tx1"/>
                  </w14:solidFill>
                </w14:textFill>
              </w:rPr>
              <w:t>百分位数日平均浓</w:t>
            </w:r>
            <w:r>
              <w:rPr>
                <w:rFonts w:ascii="宋体" w:hAnsi="宋体" w:cs="宋体"/>
                <w:color w:val="000000" w:themeColor="text1"/>
                <w:spacing w:val="-10"/>
                <w:highlight w:val="none"/>
                <w14:textFill>
                  <w14:solidFill>
                    <w14:schemeClr w14:val="tx1"/>
                  </w14:solidFill>
                </w14:textFill>
              </w:rPr>
              <w:t>度、</w:t>
            </w:r>
            <w:r>
              <w:rPr>
                <w:rFonts w:eastAsia="Times New Roman"/>
                <w:color w:val="000000" w:themeColor="text1"/>
                <w:spacing w:val="-5"/>
                <w:highlight w:val="none"/>
                <w14:textFill>
                  <w14:solidFill>
                    <w14:schemeClr w14:val="tx1"/>
                  </w14:solidFill>
                </w14:textFill>
              </w:rPr>
              <w:t>SO</w:t>
            </w:r>
            <w:r>
              <w:rPr>
                <w:rFonts w:eastAsia="Times New Roman"/>
                <w:color w:val="000000" w:themeColor="text1"/>
                <w:spacing w:val="-10"/>
                <w:position w:val="-2"/>
                <w:sz w:val="15"/>
                <w:szCs w:val="15"/>
                <w:highlight w:val="none"/>
                <w14:textFill>
                  <w14:solidFill>
                    <w14:schemeClr w14:val="tx1"/>
                  </w14:solidFill>
                </w14:textFill>
              </w:rPr>
              <w:t>2</w:t>
            </w:r>
            <w:r>
              <w:rPr>
                <w:rFonts w:ascii="宋体" w:hAnsi="宋体" w:cs="宋体"/>
                <w:color w:val="000000" w:themeColor="text1"/>
                <w:spacing w:val="-10"/>
                <w:highlight w:val="none"/>
                <w14:textFill>
                  <w14:solidFill>
                    <w14:schemeClr w14:val="tx1"/>
                  </w14:solidFill>
                </w14:textFill>
              </w:rPr>
              <w:t>年</w:t>
            </w:r>
            <w:r>
              <w:rPr>
                <w:rFonts w:ascii="宋体" w:hAnsi="宋体" w:cs="宋体"/>
                <w:color w:val="000000" w:themeColor="text1"/>
                <w:spacing w:val="-5"/>
                <w:highlight w:val="none"/>
                <w14:textFill>
                  <w14:solidFill>
                    <w14:schemeClr w14:val="tx1"/>
                  </w14:solidFill>
                </w14:textFill>
              </w:rPr>
              <w:t>平均质量浓度及</w:t>
            </w:r>
            <w:r>
              <w:rPr>
                <w:rFonts w:eastAsia="Times New Roman"/>
                <w:color w:val="000000" w:themeColor="text1"/>
                <w:spacing w:val="-5"/>
                <w:highlight w:val="none"/>
                <w14:textFill>
                  <w14:solidFill>
                    <w14:schemeClr w14:val="tx1"/>
                  </w14:solidFill>
                </w14:textFill>
              </w:rPr>
              <w:t>98%</w:t>
            </w:r>
            <w:r>
              <w:rPr>
                <w:rFonts w:ascii="宋体" w:hAnsi="宋体" w:cs="宋体"/>
                <w:color w:val="000000" w:themeColor="text1"/>
                <w:spacing w:val="-5"/>
                <w:highlight w:val="none"/>
                <w14:textFill>
                  <w14:solidFill>
                    <w14:schemeClr w14:val="tx1"/>
                  </w14:solidFill>
                </w14:textFill>
              </w:rPr>
              <w:t>百分位数日平均浓度、</w:t>
            </w:r>
            <w:r>
              <w:rPr>
                <w:rFonts w:eastAsia="Times New Roman"/>
                <w:color w:val="000000" w:themeColor="text1"/>
                <w:spacing w:val="-5"/>
                <w:highlight w:val="none"/>
                <w14:textFill>
                  <w14:solidFill>
                    <w14:schemeClr w14:val="tx1"/>
                  </w14:solidFill>
                </w14:textFill>
              </w:rPr>
              <w:t>NO</w:t>
            </w:r>
            <w:r>
              <w:rPr>
                <w:rFonts w:eastAsia="Times New Roman"/>
                <w:color w:val="000000" w:themeColor="text1"/>
                <w:spacing w:val="-5"/>
                <w:position w:val="-2"/>
                <w:sz w:val="15"/>
                <w:szCs w:val="15"/>
                <w:highlight w:val="none"/>
                <w14:textFill>
                  <w14:solidFill>
                    <w14:schemeClr w14:val="tx1"/>
                  </w14:solidFill>
                </w14:textFill>
              </w:rPr>
              <w:t>2</w:t>
            </w:r>
            <w:r>
              <w:rPr>
                <w:rFonts w:ascii="宋体" w:hAnsi="宋体" w:cs="宋体"/>
                <w:color w:val="000000" w:themeColor="text1"/>
                <w:spacing w:val="-5"/>
                <w:highlight w:val="none"/>
                <w14:textFill>
                  <w14:solidFill>
                    <w14:schemeClr w14:val="tx1"/>
                  </w14:solidFill>
                </w14:textFill>
              </w:rPr>
              <w:t>年平均质量浓度及</w:t>
            </w:r>
            <w:r>
              <w:rPr>
                <w:rFonts w:eastAsia="Times New Roman"/>
                <w:color w:val="000000" w:themeColor="text1"/>
                <w:spacing w:val="-5"/>
                <w:highlight w:val="none"/>
                <w14:textFill>
                  <w14:solidFill>
                    <w14:schemeClr w14:val="tx1"/>
                  </w14:solidFill>
                </w14:textFill>
              </w:rPr>
              <w:t>98%</w:t>
            </w:r>
            <w:r>
              <w:rPr>
                <w:rFonts w:ascii="宋体" w:hAnsi="宋体" w:cs="宋体"/>
                <w:color w:val="000000" w:themeColor="text1"/>
                <w:spacing w:val="-5"/>
                <w:highlight w:val="none"/>
                <w14:textFill>
                  <w14:solidFill>
                    <w14:schemeClr w14:val="tx1"/>
                  </w14:solidFill>
                </w14:textFill>
              </w:rPr>
              <w:t>百</w:t>
            </w:r>
            <w:r>
              <w:rPr>
                <w:rFonts w:ascii="宋体" w:hAnsi="宋体" w:cs="宋体"/>
                <w:color w:val="000000" w:themeColor="text1"/>
                <w:spacing w:val="-3"/>
                <w:highlight w:val="none"/>
                <w14:textFill>
                  <w14:solidFill>
                    <w14:schemeClr w14:val="tx1"/>
                  </w14:solidFill>
                </w14:textFill>
              </w:rPr>
              <w:t>分位数日平均浓度、</w:t>
            </w:r>
            <w:r>
              <w:rPr>
                <w:rFonts w:eastAsia="Times New Roman"/>
                <w:color w:val="000000" w:themeColor="text1"/>
                <w:spacing w:val="-3"/>
                <w:highlight w:val="none"/>
                <w14:textFill>
                  <w14:solidFill>
                    <w14:schemeClr w14:val="tx1"/>
                  </w14:solidFill>
                </w14:textFill>
              </w:rPr>
              <w:t>CO95%</w:t>
            </w:r>
            <w:r>
              <w:rPr>
                <w:rFonts w:ascii="宋体" w:hAnsi="宋体" w:cs="宋体"/>
                <w:color w:val="000000" w:themeColor="text1"/>
                <w:spacing w:val="-3"/>
                <w:highlight w:val="none"/>
                <w14:textFill>
                  <w14:solidFill>
                    <w14:schemeClr w14:val="tx1"/>
                  </w14:solidFill>
                </w14:textFill>
              </w:rPr>
              <w:t>百分位数日平均浓度</w:t>
            </w:r>
            <w:r>
              <w:rPr>
                <w:rFonts w:hint="eastAsia" w:ascii="宋体" w:hAnsi="宋体" w:cs="宋体"/>
                <w:color w:val="000000" w:themeColor="text1"/>
                <w:spacing w:val="-3"/>
                <w:highlight w:val="none"/>
                <w:lang w:val="en-US" w:eastAsia="zh-CN"/>
                <w14:textFill>
                  <w14:solidFill>
                    <w14:schemeClr w14:val="tx1"/>
                  </w14:solidFill>
                </w14:textFill>
              </w:rPr>
              <w:t>达标，</w:t>
            </w:r>
            <w:r>
              <w:rPr>
                <w:rFonts w:eastAsia="Times New Roman"/>
                <w:color w:val="000000" w:themeColor="text1"/>
                <w:spacing w:val="-3"/>
                <w:highlight w:val="none"/>
                <w14:textFill>
                  <w14:solidFill>
                    <w14:schemeClr w14:val="tx1"/>
                  </w14:solidFill>
                </w14:textFill>
              </w:rPr>
              <w:t>O</w:t>
            </w:r>
            <w:r>
              <w:rPr>
                <w:rFonts w:eastAsia="Times New Roman"/>
                <w:color w:val="000000" w:themeColor="text1"/>
                <w:spacing w:val="-3"/>
                <w:position w:val="-2"/>
                <w:sz w:val="15"/>
                <w:szCs w:val="15"/>
                <w:highlight w:val="none"/>
                <w14:textFill>
                  <w14:solidFill>
                    <w14:schemeClr w14:val="tx1"/>
                  </w14:solidFill>
                </w14:textFill>
              </w:rPr>
              <w:t>3</w:t>
            </w:r>
            <w:r>
              <w:rPr>
                <w:rFonts w:eastAsia="Times New Roman"/>
                <w:color w:val="000000" w:themeColor="text1"/>
                <w:spacing w:val="-3"/>
                <w:highlight w:val="none"/>
                <w14:textFill>
                  <w14:solidFill>
                    <w14:schemeClr w14:val="tx1"/>
                  </w14:solidFill>
                </w14:textFill>
              </w:rPr>
              <w:t>90%</w:t>
            </w:r>
            <w:r>
              <w:rPr>
                <w:rFonts w:ascii="宋体" w:hAnsi="宋体" w:cs="宋体"/>
                <w:color w:val="000000" w:themeColor="text1"/>
                <w:spacing w:val="-3"/>
                <w:highlight w:val="none"/>
                <w14:textFill>
                  <w14:solidFill>
                    <w14:schemeClr w14:val="tx1"/>
                  </w14:solidFill>
                </w14:textFill>
              </w:rPr>
              <w:t>百分位数</w:t>
            </w:r>
            <w:r>
              <w:rPr>
                <w:rFonts w:eastAsia="Times New Roman"/>
                <w:color w:val="000000" w:themeColor="text1"/>
                <w:spacing w:val="-3"/>
                <w:highlight w:val="none"/>
                <w14:textFill>
                  <w14:solidFill>
                    <w14:schemeClr w14:val="tx1"/>
                  </w14:solidFill>
                </w14:textFill>
              </w:rPr>
              <w:t>8h</w:t>
            </w:r>
            <w:r>
              <w:rPr>
                <w:rFonts w:ascii="宋体" w:hAnsi="宋体" w:cs="宋体"/>
                <w:color w:val="000000" w:themeColor="text1"/>
                <w:spacing w:val="-3"/>
                <w:highlight w:val="none"/>
                <w14:textFill>
                  <w14:solidFill>
                    <w14:schemeClr w14:val="tx1"/>
                  </w14:solidFill>
                </w14:textFill>
              </w:rPr>
              <w:t>平均浓</w:t>
            </w:r>
            <w:r>
              <w:rPr>
                <w:rFonts w:ascii="宋体" w:hAnsi="宋体" w:cs="宋体"/>
                <w:color w:val="000000" w:themeColor="text1"/>
                <w:spacing w:val="-7"/>
                <w:highlight w:val="none"/>
                <w14:textFill>
                  <w14:solidFill>
                    <w14:schemeClr w14:val="tx1"/>
                  </w14:solidFill>
                </w14:textFill>
              </w:rPr>
              <w:t>度达标。</w:t>
            </w:r>
            <w:r>
              <w:rPr>
                <w:rFonts w:ascii="宋体" w:hAnsi="宋体" w:eastAsia="宋体" w:cs="宋体"/>
                <w:color w:val="000000" w:themeColor="text1"/>
                <w:spacing w:val="1"/>
                <w:highlight w:val="none"/>
                <w14:textFill>
                  <w14:solidFill>
                    <w14:schemeClr w14:val="tx1"/>
                  </w14:solidFill>
                </w14:textFill>
              </w:rPr>
              <w:t>因此，判定项目所在区域属于达标区域。</w:t>
            </w:r>
          </w:p>
          <w:p w14:paraId="77D37483">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本项目参考《承德泓辉双合淀粉有限公司粉条白酒、40吨小时蒸汽锅炉粉渣饲料、变性淀粉建设项目环境质量现状检测》（辽鹏环测字PY2211294-001号）中环境空气的监测数据可知，项目所在区域</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总悬浮颗粒物、非甲烷总烃</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满足《环境空气质量标准》（GB3095-2012）表2二级标准限值，即TSP24小时平均浓度限值≤300</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μg/m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eastAsia" w:cs="Times New Roman"/>
                <w:b/>
                <w:bCs/>
                <w:color w:val="000000" w:themeColor="text1"/>
                <w:sz w:val="21"/>
                <w:szCs w:val="21"/>
                <w:highlight w:val="none"/>
                <w:vertAlign w:val="baseline"/>
                <w:lang w:val="en-US" w:eastAsia="zh-CN"/>
                <w14:textFill>
                  <w14:solidFill>
                    <w14:schemeClr w14:val="tx1"/>
                  </w14:solidFill>
                </w14:textFill>
              </w:rPr>
              <w:t>；非甲烷总烃满足《环境空气质量 非甲烷总烃限值》（DB13/1577-2012）表1二级标准；根据（辽鹏环测）字PY2404357-001号可知，项目所在区域内苯并[a]芘能够满足《环境空气质量标准》（GB3095-2012）表2其他项目二级标准</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p w14:paraId="397C8073">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本项目生产过程中会生产沥青烟、苯并[a]芘、非甲烷总烃、颗粒物等，原料堆存在封闭厂房内，定期洒水降尘；铣刨的沥青在破碎筛分过程中产生的颗粒物通过集气罩收集经布袋除尘器处理后，由一根15m高的排气筒排放；沥青加热产生的沥青烟、苯并[a]芘和非甲烷总烃经“电捕焦油器+活性炭吸附”措施处理后，通过一根15m高的排气筒排放。</w:t>
            </w:r>
          </w:p>
          <w:p w14:paraId="13611379">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通过采取上述措施，</w:t>
            </w:r>
            <w:r>
              <w:rPr>
                <w:rFonts w:hint="eastAsia"/>
                <w:b/>
                <w:bCs/>
                <w:color w:val="000000" w:themeColor="text1"/>
                <w:highlight w:val="none"/>
                <w:lang w:val="en-US" w:eastAsia="zh-CN"/>
                <w14:textFill>
                  <w14:solidFill>
                    <w14:schemeClr w14:val="tx1"/>
                  </w14:solidFill>
                </w14:textFill>
              </w:rPr>
              <w:t>经大气环境影响分析满足相应的环境质量要求，符合环境质量底线要求。</w:t>
            </w:r>
          </w:p>
          <w:p w14:paraId="4AAED17D">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②水环境</w:t>
            </w:r>
          </w:p>
          <w:p w14:paraId="47DFDA5E">
            <w:pPr>
              <w:keepNext w:val="0"/>
              <w:keepLines w:val="0"/>
              <w:pageBreakBefore w:val="0"/>
              <w:widowControl/>
              <w:kinsoku/>
              <w:wordWrap w:val="0"/>
              <w:overflowPunct/>
              <w:topLinePunct w:val="0"/>
              <w:autoSpaceDE/>
              <w:autoSpaceDN/>
              <w:bidi w:val="0"/>
              <w:adjustRightInd/>
              <w:snapToGrid/>
              <w:spacing w:line="480" w:lineRule="exact"/>
              <w:ind w:firstLine="480"/>
              <w:textAlignment w:val="auto"/>
              <w:rPr>
                <w:rFonts w:hint="default"/>
                <w:color w:val="000000" w:themeColor="text1"/>
                <w:highlight w:val="none"/>
                <w:lang w:val="en-US" w:bidi="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本项目内区域河流为伊玛图河，属于伊逊河支流，距本项目440m，</w:t>
            </w:r>
            <w:r>
              <w:rPr>
                <w:rFonts w:hint="eastAsia"/>
                <w:color w:val="000000" w:themeColor="text1"/>
                <w:highlight w:val="none"/>
                <w:lang w:val="en-US" w:bidi="zh-CN"/>
                <w14:textFill>
                  <w14:solidFill>
                    <w14:schemeClr w14:val="tx1"/>
                  </w14:solidFill>
                </w14:textFill>
              </w:rPr>
              <w:t>根据</w:t>
            </w:r>
            <w:r>
              <w:rPr>
                <w:rFonts w:hint="eastAsia"/>
                <w:color w:val="000000" w:themeColor="text1"/>
                <w:highlight w:val="none"/>
                <w:lang w:bidi="zh-CN"/>
                <w14:textFill>
                  <w14:solidFill>
                    <w14:schemeClr w14:val="tx1"/>
                  </w14:solidFill>
                </w14:textFill>
              </w:rPr>
              <w:t>《河北省水功能区划》（冀水资[2017]127 号），</w:t>
            </w:r>
            <w:r>
              <w:rPr>
                <w:rFonts w:hint="eastAsia"/>
                <w:color w:val="000000" w:themeColor="text1"/>
                <w:highlight w:val="none"/>
                <w:lang w:val="en-US" w:bidi="zh-CN"/>
                <w14:textFill>
                  <w14:solidFill>
                    <w14:schemeClr w14:val="tx1"/>
                  </w14:solidFill>
                </w14:textFill>
              </w:rPr>
              <w:t>项目周边河流范围属于“下河南以上”，根据河北省一级水功能区划登记表该河流范围属于蚁蚂吐河承德保留区，执行</w:t>
            </w:r>
            <w:r>
              <w:rPr>
                <w:rFonts w:hint="eastAsia"/>
                <w:color w:val="000000" w:themeColor="text1"/>
                <w:highlight w:val="none"/>
                <w:lang w:bidi="zh-CN"/>
                <w14:textFill>
                  <w14:solidFill>
                    <w14:schemeClr w14:val="tx1"/>
                  </w14:solidFill>
                </w14:textFill>
              </w:rPr>
              <w:t>《地表水环境质量标准》</w:t>
            </w:r>
            <w:r>
              <w:rPr>
                <w:color w:val="000000" w:themeColor="text1"/>
                <w:highlight w:val="none"/>
                <w:lang w:val="zh-CN" w:bidi="zh-CN"/>
                <w14:textFill>
                  <w14:solidFill>
                    <w14:schemeClr w14:val="tx1"/>
                  </w14:solidFill>
                </w14:textFill>
              </w:rPr>
              <w:t>（GB3838-2002）</w:t>
            </w:r>
            <w:r>
              <w:rPr>
                <w:rFonts w:hint="default"/>
                <w:color w:val="000000" w:themeColor="text1"/>
                <w:highlight w:val="none"/>
                <w:lang w:val="zh-CN" w:bidi="zh-CN"/>
                <w14:textFill>
                  <w14:solidFill>
                    <w14:schemeClr w14:val="tx1"/>
                  </w14:solidFill>
                </w14:textFill>
              </w:rPr>
              <w:t>Ⅲ</w:t>
            </w:r>
            <w:r>
              <w:rPr>
                <w:color w:val="000000" w:themeColor="text1"/>
                <w:highlight w:val="none"/>
                <w:lang w:val="zh-CN" w:bidi="zh-CN"/>
                <w14:textFill>
                  <w14:solidFill>
                    <w14:schemeClr w14:val="tx1"/>
                  </w14:solidFill>
                </w14:textFill>
              </w:rPr>
              <w:t>类标准</w:t>
            </w:r>
            <w:r>
              <w:rPr>
                <w:rFonts w:hint="eastAsia"/>
                <w:color w:val="000000" w:themeColor="text1"/>
                <w:highlight w:val="none"/>
                <w:lang w:val="zh-CN" w:bidi="zh-CN"/>
                <w14:textFill>
                  <w14:solidFill>
                    <w14:schemeClr w14:val="tx1"/>
                  </w14:solidFill>
                </w14:textFill>
              </w:rPr>
              <w:t>。</w:t>
            </w:r>
          </w:p>
          <w:p w14:paraId="0B2B5E3E">
            <w:pPr>
              <w:keepNext/>
              <w:keepLines/>
              <w:pageBreakBefore w:val="0"/>
              <w:widowControl w:val="0"/>
              <w:kinsoku/>
              <w:wordWrap w:val="0"/>
              <w:overflowPunct/>
              <w:topLinePunct w:val="0"/>
              <w:autoSpaceDE/>
              <w:autoSpaceDN/>
              <w:bidi w:val="0"/>
              <w:adjustRightInd/>
              <w:snapToGrid/>
              <w:spacing w:line="480" w:lineRule="exact"/>
              <w:ind w:right="0" w:firstLine="422" w:firstLineChars="200"/>
              <w:textAlignment w:val="auto"/>
              <w:outlineLvl w:val="2"/>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本项目在生产过程中无生产废水产生；工作人员由厂区人员调配，无新增生活污水产生。</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故本项目在生产过程中对区域地表水产生影响较小。</w:t>
            </w:r>
          </w:p>
          <w:p w14:paraId="6893C2AB">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③地下水、土壤环境</w:t>
            </w:r>
          </w:p>
          <w:p w14:paraId="3B57B9D0">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eastAsia"/>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本项目采取了源头控制措施和严格的分区防渗措施，可有效阻止废水下渗进入土壤或地下水含水层中</w:t>
            </w:r>
            <w:r>
              <w:rPr>
                <w:rFonts w:hint="eastAsia"/>
                <w:b/>
                <w:bCs/>
                <w:color w:val="000000" w:themeColor="text1"/>
                <w:highlight w:val="none"/>
                <w:lang w:val="en-US" w:eastAsia="zh-CN"/>
                <w14:textFill>
                  <w14:solidFill>
                    <w14:schemeClr w14:val="tx1"/>
                  </w14:solidFill>
                </w14:textFill>
              </w:rPr>
              <w:t>；本项目排放的大气污染物沥青烟、苯并[a]芘考虑大气沉降作用，本项目厂区全厂采用地面硬化，对厂区内的土壤环境影响较小，通过参考“承德泓辉双合酒业有限公司粉条白酒、粉渣饲料和变性淀粉建设项目”的土壤环境现状检测报告可知，本项目下风向处</w:t>
            </w:r>
            <w:r>
              <w:rPr>
                <w:rFonts w:hint="default"/>
                <w:b/>
                <w:bCs/>
                <w:color w:val="000000" w:themeColor="text1"/>
                <w:sz w:val="21"/>
                <w:szCs w:val="21"/>
                <w:highlight w:val="none"/>
                <w:lang w:val="en-US" w:eastAsia="zh-CN"/>
                <w14:textFill>
                  <w14:solidFill>
                    <w14:schemeClr w14:val="tx1"/>
                  </w14:solidFill>
                </w14:textFill>
              </w:rPr>
              <w:t>各项监测因子均满足《土壤环境质量建设用地土壤污染风险管控标准（试行）》（GB36600-2018）表1建设用地土壤污染风险筛选值以及表2中石油烃（C</w:t>
            </w:r>
            <w:r>
              <w:rPr>
                <w:rFonts w:hint="default"/>
                <w:b/>
                <w:bCs/>
                <w:color w:val="000000" w:themeColor="text1"/>
                <w:sz w:val="21"/>
                <w:szCs w:val="21"/>
                <w:highlight w:val="none"/>
                <w:vertAlign w:val="subscript"/>
                <w:lang w:val="en-US" w:eastAsia="zh-CN"/>
                <w14:textFill>
                  <w14:solidFill>
                    <w14:schemeClr w14:val="tx1"/>
                  </w14:solidFill>
                </w14:textFill>
              </w:rPr>
              <w:t>10</w:t>
            </w:r>
            <w:r>
              <w:rPr>
                <w:rFonts w:hint="default"/>
                <w:b/>
                <w:bCs/>
                <w:color w:val="000000" w:themeColor="text1"/>
                <w:sz w:val="21"/>
                <w:szCs w:val="21"/>
                <w:highlight w:val="none"/>
                <w:lang w:val="en-US" w:eastAsia="zh-CN"/>
                <w14:textFill>
                  <w14:solidFill>
                    <w14:schemeClr w14:val="tx1"/>
                  </w14:solidFill>
                </w14:textFill>
              </w:rPr>
              <w:t>-C</w:t>
            </w:r>
            <w:r>
              <w:rPr>
                <w:rFonts w:hint="default"/>
                <w:b/>
                <w:bCs/>
                <w:color w:val="000000" w:themeColor="text1"/>
                <w:sz w:val="21"/>
                <w:szCs w:val="21"/>
                <w:highlight w:val="none"/>
                <w:vertAlign w:val="subscript"/>
                <w:lang w:val="en-US" w:eastAsia="zh-CN"/>
                <w14:textFill>
                  <w14:solidFill>
                    <w14:schemeClr w14:val="tx1"/>
                  </w14:solidFill>
                </w14:textFill>
              </w:rPr>
              <w:t>40</w:t>
            </w:r>
            <w:r>
              <w:rPr>
                <w:rFonts w:hint="default"/>
                <w:b/>
                <w:bCs/>
                <w:color w:val="000000" w:themeColor="text1"/>
                <w:sz w:val="21"/>
                <w:szCs w:val="21"/>
                <w:highlight w:val="none"/>
                <w:lang w:val="en-US" w:eastAsia="zh-CN"/>
                <w14:textFill>
                  <w14:solidFill>
                    <w14:schemeClr w14:val="tx1"/>
                  </w14:solidFill>
                </w14:textFill>
              </w:rPr>
              <w:t>）筛选值；氨氮满足《建设用地土壤污染风险筛选值》（DB13/T5216-2022）表1中建设用地土壤污染风险筛选值的要求</w:t>
            </w:r>
            <w:r>
              <w:rPr>
                <w:rFonts w:hint="eastAsia"/>
                <w:b/>
                <w:bCs/>
                <w:color w:val="000000" w:themeColor="text1"/>
                <w:sz w:val="21"/>
                <w:szCs w:val="21"/>
                <w:highlight w:val="none"/>
                <w:lang w:val="en-US" w:eastAsia="zh-CN"/>
                <w14:textFill>
                  <w14:solidFill>
                    <w14:schemeClr w14:val="tx1"/>
                  </w14:solidFill>
                </w14:textFill>
              </w:rPr>
              <w:t>。</w:t>
            </w:r>
          </w:p>
          <w:p w14:paraId="704C00A5">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通过采取上述措施</w:t>
            </w:r>
            <w:r>
              <w:rPr>
                <w:rFonts w:hint="default"/>
                <w:b/>
                <w:bCs/>
                <w:color w:val="000000" w:themeColor="text1"/>
                <w:highlight w:val="none"/>
                <w:lang w:val="en-US" w:eastAsia="zh-CN"/>
                <w14:textFill>
                  <w14:solidFill>
                    <w14:schemeClr w14:val="tx1"/>
                  </w14:solidFill>
                </w14:textFill>
              </w:rPr>
              <w:t>，项目建设对地下水和土壤的影响可接受，</w:t>
            </w:r>
            <w:r>
              <w:rPr>
                <w:rFonts w:hint="eastAsia"/>
                <w:b/>
                <w:bCs/>
                <w:color w:val="000000" w:themeColor="text1"/>
                <w:highlight w:val="none"/>
                <w:lang w:val="en-US" w:eastAsia="zh-CN"/>
                <w14:textFill>
                  <w14:solidFill>
                    <w14:schemeClr w14:val="tx1"/>
                  </w14:solidFill>
                </w14:textFill>
              </w:rPr>
              <w:t>不会突破</w:t>
            </w:r>
            <w:r>
              <w:rPr>
                <w:rFonts w:hint="default"/>
                <w:b/>
                <w:bCs/>
                <w:color w:val="000000" w:themeColor="text1"/>
                <w:highlight w:val="none"/>
                <w:lang w:val="en-US" w:eastAsia="zh-CN"/>
                <w14:textFill>
                  <w14:solidFill>
                    <w14:schemeClr w14:val="tx1"/>
                  </w14:solidFill>
                </w14:textFill>
              </w:rPr>
              <w:t>土壤及地下水环境质量底线。</w:t>
            </w:r>
          </w:p>
          <w:p w14:paraId="55353FC7">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eastAsia" w:eastAsia="宋体"/>
                <w:color w:val="000000" w:themeColor="text1"/>
                <w:highlight w:val="none"/>
                <w:lang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因此，</w:t>
            </w:r>
            <w:r>
              <w:rPr>
                <w:rFonts w:hint="eastAsia"/>
                <w:b/>
                <w:bCs/>
                <w:color w:val="000000" w:themeColor="text1"/>
                <w:highlight w:val="none"/>
                <w:lang w:eastAsia="zh-CN"/>
                <w14:textFill>
                  <w14:solidFill>
                    <w14:schemeClr w14:val="tx1"/>
                  </w14:solidFill>
                </w14:textFill>
              </w:rPr>
              <w:t>通过采取相关环保措施，项目建设完成投产后，项目排放的污染物对评价范围内各环境要素的影响可接受，不会改变评价范围内各环境要素的环境质量要求，不会突破环境质量底线。故项目的建设符合环境质量底线的要求。</w:t>
            </w:r>
          </w:p>
          <w:p w14:paraId="4AF4AFFA">
            <w:pPr>
              <w:keepNext w:val="0"/>
              <w:keepLines w:val="0"/>
              <w:pageBreakBefore w:val="0"/>
              <w:widowControl w:val="0"/>
              <w:kinsoku/>
              <w:wordWrap w:val="0"/>
              <w:overflowPunct/>
              <w:topLinePunct w:val="0"/>
              <w:autoSpaceDE w:val="0"/>
              <w:autoSpaceDN w:val="0"/>
              <w:bidi w:val="0"/>
              <w:adjustRightInd w:val="0"/>
              <w:snapToGrid w:val="0"/>
              <w:spacing w:line="480" w:lineRule="exact"/>
              <w:jc w:val="both"/>
              <w:textAlignment w:val="auto"/>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资源利用上线</w:t>
            </w:r>
          </w:p>
          <w:p w14:paraId="03CFE795">
            <w:pPr>
              <w:keepNext/>
              <w:keepLines/>
              <w:pageBreakBefore w:val="0"/>
              <w:widowControl w:val="0"/>
              <w:kinsoku/>
              <w:wordWrap w:val="0"/>
              <w:overflowPunct/>
              <w:topLinePunct w:val="0"/>
              <w:autoSpaceDE/>
              <w:autoSpaceDN/>
              <w:bidi w:val="0"/>
              <w:adjustRightInd/>
              <w:snapToGrid/>
              <w:spacing w:line="480" w:lineRule="exact"/>
              <w:ind w:right="0" w:firstLine="420" w:firstLineChars="200"/>
              <w:textAlignment w:val="auto"/>
              <w:outlineLvl w:val="2"/>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资源是环境的载体，资源利用上线是各地区能源、水、土地等资源消耗不得突破</w:t>
            </w:r>
            <w:r>
              <w:rPr>
                <w:rFonts w:hint="eastAsia" w:ascii="宋体" w:hAnsi="宋体" w:eastAsia="宋体" w:cs="宋体"/>
                <w:color w:val="000000" w:themeColor="text1"/>
                <w:highlight w:val="none"/>
                <w:lang w:val="en-US" w:eastAsia="zh-CN"/>
                <w14:textFill>
                  <w14:solidFill>
                    <w14:schemeClr w14:val="tx1"/>
                  </w14:solidFill>
                </w14:textFill>
              </w:rPr>
              <w:t>的“天花板”</w:t>
            </w:r>
            <w:r>
              <w:rPr>
                <w:rFonts w:hint="default" w:ascii="Times New Roman" w:hAnsi="Times New Roman" w:eastAsia="宋体" w:cs="Times New Roman"/>
                <w:color w:val="000000" w:themeColor="text1"/>
                <w:highlight w:val="none"/>
                <w:lang w:val="en-US" w:eastAsia="zh-CN"/>
                <w14:textFill>
                  <w14:solidFill>
                    <w14:schemeClr w14:val="tx1"/>
                  </w14:solidFill>
                </w14:textFill>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p w14:paraId="283AAD84">
            <w:pPr>
              <w:keepNext/>
              <w:keepLines/>
              <w:pageBreakBefore w:val="0"/>
              <w:widowControl w:val="0"/>
              <w:kinsoku/>
              <w:wordWrap w:val="0"/>
              <w:overflowPunct/>
              <w:topLinePunct w:val="0"/>
              <w:autoSpaceDE/>
              <w:autoSpaceDN/>
              <w:bidi w:val="0"/>
              <w:adjustRightInd/>
              <w:snapToGrid/>
              <w:spacing w:line="480" w:lineRule="exact"/>
              <w:ind w:right="0" w:firstLine="422" w:firstLineChars="200"/>
              <w:textAlignment w:val="auto"/>
              <w:outlineLvl w:val="2"/>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本项目生产过程中无生产废水的产生，工作人员由厂区人员调配，无新增生活污水产生；本项目生产过程中主要能源为天然气，由于铣刨沥青增加，原生料用量减少，故减少相应的原生料加热所用的天然气调配置铣刨沥青加热，本项目所用天然气总量不发生变化；本项目年用电量为40万</w:t>
            </w:r>
            <w:r>
              <w:rPr>
                <w:rFonts w:hint="eastAsia" w:ascii="Times New Roman" w:hAnsi="Times New Roman"/>
                <w:b/>
                <w:bCs/>
                <w:color w:val="000000" w:themeColor="text1"/>
                <w:highlight w:val="none"/>
                <w:lang w:val="en-US" w:eastAsia="zh-CN"/>
                <w14:textFill>
                  <w14:solidFill>
                    <w14:schemeClr w14:val="tx1"/>
                  </w14:solidFill>
                </w14:textFill>
              </w:rPr>
              <w:t>kWh；本项目是在原有项目的基础上进行基础改造，无新增用地。</w:t>
            </w:r>
          </w:p>
          <w:p w14:paraId="100260B5">
            <w:pPr>
              <w:keepNext/>
              <w:keepLines/>
              <w:pageBreakBefore w:val="0"/>
              <w:widowControl w:val="0"/>
              <w:kinsoku/>
              <w:wordWrap w:val="0"/>
              <w:overflowPunct/>
              <w:topLinePunct w:val="0"/>
              <w:autoSpaceDE/>
              <w:autoSpaceDN/>
              <w:bidi w:val="0"/>
              <w:adjustRightInd/>
              <w:snapToGrid/>
              <w:spacing w:line="480" w:lineRule="exact"/>
              <w:ind w:right="0" w:firstLine="422" w:firstLineChars="200"/>
              <w:textAlignment w:val="auto"/>
              <w:outlineLvl w:val="2"/>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综上所述，</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项目资源消耗量相对区域资源利用总量较少，因此项目建设不会突破资源利用上线要求。</w:t>
            </w:r>
          </w:p>
          <w:p w14:paraId="36417F3E">
            <w:pPr>
              <w:keepNext w:val="0"/>
              <w:keepLines w:val="0"/>
              <w:pageBreakBefore w:val="0"/>
              <w:widowControl w:val="0"/>
              <w:kinsoku/>
              <w:wordWrap w:val="0"/>
              <w:overflowPunct/>
              <w:topLinePunct w:val="0"/>
              <w:autoSpaceDE/>
              <w:autoSpaceDN/>
              <w:bidi w:val="0"/>
              <w:adjustRightInd/>
              <w:snapToGrid w:val="0"/>
              <w:spacing w:line="480" w:lineRule="exact"/>
              <w:jc w:val="both"/>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4、</w:t>
            </w: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负面清单</w:t>
            </w:r>
          </w:p>
          <w:p w14:paraId="33C364D8">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480" w:lineRule="exact"/>
              <w:ind w:leftChars="0" w:firstLine="420" w:firstLineChars="200"/>
              <w:jc w:val="both"/>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环境准入负面清单是基于生态保护红线、环境质量底线和资源利用上线，以清单方式列出的禁止、限制等差别化环境准入条件和要求。</w:t>
            </w:r>
          </w:p>
          <w:p w14:paraId="4C2F87CB">
            <w:pPr>
              <w:pStyle w:val="90"/>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Style w:val="34"/>
                <w:rFonts w:hint="eastAsia"/>
                <w:b/>
                <w:i w:val="0"/>
                <w:color w:val="000000" w:themeColor="text1"/>
                <w:highlight w:val="none"/>
                <w:lang w:val="en-US" w:eastAsia="zh-CN"/>
                <w14:textFill>
                  <w14:solidFill>
                    <w14:schemeClr w14:val="tx1"/>
                  </w14:solidFill>
                </w14:textFill>
              </w:rPr>
            </w:pPr>
            <w:r>
              <w:rPr>
                <w:rStyle w:val="34"/>
                <w:rFonts w:hint="eastAsia"/>
                <w:b/>
                <w:i w:val="0"/>
                <w:color w:val="000000" w:themeColor="text1"/>
                <w:highlight w:val="none"/>
                <w:lang w:val="en-US" w:eastAsia="zh-CN"/>
                <w14:textFill>
                  <w14:solidFill>
                    <w14:schemeClr w14:val="tx1"/>
                  </w14:solidFill>
                </w14:textFill>
              </w:rPr>
              <w:t>（1）与河北省“三线一单”生态环境分区管控符合性分析</w:t>
            </w:r>
          </w:p>
          <w:p w14:paraId="55C81663">
            <w:pPr>
              <w:pStyle w:val="90"/>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Style w:val="34"/>
                <w:rFonts w:hint="eastAsia"/>
                <w:b w:val="0"/>
                <w:bCs/>
                <w:i w:val="0"/>
                <w:color w:val="000000" w:themeColor="text1"/>
                <w:highlight w:val="none"/>
                <w:lang w:val="en-US" w:eastAsia="zh-CN"/>
                <w14:textFill>
                  <w14:solidFill>
                    <w14:schemeClr w14:val="tx1"/>
                  </w14:solidFill>
                </w14:textFill>
              </w:rPr>
            </w:pPr>
            <w:r>
              <w:rPr>
                <w:rStyle w:val="34"/>
                <w:rFonts w:hint="eastAsia"/>
                <w:b w:val="0"/>
                <w:bCs/>
                <w:i w:val="0"/>
                <w:color w:val="000000" w:themeColor="text1"/>
                <w:highlight w:val="none"/>
                <w:lang w:val="en-US" w:eastAsia="zh-CN"/>
                <w14:textFill>
                  <w14:solidFill>
                    <w14:schemeClr w14:val="tx1"/>
                  </w14:solidFill>
                </w14:textFill>
              </w:rPr>
              <w:t>根据河北省“三线一单”成果数据，对比分析生态空间管控要求、环境质量底线管控要求、资源利用上线管控要求、环境管控单元与准入清单管控要求，共有3个管控区域对拟建工程有管控要求。具体详情及符合性分析见下表。</w:t>
            </w:r>
          </w:p>
          <w:p w14:paraId="3C8AAB72">
            <w:pPr>
              <w:pStyle w:val="90"/>
              <w:keepNext w:val="0"/>
              <w:keepLines w:val="0"/>
              <w:pageBreakBefore w:val="0"/>
              <w:widowControl w:val="0"/>
              <w:kinsoku/>
              <w:wordWrap w:val="0"/>
              <w:overflowPunct/>
              <w:topLinePunct w:val="0"/>
              <w:autoSpaceDE/>
              <w:autoSpaceDN/>
              <w:bidi w:val="0"/>
              <w:adjustRightInd/>
              <w:snapToGrid/>
              <w:spacing w:line="480" w:lineRule="exact"/>
              <w:ind w:left="0" w:leftChars="0" w:firstLine="0" w:firstLineChars="0"/>
              <w:jc w:val="center"/>
              <w:textAlignment w:val="auto"/>
              <w:rPr>
                <w:rStyle w:val="34"/>
                <w:rFonts w:hint="default" w:ascii="Times New Roman" w:hAnsi="Times New Roman" w:eastAsia="宋体" w:cs="Times New Roman"/>
                <w:b/>
                <w:i w:val="0"/>
                <w:color w:val="000000" w:themeColor="text1"/>
                <w:highlight w:val="none"/>
                <w:lang w:val="en-US" w:eastAsia="zh-CN"/>
                <w14:textFill>
                  <w14:solidFill>
                    <w14:schemeClr w14:val="tx1"/>
                  </w14:solidFill>
                </w14:textFill>
              </w:rPr>
            </w:pPr>
            <w:r>
              <w:rPr>
                <w:rStyle w:val="34"/>
                <w:rFonts w:hint="eastAsia" w:ascii="Times New Roman" w:hAnsi="Times New Roman" w:eastAsia="宋体" w:cs="Times New Roman"/>
                <w:b/>
                <w:i w:val="0"/>
                <w:color w:val="000000" w:themeColor="text1"/>
                <w:highlight w:val="none"/>
                <w:lang w:val="en-US" w:eastAsia="zh-CN"/>
                <w14:textFill>
                  <w14:solidFill>
                    <w14:schemeClr w14:val="tx1"/>
                  </w14:solidFill>
                </w14:textFill>
              </w:rPr>
              <w:t>表1.1-2  项目与河北省“三线一单”环境管控单元准入清单符合性分析表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163"/>
              <w:gridCol w:w="1217"/>
              <w:gridCol w:w="2814"/>
            </w:tblGrid>
            <w:tr w14:paraId="21E6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6" w:type="dxa"/>
                  <w:noWrap w:val="0"/>
                  <w:vAlign w:val="center"/>
                </w:tcPr>
                <w:p w14:paraId="1A50530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空间类型</w:t>
                  </w:r>
                </w:p>
              </w:tc>
              <w:tc>
                <w:tcPr>
                  <w:tcW w:w="3163" w:type="dxa"/>
                  <w:noWrap w:val="0"/>
                  <w:vAlign w:val="center"/>
                </w:tcPr>
                <w:p w14:paraId="318C28D2">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水环境管控分区</w:t>
                  </w:r>
                </w:p>
              </w:tc>
              <w:tc>
                <w:tcPr>
                  <w:tcW w:w="1217" w:type="dxa"/>
                  <w:noWrap w:val="0"/>
                  <w:vAlign w:val="center"/>
                </w:tcPr>
                <w:p w14:paraId="064D920B">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单元/分区类型</w:t>
                  </w:r>
                </w:p>
              </w:tc>
              <w:tc>
                <w:tcPr>
                  <w:tcW w:w="2814" w:type="dxa"/>
                  <w:noWrap w:val="0"/>
                  <w:vAlign w:val="center"/>
                </w:tcPr>
                <w:p w14:paraId="17938554">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一般管控区</w:t>
                  </w:r>
                </w:p>
              </w:tc>
            </w:tr>
            <w:tr w14:paraId="54B3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6" w:type="dxa"/>
                  <w:noWrap w:val="0"/>
                  <w:vAlign w:val="center"/>
                </w:tcPr>
                <w:p w14:paraId="2F05485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单元/分区名称</w:t>
                  </w:r>
                </w:p>
              </w:tc>
              <w:tc>
                <w:tcPr>
                  <w:tcW w:w="3163" w:type="dxa"/>
                  <w:noWrap w:val="0"/>
                  <w:vAlign w:val="center"/>
                </w:tcPr>
                <w:p w14:paraId="00588C6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蚁蚂吐河承德市围场满蒙自治县控制单元</w:t>
                  </w:r>
                </w:p>
              </w:tc>
              <w:tc>
                <w:tcPr>
                  <w:tcW w:w="1217" w:type="dxa"/>
                  <w:noWrap w:val="0"/>
                  <w:vAlign w:val="center"/>
                </w:tcPr>
                <w:p w14:paraId="21EFC40A">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单元/分区编码</w:t>
                  </w:r>
                </w:p>
              </w:tc>
              <w:tc>
                <w:tcPr>
                  <w:tcW w:w="2814" w:type="dxa"/>
                  <w:noWrap w:val="0"/>
                  <w:vAlign w:val="center"/>
                </w:tcPr>
                <w:p w14:paraId="046C9CC2">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YS1308283210219</w:t>
                  </w:r>
                </w:p>
              </w:tc>
            </w:tr>
            <w:tr w14:paraId="27C7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6" w:type="dxa"/>
                  <w:noWrap w:val="0"/>
                  <w:vAlign w:val="center"/>
                </w:tcPr>
                <w:p w14:paraId="617ECA4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地市</w:t>
                  </w:r>
                </w:p>
              </w:tc>
              <w:tc>
                <w:tcPr>
                  <w:tcW w:w="3163" w:type="dxa"/>
                  <w:noWrap w:val="0"/>
                  <w:vAlign w:val="center"/>
                </w:tcPr>
                <w:p w14:paraId="29371738">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承德市</w:t>
                  </w:r>
                </w:p>
              </w:tc>
              <w:tc>
                <w:tcPr>
                  <w:tcW w:w="1217" w:type="dxa"/>
                  <w:noWrap w:val="0"/>
                  <w:vAlign w:val="center"/>
                </w:tcPr>
                <w:p w14:paraId="57B69738">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区县</w:t>
                  </w:r>
                </w:p>
              </w:tc>
              <w:tc>
                <w:tcPr>
                  <w:tcW w:w="2814" w:type="dxa"/>
                  <w:noWrap w:val="0"/>
                  <w:vAlign w:val="center"/>
                </w:tcPr>
                <w:p w14:paraId="0E754781">
                  <w:pPr>
                    <w:keepNext w:val="0"/>
                    <w:keepLines w:val="0"/>
                    <w:pageBreakBefore w:val="0"/>
                    <w:kinsoku/>
                    <w:wordWrap w:val="0"/>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围场满族蒙古族自治县</w:t>
                  </w:r>
                </w:p>
              </w:tc>
            </w:tr>
            <w:tr w14:paraId="3F2A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10" w:type="dxa"/>
                  <w:gridSpan w:val="4"/>
                  <w:noWrap w:val="0"/>
                  <w:vAlign w:val="center"/>
                </w:tcPr>
                <w:p w14:paraId="2CEE8D52">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管控要求</w:t>
                  </w:r>
                </w:p>
                <w:p w14:paraId="2AC40CFA">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空间布局约束</w:t>
                  </w:r>
                </w:p>
                <w:p w14:paraId="5643A8CD">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参照全省总体准入要求</w:t>
                  </w:r>
                </w:p>
                <w:p w14:paraId="59408C9A">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污染排放管控</w:t>
                  </w:r>
                </w:p>
                <w:p w14:paraId="53564311">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参照全省总体准入要求</w:t>
                  </w:r>
                </w:p>
                <w:p w14:paraId="319A1BF6">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环境风险防控</w:t>
                  </w:r>
                </w:p>
                <w:p w14:paraId="4C3AEED5">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参照全省总体准入要求</w:t>
                  </w:r>
                </w:p>
                <w:p w14:paraId="5A2AAE37">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资源利用效率</w:t>
                  </w:r>
                </w:p>
                <w:p w14:paraId="7F64F458">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参照全省总体准入要求</w:t>
                  </w:r>
                </w:p>
              </w:tc>
            </w:tr>
            <w:tr w14:paraId="3050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10" w:type="dxa"/>
                  <w:gridSpan w:val="4"/>
                  <w:noWrap w:val="0"/>
                  <w:vAlign w:val="center"/>
                </w:tcPr>
                <w:p w14:paraId="5D79FBD4">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符合性分析</w:t>
                  </w:r>
                </w:p>
                <w:p w14:paraId="7BEBA757">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根据《河北省人民政府关于加快实施“三线一单”生态环境分区管控意见》中对一般管控单元的要求，要严格执行国家和省关于产业准入、总量控制和污染物排放标准等管控措施。通过分析，本项目符合围场满族蒙古族自治县产业准入要求，并且本项目建成后污染物的排放量小于原有项目的总量控制指标。</w:t>
                  </w:r>
                </w:p>
              </w:tc>
            </w:tr>
            <w:tr w14:paraId="184E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6" w:type="dxa"/>
                  <w:noWrap w:val="0"/>
                  <w:vAlign w:val="center"/>
                </w:tcPr>
                <w:p w14:paraId="602BD198">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空间类型</w:t>
                  </w:r>
                </w:p>
              </w:tc>
              <w:tc>
                <w:tcPr>
                  <w:tcW w:w="3163" w:type="dxa"/>
                  <w:noWrap w:val="0"/>
                  <w:vAlign w:val="center"/>
                </w:tcPr>
                <w:p w14:paraId="3DFBBECA">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大气环境管控分区</w:t>
                  </w:r>
                </w:p>
              </w:tc>
              <w:tc>
                <w:tcPr>
                  <w:tcW w:w="1217" w:type="dxa"/>
                  <w:noWrap w:val="0"/>
                  <w:vAlign w:val="center"/>
                </w:tcPr>
                <w:p w14:paraId="6A09528F">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单元/分区类型</w:t>
                  </w:r>
                </w:p>
              </w:tc>
              <w:tc>
                <w:tcPr>
                  <w:tcW w:w="2814" w:type="dxa"/>
                  <w:noWrap w:val="0"/>
                  <w:vAlign w:val="center"/>
                </w:tcPr>
                <w:p w14:paraId="43DEA77F">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一般管控区</w:t>
                  </w:r>
                </w:p>
              </w:tc>
            </w:tr>
            <w:tr w14:paraId="35EB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6" w:type="dxa"/>
                  <w:noWrap w:val="0"/>
                  <w:vAlign w:val="center"/>
                </w:tcPr>
                <w:p w14:paraId="43ADAAFA">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单元/分区名称</w:t>
                  </w:r>
                </w:p>
              </w:tc>
              <w:tc>
                <w:tcPr>
                  <w:tcW w:w="3163" w:type="dxa"/>
                  <w:noWrap w:val="0"/>
                  <w:vAlign w:val="center"/>
                </w:tcPr>
                <w:p w14:paraId="7CAD7A53">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p>
              </w:tc>
              <w:tc>
                <w:tcPr>
                  <w:tcW w:w="1217" w:type="dxa"/>
                  <w:noWrap w:val="0"/>
                  <w:vAlign w:val="center"/>
                </w:tcPr>
                <w:p w14:paraId="39E54F1D">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单元/分区编码</w:t>
                  </w:r>
                </w:p>
              </w:tc>
              <w:tc>
                <w:tcPr>
                  <w:tcW w:w="2814" w:type="dxa"/>
                  <w:noWrap w:val="0"/>
                  <w:vAlign w:val="center"/>
                </w:tcPr>
                <w:p w14:paraId="4443AAD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YS1308283310104</w:t>
                  </w:r>
                </w:p>
              </w:tc>
            </w:tr>
            <w:tr w14:paraId="4A90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6" w:type="dxa"/>
                  <w:noWrap w:val="0"/>
                  <w:vAlign w:val="center"/>
                </w:tcPr>
                <w:p w14:paraId="506C5EEE">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地市</w:t>
                  </w:r>
                </w:p>
              </w:tc>
              <w:tc>
                <w:tcPr>
                  <w:tcW w:w="3163" w:type="dxa"/>
                  <w:noWrap w:val="0"/>
                  <w:vAlign w:val="center"/>
                </w:tcPr>
                <w:p w14:paraId="2B441B89">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承德市</w:t>
                  </w:r>
                </w:p>
              </w:tc>
              <w:tc>
                <w:tcPr>
                  <w:tcW w:w="1217" w:type="dxa"/>
                  <w:noWrap w:val="0"/>
                  <w:vAlign w:val="center"/>
                </w:tcPr>
                <w:p w14:paraId="4D7B44C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区县</w:t>
                  </w:r>
                </w:p>
              </w:tc>
              <w:tc>
                <w:tcPr>
                  <w:tcW w:w="2814" w:type="dxa"/>
                  <w:noWrap w:val="0"/>
                  <w:vAlign w:val="center"/>
                </w:tcPr>
                <w:p w14:paraId="10E4AAE7">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围场满族蒙古族自治县</w:t>
                  </w:r>
                </w:p>
              </w:tc>
            </w:tr>
            <w:tr w14:paraId="3758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10" w:type="dxa"/>
                  <w:gridSpan w:val="4"/>
                  <w:noWrap w:val="0"/>
                  <w:vAlign w:val="center"/>
                </w:tcPr>
                <w:p w14:paraId="600B83A1">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管控要求</w:t>
                  </w:r>
                </w:p>
                <w:p w14:paraId="4B6485FB">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空间布局约束</w:t>
                  </w:r>
                </w:p>
                <w:p w14:paraId="2C6FC0E8">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w:t>
                  </w:r>
                </w:p>
                <w:p w14:paraId="1476D659">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污染排放管控</w:t>
                  </w:r>
                </w:p>
                <w:p w14:paraId="32692827">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严格落实蓝天保卫战专项行动要求，加强锅炉、散煤、工业、交通及扬尘等管控。</w:t>
                  </w:r>
                </w:p>
                <w:p w14:paraId="0F0DE259">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环境风险防控</w:t>
                  </w:r>
                </w:p>
                <w:p w14:paraId="7DCE01C4">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p w14:paraId="3C72EA7C">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资源利用效率</w:t>
                  </w:r>
                </w:p>
                <w:p w14:paraId="6B93051C">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w:t>
                  </w:r>
                </w:p>
              </w:tc>
            </w:tr>
            <w:tr w14:paraId="2B78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10" w:type="dxa"/>
                  <w:gridSpan w:val="4"/>
                  <w:noWrap w:val="0"/>
                  <w:vAlign w:val="center"/>
                </w:tcPr>
                <w:p w14:paraId="097B067D">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符合性分析</w:t>
                  </w:r>
                </w:p>
                <w:p w14:paraId="05327B81">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污染排放管控</w:t>
                  </w:r>
                </w:p>
                <w:p w14:paraId="2905A4A4">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本项目</w:t>
                  </w:r>
                  <w:r>
                    <w:rPr>
                      <w:rFonts w:hint="eastAsia"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铣刨沥青和冷骨料加热采用天然气燃烧器，其颗粒物、二氧化硫、氮氧化物和烟气黑度的排放限值满足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《工业炉窑大气污染物排放标准》（DB13/1640-2012）表1、表2中新建炉窑标准并同时满足《承德市工业炉窑综合治理实施方案》（承环办[2020]72 号）中相关限值中的相关要求；原有项目沥青采用导热油炉加热，锅炉二氧化硫、氮氧化物</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颗粒物</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和烟气黑度</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的排放满足《锅炉大气污染物排放标准》（DB13/5161-2020）中相关限值要求。</w:t>
                  </w:r>
                </w:p>
              </w:tc>
            </w:tr>
            <w:tr w14:paraId="680A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6" w:type="dxa"/>
                  <w:noWrap w:val="0"/>
                  <w:vAlign w:val="center"/>
                </w:tcPr>
                <w:p w14:paraId="7C380639">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空间类型</w:t>
                  </w:r>
                </w:p>
              </w:tc>
              <w:tc>
                <w:tcPr>
                  <w:tcW w:w="3163" w:type="dxa"/>
                  <w:noWrap w:val="0"/>
                  <w:vAlign w:val="center"/>
                </w:tcPr>
                <w:p w14:paraId="4A5C4345">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p>
              </w:tc>
              <w:tc>
                <w:tcPr>
                  <w:tcW w:w="1217" w:type="dxa"/>
                  <w:noWrap w:val="0"/>
                  <w:vAlign w:val="center"/>
                </w:tcPr>
                <w:p w14:paraId="07B51166">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单元/分区类型</w:t>
                  </w:r>
                </w:p>
              </w:tc>
              <w:tc>
                <w:tcPr>
                  <w:tcW w:w="2814" w:type="dxa"/>
                  <w:noWrap w:val="0"/>
                  <w:vAlign w:val="center"/>
                </w:tcPr>
                <w:p w14:paraId="4B68084C">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一般</w:t>
                  </w: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管控单元</w:t>
                  </w:r>
                </w:p>
              </w:tc>
            </w:tr>
            <w:tr w14:paraId="1213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6" w:type="dxa"/>
                  <w:noWrap w:val="0"/>
                  <w:vAlign w:val="center"/>
                </w:tcPr>
                <w:p w14:paraId="0C037E47">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单元/分区名称</w:t>
                  </w:r>
                </w:p>
              </w:tc>
              <w:tc>
                <w:tcPr>
                  <w:tcW w:w="3163" w:type="dxa"/>
                  <w:noWrap w:val="0"/>
                  <w:vAlign w:val="center"/>
                </w:tcPr>
                <w:p w14:paraId="7BA5304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ascii="宋体" w:hAnsi="宋体" w:eastAsia="宋体"/>
                      <w:color w:val="000000" w:themeColor="text1"/>
                      <w:highlight w:val="none"/>
                      <w14:textFill>
                        <w14:solidFill>
                          <w14:schemeClr w14:val="tx1"/>
                        </w14:solidFill>
                      </w14:textFill>
                    </w:rPr>
                    <w:t>河北省承德市围场满族蒙古族自治县一般管控单元1</w:t>
                  </w:r>
                </w:p>
              </w:tc>
              <w:tc>
                <w:tcPr>
                  <w:tcW w:w="1217" w:type="dxa"/>
                  <w:noWrap w:val="0"/>
                  <w:vAlign w:val="center"/>
                </w:tcPr>
                <w:p w14:paraId="5DA70A1E">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单元/分区编码</w:t>
                  </w:r>
                </w:p>
              </w:tc>
              <w:tc>
                <w:tcPr>
                  <w:tcW w:w="2814" w:type="dxa"/>
                  <w:noWrap w:val="0"/>
                  <w:vAlign w:val="center"/>
                </w:tcPr>
                <w:p w14:paraId="48213042">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ZH13082830001</w:t>
                  </w:r>
                </w:p>
              </w:tc>
            </w:tr>
            <w:tr w14:paraId="65FD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16" w:type="dxa"/>
                  <w:noWrap w:val="0"/>
                  <w:vAlign w:val="center"/>
                </w:tcPr>
                <w:p w14:paraId="561EBF5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地市</w:t>
                  </w:r>
                </w:p>
              </w:tc>
              <w:tc>
                <w:tcPr>
                  <w:tcW w:w="3163" w:type="dxa"/>
                  <w:noWrap w:val="0"/>
                  <w:vAlign w:val="center"/>
                </w:tcPr>
                <w:p w14:paraId="513ED5E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承德市</w:t>
                  </w:r>
                </w:p>
              </w:tc>
              <w:tc>
                <w:tcPr>
                  <w:tcW w:w="1217" w:type="dxa"/>
                  <w:noWrap w:val="0"/>
                  <w:vAlign w:val="center"/>
                </w:tcPr>
                <w:p w14:paraId="46D1B0DB">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bCs/>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区县</w:t>
                  </w:r>
                </w:p>
              </w:tc>
              <w:tc>
                <w:tcPr>
                  <w:tcW w:w="2814" w:type="dxa"/>
                  <w:noWrap w:val="0"/>
                  <w:vAlign w:val="center"/>
                </w:tcPr>
                <w:p w14:paraId="079E560D">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ascii="宋体" w:hAnsi="宋体" w:eastAsia="宋体"/>
                      <w:color w:val="000000" w:themeColor="text1"/>
                      <w:highlight w:val="none"/>
                      <w14:textFill>
                        <w14:solidFill>
                          <w14:schemeClr w14:val="tx1"/>
                        </w14:solidFill>
                      </w14:textFill>
                    </w:rPr>
                    <w:t>围场满族蒙古族自治县</w:t>
                  </w:r>
                </w:p>
              </w:tc>
            </w:tr>
            <w:tr w14:paraId="7450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10" w:type="dxa"/>
                  <w:gridSpan w:val="4"/>
                  <w:noWrap w:val="0"/>
                  <w:vAlign w:val="center"/>
                </w:tcPr>
                <w:p w14:paraId="00512561">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管控要求</w:t>
                  </w:r>
                </w:p>
                <w:p w14:paraId="1EC04A5A">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空间布局约束</w:t>
                  </w:r>
                </w:p>
                <w:p w14:paraId="084BDF06">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现有产能应引导向产业园区集聚，避免分散布局。贯彻实施国家、河北省大气污染物排放标准，完善脱硫、脱硝、除尘等污染治理设施，实现达标排放。重点控制新增产能，加强项目论证，优先在相关产业集聚区布局，新增项目应满足环境准入条件，实现集约高效发展。</w:t>
                  </w:r>
                </w:p>
                <w:p w14:paraId="2978231B">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2、在沙化土地范围内从事开发建设活动的，必须事先就该项目可能对当地及相关地区生态产生的影响进行环境影响评价，依法提交环境影响报告；环境影响报告应当包括有关防沙治沙的内容。</w:t>
                  </w:r>
                </w:p>
                <w:p w14:paraId="1DAE4550">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污染排放管控</w:t>
                  </w:r>
                </w:p>
                <w:p w14:paraId="7CE8FB4D">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1、水环境一般管控区应注重控制新增产能水环境污染物控制，实施水污染排放项目与污水处理设施同步规划、同步建设，严格控制水环境高风险类项目准入。执行通用型水环境准入管控清单</w:t>
                  </w: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w:t>
                  </w:r>
                </w:p>
                <w:p w14:paraId="5162D59D">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环境风险防控</w:t>
                  </w:r>
                </w:p>
                <w:p w14:paraId="57AD468D">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1、矿山企业应当依据国家有关规定编制矿山生态环境保护与恢复治理等方案，严格履行责任义务，边开采、边治理、边恢复；依法依规有序退出的矿山及时进行生态评估并实施生态恢复。</w:t>
                  </w:r>
                </w:p>
                <w:p w14:paraId="2C79B558">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资源利用效率</w:t>
                  </w:r>
                </w:p>
                <w:p w14:paraId="3C760438">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1、按照宜乔则乔、宜灌则灌、宜草则草，乔灌草结合的原则，因地制宜开展沙地治理。</w:t>
                  </w:r>
                </w:p>
              </w:tc>
            </w:tr>
            <w:tr w14:paraId="1B55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410" w:type="dxa"/>
                  <w:gridSpan w:val="4"/>
                  <w:noWrap w:val="0"/>
                  <w:vAlign w:val="center"/>
                </w:tcPr>
                <w:p w14:paraId="46A760DD">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符合性分析</w:t>
                  </w:r>
                </w:p>
                <w:p w14:paraId="4F54E47B">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空间布局约束</w:t>
                  </w:r>
                </w:p>
                <w:p w14:paraId="2330E274">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1.本项目</w:t>
                  </w:r>
                  <w:r>
                    <w:rPr>
                      <w:rFonts w:hint="eastAsia"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天然气</w:t>
                  </w:r>
                  <w:r>
                    <w:rPr>
                      <w:rFonts w:hint="eastAsia" w:cs="Times New Roman"/>
                      <w:b w:val="0"/>
                      <w:bCs w:val="0"/>
                      <w:color w:val="000000" w:themeColor="text1"/>
                      <w:sz w:val="21"/>
                      <w:szCs w:val="21"/>
                      <w:highlight w:val="none"/>
                      <w:lang w:val="en-US" w:eastAsia="zh-CN"/>
                      <w14:textFill>
                        <w14:solidFill>
                          <w14:schemeClr w14:val="tx1"/>
                        </w14:solidFill>
                      </w14:textFill>
                    </w:rPr>
                    <w:t>燃烧器采用低氮燃烧器，产生的废气</w:t>
                  </w:r>
                  <w:r>
                    <w:rPr>
                      <w:rFonts w:hint="eastAsia" w:cs="Times New Roman"/>
                      <w:color w:val="000000" w:themeColor="text1"/>
                      <w:sz w:val="21"/>
                      <w:szCs w:val="21"/>
                      <w:highlight w:val="none"/>
                      <w:lang w:val="en-US" w:eastAsia="zh-CN"/>
                      <w14:textFill>
                        <w14:solidFill>
                          <w14:schemeClr w14:val="tx1"/>
                        </w14:solidFill>
                      </w14:textFill>
                    </w:rPr>
                    <w:t>进入</w:t>
                  </w:r>
                  <w:r>
                    <w:rPr>
                      <w:rFonts w:hint="default" w:eastAsia="宋体" w:cs="Times New Roman"/>
                      <w:color w:val="000000" w:themeColor="text1"/>
                      <w:sz w:val="21"/>
                      <w:szCs w:val="21"/>
                      <w:highlight w:val="none"/>
                      <w:lang w:val="en-US" w:eastAsia="zh-CN"/>
                      <w14:textFill>
                        <w14:solidFill>
                          <w14:schemeClr w14:val="tx1"/>
                        </w14:solidFill>
                      </w14:textFill>
                    </w:rPr>
                    <w:t>布袋除尘器</w:t>
                  </w:r>
                  <w:r>
                    <w:rPr>
                      <w:rFonts w:hint="eastAsia" w:cs="Times New Roman"/>
                      <w:color w:val="000000" w:themeColor="text1"/>
                      <w:sz w:val="21"/>
                      <w:szCs w:val="21"/>
                      <w:highlight w:val="none"/>
                      <w:lang w:val="en-US" w:eastAsia="zh-CN"/>
                      <w14:textFill>
                        <w14:solidFill>
                          <w14:schemeClr w14:val="tx1"/>
                        </w14:solidFill>
                      </w14:textFill>
                    </w:rPr>
                    <w:t>处理</w:t>
                  </w:r>
                  <w:r>
                    <w:rPr>
                      <w:rFonts w:hint="eastAsia" w:cs="Times New Roman"/>
                      <w:b w:val="0"/>
                      <w:bCs w:val="0"/>
                      <w:color w:val="000000" w:themeColor="text1"/>
                      <w:sz w:val="21"/>
                      <w:szCs w:val="21"/>
                      <w:highlight w:val="none"/>
                      <w:lang w:val="en-US" w:eastAsia="zh-CN"/>
                      <w14:textFill>
                        <w14:solidFill>
                          <w14:schemeClr w14:val="tx1"/>
                        </w14:solidFill>
                      </w14:textFill>
                    </w:rPr>
                    <w:t>，通过一根15m高的排气筒排放（DA001），颗粒物、二氧化硫、氮氧化物的排放限值满足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《工业炉窑大气污染物排放标准》（DB13/1640-2012）表1、表2中新建炉窑标准并同时满足《承德市工业炉窑综合治理实施方案》（承环办[2020]72 号）中相关限值中的相关要求</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原有项目沥青采用导热油炉加热，锅炉二氧化硫、氮氧化物和颗粒物的排放满足《锅炉大气污染物排放标准》（DB13/5161-2020）中相关限值要求。</w:t>
                  </w:r>
                </w:p>
                <w:p w14:paraId="2B274A4B">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2.本项目未在沙化土地范围内。</w:t>
                  </w:r>
                </w:p>
                <w:p w14:paraId="27B0ACBB">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污染排放管控</w:t>
                  </w:r>
                </w:p>
                <w:p w14:paraId="70656D10">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本项目生产过程中无生产废水产生，项目员工由场内员工调配，无新增工作人员，无新增生活污水产生。</w:t>
                  </w:r>
                </w:p>
                <w:p w14:paraId="3F4B9672">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环境风险防控</w:t>
                  </w:r>
                </w:p>
                <w:p w14:paraId="077AEEC0">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t>本项目不属于矿山类项目。</w:t>
                  </w:r>
                </w:p>
                <w:p w14:paraId="1F4B2984">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资源利用效率</w:t>
                  </w:r>
                </w:p>
                <w:p w14:paraId="71EAA695">
                  <w:pPr>
                    <w:keepNext w:val="0"/>
                    <w:keepLines w:val="0"/>
                    <w:pageBreakBefore w:val="0"/>
                    <w:widowControl/>
                    <w:numPr>
                      <w:ilvl w:val="0"/>
                      <w:numId w:val="0"/>
                    </w:numPr>
                    <w:kinsoku/>
                    <w:wordWrap w:val="0"/>
                    <w:overflowPunct/>
                    <w:topLinePunct w:val="0"/>
                    <w:autoSpaceDE/>
                    <w:autoSpaceDN/>
                    <w:bidi w:val="0"/>
                    <w:adjustRightInd/>
                    <w:snapToGrid/>
                    <w:spacing w:line="320" w:lineRule="exact"/>
                    <w:jc w:val="left"/>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待项目建设完成后，进行厂区绿化，种植灌木等，对周边生态环境进行恢复治理。</w:t>
                  </w:r>
                </w:p>
              </w:tc>
            </w:tr>
          </w:tbl>
          <w:p w14:paraId="564823CB">
            <w:pPr>
              <w:pStyle w:val="90"/>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Style w:val="34"/>
                <w:rFonts w:hint="eastAsia"/>
                <w:b/>
                <w:i w:val="0"/>
                <w:color w:val="000000" w:themeColor="text1"/>
                <w:highlight w:val="none"/>
                <w:lang w:val="en-US" w:eastAsia="zh-CN"/>
                <w14:textFill>
                  <w14:solidFill>
                    <w14:schemeClr w14:val="tx1"/>
                  </w14:solidFill>
                </w14:textFill>
              </w:rPr>
            </w:pPr>
            <w:r>
              <w:rPr>
                <w:rStyle w:val="34"/>
                <w:rFonts w:hint="eastAsia"/>
                <w:b/>
                <w:i w:val="0"/>
                <w:color w:val="000000" w:themeColor="text1"/>
                <w:highlight w:val="none"/>
                <w:lang w:val="en-US" w:eastAsia="zh-CN"/>
                <w14:textFill>
                  <w14:solidFill>
                    <w14:schemeClr w14:val="tx1"/>
                  </w14:solidFill>
                </w14:textFill>
              </w:rPr>
              <w:t>（2）</w:t>
            </w:r>
            <w:r>
              <w:rPr>
                <w:rFonts w:hint="eastAsia"/>
                <w:b/>
                <w:bCs/>
                <w:color w:val="000000" w:themeColor="text1"/>
                <w:highlight w:val="none"/>
                <w:lang w:val="en-US" w:eastAsia="zh-CN"/>
                <w14:textFill>
                  <w14:solidFill>
                    <w14:schemeClr w14:val="tx1"/>
                  </w14:solidFill>
                </w14:textFill>
              </w:rPr>
              <w:t>与承德市“三线一单”生态环境准入清单符合性分析</w:t>
            </w:r>
          </w:p>
          <w:p w14:paraId="43D8BBF4">
            <w:pPr>
              <w:pageBreakBefore w:val="0"/>
              <w:kinsoku/>
              <w:wordWrap w:val="0"/>
              <w:overflowPunct/>
              <w:autoSpaceDE w:val="0"/>
              <w:autoSpaceDN w:val="0"/>
              <w:bidi w:val="0"/>
              <w:adjustRightInd w:val="0"/>
              <w:snapToGrid w:val="0"/>
              <w:spacing w:line="480" w:lineRule="exact"/>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承德市人民政府关于加快实施“三线一单”生态环境分区管控的意见》中环境管控单元分为优先保护、重点管控和一般管控单元三类。其中，①优先保护单元，主要包括生态保护红线，各类自然保护地、饮用水水源保护区及其他重要生态功能区等一般生态空间；②重点管控单元，主要包括城市规划区、省级以上产业园区和开发强度高、污染物排放强度大、环境问题较为突出的区域等；③一般管控单元，优先保护单元和重点管控单元之外的其他区域。</w:t>
            </w:r>
          </w:p>
          <w:p w14:paraId="20CA068B">
            <w:pPr>
              <w:pageBreakBefore w:val="0"/>
              <w:kinsoku/>
              <w:wordWrap w:val="0"/>
              <w:overflowPunct/>
              <w:autoSpaceDE w:val="0"/>
              <w:autoSpaceDN w:val="0"/>
              <w:bidi w:val="0"/>
              <w:adjustRightInd w:val="0"/>
              <w:snapToGrid w:val="0"/>
              <w:spacing w:line="480" w:lineRule="exact"/>
              <w:ind w:firstLine="420" w:firstLineChars="200"/>
              <w:jc w:val="left"/>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本项目位于围场满族蒙古族自治县牌楼乡于家湾村，</w:t>
            </w:r>
            <w:r>
              <w:rPr>
                <w:rFonts w:hint="eastAsia"/>
                <w:color w:val="000000" w:themeColor="text1"/>
                <w:highlight w:val="none"/>
                <w:lang w:val="en-US" w:eastAsia="zh-CN"/>
                <w14:textFill>
                  <w14:solidFill>
                    <w14:schemeClr w14:val="tx1"/>
                  </w14:solidFill>
                </w14:textFill>
              </w:rPr>
              <w:t>对照</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承德市生态准入清单</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2023年版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及承德市环境管控单元图，</w:t>
            </w:r>
            <w:r>
              <w:rPr>
                <w:color w:val="000000" w:themeColor="text1"/>
                <w:highlight w:val="none"/>
                <w14:textFill>
                  <w14:solidFill>
                    <w14:schemeClr w14:val="tx1"/>
                  </w14:solidFill>
                </w14:textFill>
              </w:rPr>
              <w:t>根据</w:t>
            </w:r>
            <w:r>
              <w:rPr>
                <w:rFonts w:hint="eastAsia"/>
                <w:color w:val="000000" w:themeColor="text1"/>
                <w:highlight w:val="none"/>
                <w:lang w:val="en-US" w:eastAsia="zh-CN"/>
                <w14:textFill>
                  <w14:solidFill>
                    <w14:schemeClr w14:val="tx1"/>
                  </w14:solidFill>
                </w14:textFill>
              </w:rPr>
              <w:t>2024</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4月印发的</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承德市生态准入清单</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2023年版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，项目选址位于承德市环境管控单元中</w:t>
            </w:r>
            <w:r>
              <w:rPr>
                <w:rFonts w:hint="eastAsia"/>
                <w:color w:val="000000" w:themeColor="text1"/>
                <w:highlight w:val="none"/>
                <w:lang w:val="en-US" w:eastAsia="zh-CN"/>
                <w14:textFill>
                  <w14:solidFill>
                    <w14:schemeClr w14:val="tx1"/>
                  </w14:solidFill>
                </w14:textFill>
              </w:rPr>
              <w:t>一般管控单元：ZH13082830001，项目环境管控单元准入清单符合性分析，判定内容如下表</w:t>
            </w:r>
            <w:r>
              <w:rPr>
                <w:rFonts w:hint="eastAsia"/>
                <w:color w:val="000000" w:themeColor="text1"/>
                <w:highlight w:val="none"/>
                <w:lang w:eastAsia="zh-CN"/>
                <w14:textFill>
                  <w14:solidFill>
                    <w14:schemeClr w14:val="tx1"/>
                  </w14:solidFill>
                </w14:textFill>
              </w:rPr>
              <w:t>：</w:t>
            </w:r>
          </w:p>
          <w:p w14:paraId="5FEAE26E">
            <w:pPr>
              <w:pStyle w:val="38"/>
              <w:keepNext w:val="0"/>
              <w:keepLines w:val="0"/>
              <w:pageBreakBefore w:val="0"/>
              <w:widowControl w:val="0"/>
              <w:kinsoku/>
              <w:wordWrap w:val="0"/>
              <w:overflowPunct/>
              <w:topLinePunct w:val="0"/>
              <w:autoSpaceDE w:val="0"/>
              <w:autoSpaceDN w:val="0"/>
              <w:bidi w:val="0"/>
              <w:adjustRightInd w:val="0"/>
              <w:snapToGrid/>
              <w:spacing w:line="480" w:lineRule="exact"/>
              <w:ind w:firstLine="0" w:firstLineChars="0"/>
              <w:jc w:val="center"/>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表1-3 项目环境管控单元准入清单符合性分析表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420"/>
              <w:gridCol w:w="449"/>
              <w:gridCol w:w="404"/>
              <w:gridCol w:w="435"/>
              <w:gridCol w:w="480"/>
              <w:gridCol w:w="420"/>
              <w:gridCol w:w="345"/>
              <w:gridCol w:w="2520"/>
              <w:gridCol w:w="2175"/>
              <w:gridCol w:w="332"/>
            </w:tblGrid>
            <w:tr w14:paraId="278E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8" w:type="dxa"/>
                  <w:noWrap w:val="0"/>
                  <w:vAlign w:val="center"/>
                </w:tcPr>
                <w:p w14:paraId="5461D1F2">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编号</w:t>
                  </w:r>
                </w:p>
              </w:tc>
              <w:tc>
                <w:tcPr>
                  <w:tcW w:w="420" w:type="dxa"/>
                  <w:noWrap w:val="0"/>
                  <w:vAlign w:val="center"/>
                </w:tcPr>
                <w:p w14:paraId="5EC7BA44">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省</w:t>
                  </w:r>
                </w:p>
              </w:tc>
              <w:tc>
                <w:tcPr>
                  <w:tcW w:w="449" w:type="dxa"/>
                  <w:noWrap w:val="0"/>
                  <w:vAlign w:val="center"/>
                </w:tcPr>
                <w:p w14:paraId="072022D1">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市</w:t>
                  </w:r>
                </w:p>
              </w:tc>
              <w:tc>
                <w:tcPr>
                  <w:tcW w:w="404" w:type="dxa"/>
                  <w:noWrap w:val="0"/>
                  <w:vAlign w:val="center"/>
                </w:tcPr>
                <w:p w14:paraId="03751FCD">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县</w:t>
                  </w:r>
                </w:p>
              </w:tc>
              <w:tc>
                <w:tcPr>
                  <w:tcW w:w="435" w:type="dxa"/>
                  <w:noWrap w:val="0"/>
                  <w:vAlign w:val="center"/>
                </w:tcPr>
                <w:p w14:paraId="78380B09">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涉及乡镇</w:t>
                  </w:r>
                </w:p>
              </w:tc>
              <w:tc>
                <w:tcPr>
                  <w:tcW w:w="480" w:type="dxa"/>
                  <w:noWrap w:val="0"/>
                  <w:vAlign w:val="center"/>
                </w:tcPr>
                <w:p w14:paraId="4929FDB9">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管控类型</w:t>
                  </w:r>
                </w:p>
              </w:tc>
              <w:tc>
                <w:tcPr>
                  <w:tcW w:w="420" w:type="dxa"/>
                  <w:noWrap w:val="0"/>
                  <w:vAlign w:val="center"/>
                </w:tcPr>
                <w:p w14:paraId="4E455EB3">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环境要素类别</w:t>
                  </w:r>
                </w:p>
              </w:tc>
              <w:tc>
                <w:tcPr>
                  <w:tcW w:w="345" w:type="dxa"/>
                  <w:noWrap w:val="0"/>
                  <w:vAlign w:val="center"/>
                </w:tcPr>
                <w:p w14:paraId="72CDAFFF">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维度</w:t>
                  </w:r>
                </w:p>
              </w:tc>
              <w:tc>
                <w:tcPr>
                  <w:tcW w:w="2520" w:type="dxa"/>
                  <w:noWrap w:val="0"/>
                  <w:vAlign w:val="center"/>
                </w:tcPr>
                <w:p w14:paraId="3D339307">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管控措施</w:t>
                  </w:r>
                </w:p>
              </w:tc>
              <w:tc>
                <w:tcPr>
                  <w:tcW w:w="2175" w:type="dxa"/>
                  <w:noWrap w:val="0"/>
                  <w:vAlign w:val="center"/>
                </w:tcPr>
                <w:p w14:paraId="717CB62C">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工程情况</w:t>
                  </w:r>
                </w:p>
              </w:tc>
              <w:tc>
                <w:tcPr>
                  <w:tcW w:w="332" w:type="dxa"/>
                  <w:noWrap w:val="0"/>
                  <w:vAlign w:val="center"/>
                </w:tcPr>
                <w:p w14:paraId="6928706B">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w:t>
                  </w:r>
                </w:p>
              </w:tc>
            </w:tr>
            <w:tr w14:paraId="6A6C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8" w:type="dxa"/>
                  <w:vMerge w:val="restart"/>
                  <w:noWrap w:val="0"/>
                  <w:vAlign w:val="center"/>
                </w:tcPr>
                <w:p w14:paraId="5AC7EFA4">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ZH</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130828</w:t>
                  </w:r>
                  <w:r>
                    <w:rPr>
                      <w:rFonts w:hint="eastAsia" w:cs="Times New Roman"/>
                      <w:color w:val="000000" w:themeColor="text1"/>
                      <w:sz w:val="21"/>
                      <w:szCs w:val="21"/>
                      <w:highlight w:val="none"/>
                      <w:lang w:val="en-US" w:eastAsia="zh-CN"/>
                      <w14:textFill>
                        <w14:solidFill>
                          <w14:schemeClr w14:val="tx1"/>
                        </w14:solidFill>
                      </w14:textFill>
                    </w:rPr>
                    <w:t>30001</w:t>
                  </w:r>
                </w:p>
              </w:tc>
              <w:tc>
                <w:tcPr>
                  <w:tcW w:w="420" w:type="dxa"/>
                  <w:vMerge w:val="restart"/>
                  <w:noWrap w:val="0"/>
                  <w:vAlign w:val="center"/>
                </w:tcPr>
                <w:p w14:paraId="68492687">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河北省</w:t>
                  </w:r>
                </w:p>
              </w:tc>
              <w:tc>
                <w:tcPr>
                  <w:tcW w:w="449" w:type="dxa"/>
                  <w:vMerge w:val="restart"/>
                  <w:noWrap w:val="0"/>
                  <w:vAlign w:val="center"/>
                </w:tcPr>
                <w:p w14:paraId="0721580C">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承德市</w:t>
                  </w:r>
                </w:p>
              </w:tc>
              <w:tc>
                <w:tcPr>
                  <w:tcW w:w="404" w:type="dxa"/>
                  <w:vMerge w:val="restart"/>
                  <w:noWrap w:val="0"/>
                  <w:vAlign w:val="center"/>
                </w:tcPr>
                <w:p w14:paraId="3C2565EF">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围场满族蒙古族自治县</w:t>
                  </w:r>
                </w:p>
              </w:tc>
              <w:tc>
                <w:tcPr>
                  <w:tcW w:w="435" w:type="dxa"/>
                  <w:vMerge w:val="restart"/>
                  <w:noWrap w:val="0"/>
                  <w:vAlign w:val="center"/>
                </w:tcPr>
                <w:p w14:paraId="5503E320">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牌楼乡</w:t>
                  </w:r>
                </w:p>
              </w:tc>
              <w:tc>
                <w:tcPr>
                  <w:tcW w:w="480" w:type="dxa"/>
                  <w:vMerge w:val="restart"/>
                  <w:noWrap w:val="0"/>
                  <w:vAlign w:val="center"/>
                </w:tcPr>
                <w:p w14:paraId="347FCB42">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一般管控单元</w:t>
                  </w:r>
                </w:p>
              </w:tc>
              <w:tc>
                <w:tcPr>
                  <w:tcW w:w="420" w:type="dxa"/>
                  <w:vMerge w:val="restart"/>
                  <w:noWrap w:val="0"/>
                  <w:vAlign w:val="center"/>
                </w:tcPr>
                <w:p w14:paraId="5EF8F03D">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一般管控区</w:t>
                  </w:r>
                </w:p>
              </w:tc>
              <w:tc>
                <w:tcPr>
                  <w:tcW w:w="345" w:type="dxa"/>
                  <w:noWrap w:val="0"/>
                  <w:vAlign w:val="center"/>
                </w:tcPr>
                <w:p w14:paraId="28BB24F0">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空间布局</w:t>
                  </w:r>
                </w:p>
              </w:tc>
              <w:tc>
                <w:tcPr>
                  <w:tcW w:w="2520" w:type="dxa"/>
                  <w:noWrap w:val="0"/>
                  <w:vAlign w:val="center"/>
                </w:tcPr>
                <w:p w14:paraId="7C61EECE">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贯彻实施国家、河北省大气污染物排放标准，完善脱硫、脱硝、除尘等污染治理设施，实现达标排放。重点控制新增产能，加强项目论证，优先在相关产业集聚区布局，新增项目应满足环境准入条件，实现集约高效发展。</w:t>
                  </w:r>
                </w:p>
                <w:p w14:paraId="14BB693D">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2、在沙化土地范围内从事开发建设活动的，必须事先就该项目可能对当地及相关地区生态产生的影响进行环境影响评价，依法提交环境影响报告；环境影响报告应当包括有关防沙治沙的内容。</w:t>
                  </w:r>
                </w:p>
              </w:tc>
              <w:tc>
                <w:tcPr>
                  <w:tcW w:w="2175" w:type="dxa"/>
                  <w:noWrap w:val="0"/>
                  <w:vAlign w:val="center"/>
                </w:tcPr>
                <w:p w14:paraId="1D1D8839">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1.本项目</w:t>
                  </w:r>
                  <w:r>
                    <w:rPr>
                      <w:rFonts w:hint="eastAsia"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天然气</w:t>
                  </w:r>
                  <w:r>
                    <w:rPr>
                      <w:rFonts w:hint="eastAsia" w:cs="Times New Roman"/>
                      <w:b w:val="0"/>
                      <w:bCs w:val="0"/>
                      <w:color w:val="000000" w:themeColor="text1"/>
                      <w:sz w:val="21"/>
                      <w:szCs w:val="21"/>
                      <w:highlight w:val="none"/>
                      <w:lang w:val="en-US" w:eastAsia="zh-CN"/>
                      <w14:textFill>
                        <w14:solidFill>
                          <w14:schemeClr w14:val="tx1"/>
                        </w14:solidFill>
                      </w14:textFill>
                    </w:rPr>
                    <w:t>燃烧器采用低氮燃烧器，产生的废气</w:t>
                  </w:r>
                  <w:r>
                    <w:rPr>
                      <w:rFonts w:hint="eastAsia" w:cs="Times New Roman"/>
                      <w:color w:val="000000" w:themeColor="text1"/>
                      <w:sz w:val="21"/>
                      <w:szCs w:val="21"/>
                      <w:highlight w:val="none"/>
                      <w:lang w:val="en-US" w:eastAsia="zh-CN"/>
                      <w14:textFill>
                        <w14:solidFill>
                          <w14:schemeClr w14:val="tx1"/>
                        </w14:solidFill>
                      </w14:textFill>
                    </w:rPr>
                    <w:t>进入</w:t>
                  </w:r>
                  <w:r>
                    <w:rPr>
                      <w:rFonts w:hint="default" w:eastAsia="宋体" w:cs="Times New Roman"/>
                      <w:color w:val="000000" w:themeColor="text1"/>
                      <w:sz w:val="21"/>
                      <w:szCs w:val="21"/>
                      <w:highlight w:val="none"/>
                      <w:lang w:val="en-US" w:eastAsia="zh-CN"/>
                      <w14:textFill>
                        <w14:solidFill>
                          <w14:schemeClr w14:val="tx1"/>
                        </w14:solidFill>
                      </w14:textFill>
                    </w:rPr>
                    <w:t>布袋除尘器</w:t>
                  </w:r>
                  <w:r>
                    <w:rPr>
                      <w:rFonts w:hint="eastAsia" w:cs="Times New Roman"/>
                      <w:color w:val="000000" w:themeColor="text1"/>
                      <w:sz w:val="21"/>
                      <w:szCs w:val="21"/>
                      <w:highlight w:val="none"/>
                      <w:lang w:val="en-US" w:eastAsia="zh-CN"/>
                      <w14:textFill>
                        <w14:solidFill>
                          <w14:schemeClr w14:val="tx1"/>
                        </w14:solidFill>
                      </w14:textFill>
                    </w:rPr>
                    <w:t>处理</w:t>
                  </w:r>
                  <w:r>
                    <w:rPr>
                      <w:rFonts w:hint="eastAsia" w:cs="Times New Roman"/>
                      <w:b w:val="0"/>
                      <w:bCs w:val="0"/>
                      <w:color w:val="000000" w:themeColor="text1"/>
                      <w:sz w:val="21"/>
                      <w:szCs w:val="21"/>
                      <w:highlight w:val="none"/>
                      <w:lang w:val="en-US" w:eastAsia="zh-CN"/>
                      <w14:textFill>
                        <w14:solidFill>
                          <w14:schemeClr w14:val="tx1"/>
                        </w14:solidFill>
                      </w14:textFill>
                    </w:rPr>
                    <w:t>，通过一根15m高的排气筒排放（DA001），颗粒物、二氧化硫、氮氧化物的排放限值满足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《工业炉窑大气污染物排放标准》（DB13/1640-2012）表1、表2中新建炉窑标准并同时满足《承德市工业炉窑综合治理实施方案》（承环办[2020]72 号）中相关限值中的相关要求</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原有项目沥青采用导热油炉加热，锅炉二氧化硫、氮氧化物和颗粒物的排放满足《锅炉大气污染物排放标准》（DB13/5161-2020）中相关限值要求。</w:t>
                  </w:r>
                </w:p>
                <w:p w14:paraId="07476CF4">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2.本项目未在沙化土地范围内。</w:t>
                  </w:r>
                </w:p>
              </w:tc>
              <w:tc>
                <w:tcPr>
                  <w:tcW w:w="332" w:type="dxa"/>
                  <w:vMerge w:val="restart"/>
                  <w:noWrap w:val="0"/>
                  <w:vAlign w:val="center"/>
                </w:tcPr>
                <w:p w14:paraId="0DF18FF6">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31C8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8" w:type="dxa"/>
                  <w:vMerge w:val="continue"/>
                  <w:noWrap w:val="0"/>
                  <w:vAlign w:val="center"/>
                </w:tcPr>
                <w:p w14:paraId="0C713671">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420" w:type="dxa"/>
                  <w:vMerge w:val="continue"/>
                  <w:noWrap w:val="0"/>
                  <w:vAlign w:val="center"/>
                </w:tcPr>
                <w:p w14:paraId="2C12A27B">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449" w:type="dxa"/>
                  <w:vMerge w:val="continue"/>
                  <w:noWrap w:val="0"/>
                  <w:vAlign w:val="center"/>
                </w:tcPr>
                <w:p w14:paraId="1B3C63FB">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404" w:type="dxa"/>
                  <w:vMerge w:val="continue"/>
                  <w:noWrap w:val="0"/>
                  <w:vAlign w:val="center"/>
                </w:tcPr>
                <w:p w14:paraId="08697DA8">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435" w:type="dxa"/>
                  <w:vMerge w:val="continue"/>
                  <w:noWrap w:val="0"/>
                  <w:vAlign w:val="center"/>
                </w:tcPr>
                <w:p w14:paraId="67612179">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480" w:type="dxa"/>
                  <w:vMerge w:val="continue"/>
                  <w:noWrap w:val="0"/>
                  <w:vAlign w:val="center"/>
                </w:tcPr>
                <w:p w14:paraId="6C0450DA">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420" w:type="dxa"/>
                  <w:vMerge w:val="continue"/>
                  <w:noWrap w:val="0"/>
                  <w:vAlign w:val="center"/>
                </w:tcPr>
                <w:p w14:paraId="6A5AE3C6">
                  <w:pPr>
                    <w:pStyle w:val="58"/>
                    <w:keepNext w:val="0"/>
                    <w:keepLines w:val="0"/>
                    <w:pageBreakBefore w:val="0"/>
                    <w:kinsoku/>
                    <w:wordWrap w:val="0"/>
                    <w:overflowPunct/>
                    <w:topLinePunct w:val="0"/>
                    <w:autoSpaceDE/>
                    <w:autoSpaceDN/>
                    <w:bidi w:val="0"/>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345" w:type="dxa"/>
                  <w:noWrap w:val="0"/>
                  <w:vAlign w:val="center"/>
                </w:tcPr>
                <w:p w14:paraId="5418331A">
                  <w:pPr>
                    <w:pStyle w:val="58"/>
                    <w:keepNext w:val="0"/>
                    <w:keepLines w:val="0"/>
                    <w:pageBreakBefore w:val="0"/>
                    <w:kinsoku/>
                    <w:wordWrap w:val="0"/>
                    <w:overflowPunct/>
                    <w:topLinePunct w:val="0"/>
                    <w:autoSpaceDE/>
                    <w:autoSpaceDN/>
                    <w:bidi w:val="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污染物排放管控</w:t>
                  </w:r>
                </w:p>
              </w:tc>
              <w:tc>
                <w:tcPr>
                  <w:tcW w:w="2520" w:type="dxa"/>
                  <w:noWrap w:val="0"/>
                  <w:vAlign w:val="center"/>
                </w:tcPr>
                <w:p w14:paraId="1DDB63E1">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1、水环境一般管控区应注重控制新增产能水环境污染物控制，实施水污染排放项目与污水处理设施同步规划、同步建设，严格控制水环境高风险类项目准入。执行通用型水环境准入管控清单。</w:t>
                  </w:r>
                </w:p>
              </w:tc>
              <w:tc>
                <w:tcPr>
                  <w:tcW w:w="2175" w:type="dxa"/>
                  <w:noWrap w:val="0"/>
                  <w:vAlign w:val="center"/>
                </w:tcPr>
                <w:p w14:paraId="032FAB4C">
                  <w:pPr>
                    <w:keepNext w:val="0"/>
                    <w:keepLines w:val="0"/>
                    <w:pageBreakBefore w:val="0"/>
                    <w:widowControl/>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本项目生产过程中无生产废水产生，项目员工由场内员工调配，无新增工作人员，无新增生活污水产生。</w:t>
                  </w:r>
                </w:p>
              </w:tc>
              <w:tc>
                <w:tcPr>
                  <w:tcW w:w="332" w:type="dxa"/>
                  <w:vMerge w:val="continue"/>
                  <w:noWrap w:val="0"/>
                  <w:vAlign w:val="center"/>
                </w:tcPr>
                <w:p w14:paraId="4CE5293E">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2E5A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8" w:type="dxa"/>
                  <w:vMerge w:val="continue"/>
                  <w:noWrap w:val="0"/>
                  <w:vAlign w:val="center"/>
                </w:tcPr>
                <w:p w14:paraId="724BC433">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0" w:type="dxa"/>
                  <w:vMerge w:val="continue"/>
                  <w:noWrap w:val="0"/>
                  <w:vAlign w:val="center"/>
                </w:tcPr>
                <w:p w14:paraId="08B0355F">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49" w:type="dxa"/>
                  <w:vMerge w:val="continue"/>
                  <w:noWrap w:val="0"/>
                  <w:vAlign w:val="center"/>
                </w:tcPr>
                <w:p w14:paraId="472FDEF6">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04" w:type="dxa"/>
                  <w:vMerge w:val="continue"/>
                  <w:noWrap w:val="0"/>
                  <w:vAlign w:val="center"/>
                </w:tcPr>
                <w:p w14:paraId="52C90AB7">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35" w:type="dxa"/>
                  <w:vMerge w:val="continue"/>
                  <w:noWrap w:val="0"/>
                  <w:vAlign w:val="center"/>
                </w:tcPr>
                <w:p w14:paraId="46864EC9">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80" w:type="dxa"/>
                  <w:vMerge w:val="continue"/>
                  <w:noWrap w:val="0"/>
                  <w:vAlign w:val="center"/>
                </w:tcPr>
                <w:p w14:paraId="70C14D77">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0" w:type="dxa"/>
                  <w:vMerge w:val="continue"/>
                  <w:noWrap w:val="0"/>
                  <w:vAlign w:val="center"/>
                </w:tcPr>
                <w:p w14:paraId="7C68D006">
                  <w:pPr>
                    <w:pStyle w:val="58"/>
                    <w:keepNext w:val="0"/>
                    <w:keepLines w:val="0"/>
                    <w:pageBreakBefore w:val="0"/>
                    <w:kinsoku/>
                    <w:wordWrap w:val="0"/>
                    <w:overflowPunct/>
                    <w:topLinePunct w:val="0"/>
                    <w:autoSpaceDE/>
                    <w:autoSpaceDN/>
                    <w:bidi w:val="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45" w:type="dxa"/>
                  <w:noWrap w:val="0"/>
                  <w:vAlign w:val="center"/>
                </w:tcPr>
                <w:p w14:paraId="1E22ED9C">
                  <w:pPr>
                    <w:pStyle w:val="58"/>
                    <w:keepNext w:val="0"/>
                    <w:keepLines w:val="0"/>
                    <w:pageBreakBefore w:val="0"/>
                    <w:kinsoku/>
                    <w:wordWrap w:val="0"/>
                    <w:overflowPunct/>
                    <w:topLinePunct w:val="0"/>
                    <w:autoSpaceDE/>
                    <w:autoSpaceDN/>
                    <w:bidi w:val="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环境风险防控</w:t>
                  </w:r>
                </w:p>
              </w:tc>
              <w:tc>
                <w:tcPr>
                  <w:tcW w:w="2520" w:type="dxa"/>
                  <w:noWrap w:val="0"/>
                  <w:vAlign w:val="center"/>
                </w:tcPr>
                <w:p w14:paraId="79CF860E">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1、矿山企业应当依据国家有关规定编制矿山生态环境保护与恢复治理等方案，严格履行责任义务，边开采、边治理、边恢复；依法依规有序退出的矿山及时进行生态评估并实施生态恢复。</w:t>
                  </w:r>
                </w:p>
                <w:p w14:paraId="1D9F83C2">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2、推进企业建立健全尾矿库全生命周期风险防控和隐患治理机制，落实管控措施，确保尾矿库安全运行、闭库。</w:t>
                  </w:r>
                </w:p>
              </w:tc>
              <w:tc>
                <w:tcPr>
                  <w:tcW w:w="2175" w:type="dxa"/>
                  <w:noWrap w:val="0"/>
                  <w:vAlign w:val="center"/>
                </w:tcPr>
                <w:p w14:paraId="1E750B87">
                  <w:pPr>
                    <w:keepNext w:val="0"/>
                    <w:keepLines w:val="0"/>
                    <w:pageBreakBefore w:val="0"/>
                    <w:widowControl/>
                    <w:numPr>
                      <w:ilvl w:val="0"/>
                      <w:numId w:val="0"/>
                    </w:numPr>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highlight w:val="none"/>
                      <w:vertAlign w:val="baseline"/>
                      <w:lang w:val="en-US" w:eastAsia="zh-CN" w:bidi="ar-SA"/>
                      <w14:textFill>
                        <w14:solidFill>
                          <w14:schemeClr w14:val="tx1"/>
                        </w14:solidFill>
                      </w14:textFill>
                    </w:rPr>
                    <w:t>1.本项目不属于矿山类项目。</w:t>
                  </w:r>
                </w:p>
                <w:p w14:paraId="6FA19E5D">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2.本项目不属于尾矿库类项目。</w:t>
                  </w:r>
                </w:p>
              </w:tc>
              <w:tc>
                <w:tcPr>
                  <w:tcW w:w="332" w:type="dxa"/>
                  <w:vMerge w:val="continue"/>
                  <w:noWrap w:val="0"/>
                  <w:vAlign w:val="center"/>
                </w:tcPr>
                <w:p w14:paraId="56663BE3">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50B39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8" w:type="dxa"/>
                  <w:vMerge w:val="continue"/>
                  <w:noWrap w:val="0"/>
                  <w:vAlign w:val="center"/>
                </w:tcPr>
                <w:p w14:paraId="4C143E1B">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0" w:type="dxa"/>
                  <w:vMerge w:val="continue"/>
                  <w:noWrap w:val="0"/>
                  <w:vAlign w:val="center"/>
                </w:tcPr>
                <w:p w14:paraId="5516A8A8">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49" w:type="dxa"/>
                  <w:vMerge w:val="continue"/>
                  <w:noWrap w:val="0"/>
                  <w:vAlign w:val="center"/>
                </w:tcPr>
                <w:p w14:paraId="41EF266C">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04" w:type="dxa"/>
                  <w:vMerge w:val="continue"/>
                  <w:noWrap w:val="0"/>
                  <w:vAlign w:val="center"/>
                </w:tcPr>
                <w:p w14:paraId="249AAE76">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35" w:type="dxa"/>
                  <w:vMerge w:val="continue"/>
                  <w:noWrap w:val="0"/>
                  <w:vAlign w:val="center"/>
                </w:tcPr>
                <w:p w14:paraId="339CF4A9">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80" w:type="dxa"/>
                  <w:vMerge w:val="continue"/>
                  <w:noWrap w:val="0"/>
                  <w:vAlign w:val="center"/>
                </w:tcPr>
                <w:p w14:paraId="6EC2EE99">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20" w:type="dxa"/>
                  <w:vMerge w:val="continue"/>
                  <w:noWrap w:val="0"/>
                  <w:vAlign w:val="center"/>
                </w:tcPr>
                <w:p w14:paraId="740CABAF">
                  <w:pPr>
                    <w:pStyle w:val="58"/>
                    <w:keepNext w:val="0"/>
                    <w:keepLines w:val="0"/>
                    <w:pageBreakBefore w:val="0"/>
                    <w:kinsoku/>
                    <w:wordWrap w:val="0"/>
                    <w:overflowPunct/>
                    <w:topLinePunct w:val="0"/>
                    <w:autoSpaceDE/>
                    <w:autoSpaceDN/>
                    <w:bidi w:val="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45" w:type="dxa"/>
                  <w:noWrap w:val="0"/>
                  <w:vAlign w:val="center"/>
                </w:tcPr>
                <w:p w14:paraId="2545DFAE">
                  <w:pPr>
                    <w:pStyle w:val="58"/>
                    <w:keepNext w:val="0"/>
                    <w:keepLines w:val="0"/>
                    <w:pageBreakBefore w:val="0"/>
                    <w:kinsoku/>
                    <w:wordWrap w:val="0"/>
                    <w:overflowPunct/>
                    <w:topLinePunct w:val="0"/>
                    <w:autoSpaceDE/>
                    <w:autoSpaceDN/>
                    <w:bidi w:val="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资源利用效率</w:t>
                  </w:r>
                </w:p>
              </w:tc>
              <w:tc>
                <w:tcPr>
                  <w:tcW w:w="2520" w:type="dxa"/>
                  <w:noWrap w:val="0"/>
                  <w:vAlign w:val="center"/>
                </w:tcPr>
                <w:p w14:paraId="0E3C0097">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.完善城镇污水处理基础设施，加强城市节约用水，加快城镇污水处理厂再生水利用系2.系统建设，稳步提升城区污水处理厂再生水循环利用。</w:t>
                  </w:r>
                </w:p>
                <w:p w14:paraId="433A2685">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2、按照宜乔则</w:t>
                  </w:r>
                  <w:r>
                    <w:rPr>
                      <w:rFonts w:hint="eastAsia" w:cs="Times New Roman"/>
                      <w:color w:val="000000" w:themeColor="text1"/>
                      <w:sz w:val="21"/>
                      <w:szCs w:val="21"/>
                      <w:highlight w:val="none"/>
                      <w:lang w:val="en-US" w:eastAsia="zh-CN"/>
                      <w14:textFill>
                        <w14:solidFill>
                          <w14:schemeClr w14:val="tx1"/>
                        </w14:solidFill>
                      </w14:textFill>
                    </w:rPr>
                    <w:t>乔、</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宜灌则灌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宜草则草，乔灌草结合的原则，因地制宜开展沙地治理。</w:t>
                  </w:r>
                </w:p>
              </w:tc>
              <w:tc>
                <w:tcPr>
                  <w:tcW w:w="2175" w:type="dxa"/>
                  <w:noWrap w:val="0"/>
                  <w:vAlign w:val="center"/>
                </w:tcPr>
                <w:p w14:paraId="2EDFF47B">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1.本项目无生产用水，工作人员由厂区人员调配，无新增生活用水；</w:t>
                  </w:r>
                </w:p>
                <w:p w14:paraId="0E12BC8F">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待项目建设完成后，进行厂区绿化，种植灌木等，对周边生态环境进行恢复治理。</w:t>
                  </w:r>
                </w:p>
              </w:tc>
              <w:tc>
                <w:tcPr>
                  <w:tcW w:w="332" w:type="dxa"/>
                  <w:vMerge w:val="continue"/>
                  <w:noWrap w:val="0"/>
                  <w:vAlign w:val="center"/>
                </w:tcPr>
                <w:p w14:paraId="04DA6EE5">
                  <w:pPr>
                    <w:keepNext w:val="0"/>
                    <w:keepLines w:val="0"/>
                    <w:pageBreakBefore w:val="0"/>
                    <w:widowControl w:val="0"/>
                    <w:kinsoku/>
                    <w:wordWrap w:val="0"/>
                    <w:overflowPunct/>
                    <w:topLinePunct w:val="0"/>
                    <w:autoSpaceDE/>
                    <w:autoSpaceDN/>
                    <w:bidi w:val="0"/>
                    <w:adjustRightInd/>
                    <w:snapToGrid/>
                    <w:spacing w:line="320" w:lineRule="exact"/>
                    <w:ind w:left="0" w:leftChars="0"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58390F5A">
            <w:pPr>
              <w:pStyle w:val="90"/>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Style w:val="34"/>
                <w:rFonts w:hint="eastAsia"/>
                <w:b/>
                <w:i w:val="0"/>
                <w:color w:val="000000" w:themeColor="text1"/>
                <w:highlight w:val="none"/>
                <w:lang w:val="en-US" w:eastAsia="zh-CN"/>
                <w14:textFill>
                  <w14:solidFill>
                    <w14:schemeClr w14:val="tx1"/>
                  </w14:solidFill>
                </w14:textFill>
              </w:rPr>
            </w:pPr>
            <w:r>
              <w:rPr>
                <w:rStyle w:val="34"/>
                <w:rFonts w:hint="eastAsia"/>
                <w:b/>
                <w:i w:val="0"/>
                <w:color w:val="000000" w:themeColor="text1"/>
                <w:highlight w:val="none"/>
                <w:lang w:val="en-US" w:eastAsia="zh-CN"/>
                <w14:textFill>
                  <w14:solidFill>
                    <w14:schemeClr w14:val="tx1"/>
                  </w14:solidFill>
                </w14:textFill>
              </w:rPr>
              <w:t>（3）与国家重点生态功能区产业准入负面清单符合性分析</w:t>
            </w:r>
          </w:p>
          <w:p w14:paraId="741BCD8C">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对照河北省发展和改革委员会关于印发《康保县等坝上六县国家重点生态功能区产业准人负面清单（试行）》的通知中“河北省围场满族蒙古族自治县国家重点生态功能区产业准入负面清单”，本项目属于C3099 其他非金属矿物制品制造，围场满族蒙古族自治县C3099 其他非金属矿物制品制造不属于限制类和禁止类项目，满足管控要求。</w:t>
            </w:r>
          </w:p>
          <w:p w14:paraId="2448A6B0">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cs="Times New Roman"/>
                <w:b/>
                <w:bCs/>
                <w:color w:val="000000" w:themeColor="text1"/>
                <w:spacing w:val="0"/>
                <w:position w:val="0"/>
                <w:sz w:val="21"/>
                <w:szCs w:val="21"/>
                <w:highlight w:val="none"/>
                <w:lang w:val="en-US" w:eastAsia="zh-CN"/>
                <w14:textFill>
                  <w14:solidFill>
                    <w14:schemeClr w14:val="tx1"/>
                  </w14:solidFill>
                </w14:textFill>
              </w:rPr>
              <w:t xml:space="preserve">（4）结论 </w:t>
            </w:r>
          </w:p>
          <w:p w14:paraId="61BD51A5">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综上所述，本项目符合《关于以改善环境质量为核心加强环境影响评价管理的通知》（环评[2016]150 号）《承德市生态环境准入清单》（承德市生态环境局，2024年4月发布）的环境管理要求</w:t>
            </w:r>
            <w:r>
              <w:rPr>
                <w:rFonts w:hint="eastAsia" w:cs="Times New Roman"/>
                <w:color w:val="000000" w:themeColor="text1"/>
                <w:highlight w:val="none"/>
                <w:lang w:val="en-US" w:eastAsia="zh-CN"/>
                <w14:textFill>
                  <w14:solidFill>
                    <w14:schemeClr w14:val="tx1"/>
                  </w14:solidFill>
                </w14:textFill>
              </w:rPr>
              <w:t>。</w:t>
            </w:r>
          </w:p>
          <w:p w14:paraId="1A933F1D">
            <w:pPr>
              <w:pageBreakBefore w:val="0"/>
              <w:numPr>
                <w:ilvl w:val="0"/>
                <w:numId w:val="0"/>
              </w:numPr>
              <w:kinsoku/>
              <w:wordWrap w:val="0"/>
              <w:overflowPunct/>
              <w:autoSpaceDE w:val="0"/>
              <w:autoSpaceDN w:val="0"/>
              <w:bidi w:val="0"/>
              <w:adjustRightInd w:val="0"/>
              <w:snapToGrid w:val="0"/>
              <w:spacing w:line="480" w:lineRule="exact"/>
              <w:jc w:val="left"/>
              <w:rPr>
                <w:rFonts w:hint="eastAsia"/>
                <w:color w:val="000000" w:themeColor="text1"/>
                <w:szCs w:val="21"/>
                <w:highlight w:val="none"/>
                <w14:textFill>
                  <w14:solidFill>
                    <w14:schemeClr w14:val="tx1"/>
                  </w14:solidFill>
                </w14:textFill>
              </w:rPr>
            </w:pPr>
            <w:r>
              <w:rPr>
                <w:rFonts w:hint="eastAsia" w:ascii="宋体" w:hAnsi="宋体"/>
                <w:b/>
                <w:bCs/>
                <w:color w:val="000000" w:themeColor="text1"/>
                <w:kern w:val="0"/>
                <w:szCs w:val="21"/>
                <w:highlight w:val="none"/>
                <w:lang w:val="en-US" w:eastAsia="zh-CN"/>
                <w14:textFill>
                  <w14:solidFill>
                    <w14:schemeClr w14:val="tx1"/>
                  </w14:solidFill>
                </w14:textFill>
              </w:rPr>
              <w:t>四、</w:t>
            </w:r>
            <w:r>
              <w:rPr>
                <w:rFonts w:hint="eastAsia" w:ascii="宋体" w:hAnsi="宋体"/>
                <w:b/>
                <w:bCs/>
                <w:color w:val="000000" w:themeColor="text1"/>
                <w:kern w:val="0"/>
                <w:szCs w:val="21"/>
                <w:highlight w:val="none"/>
                <w14:textFill>
                  <w14:solidFill>
                    <w14:schemeClr w14:val="tx1"/>
                  </w14:solidFill>
                </w14:textFill>
              </w:rPr>
              <w:t>环境功能规划符合性分析</w:t>
            </w:r>
          </w:p>
          <w:p w14:paraId="744AF086">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1、《河北省主体功能区规划》</w:t>
            </w:r>
          </w:p>
          <w:p w14:paraId="6A11C9AC">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根据《河北省主体功能区规划》，河北省主体功能区划分为优化开发区域、重点开发区域、限制开发区域（农产品主产区、重点生态功能区）、禁止开发区域。承德市围场县位于《河北省主体功能区规划》限制开发区域中的国家重点生态功能区，属于坝上高原山地区，是国家浑善达克沙漠化防治生态功能区的一部分。</w:t>
            </w:r>
          </w:p>
          <w:p w14:paraId="66E7EF95">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产业发展方向为大力发展节水种植业、舍饲畜牧业和生态林业，建设特色有机农产品生产基地；培育壮大生态旅游和休闲度假服务业，建设具有高原特色的旅游度假区；加快推进农业产业化进程，重点发展绿色食品加工业；建设国家级风电基地，适度发展矿产采选业；积极培育能源和农畜产品物流业，建设京冀晋蒙交界物流区。</w:t>
            </w:r>
          </w:p>
          <w:p w14:paraId="3AD60048">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本项目为</w:t>
            </w:r>
            <w:r>
              <w:rPr>
                <w:rFonts w:hint="eastAsia" w:cs="Times New Roman"/>
                <w:b/>
                <w:bCs/>
                <w:color w:val="000000" w:themeColor="text1"/>
                <w:sz w:val="21"/>
                <w:szCs w:val="21"/>
                <w:highlight w:val="none"/>
                <w:lang w:val="en-US" w:eastAsia="zh-CN"/>
                <w14:textFill>
                  <w14:solidFill>
                    <w14:schemeClr w14:val="tx1"/>
                  </w14:solidFill>
                </w14:textFill>
              </w:rPr>
              <w:t>其他非金属矿物制品制造类项目，项目性质为对本项目原有的沥青搅拌站进行提升改造，对铣刨的沥青进行破碎筛分后作为原料进行沥青混凝土的制造，沥青混凝土用作公路建设，有利于推进旅游业的发展，</w:t>
            </w:r>
            <w:r>
              <w:rPr>
                <w:rFonts w:hint="eastAsia"/>
                <w:b/>
                <w:bCs/>
                <w:color w:val="000000" w:themeColor="text1"/>
                <w:highlight w:val="none"/>
                <w:lang w:val="en-US" w:eastAsia="zh-CN"/>
                <w14:textFill>
                  <w14:solidFill>
                    <w14:schemeClr w14:val="tx1"/>
                  </w14:solidFill>
                </w14:textFill>
              </w:rPr>
              <w:t>符合《河北省主体功能区规划》相关要求。</w:t>
            </w:r>
          </w:p>
          <w:p w14:paraId="3C1EBCC5">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2、《承德市生态环境保护“十四五”规划》</w:t>
            </w:r>
          </w:p>
          <w:p w14:paraId="0AE8B7E5">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0" w:firstLineChars="200"/>
              <w:jc w:val="both"/>
              <w:textAlignment w:val="auto"/>
              <w:rPr>
                <w:rFonts w:hint="eastAsia"/>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根据《承德市生态环境保护“十四五”规划》（承市政字〔2022〕16号），规划指出“大力推进挥发性有机物和氮氧化物协同减排。以化工、涂装、医药、包装印刷、油品储运销等行业领域为重点，安全高效推进重点行业领域挥发性有机物综合治理，实施原辅材料和产品源头替代，加强重点行业工艺过程无组织排放控制和末端废气治理，提升企业生产工艺和VOCs污染防治水平，完善挥发性有机物污染源自动监测体系。”</w:t>
            </w:r>
          </w:p>
          <w:p w14:paraId="58A91A3A">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本项目天然气燃烧器采用低氮燃烧装置，废气通过“电捕焦油器+活性炭吸附”处理装置处理后，通过一根15m高的排气筒外排（DA001）；导热油炉采用低氮燃烧装置，废气经布袋除尘器处理后，通过一根16m高的排气筒排放。通过上述治理措施，可使挥发性有机物和氮氧化物达标排放，符合《承德市生态环境保护“十四五”规划》中的相关要求。</w:t>
            </w:r>
          </w:p>
          <w:p w14:paraId="12C63913">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3、《承德市重点水源涵养生态功能保护区规划》</w:t>
            </w:r>
          </w:p>
          <w:p w14:paraId="59D5D821">
            <w:pPr>
              <w:pStyle w:val="9"/>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根据《承德市重点水源涵养生态功能保护区规划》，承德市重点水源涵养生态功能保护区在承德市的八县二区均有分布，涉及滦平县、隆化县、丰宁县、围场县、兴隆县、平泉县、宽城县、承德县、双桥区、双滦区，</w:t>
            </w:r>
            <w:r>
              <w:rPr>
                <w:rFonts w:hint="eastAsia"/>
                <w:b w:val="0"/>
                <w:bCs w:val="0"/>
                <w:color w:val="000000" w:themeColor="text1"/>
                <w:highlight w:val="none"/>
                <w:lang w:val="en-US" w:eastAsia="zh-CN"/>
                <w14:textFill>
                  <w14:solidFill>
                    <w14:schemeClr w14:val="tx1"/>
                  </w14:solidFill>
                </w14:textFill>
              </w:rPr>
              <w:t>包含</w:t>
            </w:r>
            <w:r>
              <w:rPr>
                <w:rFonts w:hint="default"/>
                <w:b w:val="0"/>
                <w:bCs w:val="0"/>
                <w:color w:val="000000" w:themeColor="text1"/>
                <w:highlight w:val="none"/>
                <w:lang w:val="en-US" w:eastAsia="zh-CN"/>
                <w14:textFill>
                  <w14:solidFill>
                    <w14:schemeClr w14:val="tx1"/>
                  </w14:solidFill>
                </w14:textFill>
              </w:rPr>
              <w:t>61个乡镇，保护区总面积8015.92km</w:t>
            </w:r>
            <w:r>
              <w:rPr>
                <w:rFonts w:hint="default"/>
                <w:b w:val="0"/>
                <w:bCs w:val="0"/>
                <w:color w:val="000000" w:themeColor="text1"/>
                <w:highlight w:val="none"/>
                <w:vertAlign w:val="superscript"/>
                <w:lang w:val="en-US" w:eastAsia="zh-CN"/>
                <w14:textFill>
                  <w14:solidFill>
                    <w14:schemeClr w14:val="tx1"/>
                  </w14:solidFill>
                </w14:textFill>
              </w:rPr>
              <w:t>2</w:t>
            </w:r>
            <w:r>
              <w:rPr>
                <w:rFonts w:hint="default"/>
                <w:b w:val="0"/>
                <w:bCs w:val="0"/>
                <w:color w:val="000000" w:themeColor="text1"/>
                <w:highlight w:val="none"/>
                <w:lang w:val="en-US" w:eastAsia="zh-CN"/>
                <w14:textFill>
                  <w14:solidFill>
                    <w14:schemeClr w14:val="tx1"/>
                  </w14:solidFill>
                </w14:textFill>
              </w:rPr>
              <w:t>。承德市重点水源涵养生态功能保护区分布见下</w:t>
            </w:r>
            <w:r>
              <w:rPr>
                <w:rFonts w:hint="eastAsia"/>
                <w:b w:val="0"/>
                <w:bCs w:val="0"/>
                <w:color w:val="000000" w:themeColor="text1"/>
                <w:highlight w:val="none"/>
                <w:lang w:val="en-US" w:eastAsia="zh-CN"/>
                <w14:textFill>
                  <w14:solidFill>
                    <w14:schemeClr w14:val="tx1"/>
                  </w14:solidFill>
                </w14:textFill>
              </w:rPr>
              <w:t>图</w:t>
            </w:r>
            <w:r>
              <w:rPr>
                <w:rFonts w:hint="default"/>
                <w:b w:val="0"/>
                <w:bCs w:val="0"/>
                <w:color w:val="000000" w:themeColor="text1"/>
                <w:highlight w:val="none"/>
                <w:lang w:val="en-US" w:eastAsia="zh-CN"/>
                <w14:textFill>
                  <w14:solidFill>
                    <w14:schemeClr w14:val="tx1"/>
                  </w14:solidFill>
                </w14:textFill>
              </w:rPr>
              <w:t>。</w:t>
            </w:r>
          </w:p>
          <w:p w14:paraId="54CA07D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lang w:val="en-US"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1710690</wp:posOffset>
                      </wp:positionH>
                      <wp:positionV relativeFrom="paragraph">
                        <wp:posOffset>381000</wp:posOffset>
                      </wp:positionV>
                      <wp:extent cx="942975" cy="285750"/>
                      <wp:effectExtent l="12700" t="12700" r="15875" b="311150"/>
                      <wp:wrapNone/>
                      <wp:docPr id="20" name="矩形标注 20"/>
                      <wp:cNvGraphicFramePr/>
                      <a:graphic xmlns:a="http://schemas.openxmlformats.org/drawingml/2006/main">
                        <a:graphicData uri="http://schemas.microsoft.com/office/word/2010/wordprocessingShape">
                          <wps:wsp>
                            <wps:cNvSpPr/>
                            <wps:spPr>
                              <a:xfrm>
                                <a:off x="5116195" y="3274060"/>
                                <a:ext cx="942975" cy="285750"/>
                              </a:xfrm>
                              <a:prstGeom prst="wedgeRectCallout">
                                <a:avLst>
                                  <a:gd name="adj1" fmla="val 5420"/>
                                  <a:gd name="adj2" fmla="val 151555"/>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5F3407F">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4.7pt;margin-top:30pt;height:22.5pt;width:74.25pt;z-index:251662336;v-text-anchor:middle;mso-width-relative:page;mso-height-relative:page;" filled="f" stroked="t" coordsize="21600,21600" o:gfxdata="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nyRAK2gAAAAoBAAAPAAAAAAAAAAEAIAAAACIAAABkcnMvZG93bnJl&#10;di54bWxQSwECFAAUAAAACACHTuJAkqV8PKYCAAAvBQAADgAAAAAAAAABACAAAAApAQAAZHJzL2Uy&#10;b0RvYy54bWxQSwUGAAAAAAYABgBZAQAAQQYAAAAA&#10;" adj="11971,43536">
                      <v:fill on="f" focussize="0,0"/>
                      <v:stroke weight="2pt" color="#000000 [3213]" joinstyle="round"/>
                      <v:imagedata o:title=""/>
                      <o:lock v:ext="edit" aspectratio="f"/>
                      <v:textbox>
                        <w:txbxContent>
                          <w:p w14:paraId="35F3407F">
                            <w:p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2144395</wp:posOffset>
                      </wp:positionH>
                      <wp:positionV relativeFrom="paragraph">
                        <wp:posOffset>948690</wp:posOffset>
                      </wp:positionV>
                      <wp:extent cx="152400" cy="142875"/>
                      <wp:effectExtent l="14605" t="15240" r="23495" b="13335"/>
                      <wp:wrapNone/>
                      <wp:docPr id="17" name="五角星 17"/>
                      <wp:cNvGraphicFramePr/>
                      <a:graphic xmlns:a="http://schemas.openxmlformats.org/drawingml/2006/main">
                        <a:graphicData uri="http://schemas.microsoft.com/office/word/2010/wordprocessingShape">
                          <wps:wsp>
                            <wps:cNvSpPr/>
                            <wps:spPr>
                              <a:xfrm>
                                <a:off x="0" y="0"/>
                                <a:ext cx="152400" cy="142875"/>
                              </a:xfrm>
                              <a:prstGeom prst="star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168.85pt;margin-top:74.7pt;height:11.25pt;width:12pt;z-index:251660288;mso-width-relative:page;mso-height-relative:page;" fillcolor="#FFFFFF" filled="t" stroked="t" coordsize="152400,142875" o:gfxdata="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u4Fc2QAAAAsBAAAPAAAAAAAAAAEAIAAAACIAAABkcnMv&#10;ZG93bnJldi54bWxQSwECFAAUAAAACACHTuJAIGyoWgICAAAjBAAADgAAAAAAAAABACAAAAAoAQAA&#10;ZHJzL2Uyb0RvYy54bWxQSwUGAAAAAAYABgBZAQAAnAUAAAAA&#10;" path="m0,54573l58211,54573,76200,0,94188,54573,152399,54573,105305,88301,123294,142874,76200,109146,29105,142874,47094,88301xe">
                      <v:path o:connectlocs="76200,0;0,54573;29105,142874;123294,142874;152399,54573" o:connectangles="247,164,82,82,0"/>
                      <v:fill on="t" focussize="0,0"/>
                      <v:stroke color="#000000" joinstyle="miter"/>
                      <v:imagedata o:title=""/>
                      <o:lock v:ext="edit" aspectratio="f"/>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3751580</wp:posOffset>
                      </wp:positionH>
                      <wp:positionV relativeFrom="paragraph">
                        <wp:posOffset>-5686425</wp:posOffset>
                      </wp:positionV>
                      <wp:extent cx="1095375" cy="200025"/>
                      <wp:effectExtent l="12700" t="12700" r="15875" b="53975"/>
                      <wp:wrapNone/>
                      <wp:docPr id="19" name="矩形标注 19"/>
                      <wp:cNvGraphicFramePr/>
                      <a:graphic xmlns:a="http://schemas.openxmlformats.org/drawingml/2006/main">
                        <a:graphicData uri="http://schemas.microsoft.com/office/word/2010/wordprocessingShape">
                          <wps:wsp>
                            <wps:cNvSpPr/>
                            <wps:spPr>
                              <a:xfrm>
                                <a:off x="5001895" y="3331210"/>
                                <a:ext cx="1095375" cy="200025"/>
                              </a:xfrm>
                              <a:prstGeom prst="wedgeRectCallou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5DB2242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5.4pt;margin-top:-447.75pt;height:15.75pt;width:86.25pt;z-index:251661312;v-text-anchor:middle;mso-width-relative:page;mso-height-relative:page;" fillcolor="#4F81BD [3204]" filled="t" stroked="t" coordsize="21600,21600" o:gfxdata="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A4vs2wAAAA0BAAAPAAAAAAAAAAEAIAAAACIAAABkcnMvZG93bnJldi54&#10;bWxQSwECFAAUAAAACACHTuJA0H23YqICAAAqBQAADgAAAAAAAAABACAAAAAqAQAAZHJzL2Uyb0Rv&#10;Yy54bWxQSwUGAAAAAAYABgBZAQAAPgYAAAAA&#10;" adj="6300,24300">
                      <v:fill on="t" focussize="0,0"/>
                      <v:stroke weight="2pt" color="#376092 [2404]" joinstyle="round"/>
                      <v:imagedata o:title=""/>
                      <o:lock v:ext="edit" aspectratio="f"/>
                      <v:textbox>
                        <w:txbxContent>
                          <w:p w14:paraId="5DB22429">
                            <w:pPr>
                              <w:jc w:val="center"/>
                            </w:pPr>
                          </w:p>
                        </w:txbxContent>
                      </v:textbox>
                    </v:shape>
                  </w:pict>
                </mc:Fallback>
              </mc:AlternateContent>
            </w:r>
            <w:r>
              <w:rPr>
                <w:color w:val="000000" w:themeColor="text1"/>
                <w:sz w:val="21"/>
                <w:highlight w:val="none"/>
                <w14:textFill>
                  <w14:solidFill>
                    <w14:schemeClr w14:val="tx1"/>
                  </w14:solidFill>
                </w14:textFill>
              </w:rPr>
              <w:drawing>
                <wp:inline distT="0" distB="0" distL="114300" distR="114300">
                  <wp:extent cx="4525645" cy="5448300"/>
                  <wp:effectExtent l="0" t="0" r="8255" b="0"/>
                  <wp:docPr id="1" name="图片 2" descr="881355e2653ec168d6a29aadd469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881355e2653ec168d6a29aadd4694c3"/>
                          <pic:cNvPicPr>
                            <a:picLocks noChangeAspect="1"/>
                          </pic:cNvPicPr>
                        </pic:nvPicPr>
                        <pic:blipFill>
                          <a:blip r:embed="rId11"/>
                          <a:stretch>
                            <a:fillRect/>
                          </a:stretch>
                        </pic:blipFill>
                        <pic:spPr>
                          <a:xfrm>
                            <a:off x="0" y="0"/>
                            <a:ext cx="4525645" cy="5448300"/>
                          </a:xfrm>
                          <a:prstGeom prst="rect">
                            <a:avLst/>
                          </a:prstGeom>
                          <a:noFill/>
                          <a:ln>
                            <a:noFill/>
                          </a:ln>
                        </pic:spPr>
                      </pic:pic>
                    </a:graphicData>
                  </a:graphic>
                </wp:inline>
              </w:drawing>
            </w:r>
          </w:p>
          <w:p w14:paraId="635F9F89">
            <w:pPr>
              <w:keepNext w:val="0"/>
              <w:keepLines w:val="0"/>
              <w:pageBreakBefore w:val="0"/>
              <w:widowControl w:val="0"/>
              <w:kinsoku/>
              <w:wordWrap w:val="0"/>
              <w:overflowPunct/>
              <w:topLinePunct w:val="0"/>
              <w:autoSpaceDE/>
              <w:autoSpaceDN/>
              <w:bidi w:val="0"/>
              <w:adjustRightInd/>
              <w:snapToGrid/>
              <w:spacing w:line="480" w:lineRule="exact"/>
              <w:jc w:val="center"/>
              <w:textAlignment w:val="auto"/>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图</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1-3</w:t>
            </w: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ascii="宋体" w:hAnsi="宋体" w:eastAsia="宋体" w:cs="Times New Roman"/>
                <w:b/>
                <w:bCs/>
                <w:color w:val="000000" w:themeColor="text1"/>
                <w:kern w:val="0"/>
                <w:sz w:val="21"/>
                <w:szCs w:val="21"/>
                <w:highlight w:val="none"/>
                <w:lang w:val="en-US" w:eastAsia="zh-CN" w:bidi="ar-SA"/>
                <w14:textFill>
                  <w14:solidFill>
                    <w14:schemeClr w14:val="tx1"/>
                  </w14:solidFill>
                </w14:textFill>
              </w:rPr>
              <w:t>承德市重点水源涵养生态功能保护区功能分区</w:t>
            </w: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图</w:t>
            </w:r>
          </w:p>
          <w:p w14:paraId="7EEA2D10">
            <w:pPr>
              <w:pStyle w:val="9"/>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本项目位于围场满族蒙古族自治县牌楼乡于家湾村4组，不在承德市重点水源涵养生态功能保护区范围内。</w:t>
            </w:r>
            <w:r>
              <w:rPr>
                <w:rFonts w:hint="eastAsia" w:ascii="宋体" w:hAnsi="宋体" w:cs="宋体"/>
                <w:b/>
                <w:bCs/>
                <w:color w:val="000000" w:themeColor="text1"/>
                <w:highlight w:val="none"/>
                <w:lang w:val="en-US" w:eastAsia="zh-CN"/>
                <w14:textFill>
                  <w14:solidFill>
                    <w14:schemeClr w14:val="tx1"/>
                  </w14:solidFill>
                </w14:textFill>
              </w:rPr>
              <w:t>本项目无新增废水产生</w:t>
            </w:r>
            <w:r>
              <w:rPr>
                <w:rFonts w:hint="eastAsia" w:ascii="宋体" w:hAnsi="宋体" w:eastAsia="宋体" w:cs="宋体"/>
                <w:b/>
                <w:bCs/>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不会对区域水环境造成污染，再通过采取一系列水土保持工程措施、生态恢复工程措施和污染防治工程措施，不与重点水源涵养生态功能保护相冲突，符合《承德市重点水源涵养生态功能保护区规划》的要求</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w:t>
            </w:r>
          </w:p>
          <w:p w14:paraId="2BF17250">
            <w:pPr>
              <w:keepNext w:val="0"/>
              <w:keepLines w:val="0"/>
              <w:pageBreakBefore w:val="0"/>
              <w:widowControl w:val="0"/>
              <w:kinsoku/>
              <w:wordWrap w:val="0"/>
              <w:overflowPunct/>
              <w:topLinePunct w:val="0"/>
              <w:autoSpaceDE w:val="0"/>
              <w:autoSpaceDN w:val="0"/>
              <w:bidi w:val="0"/>
              <w:adjustRightInd w:val="0"/>
              <w:snapToGrid w:val="0"/>
              <w:spacing w:line="480" w:lineRule="exact"/>
              <w:ind w:firstLine="422" w:firstLineChars="200"/>
              <w:jc w:val="both"/>
              <w:textAlignment w:val="auto"/>
              <w:rPr>
                <w:rFonts w:hint="default"/>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w:t>
            </w:r>
            <w:r>
              <w:rPr>
                <w:b/>
                <w:bCs/>
                <w:color w:val="000000" w:themeColor="text1"/>
                <w:kern w:val="0"/>
                <w:szCs w:val="21"/>
                <w:highlight w:val="none"/>
                <w14:textFill>
                  <w14:solidFill>
                    <w14:schemeClr w14:val="tx1"/>
                  </w14:solidFill>
                </w14:textFill>
              </w:rPr>
              <w:t>承德市城市总体规划》（2016-2030）</w:t>
            </w:r>
          </w:p>
          <w:p w14:paraId="624936AE">
            <w:pPr>
              <w:pStyle w:val="24"/>
              <w:pageBreakBefore w:val="0"/>
              <w:kinsoku/>
              <w:wordWrap w:val="0"/>
              <w:overflowPunct/>
              <w:bidi w:val="0"/>
              <w:spacing w:line="480" w:lineRule="exact"/>
              <w:ind w:left="0"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①生态环境保护要求</w:t>
            </w:r>
          </w:p>
          <w:p w14:paraId="6DAE2407">
            <w:pPr>
              <w:pStyle w:val="24"/>
              <w:pageBreakBefore w:val="0"/>
              <w:kinsoku/>
              <w:wordWrap w:val="0"/>
              <w:overflowPunct/>
              <w:bidi w:val="0"/>
              <w:spacing w:line="480" w:lineRule="exact"/>
              <w:ind w:left="0"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创新环境治理理念和方式，实行最严格的环境保护制度。划定并严守生态保护红线，确保生态功能不降低、生态空间不减少。通过生态涵水、工程调水、管理节水、环保净水、产业兴水、借力保水六措并举，提升水源涵养能力。</w:t>
            </w:r>
          </w:p>
          <w:p w14:paraId="1E4BB518">
            <w:pPr>
              <w:pStyle w:val="24"/>
              <w:pageBreakBefore w:val="0"/>
              <w:kinsoku/>
              <w:wordWrap w:val="0"/>
              <w:overflowPunct/>
              <w:bidi w:val="0"/>
              <w:spacing w:line="480" w:lineRule="exact"/>
              <w:ind w:left="0"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效治理工农业生产和城市生活污染，工农业污染源全部达标排放，大气、水环境质量继续保持优良状态并有所提高，成为京津冀环境最优的地区。万元地区生产总值能耗控制在国家规划指标内。天然草地、重要湿地、森林植被、重要生态资源和生物多样性得到有效保护，保障全市水资源的持续利用，维护区域水资源水环境安全。为人民提供更多优质生态产品，建设生态强市。</w:t>
            </w:r>
          </w:p>
          <w:p w14:paraId="374807F2">
            <w:pPr>
              <w:pStyle w:val="24"/>
              <w:pageBreakBefore w:val="0"/>
              <w:kinsoku/>
              <w:wordWrap w:val="0"/>
              <w:overflowPunct/>
              <w:bidi w:val="0"/>
              <w:spacing w:line="480" w:lineRule="exact"/>
              <w:ind w:left="0"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探索循环经济发展模式，以本地区的资源与生态环境承载能力为基础，以资源节约利用和环境生态保护为前提，调整升级产业经济结构，积极推动经济增长方式转变，引入闭环式循环经济模式，形成节地、节水、节能、节材的生产生活模式。大力推广节水技术，特别是农田灌溉节水、工业节水等</w:t>
            </w:r>
            <w:r>
              <w:rPr>
                <w:rFonts w:hint="eastAsia"/>
                <w:color w:val="000000" w:themeColor="text1"/>
                <w:szCs w:val="21"/>
                <w:highlight w:val="none"/>
                <w:lang w:eastAsia="zh-CN"/>
                <w14:textFill>
                  <w14:solidFill>
                    <w14:schemeClr w14:val="tx1"/>
                  </w14:solidFill>
                </w14:textFill>
              </w:rPr>
              <w:t>，严</w:t>
            </w:r>
            <w:r>
              <w:rPr>
                <w:color w:val="000000" w:themeColor="text1"/>
                <w:szCs w:val="21"/>
                <w:highlight w:val="none"/>
                <w14:textFill>
                  <w14:solidFill>
                    <w14:schemeClr w14:val="tx1"/>
                  </w14:solidFill>
                </w14:textFill>
              </w:rPr>
              <w:t>格用水定额管理，推进高耗水行业节水改造，建设节水型社会。加快环境的基础设施建设，根</w:t>
            </w:r>
            <w:r>
              <w:rPr>
                <w:rFonts w:hint="eastAsia" w:ascii="宋体" w:hAnsi="宋体" w:eastAsia="宋体" w:cs="宋体"/>
                <w:color w:val="000000" w:themeColor="text1"/>
                <w:szCs w:val="21"/>
                <w:highlight w:val="none"/>
                <w14:textFill>
                  <w14:solidFill>
                    <w14:schemeClr w14:val="tx1"/>
                  </w14:solidFill>
                </w14:textFill>
              </w:rPr>
              <w:t>据“提高运营效率，避免设备浪费”的</w:t>
            </w:r>
            <w:r>
              <w:rPr>
                <w:color w:val="000000" w:themeColor="text1"/>
                <w:szCs w:val="21"/>
                <w:highlight w:val="none"/>
                <w14:textFill>
                  <w14:solidFill>
                    <w14:schemeClr w14:val="tx1"/>
                  </w14:solidFill>
                </w14:textFill>
              </w:rPr>
              <w:t>原则，实现城乡生态环境基础设施的共建共享。加强在自然突变和人类活动影响下受到破坏的自然生态系统的恢复与重建工作。全面加快</w:t>
            </w:r>
            <w:r>
              <w:rPr>
                <w:rFonts w:hint="eastAsia"/>
                <w:color w:val="000000" w:themeColor="text1"/>
                <w:szCs w:val="21"/>
                <w:highlight w:val="none"/>
                <w14:textFill>
                  <w14:solidFill>
                    <w14:schemeClr w14:val="tx1"/>
                  </w14:solidFill>
                </w14:textFill>
              </w:rPr>
              <w:t>生态</w:t>
            </w:r>
            <w:r>
              <w:rPr>
                <w:color w:val="000000" w:themeColor="text1"/>
                <w:szCs w:val="21"/>
                <w:highlight w:val="none"/>
                <w14:textFill>
                  <w14:solidFill>
                    <w14:schemeClr w14:val="tx1"/>
                  </w14:solidFill>
                </w14:textFill>
              </w:rPr>
              <w:t>文明建设，坚持</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基本、优质、高效、永续</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的标准，努力扩大生态产品的有效供给。</w:t>
            </w:r>
          </w:p>
          <w:p w14:paraId="68DF1C90">
            <w:pPr>
              <w:pStyle w:val="24"/>
              <w:pageBreakBefore w:val="0"/>
              <w:kinsoku/>
              <w:wordWrap w:val="0"/>
              <w:overflowPunct/>
              <w:bidi w:val="0"/>
              <w:spacing w:line="480" w:lineRule="exact"/>
              <w:ind w:left="0"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按照</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保护优先、科学恢复、合理利用、持续发展</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的原则，全面加强湿地保护工作，更好地发挥湿地巨大的生态功能、强大的生产功能、特殊的碳汇功能、丰富的文化场能。</w:t>
            </w:r>
          </w:p>
          <w:p w14:paraId="43163F99">
            <w:pPr>
              <w:pStyle w:val="24"/>
              <w:pageBreakBefore w:val="0"/>
              <w:kinsoku/>
              <w:wordWrap w:val="0"/>
              <w:overflowPunct/>
              <w:bidi w:val="0"/>
              <w:spacing w:line="480" w:lineRule="exact"/>
              <w:ind w:left="0"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加强生态环境功能建设工作，依靠科学技术，加强对现有天然林及野生动植物资源的保护，大力开展植树种草，治理水土流失，防治荒漠化，建设生态农业，改善生产和生活条件，</w:t>
            </w:r>
            <w:r>
              <w:rPr>
                <w:rFonts w:hint="eastAsia"/>
                <w:color w:val="000000" w:themeColor="text1"/>
                <w:szCs w:val="21"/>
                <w:highlight w:val="none"/>
                <w14:textFill>
                  <w14:solidFill>
                    <w14:schemeClr w14:val="tx1"/>
                  </w14:solidFill>
                </w14:textFill>
              </w:rPr>
              <w:t>加大</w:t>
            </w:r>
            <w:r>
              <w:rPr>
                <w:color w:val="000000" w:themeColor="text1"/>
                <w:szCs w:val="21"/>
                <w:highlight w:val="none"/>
                <w14:textFill>
                  <w14:solidFill>
                    <w14:schemeClr w14:val="tx1"/>
                  </w14:solidFill>
                </w14:textFill>
              </w:rPr>
              <w:t>综合治理力度。</w:t>
            </w:r>
          </w:p>
          <w:p w14:paraId="55BA30B4">
            <w:pPr>
              <w:pStyle w:val="24"/>
              <w:pageBreakBefore w:val="0"/>
              <w:kinsoku/>
              <w:wordWrap w:val="0"/>
              <w:overflowPunct/>
              <w:bidi w:val="0"/>
              <w:spacing w:line="480" w:lineRule="exact"/>
              <w:ind w:left="0"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②生态环境功能区划</w:t>
            </w:r>
          </w:p>
          <w:p w14:paraId="6A04E189">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color w:val="000000" w:themeColor="text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承德市（8县3区）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生态功能区27个。各功能区在满足其环境保护要求的前提下开展城乡建设。生态功能区划分表如下：</w:t>
            </w:r>
          </w:p>
          <w:p w14:paraId="0B633983">
            <w:pPr>
              <w:pStyle w:val="91"/>
              <w:pageBreakBefore w:val="0"/>
              <w:kinsoku/>
              <w:wordWrap w:val="0"/>
              <w:overflowPunct/>
              <w:autoSpaceDE w:val="0"/>
              <w:bidi w:val="0"/>
              <w:snapToGrid w:val="0"/>
              <w:spacing w:line="480" w:lineRule="exact"/>
              <w:jc w:val="center"/>
              <w:rPr>
                <w:rFonts w:ascii="Times New Roman" w:hAnsi="Times New Roman"/>
                <w:b/>
                <w:bCs/>
                <w:color w:val="000000" w:themeColor="text1"/>
                <w:kern w:val="0"/>
                <w:sz w:val="21"/>
                <w:szCs w:val="21"/>
                <w:highlight w:val="none"/>
                <w14:textFill>
                  <w14:solidFill>
                    <w14:schemeClr w14:val="tx1"/>
                  </w14:solidFill>
                </w14:textFill>
              </w:rPr>
            </w:pPr>
            <w:r>
              <w:rPr>
                <w:rFonts w:ascii="Times New Roman" w:hAnsi="Times New Roman"/>
                <w:b/>
                <w:bCs/>
                <w:color w:val="000000" w:themeColor="text1"/>
                <w:kern w:val="0"/>
                <w:sz w:val="21"/>
                <w:szCs w:val="21"/>
                <w:highlight w:val="none"/>
                <w14:textFill>
                  <w14:solidFill>
                    <w14:schemeClr w14:val="tx1"/>
                  </w14:solidFill>
                </w14:textFill>
              </w:rPr>
              <w:t>表1-</w:t>
            </w:r>
            <w:r>
              <w:rPr>
                <w:rFonts w:hint="eastAsia" w:ascii="Times New Roman" w:hAnsi="Times New Roman"/>
                <w:b/>
                <w:bCs/>
                <w:color w:val="000000" w:themeColor="text1"/>
                <w:kern w:val="0"/>
                <w:sz w:val="21"/>
                <w:szCs w:val="21"/>
                <w:highlight w:val="none"/>
                <w:lang w:val="en-US" w:eastAsia="zh-CN"/>
                <w14:textFill>
                  <w14:solidFill>
                    <w14:schemeClr w14:val="tx1"/>
                  </w14:solidFill>
                </w14:textFill>
              </w:rPr>
              <w:t>4</w:t>
            </w:r>
            <w:r>
              <w:rPr>
                <w:rFonts w:ascii="Times New Roman" w:hAnsi="Times New Roman"/>
                <w:b/>
                <w:bCs/>
                <w:color w:val="000000" w:themeColor="text1"/>
                <w:kern w:val="0"/>
                <w:sz w:val="21"/>
                <w:szCs w:val="21"/>
                <w:highlight w:val="none"/>
                <w14:textFill>
                  <w14:solidFill>
                    <w14:schemeClr w14:val="tx1"/>
                  </w14:solidFill>
                </w14:textFill>
              </w:rPr>
              <w:t xml:space="preserve"> 承德市生态功能区划分表</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36"/>
              <w:gridCol w:w="6255"/>
            </w:tblGrid>
            <w:tr w14:paraId="2743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restart"/>
                  <w:noWrap w:val="0"/>
                  <w:vAlign w:val="center"/>
                </w:tcPr>
                <w:p w14:paraId="5A6A9CEA">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承德坝上高原生态区I</w:t>
                  </w:r>
                </w:p>
              </w:tc>
              <w:tc>
                <w:tcPr>
                  <w:tcW w:w="794" w:type="pct"/>
                  <w:vMerge w:val="restart"/>
                  <w:noWrap w:val="0"/>
                  <w:vAlign w:val="center"/>
                </w:tcPr>
                <w:p w14:paraId="0B44513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坝上高原西部草原生态亚区</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I</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-1</w:t>
                  </w:r>
                </w:p>
              </w:tc>
              <w:tc>
                <w:tcPr>
                  <w:tcW w:w="3719" w:type="pct"/>
                  <w:noWrap w:val="0"/>
                  <w:vAlign w:val="center"/>
                </w:tcPr>
                <w:p w14:paraId="04CED25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承德坝上高原南部水源涵、化治功能区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I</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-1-1</w:t>
                  </w:r>
                </w:p>
              </w:tc>
            </w:tr>
            <w:tr w14:paraId="0FDD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4F13248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50D6AB4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5C044F2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滦河源生物多样性保护、荒漠化控制功能区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I</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-1-2</w:t>
                  </w:r>
                </w:p>
              </w:tc>
            </w:tr>
            <w:tr w14:paraId="08CE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3E4EF69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restart"/>
                  <w:noWrap w:val="0"/>
                  <w:vAlign w:val="center"/>
                </w:tcPr>
                <w:p w14:paraId="7CAE0AD5">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坝上高原东部森林草原生态亚区</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I</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-2</w:t>
                  </w:r>
                </w:p>
              </w:tc>
              <w:tc>
                <w:tcPr>
                  <w:tcW w:w="3719" w:type="pct"/>
                  <w:noWrap w:val="0"/>
                  <w:vAlign w:val="center"/>
                </w:tcPr>
                <w:p w14:paraId="1D2302CB">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红松洼生物多样性、水土保持功能区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I</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-2-1</w:t>
                  </w:r>
                </w:p>
              </w:tc>
            </w:tr>
            <w:tr w14:paraId="00DE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7A40AAFA">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45D8E0DE">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47FA402A">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塞罕坝生物多样性保护、沙化防治功能区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I</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-2-2</w:t>
                  </w:r>
                </w:p>
              </w:tc>
            </w:tr>
            <w:tr w14:paraId="7467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45FB4416">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4B46C09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63E1071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御道口东部生物多样性保护、水源涵养功能区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I-</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2-3</w:t>
                  </w:r>
                </w:p>
              </w:tc>
            </w:tr>
            <w:tr w14:paraId="080DF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restart"/>
                  <w:noWrap w:val="0"/>
                  <w:vAlign w:val="center"/>
                </w:tcPr>
                <w:p w14:paraId="2AF00C2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冀北</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及燕山山地生态区</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Ⅱ</w:t>
                  </w:r>
                </w:p>
              </w:tc>
              <w:tc>
                <w:tcPr>
                  <w:tcW w:w="794" w:type="pct"/>
                  <w:vMerge w:val="restart"/>
                  <w:noWrap w:val="0"/>
                  <w:vAlign w:val="center"/>
                </w:tcPr>
                <w:p w14:paraId="3B67FD3E">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冀北山地森林生态亚区Ⅱ-1</w:t>
                  </w:r>
                </w:p>
              </w:tc>
              <w:tc>
                <w:tcPr>
                  <w:tcW w:w="3719" w:type="pct"/>
                  <w:noWrap w:val="0"/>
                  <w:vAlign w:val="center"/>
                </w:tcPr>
                <w:p w14:paraId="4452692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辽河北林牧、沙化防治功能区II-1-1</w:t>
                  </w:r>
                </w:p>
              </w:tc>
            </w:tr>
            <w:tr w14:paraId="72A2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69AC2DC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4206E9A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631A5E3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围场中部水源涵养、水资源保护与沙漠化防治功能区Ⅱ-1-2</w:t>
                  </w:r>
                </w:p>
              </w:tc>
            </w:tr>
            <w:tr w14:paraId="46F9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2A10F6C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0EA3839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1DF5AF9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滦河上游生物多样性保护功能区Ⅱ-1-3</w:t>
                  </w:r>
                </w:p>
              </w:tc>
            </w:tr>
            <w:tr w14:paraId="7CB1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2BCD749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507B541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0A702D57">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滦河中上游水土保持、水源涵养功能区Ⅱ-1-4</w:t>
                  </w:r>
                </w:p>
              </w:tc>
            </w:tr>
            <w:tr w14:paraId="02AD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1DF23EFB">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3EE50CAF">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5E5AE2C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潮河流域水源涵养、水资源保护功能区Ⅱ-1-5</w:t>
                  </w:r>
                </w:p>
              </w:tc>
            </w:tr>
            <w:tr w14:paraId="2A1E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4515924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521F837E">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274D186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滦平、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隆化</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水土保持、矿山环境综合整治功能区Ⅱ-1-6</w:t>
                  </w:r>
                </w:p>
              </w:tc>
            </w:tr>
            <w:tr w14:paraId="51C8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1D7D5C87">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restart"/>
                  <w:noWrap w:val="0"/>
                  <w:vAlign w:val="center"/>
                </w:tcPr>
                <w:p w14:paraId="518F5F7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七老图山森林灌草生态亚区Ⅱ</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2</w:t>
                  </w:r>
                </w:p>
              </w:tc>
              <w:tc>
                <w:tcPr>
                  <w:tcW w:w="3719" w:type="pct"/>
                  <w:noWrap w:val="0"/>
                  <w:vAlign w:val="center"/>
                </w:tcPr>
                <w:p w14:paraId="0620506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承德东部水资源保护、水源涵养与生物多样性保护功能</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区</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Ⅱ-2-1</w:t>
                  </w:r>
                </w:p>
              </w:tc>
            </w:tr>
            <w:tr w14:paraId="644C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05D1D86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749278C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6856C6D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承德县水源涵养、水土流失重点治理区Ⅱ</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2-2</w:t>
                  </w:r>
                </w:p>
              </w:tc>
            </w:tr>
            <w:tr w14:paraId="0851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32DC3C4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09F9ACF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015EE17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辽河源生物多样性保护、水土保持功能区Ⅱ</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3</w:t>
                  </w:r>
                </w:p>
              </w:tc>
            </w:tr>
            <w:tr w14:paraId="0523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146FA44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7A3D5CF5">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3A4E0E62">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平泉东部生态农业区Ⅱ-2-4</w:t>
                  </w:r>
                </w:p>
              </w:tc>
            </w:tr>
            <w:tr w14:paraId="0DB7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4772475F">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restart"/>
                  <w:noWrap w:val="0"/>
                  <w:vAlign w:val="center"/>
                </w:tcPr>
                <w:p w14:paraId="0BE5914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城市规划发展亚</w:t>
                  </w:r>
                </w:p>
                <w:p w14:paraId="7227019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区Ⅱ-3</w:t>
                  </w:r>
                </w:p>
              </w:tc>
              <w:tc>
                <w:tcPr>
                  <w:tcW w:w="3719" w:type="pct"/>
                  <w:noWrap w:val="0"/>
                  <w:vAlign w:val="center"/>
                </w:tcPr>
                <w:p w14:paraId="155F3ABB">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滦平东部矿山环境综合整治区Ⅱ-3-1</w:t>
                  </w:r>
                </w:p>
              </w:tc>
            </w:tr>
            <w:tr w14:paraId="1033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2021A88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3485B32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38BF22F6">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承德市生态城市建设区Ⅱ-3-2</w:t>
                  </w:r>
                </w:p>
              </w:tc>
            </w:tr>
            <w:tr w14:paraId="058C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786EFB0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7DECA63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727D1F06">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承德、平泉、宽城水源涵养、水土流失重点治理区Ⅱ-3-3</w:t>
                  </w:r>
                </w:p>
              </w:tc>
            </w:tr>
            <w:tr w14:paraId="7A5B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28EF40E2">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17E078C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62B2EF25">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鹰手营子矿区矿山环境综合整治区Ⅱ-3-4</w:t>
                  </w:r>
                </w:p>
              </w:tc>
            </w:tr>
            <w:tr w14:paraId="3FBB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38AE257D">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restart"/>
                  <w:noWrap w:val="0"/>
                  <w:vAlign w:val="center"/>
                </w:tcPr>
                <w:p w14:paraId="14C90E74">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燕山山地南部林果生态亚区Ⅱ-4</w:t>
                  </w:r>
                </w:p>
              </w:tc>
              <w:tc>
                <w:tcPr>
                  <w:tcW w:w="3719" w:type="pct"/>
                  <w:noWrap w:val="0"/>
                  <w:vAlign w:val="center"/>
                </w:tcPr>
                <w:p w14:paraId="58AA791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白草洼生物多样性保护、水源涵养功能区Ⅱ-4-1</w:t>
                  </w:r>
                </w:p>
              </w:tc>
            </w:tr>
            <w:tr w14:paraId="39FD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2ED96D4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072DC06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17A52940">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承德县西部水源涵养、水土保持功能区Ⅱ-4-2</w:t>
                  </w:r>
                </w:p>
              </w:tc>
            </w:tr>
            <w:tr w14:paraId="38DD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48EBE8BB">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1D36329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0C8E72A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雾灵山生物多样性、长城历史遗产保护生态功能区Ⅱ</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-4-3</w:t>
                  </w:r>
                </w:p>
              </w:tc>
            </w:tr>
            <w:tr w14:paraId="502F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79C05526">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1A21AC7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0EE599EB">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兴隆县西南部长城保护与地质灾害防治功能区Ⅱ-4-4</w:t>
                  </w:r>
                </w:p>
              </w:tc>
            </w:tr>
            <w:tr w14:paraId="7153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379DE0A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357AE7B7">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72C2B103">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兴隆东部水源涵养、水土保持功能区Ⅱ-4-5</w:t>
                  </w:r>
                </w:p>
              </w:tc>
            </w:tr>
            <w:tr w14:paraId="3226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59D53F75">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0EF31F41">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5105174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千鹤山生物多样性保护、水源涵养功能区Ⅱ-4-6</w:t>
                  </w:r>
                </w:p>
              </w:tc>
            </w:tr>
            <w:tr w14:paraId="55F9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137DA3AC">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47AF5A9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61E32AA2">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宽城南部矿山环境综合整治区Ⅱ-4-7</w:t>
                  </w:r>
                </w:p>
              </w:tc>
            </w:tr>
            <w:tr w14:paraId="7ACC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6" w:type="pct"/>
                  <w:vMerge w:val="continue"/>
                  <w:noWrap w:val="0"/>
                  <w:vAlign w:val="center"/>
                </w:tcPr>
                <w:p w14:paraId="79EEB0A7">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794" w:type="pct"/>
                  <w:vMerge w:val="continue"/>
                  <w:noWrap w:val="0"/>
                  <w:vAlign w:val="center"/>
                </w:tcPr>
                <w:p w14:paraId="78EBC6E8">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p>
              </w:tc>
              <w:tc>
                <w:tcPr>
                  <w:tcW w:w="3719" w:type="pct"/>
                  <w:noWrap w:val="0"/>
                  <w:vAlign w:val="center"/>
                </w:tcPr>
                <w:p w14:paraId="161EBBAF">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宽城都山生物多样性保护、水土保持功能区Ⅱ-4-8</w:t>
                  </w:r>
                </w:p>
              </w:tc>
            </w:tr>
          </w:tbl>
          <w:p w14:paraId="75C24021">
            <w:pPr>
              <w:pStyle w:val="9"/>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olor w:val="000000" w:themeColor="text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《承德市城市总体规划》（2016</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2030年）承德市生态功能区图如下图所示：</w:t>
            </w:r>
          </w:p>
          <w:p w14:paraId="768C96C6">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66432" behindDoc="0" locked="0" layoutInCell="1" allowOverlap="1">
                  <wp:simplePos x="0" y="0"/>
                  <wp:positionH relativeFrom="column">
                    <wp:posOffset>-9525</wp:posOffset>
                  </wp:positionH>
                  <wp:positionV relativeFrom="paragraph">
                    <wp:posOffset>3729355</wp:posOffset>
                  </wp:positionV>
                  <wp:extent cx="800100" cy="391160"/>
                  <wp:effectExtent l="0" t="0" r="0" b="889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2"/>
                          <a:stretch>
                            <a:fillRect/>
                          </a:stretch>
                        </pic:blipFill>
                        <pic:spPr>
                          <a:xfrm>
                            <a:off x="0" y="0"/>
                            <a:ext cx="800100" cy="391160"/>
                          </a:xfrm>
                          <a:prstGeom prst="rect">
                            <a:avLst/>
                          </a:prstGeom>
                          <a:noFill/>
                          <a:ln>
                            <a:noFill/>
                          </a:ln>
                        </pic:spPr>
                      </pic:pic>
                    </a:graphicData>
                  </a:graphic>
                </wp:anchor>
              </w:drawing>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1835785</wp:posOffset>
                      </wp:positionH>
                      <wp:positionV relativeFrom="paragraph">
                        <wp:posOffset>1875155</wp:posOffset>
                      </wp:positionV>
                      <wp:extent cx="190500" cy="209550"/>
                      <wp:effectExtent l="13335" t="17780" r="24765" b="20320"/>
                      <wp:wrapNone/>
                      <wp:docPr id="22" name="五角星 22"/>
                      <wp:cNvGraphicFramePr/>
                      <a:graphic xmlns:a="http://schemas.openxmlformats.org/drawingml/2006/main">
                        <a:graphicData uri="http://schemas.microsoft.com/office/word/2010/wordprocessingShape">
                          <wps:wsp>
                            <wps:cNvSpPr/>
                            <wps:spPr>
                              <a:xfrm>
                                <a:off x="0" y="0"/>
                                <a:ext cx="190500" cy="209550"/>
                              </a:xfrm>
                              <a:prstGeom prst="star5">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144.55pt;margin-top:147.65pt;height:16.5pt;width:15pt;z-index:251663360;mso-width-relative:page;mso-height-relative:page;" fillcolor="#FFFFFF" filled="t" stroked="t" coordsize="190500,209550" o:gfxdata="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9NVmzZAAAACwEAAA8AAAAAAAAAAQAgAAAAIgAAAGRy&#10;cy9kb3ducmV2LnhtbFBLAQIUABQAAAAIAIdO4kDWW0eBBAIAACMEAAAOAAAAAAAAAAEAIAAAACgB&#10;AABkcnMvZTJvRG9jLnhtbFBLBQYAAAAABgAGAFkBAACeBQAAAAA=&#10;" path="m0,80040l72764,80041,95250,0,117735,80041,190499,80040,131631,129508,154117,209549,95250,160080,36382,209549,58868,129508xe">
                      <v:path o:connectlocs="95250,0;0,80040;36382,209549;154117,209549;190499,80040" o:connectangles="247,164,82,82,0"/>
                      <v:fill on="t" focussize="0,0"/>
                      <v:stroke color="#000000" joinstyle="miter"/>
                      <v:imagedata o:title=""/>
                      <o:lock v:ext="edit" aspectratio="f"/>
                    </v:shape>
                  </w:pict>
                </mc:Fallback>
              </mc:AlternateContent>
            </w:r>
            <w:r>
              <w:rPr>
                <w:color w:val="000000" w:themeColor="text1"/>
                <w:highlight w:val="none"/>
                <w14:textFill>
                  <w14:solidFill>
                    <w14:schemeClr w14:val="tx1"/>
                  </w14:solidFill>
                </w14:textFill>
              </w:rPr>
              <w:drawing>
                <wp:anchor distT="0" distB="0" distL="114300" distR="114300" simplePos="0" relativeHeight="251665408" behindDoc="0" locked="0" layoutInCell="1" allowOverlap="1">
                  <wp:simplePos x="0" y="0"/>
                  <wp:positionH relativeFrom="column">
                    <wp:posOffset>40005</wp:posOffset>
                  </wp:positionH>
                  <wp:positionV relativeFrom="paragraph">
                    <wp:posOffset>2977515</wp:posOffset>
                  </wp:positionV>
                  <wp:extent cx="2416810" cy="1125855"/>
                  <wp:effectExtent l="0" t="0" r="2540" b="17145"/>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2416810" cy="1125855"/>
                          </a:xfrm>
                          <a:prstGeom prst="rect">
                            <a:avLst/>
                          </a:prstGeom>
                          <a:noFill/>
                          <a:ln>
                            <a:noFill/>
                          </a:ln>
                        </pic:spPr>
                      </pic:pic>
                    </a:graphicData>
                  </a:graphic>
                </wp:anchor>
              </w:drawing>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1981200</wp:posOffset>
                      </wp:positionH>
                      <wp:positionV relativeFrom="paragraph">
                        <wp:posOffset>2084705</wp:posOffset>
                      </wp:positionV>
                      <wp:extent cx="8890" cy="966470"/>
                      <wp:effectExtent l="48895" t="0" r="56515" b="5080"/>
                      <wp:wrapNone/>
                      <wp:docPr id="25" name="直接箭头连接符 25"/>
                      <wp:cNvGraphicFramePr/>
                      <a:graphic xmlns:a="http://schemas.openxmlformats.org/drawingml/2006/main">
                        <a:graphicData uri="http://schemas.microsoft.com/office/word/2010/wordprocessingShape">
                          <wps:wsp>
                            <wps:cNvCnPr>
                              <a:endCxn id="22" idx="3"/>
                            </wps:cNvCnPr>
                            <wps:spPr>
                              <a:xfrm flipV="1">
                                <a:off x="5538470" y="5963920"/>
                                <a:ext cx="8890" cy="966470"/>
                              </a:xfrm>
                              <a:prstGeom prst="straightConnector1">
                                <a:avLst/>
                              </a:prstGeom>
                              <a:ln>
                                <a:tailEnd type="arrow" w="med" len="med"/>
                              </a:ln>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6pt;margin-top:164.15pt;height:76.1pt;width:0.7pt;z-index:251664384;mso-width-relative:page;mso-height-relative:page;" filled="f" stroked="t" coordsize="21600,21600" o:gfxdata="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Sjsy7aAAAACwEAAA8AAAAAAAAAAQAgAAAAIgAAAGRycy9kb3ducmV2LnhtbFBLAQIUABQA&#10;AAAIAIdO4kBAXhHiJwIAABsEAAAOAAAAAAAAAAEAIAAAACkBAABkcnMvZTJvRG9jLnhtbFBLBQYA&#10;AAAABgAGAFkBAADCBQAAAAA=&#10;">
                      <v:fill on="f" focussize="0,0"/>
                      <v:stroke weight="2pt" color="#000000" joinstyle="round" endarrow="open"/>
                      <v:imagedata o:title=""/>
                      <o:lock v:ext="edit" aspectratio="f"/>
                    </v:shape>
                  </w:pict>
                </mc:Fallback>
              </mc:AlternateContent>
            </w:r>
            <w:r>
              <w:rPr>
                <w:color w:val="000000" w:themeColor="text1"/>
                <w:sz w:val="21"/>
                <w:highlight w:val="none"/>
                <w14:textFill>
                  <w14:solidFill>
                    <w14:schemeClr w14:val="tx1"/>
                  </w14:solidFill>
                </w14:textFill>
              </w:rPr>
              <w:drawing>
                <wp:inline distT="0" distB="0" distL="114300" distR="114300">
                  <wp:extent cx="4885690" cy="5994400"/>
                  <wp:effectExtent l="0" t="0" r="10160" b="6350"/>
                  <wp:docPr id="21" name="图片 5" descr="承德市城市总体规划图（201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承德市城市总体规划图（2016-2030）"/>
                          <pic:cNvPicPr>
                            <a:picLocks noChangeAspect="1"/>
                          </pic:cNvPicPr>
                        </pic:nvPicPr>
                        <pic:blipFill>
                          <a:blip r:embed="rId14"/>
                          <a:srcRect t="3239" b="3563"/>
                          <a:stretch>
                            <a:fillRect/>
                          </a:stretch>
                        </pic:blipFill>
                        <pic:spPr>
                          <a:xfrm>
                            <a:off x="0" y="0"/>
                            <a:ext cx="4885690" cy="5994400"/>
                          </a:xfrm>
                          <a:prstGeom prst="rect">
                            <a:avLst/>
                          </a:prstGeom>
                          <a:noFill/>
                          <a:ln>
                            <a:noFill/>
                          </a:ln>
                        </pic:spPr>
                      </pic:pic>
                    </a:graphicData>
                  </a:graphic>
                </wp:inline>
              </w:drawing>
            </w:r>
          </w:p>
          <w:p w14:paraId="6CCEC074">
            <w:pPr>
              <w:pStyle w:val="9"/>
              <w:keepNext w:val="0"/>
              <w:keepLines w:val="0"/>
              <w:pageBreakBefore w:val="0"/>
              <w:widowControl w:val="0"/>
              <w:kinsoku/>
              <w:wordWrap w:val="0"/>
              <w:overflowPunct/>
              <w:topLinePunct w:val="0"/>
              <w:autoSpaceDE/>
              <w:autoSpaceDN/>
              <w:bidi w:val="0"/>
              <w:adjustRightInd/>
              <w:snapToGrid/>
              <w:spacing w:line="480" w:lineRule="exact"/>
              <w:ind w:left="0" w:leftChars="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图1-</w:t>
            </w:r>
            <w:r>
              <w:rPr>
                <w:rFonts w:hint="eastAsia" w:ascii="Times New Roman" w:hAnsi="Times New Roman" w:cs="Times New Roman"/>
                <w:b/>
                <w:bCs/>
                <w:color w:val="000000" w:themeColor="text1"/>
                <w:kern w:val="0"/>
                <w:szCs w:val="21"/>
                <w:highlight w:val="none"/>
                <w:lang w:val="en-US" w:eastAsia="zh-CN"/>
                <w14:textFill>
                  <w14:solidFill>
                    <w14:schemeClr w14:val="tx1"/>
                  </w14:solidFill>
                </w14:textFill>
              </w:rPr>
              <w:t>3</w:t>
            </w:r>
            <w:r>
              <w:rPr>
                <w:rFonts w:hint="eastAsia"/>
                <w:b/>
                <w:bCs/>
                <w:color w:val="000000" w:themeColor="text1"/>
                <w:kern w:val="0"/>
                <w:szCs w:val="21"/>
                <w:highlight w:val="none"/>
                <w:lang w:val="en-US" w:eastAsia="zh-CN"/>
                <w14:textFill>
                  <w14:solidFill>
                    <w14:schemeClr w14:val="tx1"/>
                  </w14:solidFill>
                </w14:textFill>
              </w:rPr>
              <w:t xml:space="preserve"> </w:t>
            </w:r>
            <w:r>
              <w:rPr>
                <w:rFonts w:hint="eastAsia" w:ascii="宋体" w:hAnsi="宋体" w:eastAsia="宋体" w:cs="Times New Roman"/>
                <w:b/>
                <w:bCs/>
                <w:color w:val="000000" w:themeColor="text1"/>
                <w:kern w:val="0"/>
                <w:sz w:val="21"/>
                <w:szCs w:val="21"/>
                <w:highlight w:val="none"/>
                <w:lang w:val="en-US" w:eastAsia="zh-CN" w:bidi="ar-SA"/>
                <w14:textFill>
                  <w14:solidFill>
                    <w14:schemeClr w14:val="tx1"/>
                  </w14:solidFill>
                </w14:textFill>
              </w:rPr>
              <w:t>承德市市域环境功能区划图</w:t>
            </w:r>
          </w:p>
          <w:p w14:paraId="4C50C23C">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本项目位于围场满族蒙古族自治县牌楼乡于家湾村4组，根据承德市总体规划，项目所在地属于“冀北及燕山山地生态区（Ⅱ）—冀北山地森林生态亚区（II-1）—滦河上游生物多样性保护功能区（II-1-3）”。该区域主要生态环境问题、生态服务功能、建设方向及措施如下表所示：</w:t>
            </w:r>
          </w:p>
          <w:p w14:paraId="293E8AD3">
            <w:pPr>
              <w:pStyle w:val="9"/>
              <w:keepNext w:val="0"/>
              <w:keepLines w:val="0"/>
              <w:pageBreakBefore w:val="0"/>
              <w:widowControl w:val="0"/>
              <w:kinsoku/>
              <w:wordWrap w:val="0"/>
              <w:overflowPunct/>
              <w:topLinePunct w:val="0"/>
              <w:autoSpaceDE/>
              <w:autoSpaceDN/>
              <w:bidi w:val="0"/>
              <w:adjustRightInd/>
              <w:snapToGrid/>
              <w:spacing w:line="480" w:lineRule="exact"/>
              <w:ind w:left="0" w:leftChars="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ascii="Times New Roman" w:hAnsi="Times New Roman"/>
                <w:b/>
                <w:bCs/>
                <w:color w:val="000000" w:themeColor="text1"/>
                <w:kern w:val="0"/>
                <w:sz w:val="21"/>
                <w:szCs w:val="21"/>
                <w:highlight w:val="none"/>
                <w14:textFill>
                  <w14:solidFill>
                    <w14:schemeClr w14:val="tx1"/>
                  </w14:solidFill>
                </w14:textFill>
              </w:rPr>
              <w:t>表1-</w:t>
            </w:r>
            <w:r>
              <w:rPr>
                <w:rFonts w:hint="eastAsia" w:ascii="Times New Roman" w:hAnsi="Times New Roman"/>
                <w:b/>
                <w:bCs/>
                <w:color w:val="000000" w:themeColor="text1"/>
                <w:kern w:val="0"/>
                <w:sz w:val="21"/>
                <w:szCs w:val="21"/>
                <w:highlight w:val="none"/>
                <w:lang w:val="en-US" w:eastAsia="zh-CN"/>
                <w14:textFill>
                  <w14:solidFill>
                    <w14:schemeClr w14:val="tx1"/>
                  </w14:solidFill>
                </w14:textFill>
              </w:rPr>
              <w:t>5</w:t>
            </w:r>
            <w:r>
              <w:rPr>
                <w:rFonts w:ascii="Times New Roman" w:hAnsi="Times New Roman"/>
                <w:b/>
                <w:bCs/>
                <w:color w:val="000000" w:themeColor="text1"/>
                <w:kern w:val="0"/>
                <w:sz w:val="21"/>
                <w:szCs w:val="21"/>
                <w:highlight w:val="none"/>
                <w14:textFill>
                  <w14:solidFill>
                    <w14:schemeClr w14:val="tx1"/>
                  </w14:solidFill>
                </w14:textFill>
              </w:rPr>
              <w:t xml:space="preserve"> 承德市总体规划中生态功能区划相关功能分区</w:t>
            </w:r>
          </w:p>
          <w:tbl>
            <w:tblPr>
              <w:tblStyle w:val="31"/>
              <w:tblW w:w="8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65"/>
              <w:gridCol w:w="990"/>
              <w:gridCol w:w="1290"/>
              <w:gridCol w:w="1063"/>
              <w:gridCol w:w="3489"/>
            </w:tblGrid>
            <w:tr w14:paraId="5F07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0" w:type="dxa"/>
                  <w:vAlign w:val="center"/>
                </w:tcPr>
                <w:p w14:paraId="0AC29FA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b/>
                      <w:bCs/>
                      <w:color w:val="000000" w:themeColor="text1"/>
                      <w:highlight w:val="none"/>
                      <w:vertAlign w:val="baseline"/>
                      <w:lang w:val="en-US" w:eastAsia="zh-CN"/>
                      <w14:textFill>
                        <w14:solidFill>
                          <w14:schemeClr w14:val="tx1"/>
                        </w14:solidFill>
                      </w14:textFill>
                    </w:rPr>
                  </w:pPr>
                  <w:r>
                    <w:rPr>
                      <w:rFonts w:hint="eastAsia"/>
                      <w:b/>
                      <w:bCs/>
                      <w:color w:val="000000" w:themeColor="text1"/>
                      <w:highlight w:val="none"/>
                      <w:vertAlign w:val="baseline"/>
                      <w:lang w:val="en-US" w:eastAsia="zh-CN"/>
                      <w14:textFill>
                        <w14:solidFill>
                          <w14:schemeClr w14:val="tx1"/>
                        </w14:solidFill>
                      </w14:textFill>
                    </w:rPr>
                    <w:t>生态区</w:t>
                  </w:r>
                </w:p>
              </w:tc>
              <w:tc>
                <w:tcPr>
                  <w:tcW w:w="765" w:type="dxa"/>
                  <w:vAlign w:val="center"/>
                </w:tcPr>
                <w:p w14:paraId="5F440C76">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b/>
                      <w:bCs/>
                      <w:color w:val="000000" w:themeColor="text1"/>
                      <w:highlight w:val="none"/>
                      <w:vertAlign w:val="baseline"/>
                      <w:lang w:val="en-US" w:eastAsia="zh-CN"/>
                      <w14:textFill>
                        <w14:solidFill>
                          <w14:schemeClr w14:val="tx1"/>
                        </w14:solidFill>
                      </w14:textFill>
                    </w:rPr>
                  </w:pPr>
                  <w:r>
                    <w:rPr>
                      <w:rFonts w:hint="eastAsia"/>
                      <w:b/>
                      <w:bCs/>
                      <w:color w:val="000000" w:themeColor="text1"/>
                      <w:highlight w:val="none"/>
                      <w:vertAlign w:val="baseline"/>
                      <w:lang w:val="en-US" w:eastAsia="zh-CN"/>
                      <w14:textFill>
                        <w14:solidFill>
                          <w14:schemeClr w14:val="tx1"/>
                        </w14:solidFill>
                      </w14:textFill>
                    </w:rPr>
                    <w:t>生态亚区</w:t>
                  </w:r>
                </w:p>
              </w:tc>
              <w:tc>
                <w:tcPr>
                  <w:tcW w:w="990" w:type="dxa"/>
                  <w:vAlign w:val="center"/>
                </w:tcPr>
                <w:p w14:paraId="7F8B9194">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b/>
                      <w:bCs/>
                      <w:color w:val="000000" w:themeColor="text1"/>
                      <w:highlight w:val="none"/>
                      <w:vertAlign w:val="baseline"/>
                      <w:lang w:val="en-US" w:eastAsia="zh-CN"/>
                      <w14:textFill>
                        <w14:solidFill>
                          <w14:schemeClr w14:val="tx1"/>
                        </w14:solidFill>
                      </w14:textFill>
                    </w:rPr>
                  </w:pPr>
                  <w:r>
                    <w:rPr>
                      <w:rFonts w:hint="eastAsia"/>
                      <w:b/>
                      <w:bCs/>
                      <w:color w:val="000000" w:themeColor="text1"/>
                      <w:highlight w:val="none"/>
                      <w:vertAlign w:val="baseline"/>
                      <w:lang w:val="en-US" w:eastAsia="zh-CN"/>
                      <w14:textFill>
                        <w14:solidFill>
                          <w14:schemeClr w14:val="tx1"/>
                        </w14:solidFill>
                      </w14:textFill>
                    </w:rPr>
                    <w:t>生态功能区</w:t>
                  </w:r>
                </w:p>
              </w:tc>
              <w:tc>
                <w:tcPr>
                  <w:tcW w:w="1290" w:type="dxa"/>
                  <w:vAlign w:val="center"/>
                </w:tcPr>
                <w:p w14:paraId="1CA784B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b/>
                      <w:bCs/>
                      <w:color w:val="000000" w:themeColor="text1"/>
                      <w:highlight w:val="none"/>
                      <w:vertAlign w:val="baseline"/>
                      <w:lang w:val="en-US" w:eastAsia="zh-CN"/>
                      <w14:textFill>
                        <w14:solidFill>
                          <w14:schemeClr w14:val="tx1"/>
                        </w14:solidFill>
                      </w14:textFill>
                    </w:rPr>
                  </w:pPr>
                  <w:r>
                    <w:rPr>
                      <w:rFonts w:hint="eastAsia"/>
                      <w:b/>
                      <w:bCs/>
                      <w:color w:val="000000" w:themeColor="text1"/>
                      <w:highlight w:val="none"/>
                      <w:vertAlign w:val="baseline"/>
                      <w:lang w:val="en-US" w:eastAsia="zh-CN"/>
                      <w14:textFill>
                        <w14:solidFill>
                          <w14:schemeClr w14:val="tx1"/>
                        </w14:solidFill>
                      </w14:textFill>
                    </w:rPr>
                    <w:t>主要生态环境问题</w:t>
                  </w:r>
                </w:p>
              </w:tc>
              <w:tc>
                <w:tcPr>
                  <w:tcW w:w="1063" w:type="dxa"/>
                  <w:vAlign w:val="center"/>
                </w:tcPr>
                <w:p w14:paraId="20770E3C">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b/>
                      <w:bCs/>
                      <w:color w:val="000000" w:themeColor="text1"/>
                      <w:highlight w:val="none"/>
                      <w:vertAlign w:val="baseline"/>
                      <w:lang w:val="en-US" w:eastAsia="zh-CN"/>
                      <w14:textFill>
                        <w14:solidFill>
                          <w14:schemeClr w14:val="tx1"/>
                        </w14:solidFill>
                      </w14:textFill>
                    </w:rPr>
                  </w:pPr>
                  <w:r>
                    <w:rPr>
                      <w:rFonts w:hint="eastAsia"/>
                      <w:b/>
                      <w:bCs/>
                      <w:color w:val="000000" w:themeColor="text1"/>
                      <w:highlight w:val="none"/>
                      <w:vertAlign w:val="baseline"/>
                      <w:lang w:val="en-US" w:eastAsia="zh-CN"/>
                      <w14:textFill>
                        <w14:solidFill>
                          <w14:schemeClr w14:val="tx1"/>
                        </w14:solidFill>
                      </w14:textFill>
                    </w:rPr>
                    <w:t>生态服务功能</w:t>
                  </w:r>
                </w:p>
              </w:tc>
              <w:tc>
                <w:tcPr>
                  <w:tcW w:w="3489" w:type="dxa"/>
                  <w:vAlign w:val="center"/>
                </w:tcPr>
                <w:p w14:paraId="62152A69">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b/>
                      <w:bCs/>
                      <w:color w:val="000000" w:themeColor="text1"/>
                      <w:highlight w:val="none"/>
                      <w:vertAlign w:val="baseline"/>
                      <w:lang w:val="en-US" w:eastAsia="zh-CN"/>
                      <w14:textFill>
                        <w14:solidFill>
                          <w14:schemeClr w14:val="tx1"/>
                        </w14:solidFill>
                      </w14:textFill>
                    </w:rPr>
                  </w:pPr>
                  <w:r>
                    <w:rPr>
                      <w:rFonts w:hint="eastAsia"/>
                      <w:b/>
                      <w:bCs/>
                      <w:color w:val="000000" w:themeColor="text1"/>
                      <w:highlight w:val="none"/>
                      <w:vertAlign w:val="baseline"/>
                      <w:lang w:val="en-US" w:eastAsia="zh-CN"/>
                      <w14:textFill>
                        <w14:solidFill>
                          <w14:schemeClr w14:val="tx1"/>
                        </w14:solidFill>
                      </w14:textFill>
                    </w:rPr>
                    <w:t>建设方向及措施</w:t>
                  </w:r>
                </w:p>
              </w:tc>
            </w:tr>
            <w:tr w14:paraId="0921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0" w:type="dxa"/>
                  <w:vAlign w:val="center"/>
                </w:tcPr>
                <w:p w14:paraId="5D1DD9CD">
                  <w:pPr>
                    <w:pStyle w:val="58"/>
                    <w:pageBreakBefore w:val="0"/>
                    <w:kinsoku/>
                    <w:wordWrap w:val="0"/>
                    <w:overflowPunct/>
                    <w:bidi w:val="0"/>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冀北及燕山山地生态区Ⅱ</w:t>
                  </w:r>
                </w:p>
              </w:tc>
              <w:tc>
                <w:tcPr>
                  <w:tcW w:w="765" w:type="dxa"/>
                  <w:vAlign w:val="center"/>
                </w:tcPr>
                <w:p w14:paraId="1811696C">
                  <w:pPr>
                    <w:pStyle w:val="58"/>
                    <w:pageBreakBefore w:val="0"/>
                    <w:kinsoku/>
                    <w:wordWrap w:val="0"/>
                    <w:overflowPunct/>
                    <w:bidi w:val="0"/>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冀北山地森林生态亚区II-1</w:t>
                  </w:r>
                </w:p>
              </w:tc>
              <w:tc>
                <w:tcPr>
                  <w:tcW w:w="990" w:type="dxa"/>
                  <w:vAlign w:val="center"/>
                </w:tcPr>
                <w:p w14:paraId="3418D65F">
                  <w:pPr>
                    <w:pStyle w:val="58"/>
                    <w:pageBreakBefore w:val="0"/>
                    <w:kinsoku/>
                    <w:wordWrap w:val="0"/>
                    <w:overflowPunct/>
                    <w:bidi w:val="0"/>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滦河上游生物多样性保护功能区II-1-3</w:t>
                  </w:r>
                </w:p>
              </w:tc>
              <w:tc>
                <w:tcPr>
                  <w:tcW w:w="1290" w:type="dxa"/>
                  <w:vAlign w:val="center"/>
                </w:tcPr>
                <w:p w14:paraId="64D4D301">
                  <w:pPr>
                    <w:pStyle w:val="58"/>
                    <w:pageBreakBefore w:val="0"/>
                    <w:kinsoku/>
                    <w:wordWrap w:val="0"/>
                    <w:overflowPunct/>
                    <w:bidi w:val="0"/>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生物多样性减少，水土流失严重，草地退化，沙化面积不断扩大</w:t>
                  </w:r>
                </w:p>
              </w:tc>
              <w:tc>
                <w:tcPr>
                  <w:tcW w:w="1063" w:type="dxa"/>
                  <w:vAlign w:val="center"/>
                </w:tcPr>
                <w:p w14:paraId="38680BA4">
                  <w:pPr>
                    <w:pStyle w:val="58"/>
                    <w:pageBreakBefore w:val="0"/>
                    <w:kinsoku/>
                    <w:wordWrap w:val="0"/>
                    <w:overflowPunct/>
                    <w:bidi w:val="0"/>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生物多样性保护、荒漠化防治、水资源保护</w:t>
                  </w:r>
                </w:p>
              </w:tc>
              <w:tc>
                <w:tcPr>
                  <w:tcW w:w="3489" w:type="dxa"/>
                  <w:vAlign w:val="center"/>
                </w:tcPr>
                <w:p w14:paraId="47FB1E08">
                  <w:pPr>
                    <w:pStyle w:val="58"/>
                    <w:pageBreakBefore w:val="0"/>
                    <w:kinsoku/>
                    <w:wordWrap w:val="0"/>
                    <w:overflowPunct/>
                    <w:bidi w:val="0"/>
                    <w:rPr>
                      <w:rFonts w:hint="default" w:ascii="Times New Roman" w:hAnsi="Times New Roman" w:cs="Times New Roman"/>
                      <w:color w:val="000000" w:themeColor="text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积极进行生物多样性保护工作，水土流失综合防治，积极推进退耕还林；增加植被覆盖度，增强水源涵养功能。加强滦河上游自然保护区的保护与管理，强力恢复植被、不断扩大种群，防治病虫害。</w:t>
                  </w:r>
                </w:p>
              </w:tc>
            </w:tr>
          </w:tbl>
          <w:p w14:paraId="59BB3940">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本项目属于非金属矿物制品业，不破坏原有生态环境，与《承德市城市总体规划》（2016-2030）中的生态功能区划中该区域的生态服务功能和建设的方向不冲突。</w:t>
            </w:r>
          </w:p>
          <w:p w14:paraId="4844A081">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5、《围场满族蒙古族自治县国土空间总体规划》（2021年-2035年）</w:t>
            </w:r>
          </w:p>
          <w:p w14:paraId="0645E038">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b w:val="0"/>
                <w:bCs w:val="0"/>
                <w:color w:val="000000" w:themeColor="text1"/>
                <w:highlight w:val="none"/>
                <w:lang w:val="en-US" w:eastAsia="zh-CN"/>
                <w14:textFill>
                  <w14:solidFill>
                    <w14:schemeClr w14:val="tx1"/>
                  </w14:solidFill>
                </w14:textFill>
              </w:rPr>
            </w:pPr>
            <w:r>
              <w:rPr>
                <w:rFonts w:hint="eastAsia"/>
                <w:b w:val="0"/>
                <w:bCs w:val="0"/>
                <w:color w:val="000000" w:themeColor="text1"/>
                <w:highlight w:val="none"/>
                <w:lang w:val="en-US" w:eastAsia="zh-CN"/>
                <w14:textFill>
                  <w14:solidFill>
                    <w14:schemeClr w14:val="tx1"/>
                  </w14:solidFill>
                </w14:textFill>
              </w:rPr>
              <w:t>围场满族蒙古族自治县国土空间总体规划（2021-2035年）指出：建设集约高效城镇空间：以围场县城及部分周边乡镇这一区域为主中心，打造全县政治、文化、旅游 集散和商贸物流核心区。</w:t>
            </w:r>
          </w:p>
          <w:p w14:paraId="73AC39D1">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本项目为沥青搅拌站项目，主要服务于道路的建设，本项目建成后，可推动项目周边道路建设，有益于发展旅游业。本项目的建设与《围场满族蒙古族自治县国土空间总体规划》（2021年-2035年）的发展方向不冲突。</w:t>
            </w:r>
          </w:p>
          <w:p w14:paraId="2BC26E1B">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6、与《中华人民共和国防沙治沙法》符合性分析</w:t>
            </w:r>
          </w:p>
          <w:p w14:paraId="2A616536">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中华人民共和国防沙治沙法》：“第二十一条在沙化土地范围内从事开发建设活动的，必须事先就该项目可能对当地及相关地区生态产生的影响进行环境影响评价，依法提交环境影响报告；环境影响报告应当包括有关防沙治沙的内容。”河北省生态环境厅于2023年9月27日发布了《河北省生态环境厅办公室“关于进一步做好沙区建设项目环境影响评价工作的通知”》（冀环办字函〔2023〕326号），该文件要求：“严格审查沙区建设项目环评中有关防沙治沙内容，全面落实沙区生态环境保护工作。”本项目选址为围场满族蒙古族自治县牌楼乡于家湾村4组，依据“河北省“三线一单”信息管理平台”中全省沙化土地矢量文件，本项目不位于河北省沙化区范围内。项目与沙区位置关系如下图所示。</w:t>
            </w:r>
          </w:p>
          <w:p w14:paraId="3DE71B3F">
            <w:pPr>
              <w:pStyle w:val="9"/>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lang w:val="en-US" w:eastAsia="zh-CN"/>
                <w14:textFill>
                  <w14:solidFill>
                    <w14:schemeClr w14:val="tx1"/>
                  </w14:solidFill>
                </w14:textFill>
              </w:rPr>
            </w:pP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2745105</wp:posOffset>
                      </wp:positionH>
                      <wp:positionV relativeFrom="paragraph">
                        <wp:posOffset>2443480</wp:posOffset>
                      </wp:positionV>
                      <wp:extent cx="895350" cy="323850"/>
                      <wp:effectExtent l="12700" t="829310" r="25400" b="27940"/>
                      <wp:wrapNone/>
                      <wp:docPr id="37" name="矩形标注 37"/>
                      <wp:cNvGraphicFramePr/>
                      <a:graphic xmlns:a="http://schemas.openxmlformats.org/drawingml/2006/main">
                        <a:graphicData uri="http://schemas.microsoft.com/office/word/2010/wordprocessingShape">
                          <wps:wsp>
                            <wps:cNvSpPr/>
                            <wps:spPr>
                              <a:xfrm>
                                <a:off x="0" y="0"/>
                                <a:ext cx="895350" cy="323850"/>
                              </a:xfrm>
                              <a:prstGeom prst="wedgeRectCallout">
                                <a:avLst>
                                  <a:gd name="adj1" fmla="val -14609"/>
                                  <a:gd name="adj2" fmla="val -302156"/>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3719E69">
                                  <w:pPr>
                                    <w:jc w:val="center"/>
                                    <w:rPr>
                                      <w:rFonts w:hint="default" w:eastAsia="宋体"/>
                                      <w:lang w:val="en-US" w:eastAsia="zh-CN"/>
                                    </w:rPr>
                                  </w:pPr>
                                  <w:r>
                                    <w:rPr>
                                      <w:rFonts w:hint="eastAsia" w:eastAsia="宋体"/>
                                      <w:lang w:val="en-US" w:eastAsia="zh-CN"/>
                                    </w:rPr>
                                    <w:t>沙化土地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6.15pt;margin-top:192.4pt;height:25.5pt;width:70.5pt;z-index:251669504;v-text-anchor:middle;mso-width-relative:page;mso-height-relative:page;" fillcolor="#4F81BD [3204]" filled="t" stroked="t" coordsize="21600,21600" o:gfxdata="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xPvMH1wAAAAsBAAAPAAAAAAAAAAEAIAAA&#10;ACIAAABkcnMvZG93bnJldi54bWxQSwECFAAUAAAACACHTuJAyJAzsLgCAABxBQAADgAAAAAAAAAB&#10;ACAAAAAmAQAAZHJzL2Uyb0RvYy54bWxQSwUGAAAAAAYABgBZAQAAUAYAAAAA&#10;" adj="7644,-54466">
                      <v:fill on="t" focussize="0,0"/>
                      <v:stroke weight="2pt" color="#376092 [2404]" joinstyle="round"/>
                      <v:imagedata o:title=""/>
                      <o:lock v:ext="edit" aspectratio="f"/>
                      <v:textbox>
                        <w:txbxContent>
                          <w:p w14:paraId="13719E69">
                            <w:pPr>
                              <w:jc w:val="center"/>
                              <w:rPr>
                                <w:rFonts w:hint="default" w:eastAsia="宋体"/>
                                <w:lang w:val="en-US" w:eastAsia="zh-CN"/>
                              </w:rPr>
                            </w:pPr>
                            <w:r>
                              <w:rPr>
                                <w:rFonts w:hint="eastAsia" w:eastAsia="宋体"/>
                                <w:lang w:val="en-US" w:eastAsia="zh-CN"/>
                              </w:rPr>
                              <w:t>沙化土地</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621030</wp:posOffset>
                      </wp:positionH>
                      <wp:positionV relativeFrom="paragraph">
                        <wp:posOffset>2405380</wp:posOffset>
                      </wp:positionV>
                      <wp:extent cx="895350" cy="323850"/>
                      <wp:effectExtent l="12700" t="467360" r="25400" b="27940"/>
                      <wp:wrapNone/>
                      <wp:docPr id="36" name="矩形标注 36"/>
                      <wp:cNvGraphicFramePr/>
                      <a:graphic xmlns:a="http://schemas.openxmlformats.org/drawingml/2006/main">
                        <a:graphicData uri="http://schemas.microsoft.com/office/word/2010/wordprocessingShape">
                          <wps:wsp>
                            <wps:cNvSpPr/>
                            <wps:spPr>
                              <a:xfrm>
                                <a:off x="2052955" y="3679190"/>
                                <a:ext cx="895350" cy="323850"/>
                              </a:xfrm>
                              <a:prstGeom prst="wedgeRectCallout">
                                <a:avLst>
                                  <a:gd name="adj1" fmla="val 50296"/>
                                  <a:gd name="adj2" fmla="val -190392"/>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D44FD36">
                                  <w:pPr>
                                    <w:jc w:val="center"/>
                                    <w:rPr>
                                      <w:rFonts w:hint="default" w:eastAsia="宋体"/>
                                      <w:lang w:val="en-US" w:eastAsia="zh-CN"/>
                                    </w:rPr>
                                  </w:pPr>
                                  <w:r>
                                    <w:rPr>
                                      <w:rFonts w:hint="eastAsia"/>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8.9pt;margin-top:189.4pt;height:25.5pt;width:70.5pt;z-index:251668480;v-text-anchor:middle;mso-width-relative:page;mso-height-relative:page;" fillcolor="#4F81BD [3204]" filled="t" stroked="t" coordsize="21600,21600" o:gfxdata="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OyvlzXAAAACgEAAA8A&#10;AAAAAAAAAQAgAAAAIgAAAGRycy9kb3ducmV2LnhtbFBLAQIUABQAAAAIAIdO4kClpGwOwwIAAHwF&#10;AAAOAAAAAAAAAAEAIAAAACYBAABkcnMvZTJvRG9jLnhtbFBLBQYAAAAABgAGAFkBAABbBgAAAAA=&#10;" adj="21664,-30325">
                      <v:fill on="t" focussize="0,0"/>
                      <v:stroke weight="2pt" color="#376092 [2404]" joinstyle="round"/>
                      <v:imagedata o:title=""/>
                      <o:lock v:ext="edit" aspectratio="f"/>
                      <v:textbox>
                        <w:txbxContent>
                          <w:p w14:paraId="1D44FD36">
                            <w:pPr>
                              <w:jc w:val="center"/>
                              <w:rPr>
                                <w:rFonts w:hint="default" w:eastAsia="宋体"/>
                                <w:lang w:val="en-US" w:eastAsia="zh-CN"/>
                              </w:rPr>
                            </w:pPr>
                            <w:r>
                              <w:rPr>
                                <w:rFonts w:hint="eastAsia"/>
                                <w:lang w:val="en-US" w:eastAsia="zh-CN"/>
                              </w:rPr>
                              <w:t>项目所在地</w:t>
                            </w:r>
                          </w:p>
                        </w:txbxContent>
                      </v:textbox>
                    </v:shape>
                  </w:pict>
                </mc:Fallback>
              </mc:AlternateContent>
            </w:r>
            <w:r>
              <w:rPr>
                <w:color w:val="000000" w:themeColor="text1"/>
                <w:sz w:val="2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1515110</wp:posOffset>
                      </wp:positionH>
                      <wp:positionV relativeFrom="paragraph">
                        <wp:posOffset>1186180</wp:posOffset>
                      </wp:positionV>
                      <wp:extent cx="1172845" cy="923925"/>
                      <wp:effectExtent l="12700" t="12700" r="14605" b="15875"/>
                      <wp:wrapNone/>
                      <wp:docPr id="35" name="任意多边形 35"/>
                      <wp:cNvGraphicFramePr/>
                      <a:graphic xmlns:a="http://schemas.openxmlformats.org/drawingml/2006/main">
                        <a:graphicData uri="http://schemas.microsoft.com/office/word/2010/wordprocessingShape">
                          <wps:wsp>
                            <wps:cNvSpPr/>
                            <wps:spPr>
                              <a:xfrm>
                                <a:off x="2500630" y="2526665"/>
                                <a:ext cx="1172845" cy="923925"/>
                              </a:xfrm>
                              <a:custGeom>
                                <a:avLst/>
                                <a:gdLst>
                                  <a:gd name="connisteX0" fmla="*/ 133350 w 1428750"/>
                                  <a:gd name="connsiteY0" fmla="*/ 0 h 1038225"/>
                                  <a:gd name="connisteX1" fmla="*/ 1428750 w 1428750"/>
                                  <a:gd name="connsiteY1" fmla="*/ 180975 h 1038225"/>
                                  <a:gd name="connisteX2" fmla="*/ 1295400 w 1428750"/>
                                  <a:gd name="connsiteY2" fmla="*/ 1038225 h 1038225"/>
                                  <a:gd name="connisteX3" fmla="*/ 0 w 1428750"/>
                                  <a:gd name="connsiteY3" fmla="*/ 876300 h 1038225"/>
                                  <a:gd name="connisteX4" fmla="*/ 133350 w 1428750"/>
                                  <a:gd name="connsiteY4" fmla="*/ 0 h 10382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28750" h="1038225">
                                    <a:moveTo>
                                      <a:pt x="133350" y="0"/>
                                    </a:moveTo>
                                    <a:lnTo>
                                      <a:pt x="1428750" y="180975"/>
                                    </a:lnTo>
                                    <a:lnTo>
                                      <a:pt x="1295400" y="1038225"/>
                                    </a:lnTo>
                                    <a:lnTo>
                                      <a:pt x="0" y="876300"/>
                                    </a:lnTo>
                                    <a:lnTo>
                                      <a:pt x="133350" y="0"/>
                                    </a:lnTo>
                                    <a:close/>
                                  </a:path>
                                </a:pathLst>
                              </a:custGeom>
                              <a:solidFill>
                                <a:srgbClr val="92D050">
                                  <a:alpha val="50000"/>
                                </a:srgbClr>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19.3pt;margin-top:93.4pt;height:72.75pt;width:92.35pt;z-index:251667456;mso-width-relative:page;mso-height-relative:page;" fillcolor="#92D050" filled="t" stroked="t" coordsize="1428750,1038225" o:gfxdata="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ONjeh/aAAAACwEAAA8AAAAAAAAA&#10;AQAgAAAAIgAAAGRycy9kb3ducmV2LnhtbFBLAQIUABQAAAAIAIdO4kD9/Hl0LAMAAJQIAAAOAAAA&#10;AAAAAAEAIAAAACkBAABkcnMvZTJvRG9jLnhtbFBLBQYAAAAABgAGAFkBAADHBgAAAAA=&#10;" path="m133350,0l1428750,180975,1295400,1038225,0,876300,133350,0xe">
                      <v:path o:connectlocs="109465,0;1172845,161051;1063379,923925;0,779826;109465,0" o:connectangles="0,0,0,0,0"/>
                      <v:fill on="t" opacity="32768f" focussize="0,0"/>
                      <v:stroke weight="2pt" color="#92D050 [2404]" joinstyle="round"/>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501515" cy="3009900"/>
                  <wp:effectExtent l="0" t="0" r="1333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5"/>
                          <a:stretch>
                            <a:fillRect/>
                          </a:stretch>
                        </pic:blipFill>
                        <pic:spPr>
                          <a:xfrm>
                            <a:off x="0" y="0"/>
                            <a:ext cx="4501515" cy="3009900"/>
                          </a:xfrm>
                          <a:prstGeom prst="rect">
                            <a:avLst/>
                          </a:prstGeom>
                          <a:noFill/>
                          <a:ln>
                            <a:noFill/>
                          </a:ln>
                        </pic:spPr>
                      </pic:pic>
                    </a:graphicData>
                  </a:graphic>
                </wp:inline>
              </w:drawing>
            </w:r>
          </w:p>
          <w:p w14:paraId="345A4151">
            <w:pPr>
              <w:keepNext w:val="0"/>
              <w:keepLines w:val="0"/>
              <w:pageBreakBefore w:val="0"/>
              <w:widowControl w:val="0"/>
              <w:kinsoku/>
              <w:wordWrap w:val="0"/>
              <w:overflowPunct/>
              <w:topLinePunct w:val="0"/>
              <w:autoSpaceDE/>
              <w:autoSpaceDN/>
              <w:bidi w:val="0"/>
              <w:adjustRightInd/>
              <w:snapToGrid/>
              <w:spacing w:line="480" w:lineRule="exact"/>
              <w:jc w:val="center"/>
              <w:textAlignment w:val="auto"/>
              <w:rPr>
                <w:rFonts w:hint="default"/>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图1-</w:t>
            </w:r>
            <w:r>
              <w:rPr>
                <w:rFonts w:hint="eastAsia" w:ascii="Times New Roman" w:hAnsi="Times New Roman" w:cs="Times New Roman"/>
                <w:b/>
                <w:bCs/>
                <w:color w:val="000000" w:themeColor="text1"/>
                <w:kern w:val="0"/>
                <w:szCs w:val="21"/>
                <w:highlight w:val="none"/>
                <w:lang w:val="en-US" w:eastAsia="zh-CN"/>
                <w14:textFill>
                  <w14:solidFill>
                    <w14:schemeClr w14:val="tx1"/>
                  </w14:solidFill>
                </w14:textFill>
              </w:rPr>
              <w:t>4</w:t>
            </w:r>
            <w:r>
              <w:rPr>
                <w:rFonts w:hint="eastAsia"/>
                <w:b/>
                <w:bCs/>
                <w:color w:val="000000" w:themeColor="text1"/>
                <w:kern w:val="0"/>
                <w:szCs w:val="21"/>
                <w:highlight w:val="none"/>
                <w:lang w:val="en-US" w:eastAsia="zh-CN"/>
                <w14:textFill>
                  <w14:solidFill>
                    <w14:schemeClr w14:val="tx1"/>
                  </w14:solidFill>
                </w14:textFill>
              </w:rPr>
              <w:t xml:space="preserve"> 项目与沙区位置关系图</w:t>
            </w:r>
          </w:p>
          <w:p w14:paraId="44035B00">
            <w:pPr>
              <w:pStyle w:val="9"/>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本项目虽不在沙化土地范围内，但本项目占地位置是属于浑善达克沙漠南缘，植被覆盖率较低，动植物较少。本项目施工期采取以下治理措施：</w:t>
            </w:r>
          </w:p>
          <w:p w14:paraId="748BAAD7">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根据相关技术规范要求进行工程施工，减少土地开挖面积；运送设备物料的车辆不碾压规划道路以外的植被，在保证顺利建设的前提下，控制施工车辆、机械及施工人员活动范围，缩小施工作业带宽度，将施工作业带掉制在项目占地范围内，减少对区域地表的碾压，减少对生态环境的影响；</w:t>
            </w:r>
          </w:p>
          <w:p w14:paraId="60FA1A82">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②合理安排建设时间，不在大风进行施工；</w:t>
            </w:r>
          </w:p>
          <w:p w14:paraId="4BA2D772">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③对施工人员进行环保意识教育；</w:t>
            </w:r>
          </w:p>
          <w:p w14:paraId="7F40A550">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施工单位应注意将施工过程产生的土石方、渣土设置围挡等措施，防止起风扬沙、雨水冲刷，同时，挖方产生的土石方和渣土及时回填并复地表植被。在此基础上，扬沙、水土流失可得到有效控制。施工结束后对施工扰动较大的区域首先进行场地清理，然后进行全面平整，临时占地采取疏松、平整、迹地恢复等措施；</w:t>
            </w:r>
          </w:p>
          <w:p w14:paraId="07434084">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⑤项目运营期厂区地面全部硬化或者绿化，不存在裸露情况，严格采取水土保持工程措施，种植当地优势物种，乔灌草相结合实现沙化土地治理。</w:t>
            </w:r>
          </w:p>
          <w:p w14:paraId="1EFFA1F7">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改善景观条件。施工期通过采取水土围挡的等方式，杜绝施工期间因沙土裸露形成流沙。项目运营期地面全部硬化或者绿化，不存在沙土裸露情况，不会形成流沙。</w:t>
            </w:r>
          </w:p>
        </w:tc>
      </w:tr>
    </w:tbl>
    <w:p w14:paraId="09A6800E">
      <w:pPr>
        <w:pageBreakBefore w:val="0"/>
        <w:kinsoku/>
        <w:wordWrap w:val="0"/>
        <w:overflowPunct/>
        <w:bidi w:val="0"/>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71AF0934">
      <w:pPr>
        <w:pStyle w:val="26"/>
        <w:pageBreakBefore w:val="0"/>
        <w:kinsoku/>
        <w:wordWrap w:val="0"/>
        <w:overflowPunct/>
        <w:bidi w:val="0"/>
        <w:jc w:val="center"/>
        <w:outlineLvl w:val="0"/>
        <w:rPr>
          <w:rFonts w:hint="default" w:ascii="黑体" w:hAnsi="黑体" w:eastAsia="黑体" w:cs="Times New Roman"/>
          <w:snapToGrid w:val="0"/>
          <w:color w:val="000000" w:themeColor="text1"/>
          <w:sz w:val="30"/>
          <w:szCs w:val="30"/>
          <w:highlight w:val="none"/>
          <w14:textFill>
            <w14:solidFill>
              <w14:schemeClr w14:val="tx1"/>
            </w14:solidFill>
          </w14:textFill>
        </w:rPr>
      </w:pPr>
      <w:r>
        <w:rPr>
          <w:rFonts w:hint="default" w:ascii="黑体" w:hAnsi="黑体" w:eastAsia="黑体" w:cs="Times New Roman"/>
          <w:snapToGrid w:val="0"/>
          <w:color w:val="000000" w:themeColor="text1"/>
          <w:sz w:val="30"/>
          <w:szCs w:val="30"/>
          <w:highlight w:val="none"/>
          <w14:textFill>
            <w14:solidFill>
              <w14:schemeClr w14:val="tx1"/>
            </w14:solidFill>
          </w14:textFill>
        </w:rPr>
        <w:t>二、建设项目工程分析</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8499"/>
      </w:tblGrid>
      <w:tr w14:paraId="0CFA5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0FCC2391">
            <w:pPr>
              <w:pStyle w:val="26"/>
              <w:pageBreakBefore w:val="0"/>
              <w:kinsoku/>
              <w:wordWrap w:val="0"/>
              <w:overflowPunct/>
              <w:bidi w:val="0"/>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建设内容</w:t>
            </w:r>
          </w:p>
        </w:tc>
        <w:tc>
          <w:tcPr>
            <w:tcW w:w="8453" w:type="dxa"/>
          </w:tcPr>
          <w:p w14:paraId="07EF4F91">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1.建设内容及规模</w:t>
            </w:r>
          </w:p>
          <w:p w14:paraId="707B089E">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本项目位于围场满族蒙古族自治县牌楼乡于家湾村4组，本项目在原有沥青搅拌站基础上挂靠一套沥青热再生设备，主要新增两个上料斗，一个天然气燃烧器，一个干燥滚筒，新增铣刨沥青的破碎筛分装置和环保设施。原有项目产能为5万吨每年，本项目建设完成后，产能未发生改变，仍为5万吨每年。本项目建设仅新增一套沥青热再生设备，未对原有设备进行改造。对于铣刨沥青加热产生的非甲烷总烃、沥青烟、苯并[a]芘</w:t>
            </w:r>
            <w:r>
              <w:rPr>
                <w:rFonts w:hint="eastAsia" w:cs="Times New Roman"/>
                <w:b w:val="0"/>
                <w:bCs w:val="0"/>
                <w:color w:val="000000" w:themeColor="text1"/>
                <w:sz w:val="21"/>
                <w:szCs w:val="21"/>
                <w:highlight w:val="none"/>
                <w:lang w:val="en-US" w:eastAsia="zh-CN"/>
                <w14:textFill>
                  <w14:solidFill>
                    <w14:schemeClr w14:val="tx1"/>
                  </w14:solidFill>
                </w14:textFill>
              </w:rPr>
              <w:t>通过“</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b w:val="0"/>
                <w:bCs w:val="0"/>
                <w:color w:val="000000" w:themeColor="text1"/>
                <w:sz w:val="21"/>
                <w:szCs w:val="21"/>
                <w:highlight w:val="none"/>
                <w:lang w:val="en-US" w:eastAsia="zh-CN"/>
                <w14:textFill>
                  <w14:solidFill>
                    <w14:schemeClr w14:val="tx1"/>
                  </w14:solidFill>
                </w14:textFill>
              </w:rPr>
              <w:t>”处理装置处理后，通过一根15m高的排气筒外排（DA001）；</w:t>
            </w:r>
            <w:r>
              <w:rPr>
                <w:rFonts w:hint="eastAsia"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天然气</w:t>
            </w:r>
            <w:r>
              <w:rPr>
                <w:rFonts w:hint="eastAsia" w:cs="Times New Roman"/>
                <w:b w:val="0"/>
                <w:bCs w:val="0"/>
                <w:color w:val="000000" w:themeColor="text1"/>
                <w:sz w:val="21"/>
                <w:szCs w:val="21"/>
                <w:highlight w:val="none"/>
                <w:lang w:val="en-US" w:eastAsia="zh-CN"/>
                <w14:textFill>
                  <w14:solidFill>
                    <w14:schemeClr w14:val="tx1"/>
                  </w14:solidFill>
                </w14:textFill>
              </w:rPr>
              <w:t>燃烧器采用低氮燃烧器，产生的废气</w:t>
            </w:r>
            <w:r>
              <w:rPr>
                <w:rFonts w:hint="eastAsia" w:cs="Times New Roman"/>
                <w:color w:val="000000" w:themeColor="text1"/>
                <w:sz w:val="21"/>
                <w:szCs w:val="21"/>
                <w:highlight w:val="none"/>
                <w:lang w:val="en-US" w:eastAsia="zh-CN"/>
                <w14:textFill>
                  <w14:solidFill>
                    <w14:schemeClr w14:val="tx1"/>
                  </w14:solidFill>
                </w14:textFill>
              </w:rPr>
              <w:t>进入</w:t>
            </w:r>
            <w:r>
              <w:rPr>
                <w:rFonts w:hint="default" w:eastAsia="宋体" w:cs="Times New Roman"/>
                <w:color w:val="000000" w:themeColor="text1"/>
                <w:sz w:val="21"/>
                <w:szCs w:val="21"/>
                <w:highlight w:val="none"/>
                <w:lang w:val="en-US" w:eastAsia="zh-CN"/>
                <w14:textFill>
                  <w14:solidFill>
                    <w14:schemeClr w14:val="tx1"/>
                  </w14:solidFill>
                </w14:textFill>
              </w:rPr>
              <w:t>布袋除尘器</w:t>
            </w:r>
            <w:r>
              <w:rPr>
                <w:rFonts w:hint="eastAsia" w:cs="Times New Roman"/>
                <w:color w:val="000000" w:themeColor="text1"/>
                <w:sz w:val="21"/>
                <w:szCs w:val="21"/>
                <w:highlight w:val="none"/>
                <w:lang w:val="en-US" w:eastAsia="zh-CN"/>
                <w14:textFill>
                  <w14:solidFill>
                    <w14:schemeClr w14:val="tx1"/>
                  </w14:solidFill>
                </w14:textFill>
              </w:rPr>
              <w:t>处理</w:t>
            </w:r>
            <w:r>
              <w:rPr>
                <w:rFonts w:hint="eastAsia" w:cs="Times New Roman"/>
                <w:b w:val="0"/>
                <w:bCs w:val="0"/>
                <w:color w:val="000000" w:themeColor="text1"/>
                <w:sz w:val="21"/>
                <w:szCs w:val="21"/>
                <w:highlight w:val="none"/>
                <w:lang w:val="en-US" w:eastAsia="zh-CN"/>
                <w14:textFill>
                  <w14:solidFill>
                    <w14:schemeClr w14:val="tx1"/>
                  </w14:solidFill>
                </w14:textFill>
              </w:rPr>
              <w:t>，通过一根15m高的排气筒排放（DA001），该工段环保设施与原有项目共用。</w:t>
            </w:r>
          </w:p>
          <w:p w14:paraId="54DA25FC">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本项目主要建设内容如表2-1所示：</w:t>
            </w:r>
          </w:p>
          <w:p w14:paraId="20C82AD8">
            <w:pPr>
              <w:keepNext w:val="0"/>
              <w:keepLines w:val="0"/>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表2-1 </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本项目建设完成后全厂工程建设内容</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274"/>
              <w:gridCol w:w="5128"/>
              <w:gridCol w:w="748"/>
            </w:tblGrid>
            <w:tr w14:paraId="6A6E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tcBorders>
                    <w:tl2br w:val="nil"/>
                    <w:tr2bl w:val="nil"/>
                  </w:tcBorders>
                  <w:noWrap w:val="0"/>
                  <w:vAlign w:val="center"/>
                </w:tcPr>
                <w:p w14:paraId="5EDD876F">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项目组成</w:t>
                  </w:r>
                </w:p>
              </w:tc>
              <w:tc>
                <w:tcPr>
                  <w:tcW w:w="770" w:type="pct"/>
                  <w:tcBorders>
                    <w:tl2br w:val="nil"/>
                    <w:tr2bl w:val="nil"/>
                  </w:tcBorders>
                  <w:noWrap w:val="0"/>
                  <w:vAlign w:val="center"/>
                </w:tcPr>
                <w:p w14:paraId="40EEDE7D">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工程名称</w:t>
                  </w:r>
                </w:p>
              </w:tc>
              <w:tc>
                <w:tcPr>
                  <w:tcW w:w="3099" w:type="pct"/>
                  <w:tcBorders>
                    <w:tl2br w:val="nil"/>
                    <w:tr2bl w:val="nil"/>
                  </w:tcBorders>
                  <w:noWrap w:val="0"/>
                  <w:vAlign w:val="center"/>
                </w:tcPr>
                <w:p w14:paraId="61AC9BDD">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工程内容</w:t>
                  </w:r>
                </w:p>
              </w:tc>
              <w:tc>
                <w:tcPr>
                  <w:tcW w:w="452" w:type="pct"/>
                  <w:tcBorders>
                    <w:tl2br w:val="nil"/>
                    <w:tr2bl w:val="nil"/>
                  </w:tcBorders>
                  <w:noWrap w:val="0"/>
                  <w:vAlign w:val="center"/>
                </w:tcPr>
                <w:p w14:paraId="26C63120">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备注</w:t>
                  </w:r>
                </w:p>
              </w:tc>
            </w:tr>
            <w:tr w14:paraId="31EA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restart"/>
                  <w:tcBorders>
                    <w:tl2br w:val="nil"/>
                    <w:tr2bl w:val="nil"/>
                  </w:tcBorders>
                  <w:noWrap w:val="0"/>
                  <w:vAlign w:val="center"/>
                </w:tcPr>
                <w:p w14:paraId="5D830692">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主体工程</w:t>
                  </w:r>
                </w:p>
              </w:tc>
              <w:tc>
                <w:tcPr>
                  <w:tcW w:w="770" w:type="pct"/>
                  <w:vMerge w:val="restart"/>
                  <w:tcBorders>
                    <w:tl2br w:val="nil"/>
                    <w:tr2bl w:val="nil"/>
                  </w:tcBorders>
                  <w:noWrap w:val="0"/>
                  <w:vAlign w:val="center"/>
                </w:tcPr>
                <w:p w14:paraId="7389ABBB">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沥青拌合站</w:t>
                  </w:r>
                </w:p>
              </w:tc>
              <w:tc>
                <w:tcPr>
                  <w:tcW w:w="3099" w:type="pct"/>
                  <w:tcBorders>
                    <w:tl2br w:val="nil"/>
                    <w:tr2bl w:val="nil"/>
                  </w:tcBorders>
                  <w:noWrap w:val="0"/>
                  <w:vAlign w:val="center"/>
                </w:tcPr>
                <w:p w14:paraId="48EE29E5">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已有沥青搅拌站1座，包括骨料处理系统、沥青加热系统、计量系统、沥青混凝土搅拌系统等</w:t>
                  </w:r>
                </w:p>
              </w:tc>
              <w:tc>
                <w:tcPr>
                  <w:tcW w:w="452" w:type="pct"/>
                  <w:tcBorders>
                    <w:tl2br w:val="nil"/>
                    <w:tr2bl w:val="nil"/>
                  </w:tcBorders>
                  <w:noWrap w:val="0"/>
                  <w:vAlign w:val="center"/>
                </w:tcPr>
                <w:p w14:paraId="569A6523">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w:t>
                  </w:r>
                </w:p>
              </w:tc>
            </w:tr>
            <w:tr w14:paraId="0DC9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pct"/>
                  <w:vMerge w:val="continue"/>
                  <w:tcBorders>
                    <w:tl2br w:val="nil"/>
                    <w:tr2bl w:val="nil"/>
                  </w:tcBorders>
                  <w:noWrap w:val="0"/>
                  <w:vAlign w:val="center"/>
                </w:tcPr>
                <w:p w14:paraId="5EFE955A">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c>
                <w:tcPr>
                  <w:tcW w:w="770" w:type="pct"/>
                  <w:vMerge w:val="continue"/>
                  <w:tcBorders>
                    <w:tl2br w:val="nil"/>
                    <w:tr2bl w:val="nil"/>
                  </w:tcBorders>
                  <w:noWrap w:val="0"/>
                  <w:vAlign w:val="center"/>
                </w:tcPr>
                <w:p w14:paraId="6C96542A">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c>
                <w:tcPr>
                  <w:tcW w:w="3099" w:type="pct"/>
                  <w:tcBorders>
                    <w:tl2br w:val="nil"/>
                    <w:tr2bl w:val="nil"/>
                  </w:tcBorders>
                  <w:noWrap w:val="0"/>
                  <w:vAlign w:val="center"/>
                </w:tcPr>
                <w:p w14:paraId="5A1628F8">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新建铣刨沥青生产线挂靠在原有沥青搅拌站上，包括铣刨沥青预处理系统、计量系统等</w:t>
                  </w:r>
                </w:p>
              </w:tc>
              <w:tc>
                <w:tcPr>
                  <w:tcW w:w="452" w:type="pct"/>
                  <w:tcBorders>
                    <w:tl2br w:val="nil"/>
                    <w:tr2bl w:val="nil"/>
                  </w:tcBorders>
                  <w:noWrap w:val="0"/>
                  <w:vAlign w:val="center"/>
                </w:tcPr>
                <w:p w14:paraId="7BD6E417">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新建</w:t>
                  </w:r>
                </w:p>
              </w:tc>
            </w:tr>
            <w:tr w14:paraId="386D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7E70535C">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c>
                <w:tcPr>
                  <w:tcW w:w="770" w:type="pct"/>
                  <w:tcBorders>
                    <w:tl2br w:val="nil"/>
                    <w:tr2bl w:val="nil"/>
                  </w:tcBorders>
                  <w:noWrap w:val="0"/>
                  <w:vAlign w:val="center"/>
                </w:tcPr>
                <w:p w14:paraId="36D7266A">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破碎筛分系统</w:t>
                  </w:r>
                </w:p>
              </w:tc>
              <w:tc>
                <w:tcPr>
                  <w:tcW w:w="3099" w:type="pct"/>
                  <w:tcBorders>
                    <w:tl2br w:val="nil"/>
                    <w:tr2bl w:val="nil"/>
                  </w:tcBorders>
                  <w:noWrap w:val="0"/>
                  <w:vAlign w:val="center"/>
                </w:tcPr>
                <w:p w14:paraId="1A3BB81C">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彩钢结构，新增破碎筛分生产线一条，位于原料库内</w:t>
                  </w:r>
                </w:p>
              </w:tc>
              <w:tc>
                <w:tcPr>
                  <w:tcW w:w="452" w:type="pct"/>
                  <w:tcBorders>
                    <w:tl2br w:val="nil"/>
                    <w:tr2bl w:val="nil"/>
                  </w:tcBorders>
                  <w:noWrap w:val="0"/>
                  <w:vAlign w:val="center"/>
                </w:tcPr>
                <w:p w14:paraId="4C5AC2AC">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新建</w:t>
                  </w:r>
                </w:p>
              </w:tc>
            </w:tr>
            <w:tr w14:paraId="0700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restart"/>
                  <w:tcBorders>
                    <w:tl2br w:val="nil"/>
                    <w:tr2bl w:val="nil"/>
                  </w:tcBorders>
                  <w:noWrap w:val="0"/>
                  <w:vAlign w:val="center"/>
                </w:tcPr>
                <w:p w14:paraId="3D1479E0">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辅助工程</w:t>
                  </w:r>
                </w:p>
              </w:tc>
              <w:tc>
                <w:tcPr>
                  <w:tcW w:w="770" w:type="pct"/>
                  <w:vMerge w:val="restart"/>
                  <w:tcBorders>
                    <w:tl2br w:val="nil"/>
                    <w:tr2bl w:val="nil"/>
                  </w:tcBorders>
                  <w:shd w:val="clear" w:color="auto" w:fill="auto"/>
                  <w:noWrap w:val="0"/>
                  <w:vAlign w:val="center"/>
                </w:tcPr>
                <w:p w14:paraId="695907F1">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上料斗</w:t>
                  </w:r>
                </w:p>
              </w:tc>
              <w:tc>
                <w:tcPr>
                  <w:tcW w:w="3099" w:type="pct"/>
                  <w:tcBorders>
                    <w:tl2br w:val="nil"/>
                    <w:tr2bl w:val="nil"/>
                  </w:tcBorders>
                  <w:shd w:val="clear" w:color="auto" w:fill="auto"/>
                  <w:noWrap w:val="0"/>
                  <w:vAlign w:val="center"/>
                </w:tcPr>
                <w:p w14:paraId="4CA9B957">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新增两个上料斗，</w:t>
                  </w:r>
                  <w:r>
                    <w:rPr>
                      <w:rFonts w:ascii="Times New Roman" w:hAnsi="Times New Roman" w:eastAsia="宋体" w:cs="Times New Roman"/>
                      <w:color w:val="000000" w:themeColor="text1"/>
                      <w:sz w:val="21"/>
                      <w:szCs w:val="21"/>
                      <w:highlight w:val="none"/>
                      <w14:textFill>
                        <w14:solidFill>
                          <w14:schemeClr w14:val="tx1"/>
                        </w14:solidFill>
                      </w14:textFill>
                    </w:rPr>
                    <w:t>单仓分体式，上料宽度3.6m，上料高度3.3m，单仓容8m</w:t>
                  </w:r>
                  <w:r>
                    <w:rPr>
                      <w:rFonts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eastAsia" w:cs="Times New Roman"/>
                      <w:color w:val="000000" w:themeColor="text1"/>
                      <w:sz w:val="21"/>
                      <w:szCs w:val="21"/>
                      <w:highlight w:val="none"/>
                      <w:vertAlign w:val="baseline"/>
                      <w:lang w:eastAsia="zh-CN"/>
                      <w14:textFill>
                        <w14:solidFill>
                          <w14:schemeClr w14:val="tx1"/>
                        </w14:solidFill>
                      </w14:textFill>
                    </w:rPr>
                    <w:t>。</w:t>
                  </w:r>
                  <w:r>
                    <w:rPr>
                      <w:rFonts w:hint="eastAsia" w:cs="Times New Roman"/>
                      <w:color w:val="000000" w:themeColor="text1"/>
                      <w:sz w:val="21"/>
                      <w:szCs w:val="21"/>
                      <w:highlight w:val="none"/>
                      <w:vertAlign w:val="baseline"/>
                      <w:lang w:val="en-US" w:eastAsia="zh-CN"/>
                      <w14:textFill>
                        <w14:solidFill>
                          <w14:schemeClr w14:val="tx1"/>
                        </w14:solidFill>
                      </w14:textFill>
                    </w:rPr>
                    <w:t>新增破碎筛分生产线一条</w:t>
                  </w:r>
                </w:p>
              </w:tc>
              <w:tc>
                <w:tcPr>
                  <w:tcW w:w="452" w:type="pct"/>
                  <w:tcBorders>
                    <w:tl2br w:val="nil"/>
                    <w:tr2bl w:val="nil"/>
                  </w:tcBorders>
                  <w:noWrap w:val="0"/>
                  <w:vAlign w:val="center"/>
                </w:tcPr>
                <w:p w14:paraId="02F83B46">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新建</w:t>
                  </w:r>
                </w:p>
              </w:tc>
            </w:tr>
            <w:tr w14:paraId="6DA7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42F3BAAC">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c>
                <w:tcPr>
                  <w:tcW w:w="770" w:type="pct"/>
                  <w:vMerge w:val="continue"/>
                  <w:tcBorders>
                    <w:tl2br w:val="nil"/>
                    <w:tr2bl w:val="nil"/>
                  </w:tcBorders>
                  <w:noWrap w:val="0"/>
                  <w:vAlign w:val="center"/>
                </w:tcPr>
                <w:p w14:paraId="33FE2A6E">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c>
                <w:tcPr>
                  <w:tcW w:w="3099" w:type="pct"/>
                  <w:tcBorders>
                    <w:tl2br w:val="nil"/>
                    <w:tr2bl w:val="nil"/>
                  </w:tcBorders>
                  <w:shd w:val="clear" w:color="auto" w:fill="auto"/>
                  <w:noWrap w:val="0"/>
                  <w:vAlign w:val="center"/>
                </w:tcPr>
                <w:p w14:paraId="41724B00">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已建设6个上料斗，每个上料斗容积为18m</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452" w:type="pct"/>
                  <w:tcBorders>
                    <w:tl2br w:val="nil"/>
                    <w:tr2bl w:val="nil"/>
                  </w:tcBorders>
                  <w:noWrap w:val="0"/>
                  <w:vAlign w:val="center"/>
                </w:tcPr>
                <w:p w14:paraId="30342F38">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w:t>
                  </w:r>
                </w:p>
              </w:tc>
            </w:tr>
            <w:tr w14:paraId="6211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6F27EC1A">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770" w:type="pct"/>
                  <w:tcBorders>
                    <w:tl2br w:val="nil"/>
                    <w:tr2bl w:val="nil"/>
                  </w:tcBorders>
                  <w:noWrap w:val="0"/>
                  <w:vAlign w:val="center"/>
                </w:tcPr>
                <w:p w14:paraId="0A863EA1">
                  <w:pPr>
                    <w:pStyle w:val="70"/>
                    <w:pageBreakBefore w:val="0"/>
                    <w:kinsoku/>
                    <w:wordWrap w:val="0"/>
                    <w:overflowPunct/>
                    <w:bidi w:val="0"/>
                    <w:rPr>
                      <w:rFonts w:hint="default"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干燥滚筒</w:t>
                  </w:r>
                </w:p>
              </w:tc>
              <w:tc>
                <w:tcPr>
                  <w:tcW w:w="3099" w:type="pct"/>
                  <w:tcBorders>
                    <w:tl2br w:val="nil"/>
                    <w:tr2bl w:val="nil"/>
                  </w:tcBorders>
                  <w:noWrap w:val="0"/>
                  <w:vAlign w:val="center"/>
                </w:tcPr>
                <w:p w14:paraId="0D2DF206">
                  <w:pPr>
                    <w:pStyle w:val="70"/>
                    <w:pageBreakBefore w:val="0"/>
                    <w:kinsoku/>
                    <w:wordWrap w:val="0"/>
                    <w:overflowPunct/>
                    <w:bidi w:val="0"/>
                    <w:rPr>
                      <w:rFonts w:hint="default"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已建设干燥滚筒一台，用于冷骨料加热，配套安装燃气燃烧器，热源为天然气</w:t>
                  </w:r>
                </w:p>
              </w:tc>
              <w:tc>
                <w:tcPr>
                  <w:tcW w:w="452" w:type="pct"/>
                  <w:tcBorders>
                    <w:tl2br w:val="nil"/>
                    <w:tr2bl w:val="nil"/>
                  </w:tcBorders>
                  <w:noWrap w:val="0"/>
                  <w:vAlign w:val="center"/>
                </w:tcPr>
                <w:p w14:paraId="4AA0DC6F">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w:t>
                  </w:r>
                </w:p>
              </w:tc>
            </w:tr>
            <w:tr w14:paraId="2E83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5F73E362">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770" w:type="pct"/>
                  <w:tcBorders>
                    <w:tl2br w:val="nil"/>
                    <w:tr2bl w:val="nil"/>
                  </w:tcBorders>
                  <w:noWrap w:val="0"/>
                  <w:vAlign w:val="center"/>
                </w:tcPr>
                <w:p w14:paraId="2EBBF2CD">
                  <w:pPr>
                    <w:pStyle w:val="70"/>
                    <w:pageBreakBefore w:val="0"/>
                    <w:kinsoku/>
                    <w:wordWrap w:val="0"/>
                    <w:overflowPunct/>
                    <w:bidi w:val="0"/>
                    <w:rPr>
                      <w:rFonts w:hint="default"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干燥滚筒</w:t>
                  </w:r>
                </w:p>
              </w:tc>
              <w:tc>
                <w:tcPr>
                  <w:tcW w:w="3099" w:type="pct"/>
                  <w:tcBorders>
                    <w:tl2br w:val="nil"/>
                    <w:tr2bl w:val="nil"/>
                  </w:tcBorders>
                  <w:noWrap w:val="0"/>
                  <w:vAlign w:val="center"/>
                </w:tcPr>
                <w:p w14:paraId="2A692F77">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新建干燥滚筒一台，为铣刨沥青加热，配套安装燃气燃烧器，热源为天然气</w:t>
                  </w:r>
                </w:p>
              </w:tc>
              <w:tc>
                <w:tcPr>
                  <w:tcW w:w="452" w:type="pct"/>
                  <w:tcBorders>
                    <w:tl2br w:val="nil"/>
                    <w:tr2bl w:val="nil"/>
                  </w:tcBorders>
                  <w:noWrap w:val="0"/>
                  <w:vAlign w:val="center"/>
                </w:tcPr>
                <w:p w14:paraId="229B445D">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新建</w:t>
                  </w:r>
                </w:p>
              </w:tc>
            </w:tr>
            <w:tr w14:paraId="5FCF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68CC82A7">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770" w:type="pct"/>
                  <w:tcBorders>
                    <w:tl2br w:val="nil"/>
                    <w:tr2bl w:val="nil"/>
                  </w:tcBorders>
                  <w:noWrap w:val="0"/>
                  <w:vAlign w:val="center"/>
                </w:tcPr>
                <w:p w14:paraId="6C82EE0D">
                  <w:pPr>
                    <w:pStyle w:val="70"/>
                    <w:pageBreakBefore w:val="0"/>
                    <w:kinsoku/>
                    <w:wordWrap w:val="0"/>
                    <w:overflowPunct/>
                    <w:bidi w:val="0"/>
                    <w:rPr>
                      <w:rFonts w:hint="default"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导热油炉</w:t>
                  </w:r>
                </w:p>
              </w:tc>
              <w:tc>
                <w:tcPr>
                  <w:tcW w:w="3099" w:type="pct"/>
                  <w:tcBorders>
                    <w:tl2br w:val="nil"/>
                    <w:tr2bl w:val="nil"/>
                  </w:tcBorders>
                  <w:noWrap w:val="0"/>
                  <w:vAlign w:val="center"/>
                </w:tcPr>
                <w:p w14:paraId="116AD933">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用于沥青加热保温，配套安装低氮燃烧器，热源为天然气</w:t>
                  </w:r>
                </w:p>
              </w:tc>
              <w:tc>
                <w:tcPr>
                  <w:tcW w:w="452" w:type="pct"/>
                  <w:tcBorders>
                    <w:tl2br w:val="nil"/>
                    <w:tr2bl w:val="nil"/>
                  </w:tcBorders>
                  <w:noWrap w:val="0"/>
                  <w:vAlign w:val="center"/>
                </w:tcPr>
                <w:p w14:paraId="2933FA1E">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w:t>
                  </w:r>
                </w:p>
              </w:tc>
            </w:tr>
            <w:tr w14:paraId="7A1E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75700E4D">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770" w:type="pct"/>
                  <w:tcBorders>
                    <w:tl2br w:val="nil"/>
                    <w:tr2bl w:val="nil"/>
                  </w:tcBorders>
                  <w:noWrap w:val="0"/>
                  <w:vAlign w:val="center"/>
                </w:tcPr>
                <w:p w14:paraId="442CFF55">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应急消防水池</w:t>
                  </w:r>
                </w:p>
              </w:tc>
              <w:tc>
                <w:tcPr>
                  <w:tcW w:w="3099" w:type="pct"/>
                  <w:tcBorders>
                    <w:tl2br w:val="nil"/>
                    <w:tr2bl w:val="nil"/>
                  </w:tcBorders>
                  <w:noWrap w:val="0"/>
                  <w:vAlign w:val="center"/>
                </w:tcPr>
                <w:p w14:paraId="1CFB6154">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砖混结构，容积10m</w:t>
                  </w:r>
                  <w:r>
                    <w:rPr>
                      <w:rFonts w:hint="eastAsia" w:cs="Times New Roman"/>
                      <w:b w:val="0"/>
                      <w:bCs w:val="0"/>
                      <w:color w:val="000000" w:themeColor="text1"/>
                      <w:kern w:val="2"/>
                      <w:sz w:val="21"/>
                      <w:szCs w:val="21"/>
                      <w:highlight w:val="none"/>
                      <w:vertAlign w:val="superscript"/>
                      <w:lang w:val="en-US" w:eastAsia="zh-CN" w:bidi="ar-SA"/>
                      <w14:textFill>
                        <w14:solidFill>
                          <w14:schemeClr w14:val="tx1"/>
                        </w14:solidFill>
                      </w14:textFill>
                    </w:rPr>
                    <w:t>3</w:t>
                  </w:r>
                </w:p>
              </w:tc>
              <w:tc>
                <w:tcPr>
                  <w:tcW w:w="452" w:type="pct"/>
                  <w:tcBorders>
                    <w:tl2br w:val="nil"/>
                    <w:tr2bl w:val="nil"/>
                  </w:tcBorders>
                  <w:noWrap w:val="0"/>
                  <w:vAlign w:val="center"/>
                </w:tcPr>
                <w:p w14:paraId="7CAE5393">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新建</w:t>
                  </w:r>
                </w:p>
              </w:tc>
            </w:tr>
            <w:tr w14:paraId="7165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restart"/>
                  <w:tcBorders>
                    <w:tl2br w:val="nil"/>
                    <w:tr2bl w:val="nil"/>
                  </w:tcBorders>
                  <w:noWrap w:val="0"/>
                  <w:vAlign w:val="center"/>
                </w:tcPr>
                <w:p w14:paraId="47DFEC17">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储运工程</w:t>
                  </w:r>
                </w:p>
              </w:tc>
              <w:tc>
                <w:tcPr>
                  <w:tcW w:w="770" w:type="pct"/>
                  <w:tcBorders>
                    <w:tl2br w:val="nil"/>
                    <w:tr2bl w:val="nil"/>
                  </w:tcBorders>
                  <w:noWrap w:val="0"/>
                  <w:vAlign w:val="center"/>
                </w:tcPr>
                <w:p w14:paraId="70A722D2">
                  <w:pPr>
                    <w:pStyle w:val="70"/>
                    <w:pageBreakBefore w:val="0"/>
                    <w:kinsoku/>
                    <w:wordWrap w:val="0"/>
                    <w:overflowPunct/>
                    <w:bidi w:val="0"/>
                    <w:rPr>
                      <w:rFonts w:hint="default"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原料库房</w:t>
                  </w:r>
                </w:p>
              </w:tc>
              <w:tc>
                <w:tcPr>
                  <w:tcW w:w="3099" w:type="pct"/>
                  <w:tcBorders>
                    <w:tl2br w:val="nil"/>
                    <w:tr2bl w:val="nil"/>
                  </w:tcBorders>
                  <w:noWrap w:val="0"/>
                  <w:vAlign w:val="center"/>
                </w:tcPr>
                <w:p w14:paraId="5330B07F">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用于储存铣刨沥青、骨料和矿粉，占地面积为3600m</w:t>
                  </w:r>
                  <w:r>
                    <w:rPr>
                      <w:rFonts w:hint="eastAsia" w:cs="Times New Roman"/>
                      <w:b w:val="0"/>
                      <w:bCs w:val="0"/>
                      <w:color w:val="000000" w:themeColor="text1"/>
                      <w:kern w:val="2"/>
                      <w:sz w:val="21"/>
                      <w:szCs w:val="21"/>
                      <w:highlight w:val="none"/>
                      <w:vertAlign w:val="superscript"/>
                      <w:lang w:val="en-US" w:eastAsia="zh-CN" w:bidi="ar-SA"/>
                      <w14:textFill>
                        <w14:solidFill>
                          <w14:schemeClr w14:val="tx1"/>
                        </w14:solidFill>
                      </w14:textFill>
                    </w:rPr>
                    <w:t>2</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，为彩钢结构</w:t>
                  </w:r>
                </w:p>
              </w:tc>
              <w:tc>
                <w:tcPr>
                  <w:tcW w:w="452" w:type="pct"/>
                  <w:tcBorders>
                    <w:tl2br w:val="nil"/>
                    <w:tr2bl w:val="nil"/>
                  </w:tcBorders>
                  <w:noWrap w:val="0"/>
                  <w:vAlign w:val="center"/>
                </w:tcPr>
                <w:p w14:paraId="1B4D0248">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依托</w:t>
                  </w:r>
                </w:p>
              </w:tc>
            </w:tr>
            <w:tr w14:paraId="1BB9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63AA5FD3">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770" w:type="pct"/>
                  <w:tcBorders>
                    <w:tl2br w:val="nil"/>
                    <w:tr2bl w:val="nil"/>
                  </w:tcBorders>
                  <w:noWrap w:val="0"/>
                  <w:vAlign w:val="center"/>
                </w:tcPr>
                <w:p w14:paraId="211943C8">
                  <w:pPr>
                    <w:pStyle w:val="70"/>
                    <w:pageBreakBefore w:val="0"/>
                    <w:kinsoku/>
                    <w:wordWrap w:val="0"/>
                    <w:overflowPunct/>
                    <w:bidi w:val="0"/>
                    <w:rPr>
                      <w:rFonts w:hint="default"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沥青储罐区</w:t>
                  </w:r>
                </w:p>
              </w:tc>
              <w:tc>
                <w:tcPr>
                  <w:tcW w:w="3099" w:type="pct"/>
                  <w:tcBorders>
                    <w:tl2br w:val="nil"/>
                    <w:tr2bl w:val="nil"/>
                  </w:tcBorders>
                  <w:noWrap w:val="0"/>
                  <w:vAlign w:val="center"/>
                </w:tcPr>
                <w:p w14:paraId="654D5702">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沥青储罐区设置沥青储罐4个，每个沥青储罐的容积为40t，设置导热油炉一个，热源为天然气，以导热油作为载体，通过封闭管道间接加热沥青储罐，导热油炉燃烧器配套安装1台低氮燃烧器，废气经一根16m高排气筒排放</w:t>
                  </w:r>
                </w:p>
              </w:tc>
              <w:tc>
                <w:tcPr>
                  <w:tcW w:w="452" w:type="pct"/>
                  <w:tcBorders>
                    <w:tl2br w:val="nil"/>
                    <w:tr2bl w:val="nil"/>
                  </w:tcBorders>
                  <w:noWrap w:val="0"/>
                  <w:vAlign w:val="center"/>
                </w:tcPr>
                <w:p w14:paraId="1DC87EBA">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w:t>
                  </w:r>
                </w:p>
              </w:tc>
            </w:tr>
            <w:tr w14:paraId="1895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7432CA4E">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c>
                <w:tcPr>
                  <w:tcW w:w="770" w:type="pct"/>
                  <w:tcBorders>
                    <w:tl2br w:val="nil"/>
                    <w:tr2bl w:val="nil"/>
                  </w:tcBorders>
                  <w:noWrap w:val="0"/>
                  <w:vAlign w:val="center"/>
                </w:tcPr>
                <w:p w14:paraId="7F3C323E">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L-CNG</w:t>
                  </w:r>
                </w:p>
              </w:tc>
              <w:tc>
                <w:tcPr>
                  <w:tcW w:w="3099" w:type="pct"/>
                  <w:tcBorders>
                    <w:tl2br w:val="nil"/>
                    <w:tr2bl w:val="nil"/>
                  </w:tcBorders>
                  <w:noWrap w:val="0"/>
                  <w:vAlign w:val="center"/>
                </w:tcPr>
                <w:p w14:paraId="1453F25C">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1处，用于转换天然气撬车内的天然气，配备天然气供气管路</w:t>
                  </w:r>
                </w:p>
              </w:tc>
              <w:tc>
                <w:tcPr>
                  <w:tcW w:w="452" w:type="pct"/>
                  <w:tcBorders>
                    <w:tl2br w:val="nil"/>
                    <w:tr2bl w:val="nil"/>
                  </w:tcBorders>
                  <w:noWrap w:val="0"/>
                  <w:vAlign w:val="center"/>
                </w:tcPr>
                <w:p w14:paraId="486BBA54">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w:t>
                  </w:r>
                </w:p>
              </w:tc>
            </w:tr>
            <w:tr w14:paraId="14D7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restart"/>
                  <w:tcBorders>
                    <w:tl2br w:val="nil"/>
                    <w:tr2bl w:val="nil"/>
                  </w:tcBorders>
                  <w:noWrap w:val="0"/>
                  <w:vAlign w:val="center"/>
                </w:tcPr>
                <w:p w14:paraId="01805EF6">
                  <w:pPr>
                    <w:keepNext w:val="0"/>
                    <w:keepLines w:val="0"/>
                    <w:pageBreakBefore w:val="0"/>
                    <w:widowControl/>
                    <w:kinsoku/>
                    <w:wordWrap w:val="0"/>
                    <w:overflowPunct/>
                    <w:topLinePunct w:val="0"/>
                    <w:autoSpaceDE/>
                    <w:autoSpaceDN/>
                    <w:bidi w:val="0"/>
                    <w:adjustRightInd w:val="0"/>
                    <w:snapToGrid w:val="0"/>
                    <w:spacing w:line="320" w:lineRule="exact"/>
                    <w:ind w:left="0" w:leftChars="0" w:right="0" w:rightChars="0"/>
                    <w:jc w:val="both"/>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公用工程</w:t>
                  </w:r>
                </w:p>
              </w:tc>
              <w:tc>
                <w:tcPr>
                  <w:tcW w:w="770" w:type="pct"/>
                  <w:tcBorders>
                    <w:tl2br w:val="nil"/>
                    <w:tr2bl w:val="nil"/>
                  </w:tcBorders>
                  <w:noWrap w:val="0"/>
                  <w:vAlign w:val="center"/>
                </w:tcPr>
                <w:p w14:paraId="23196A50">
                  <w:pPr>
                    <w:pStyle w:val="70"/>
                    <w:pageBreakBefore w:val="0"/>
                    <w:kinsoku/>
                    <w:wordWrap w:val="0"/>
                    <w:overflowPunct/>
                    <w:bidi w:val="0"/>
                    <w:rPr>
                      <w:rFonts w:cs="Times New Roman"/>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给水</w:t>
                  </w:r>
                </w:p>
              </w:tc>
              <w:tc>
                <w:tcPr>
                  <w:tcW w:w="3099" w:type="pct"/>
                  <w:tcBorders>
                    <w:tl2br w:val="nil"/>
                    <w:tr2bl w:val="nil"/>
                  </w:tcBorders>
                  <w:noWrap w:val="0"/>
                  <w:vAlign w:val="center"/>
                </w:tcPr>
                <w:p w14:paraId="4DCECD22">
                  <w:pPr>
                    <w:pStyle w:val="70"/>
                    <w:pageBreakBefore w:val="0"/>
                    <w:kinsoku/>
                    <w:wordWrap w:val="0"/>
                    <w:overflowPunct/>
                    <w:bidi w:val="0"/>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无新增用水</w:t>
                  </w:r>
                </w:p>
              </w:tc>
              <w:tc>
                <w:tcPr>
                  <w:tcW w:w="452" w:type="pct"/>
                  <w:vMerge w:val="restart"/>
                  <w:tcBorders>
                    <w:tl2br w:val="nil"/>
                    <w:tr2bl w:val="nil"/>
                  </w:tcBorders>
                  <w:noWrap w:val="0"/>
                  <w:vAlign w:val="center"/>
                </w:tcPr>
                <w:p w14:paraId="57820313">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38C1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0F9008E2">
                  <w:pPr>
                    <w:keepNext w:val="0"/>
                    <w:keepLines w:val="0"/>
                    <w:pageBreakBefore w:val="0"/>
                    <w:widowControl/>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tcBorders>
                    <w:tl2br w:val="nil"/>
                    <w:tr2bl w:val="nil"/>
                  </w:tcBorders>
                  <w:noWrap w:val="0"/>
                  <w:vAlign w:val="center"/>
                </w:tcPr>
                <w:p w14:paraId="40A418F2">
                  <w:pPr>
                    <w:pStyle w:val="70"/>
                    <w:pageBreakBefore w:val="0"/>
                    <w:kinsoku/>
                    <w:wordWrap w:val="0"/>
                    <w:overflowPunct/>
                    <w:bidi w:val="0"/>
                    <w:rPr>
                      <w:rFonts w:cs="Times New Roman"/>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排水</w:t>
                  </w:r>
                </w:p>
              </w:tc>
              <w:tc>
                <w:tcPr>
                  <w:tcW w:w="3099" w:type="pct"/>
                  <w:tcBorders>
                    <w:tl2br w:val="nil"/>
                    <w:tr2bl w:val="nil"/>
                  </w:tcBorders>
                  <w:noWrap w:val="0"/>
                  <w:vAlign w:val="center"/>
                </w:tcPr>
                <w:p w14:paraId="6D943A29">
                  <w:pPr>
                    <w:pStyle w:val="70"/>
                    <w:pageBreakBefore w:val="0"/>
                    <w:kinsoku/>
                    <w:wordWrap w:val="0"/>
                    <w:overflowPunct/>
                    <w:bidi w:val="0"/>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无新增废水产生</w:t>
                  </w:r>
                </w:p>
              </w:tc>
              <w:tc>
                <w:tcPr>
                  <w:tcW w:w="452" w:type="pct"/>
                  <w:vMerge w:val="continue"/>
                  <w:tcBorders>
                    <w:tl2br w:val="nil"/>
                    <w:tr2bl w:val="nil"/>
                  </w:tcBorders>
                  <w:noWrap w:val="0"/>
                  <w:vAlign w:val="center"/>
                </w:tcPr>
                <w:p w14:paraId="1A644D3A">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r>
            <w:tr w14:paraId="690D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527E9C78">
                  <w:pPr>
                    <w:keepNext w:val="0"/>
                    <w:keepLines w:val="0"/>
                    <w:pageBreakBefore w:val="0"/>
                    <w:widowControl/>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tcBorders>
                    <w:tl2br w:val="nil"/>
                    <w:tr2bl w:val="nil"/>
                  </w:tcBorders>
                  <w:noWrap w:val="0"/>
                  <w:vAlign w:val="center"/>
                </w:tcPr>
                <w:p w14:paraId="5D0A2D7D">
                  <w:pPr>
                    <w:pStyle w:val="70"/>
                    <w:pageBreakBefore w:val="0"/>
                    <w:kinsoku/>
                    <w:wordWrap w:val="0"/>
                    <w:overflowPunct/>
                    <w:bidi w:val="0"/>
                    <w:rPr>
                      <w:rFonts w:cs="Times New Roman"/>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供电</w:t>
                  </w:r>
                </w:p>
              </w:tc>
              <w:tc>
                <w:tcPr>
                  <w:tcW w:w="3099" w:type="pct"/>
                  <w:tcBorders>
                    <w:tl2br w:val="nil"/>
                    <w:tr2bl w:val="nil"/>
                  </w:tcBorders>
                  <w:noWrap w:val="0"/>
                  <w:vAlign w:val="center"/>
                </w:tcPr>
                <w:p w14:paraId="0E92DF13">
                  <w:pPr>
                    <w:pageBreakBefore w:val="0"/>
                    <w:kinsoku/>
                    <w:wordWrap w:val="0"/>
                    <w:overflowPunct/>
                    <w:autoSpaceDE w:val="0"/>
                    <w:bidi w:val="0"/>
                    <w:jc w:val="center"/>
                    <w:textAlignment w:val="baseline"/>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当地电网</w:t>
                  </w:r>
                </w:p>
              </w:tc>
              <w:tc>
                <w:tcPr>
                  <w:tcW w:w="452" w:type="pct"/>
                  <w:vMerge w:val="continue"/>
                  <w:tcBorders>
                    <w:tl2br w:val="nil"/>
                    <w:tr2bl w:val="nil"/>
                  </w:tcBorders>
                  <w:noWrap w:val="0"/>
                  <w:vAlign w:val="center"/>
                </w:tcPr>
                <w:p w14:paraId="75D62F51">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p>
              </w:tc>
            </w:tr>
            <w:tr w14:paraId="4A6FE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6F4723F4">
                  <w:pPr>
                    <w:keepNext w:val="0"/>
                    <w:keepLines w:val="0"/>
                    <w:pageBreakBefore w:val="0"/>
                    <w:widowControl/>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tcBorders>
                    <w:tl2br w:val="nil"/>
                    <w:tr2bl w:val="nil"/>
                  </w:tcBorders>
                  <w:noWrap w:val="0"/>
                  <w:vAlign w:val="center"/>
                </w:tcPr>
                <w:p w14:paraId="4F027B55">
                  <w:pPr>
                    <w:pStyle w:val="70"/>
                    <w:pageBreakBefore w:val="0"/>
                    <w:kinsoku/>
                    <w:wordWrap w:val="0"/>
                    <w:overflowPunct/>
                    <w:bidi w:val="0"/>
                    <w:rPr>
                      <w:rFonts w:cs="Times New Roman"/>
                      <w:b w:val="0"/>
                      <w:bCs w:val="0"/>
                      <w:color w:val="000000" w:themeColor="text1"/>
                      <w:sz w:val="21"/>
                      <w:szCs w:val="21"/>
                      <w:highlight w:val="none"/>
                      <w14:textFill>
                        <w14:solidFill>
                          <w14:schemeClr w14:val="tx1"/>
                        </w14:solidFill>
                      </w14:textFill>
                    </w:rPr>
                  </w:pPr>
                  <w:r>
                    <w:rPr>
                      <w:b w:val="0"/>
                      <w:bCs w:val="0"/>
                      <w:color w:val="000000" w:themeColor="text1"/>
                      <w:sz w:val="21"/>
                      <w:szCs w:val="21"/>
                      <w:highlight w:val="none"/>
                      <w14:textFill>
                        <w14:solidFill>
                          <w14:schemeClr w14:val="tx1"/>
                        </w14:solidFill>
                      </w14:textFill>
                    </w:rPr>
                    <w:t>供热</w:t>
                  </w:r>
                </w:p>
              </w:tc>
              <w:tc>
                <w:tcPr>
                  <w:tcW w:w="3099" w:type="pct"/>
                  <w:tcBorders>
                    <w:tl2br w:val="nil"/>
                    <w:tr2bl w:val="nil"/>
                  </w:tcBorders>
                  <w:noWrap w:val="0"/>
                  <w:vAlign w:val="center"/>
                </w:tcPr>
                <w:p w14:paraId="20B9300E">
                  <w:pPr>
                    <w:pageBreakBefore w:val="0"/>
                    <w:kinsoku/>
                    <w:wordWrap w:val="0"/>
                    <w:overflowPunct/>
                    <w:bidi w:val="0"/>
                    <w:jc w:val="center"/>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办公室内采用空调供暖，生产车间不供暖</w:t>
                  </w:r>
                </w:p>
              </w:tc>
              <w:tc>
                <w:tcPr>
                  <w:tcW w:w="452" w:type="pct"/>
                  <w:vMerge w:val="continue"/>
                  <w:tcBorders>
                    <w:tl2br w:val="nil"/>
                    <w:tr2bl w:val="nil"/>
                  </w:tcBorders>
                  <w:noWrap w:val="0"/>
                  <w:vAlign w:val="center"/>
                </w:tcPr>
                <w:p w14:paraId="301FA684">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r>
            <w:tr w14:paraId="33F4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77" w:type="pct"/>
                  <w:vMerge w:val="restart"/>
                  <w:tcBorders>
                    <w:tl2br w:val="nil"/>
                    <w:tr2bl w:val="nil"/>
                  </w:tcBorders>
                  <w:noWrap w:val="0"/>
                  <w:vAlign w:val="center"/>
                </w:tcPr>
                <w:p w14:paraId="240BEE17">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环保工程</w:t>
                  </w:r>
                </w:p>
              </w:tc>
              <w:tc>
                <w:tcPr>
                  <w:tcW w:w="770" w:type="pct"/>
                  <w:vMerge w:val="restart"/>
                  <w:tcBorders>
                    <w:tl2br w:val="nil"/>
                    <w:tr2bl w:val="nil"/>
                  </w:tcBorders>
                  <w:noWrap w:val="0"/>
                  <w:vAlign w:val="center"/>
                </w:tcPr>
                <w:p w14:paraId="1D593477">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废气</w:t>
                  </w:r>
                </w:p>
              </w:tc>
              <w:tc>
                <w:tcPr>
                  <w:tcW w:w="3099" w:type="pct"/>
                  <w:tcBorders>
                    <w:tl2br w:val="nil"/>
                    <w:tr2bl w:val="nil"/>
                  </w:tcBorders>
                  <w:noWrap w:val="0"/>
                  <w:vAlign w:val="center"/>
                </w:tcPr>
                <w:p w14:paraId="06742A3F">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default"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为铣刨沥青干燥滚筒加热的天然气燃烧器采用低氮燃烧器，产生废气经环保设施收集后通过“</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b w:val="0"/>
                      <w:bCs w:val="0"/>
                      <w:color w:val="000000" w:themeColor="text1"/>
                      <w:sz w:val="21"/>
                      <w:szCs w:val="21"/>
                      <w:highlight w:val="none"/>
                      <w:lang w:val="en-US" w:eastAsia="zh-CN"/>
                      <w14:textFill>
                        <w14:solidFill>
                          <w14:schemeClr w14:val="tx1"/>
                        </w14:solidFill>
                      </w14:textFill>
                    </w:rPr>
                    <w:t>”处理装置处理后，通过一根15m高的排气筒外排（DA001）</w:t>
                  </w:r>
                </w:p>
              </w:tc>
              <w:tc>
                <w:tcPr>
                  <w:tcW w:w="452" w:type="pct"/>
                  <w:vMerge w:val="restart"/>
                  <w:tcBorders>
                    <w:tl2br w:val="nil"/>
                    <w:tr2bl w:val="nil"/>
                  </w:tcBorders>
                  <w:noWrap w:val="0"/>
                  <w:vAlign w:val="center"/>
                </w:tcPr>
                <w:p w14:paraId="132B362E">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依托原有</w:t>
                  </w:r>
                </w:p>
              </w:tc>
            </w:tr>
            <w:tr w14:paraId="0668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77" w:type="pct"/>
                  <w:vMerge w:val="continue"/>
                  <w:tcBorders>
                    <w:tl2br w:val="nil"/>
                    <w:tr2bl w:val="nil"/>
                  </w:tcBorders>
                  <w:noWrap w:val="0"/>
                  <w:vAlign w:val="center"/>
                </w:tcPr>
                <w:p w14:paraId="3DFE862F">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color w:val="000000" w:themeColor="text1"/>
                      <w:highlight w:val="none"/>
                      <w14:textFill>
                        <w14:solidFill>
                          <w14:schemeClr w14:val="tx1"/>
                        </w14:solidFill>
                      </w14:textFill>
                    </w:rPr>
                  </w:pPr>
                </w:p>
              </w:tc>
              <w:tc>
                <w:tcPr>
                  <w:tcW w:w="770" w:type="pct"/>
                  <w:vMerge w:val="continue"/>
                  <w:tcBorders>
                    <w:tl2br w:val="nil"/>
                    <w:tr2bl w:val="nil"/>
                  </w:tcBorders>
                  <w:noWrap w:val="0"/>
                  <w:vAlign w:val="center"/>
                </w:tcPr>
                <w:p w14:paraId="47C1414F">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color w:val="000000" w:themeColor="text1"/>
                      <w:highlight w:val="none"/>
                      <w14:textFill>
                        <w14:solidFill>
                          <w14:schemeClr w14:val="tx1"/>
                        </w14:solidFill>
                      </w14:textFill>
                    </w:rPr>
                  </w:pPr>
                </w:p>
              </w:tc>
              <w:tc>
                <w:tcPr>
                  <w:tcW w:w="3099" w:type="pct"/>
                  <w:tcBorders>
                    <w:tl2br w:val="nil"/>
                    <w:tr2bl w:val="nil"/>
                  </w:tcBorders>
                  <w:noWrap w:val="0"/>
                  <w:vAlign w:val="center"/>
                </w:tcPr>
                <w:p w14:paraId="6CF32C09">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原有导热油炉加热燃烧器采用低氮燃烧器，</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废气经一根16m高排气筒排放（DA002）</w:t>
                  </w:r>
                </w:p>
              </w:tc>
              <w:tc>
                <w:tcPr>
                  <w:tcW w:w="452" w:type="pct"/>
                  <w:vMerge w:val="continue"/>
                  <w:tcBorders>
                    <w:tl2br w:val="nil"/>
                    <w:tr2bl w:val="nil"/>
                  </w:tcBorders>
                  <w:noWrap w:val="0"/>
                  <w:vAlign w:val="center"/>
                </w:tcPr>
                <w:p w14:paraId="50779932">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r>
            <w:tr w14:paraId="3035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77" w:type="pct"/>
                  <w:vMerge w:val="continue"/>
                  <w:tcBorders>
                    <w:tl2br w:val="nil"/>
                    <w:tr2bl w:val="nil"/>
                  </w:tcBorders>
                  <w:noWrap w:val="0"/>
                  <w:vAlign w:val="center"/>
                </w:tcPr>
                <w:p w14:paraId="0DFF2B55">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c>
                <w:tcPr>
                  <w:tcW w:w="770" w:type="pct"/>
                  <w:vMerge w:val="continue"/>
                  <w:tcBorders>
                    <w:tl2br w:val="nil"/>
                    <w:tr2bl w:val="nil"/>
                  </w:tcBorders>
                  <w:noWrap w:val="0"/>
                  <w:vAlign w:val="center"/>
                </w:tcPr>
                <w:p w14:paraId="46C77C65">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c>
                <w:tcPr>
                  <w:tcW w:w="3099" w:type="pct"/>
                  <w:tcBorders>
                    <w:tl2br w:val="nil"/>
                    <w:tr2bl w:val="nil"/>
                  </w:tcBorders>
                  <w:noWrap w:val="0"/>
                  <w:vAlign w:val="center"/>
                </w:tcPr>
                <w:p w14:paraId="22F58E0B">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为原有项目冷骨料干燥滚筒加热的天然气燃烧器采用低氮燃烧器，产生废气经环保设施收集后通过“</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b w:val="0"/>
                      <w:bCs w:val="0"/>
                      <w:color w:val="000000" w:themeColor="text1"/>
                      <w:sz w:val="21"/>
                      <w:szCs w:val="21"/>
                      <w:highlight w:val="none"/>
                      <w:lang w:val="en-US" w:eastAsia="zh-CN"/>
                      <w14:textFill>
                        <w14:solidFill>
                          <w14:schemeClr w14:val="tx1"/>
                        </w14:solidFill>
                      </w14:textFill>
                    </w:rPr>
                    <w:t>”处理装置处理后，通过一根15m高的排气筒外排（DA001）</w:t>
                  </w:r>
                </w:p>
              </w:tc>
              <w:tc>
                <w:tcPr>
                  <w:tcW w:w="452" w:type="pct"/>
                  <w:tcBorders>
                    <w:tl2br w:val="nil"/>
                    <w:tr2bl w:val="nil"/>
                  </w:tcBorders>
                  <w:noWrap w:val="0"/>
                  <w:vAlign w:val="center"/>
                </w:tcPr>
                <w:p w14:paraId="55DBC0F1">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w:t>
                  </w:r>
                </w:p>
              </w:tc>
            </w:tr>
            <w:tr w14:paraId="4CD1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77" w:type="pct"/>
                  <w:vMerge w:val="continue"/>
                  <w:tcBorders>
                    <w:tl2br w:val="nil"/>
                    <w:tr2bl w:val="nil"/>
                  </w:tcBorders>
                  <w:noWrap w:val="0"/>
                  <w:vAlign w:val="center"/>
                </w:tcPr>
                <w:p w14:paraId="40096298">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c>
                <w:tcPr>
                  <w:tcW w:w="770" w:type="pct"/>
                  <w:vMerge w:val="continue"/>
                  <w:tcBorders>
                    <w:tl2br w:val="nil"/>
                    <w:tr2bl w:val="nil"/>
                  </w:tcBorders>
                  <w:noWrap w:val="0"/>
                  <w:vAlign w:val="center"/>
                </w:tcPr>
                <w:p w14:paraId="5DDB92C0">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c>
                <w:tcPr>
                  <w:tcW w:w="3099" w:type="pct"/>
                  <w:tcBorders>
                    <w:tl2br w:val="nil"/>
                    <w:tr2bl w:val="nil"/>
                  </w:tcBorders>
                  <w:noWrap w:val="0"/>
                  <w:vAlign w:val="center"/>
                </w:tcPr>
                <w:p w14:paraId="7A9A4934">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铣刨沥青破碎筛分铣刨沥青产生的颗粒物，由集气罩收集后经布袋除尘器处理后通过一根15m高的排气筒排放（DA003）</w:t>
                  </w:r>
                </w:p>
              </w:tc>
              <w:tc>
                <w:tcPr>
                  <w:tcW w:w="452" w:type="pct"/>
                  <w:tcBorders>
                    <w:tl2br w:val="nil"/>
                    <w:tr2bl w:val="nil"/>
                  </w:tcBorders>
                  <w:noWrap w:val="0"/>
                  <w:vAlign w:val="center"/>
                </w:tcPr>
                <w:p w14:paraId="70FD1424">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新建</w:t>
                  </w:r>
                </w:p>
              </w:tc>
            </w:tr>
            <w:tr w14:paraId="3878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1C31508E">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tcBorders>
                    <w:tl2br w:val="nil"/>
                    <w:tr2bl w:val="nil"/>
                  </w:tcBorders>
                  <w:noWrap w:val="0"/>
                  <w:vAlign w:val="center"/>
                </w:tcPr>
                <w:p w14:paraId="3C0E8628">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14:textFill>
                        <w14:solidFill>
                          <w14:schemeClr w14:val="tx1"/>
                        </w14:solidFill>
                      </w14:textFill>
                    </w:rPr>
                    <w:t>废水治理</w:t>
                  </w:r>
                </w:p>
              </w:tc>
              <w:tc>
                <w:tcPr>
                  <w:tcW w:w="3099" w:type="pct"/>
                  <w:tcBorders>
                    <w:tl2br w:val="nil"/>
                    <w:tr2bl w:val="nil"/>
                  </w:tcBorders>
                  <w:noWrap w:val="0"/>
                  <w:vAlign w:val="center"/>
                </w:tcPr>
                <w:p w14:paraId="33A44A6F">
                  <w:pPr>
                    <w:keepNext w:val="0"/>
                    <w:keepLines w:val="0"/>
                    <w:pageBreakBefore w:val="0"/>
                    <w:kinsoku/>
                    <w:wordWrap w:val="0"/>
                    <w:overflowPunct/>
                    <w:topLinePunct w:val="0"/>
                    <w:autoSpaceDE/>
                    <w:autoSpaceDN/>
                    <w:bidi w:val="0"/>
                    <w:adjustRightInd w:val="0"/>
                    <w:spacing w:line="320" w:lineRule="exact"/>
                    <w:ind w:left="0" w:leftChars="0" w:right="0" w:rightChars="0"/>
                    <w:jc w:val="center"/>
                    <w:textAlignment w:val="auto"/>
                    <w:rPr>
                      <w:rFonts w:hint="default" w:eastAsia="宋体"/>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无新增废水产生</w:t>
                  </w:r>
                </w:p>
              </w:tc>
              <w:tc>
                <w:tcPr>
                  <w:tcW w:w="452" w:type="pct"/>
                  <w:tcBorders>
                    <w:tl2br w:val="nil"/>
                    <w:tr2bl w:val="nil"/>
                  </w:tcBorders>
                  <w:noWrap w:val="0"/>
                  <w:vAlign w:val="center"/>
                </w:tcPr>
                <w:p w14:paraId="12A36927">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16A9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6F04F02C">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tcBorders>
                    <w:tl2br w:val="nil"/>
                    <w:tr2bl w:val="nil"/>
                  </w:tcBorders>
                  <w:noWrap w:val="0"/>
                  <w:vAlign w:val="center"/>
                </w:tcPr>
                <w:p w14:paraId="5DA87E94">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r>
                    <w:rPr>
                      <w:rFonts w:cs="Times New Roman"/>
                      <w:b w:val="0"/>
                      <w:bCs w:val="0"/>
                      <w:color w:val="000000" w:themeColor="text1"/>
                      <w:sz w:val="21"/>
                      <w:szCs w:val="21"/>
                      <w:highlight w:val="none"/>
                      <w14:textFill>
                        <w14:solidFill>
                          <w14:schemeClr w14:val="tx1"/>
                        </w14:solidFill>
                      </w14:textFill>
                    </w:rPr>
                    <w:t>噪声</w:t>
                  </w:r>
                  <w:r>
                    <w:rPr>
                      <w:rFonts w:hint="eastAsia" w:cs="Times New Roman"/>
                      <w:b w:val="0"/>
                      <w:bCs w:val="0"/>
                      <w:color w:val="000000" w:themeColor="text1"/>
                      <w:sz w:val="21"/>
                      <w:szCs w:val="21"/>
                      <w:highlight w:val="none"/>
                      <w14:textFill>
                        <w14:solidFill>
                          <w14:schemeClr w14:val="tx1"/>
                        </w14:solidFill>
                      </w14:textFill>
                    </w:rPr>
                    <w:t>治理</w:t>
                  </w:r>
                </w:p>
              </w:tc>
              <w:tc>
                <w:tcPr>
                  <w:tcW w:w="3099" w:type="pct"/>
                  <w:tcBorders>
                    <w:tl2br w:val="nil"/>
                    <w:tr2bl w:val="nil"/>
                  </w:tcBorders>
                  <w:noWrap w:val="0"/>
                  <w:vAlign w:val="center"/>
                </w:tcPr>
                <w:p w14:paraId="16231A2F">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选用低噪声设备，</w:t>
                  </w:r>
                  <w:r>
                    <w:rPr>
                      <w:b w:val="0"/>
                      <w:bCs w:val="0"/>
                      <w:color w:val="000000" w:themeColor="text1"/>
                      <w:sz w:val="21"/>
                      <w:szCs w:val="21"/>
                      <w:highlight w:val="none"/>
                      <w14:textFill>
                        <w14:solidFill>
                          <w14:schemeClr w14:val="tx1"/>
                        </w14:solidFill>
                      </w14:textFill>
                    </w:rPr>
                    <w:t>设备基础减振</w:t>
                  </w:r>
                  <w:r>
                    <w:rPr>
                      <w:rFonts w:hint="eastAsia"/>
                      <w:b w:val="0"/>
                      <w:bCs w:val="0"/>
                      <w:color w:val="000000" w:themeColor="text1"/>
                      <w:sz w:val="21"/>
                      <w:szCs w:val="21"/>
                      <w:highlight w:val="none"/>
                      <w:lang w:eastAsia="zh-CN"/>
                      <w14:textFill>
                        <w14:solidFill>
                          <w14:schemeClr w14:val="tx1"/>
                        </w14:solidFill>
                      </w14:textFill>
                    </w:rPr>
                    <w:t>。</w:t>
                  </w:r>
                </w:p>
              </w:tc>
              <w:tc>
                <w:tcPr>
                  <w:tcW w:w="452" w:type="pct"/>
                  <w:tcBorders>
                    <w:tl2br w:val="nil"/>
                    <w:tr2bl w:val="nil"/>
                  </w:tcBorders>
                  <w:noWrap w:val="0"/>
                  <w:vAlign w:val="center"/>
                </w:tcPr>
                <w:p w14:paraId="6993203E">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2EC8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4C730158">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tcBorders>
                    <w:tl2br w:val="nil"/>
                    <w:tr2bl w:val="nil"/>
                  </w:tcBorders>
                  <w:noWrap w:val="0"/>
                  <w:vAlign w:val="center"/>
                </w:tcPr>
                <w:p w14:paraId="7246F6CD">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r>
                    <w:rPr>
                      <w:rFonts w:cs="Times New Roman"/>
                      <w:b w:val="0"/>
                      <w:bCs w:val="0"/>
                      <w:color w:val="000000" w:themeColor="text1"/>
                      <w:sz w:val="21"/>
                      <w:szCs w:val="21"/>
                      <w:highlight w:val="none"/>
                      <w14:textFill>
                        <w14:solidFill>
                          <w14:schemeClr w14:val="tx1"/>
                        </w14:solidFill>
                      </w14:textFill>
                    </w:rPr>
                    <w:t>固废</w:t>
                  </w:r>
                  <w:r>
                    <w:rPr>
                      <w:rFonts w:hint="eastAsia" w:cs="Times New Roman"/>
                      <w:b w:val="0"/>
                      <w:bCs w:val="0"/>
                      <w:color w:val="000000" w:themeColor="text1"/>
                      <w:sz w:val="21"/>
                      <w:szCs w:val="21"/>
                      <w:highlight w:val="none"/>
                      <w14:textFill>
                        <w14:solidFill>
                          <w14:schemeClr w14:val="tx1"/>
                        </w14:solidFill>
                      </w14:textFill>
                    </w:rPr>
                    <w:t>处理</w:t>
                  </w:r>
                </w:p>
              </w:tc>
              <w:tc>
                <w:tcPr>
                  <w:tcW w:w="3099" w:type="pct"/>
                  <w:tcBorders>
                    <w:tl2br w:val="nil"/>
                    <w:tr2bl w:val="nil"/>
                  </w:tcBorders>
                  <w:noWrap w:val="0"/>
                  <w:vAlign w:val="center"/>
                </w:tcPr>
                <w:p w14:paraId="610AA00B">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本项目生产过程中产生的废润滑油、废润滑油桶和废活性炭暂存于企业自建危险废物暂存间内，定期交由唐山浩昌杰环保科技发展有限公司；除尘灰、拌合残渣回用于生产；环保设施产生的废焦油暂存于危险废物暂存间内，定期交由唐山浩昌杰环保科技发展有限公司处理（危废协议补签）</w:t>
                  </w:r>
                </w:p>
              </w:tc>
              <w:tc>
                <w:tcPr>
                  <w:tcW w:w="452" w:type="pct"/>
                  <w:tcBorders>
                    <w:tl2br w:val="nil"/>
                    <w:tr2bl w:val="nil"/>
                  </w:tcBorders>
                  <w:noWrap w:val="0"/>
                  <w:vAlign w:val="center"/>
                </w:tcPr>
                <w:p w14:paraId="3570A073">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44A3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restart"/>
                  <w:tcBorders>
                    <w:tl2br w:val="nil"/>
                    <w:tr2bl w:val="nil"/>
                  </w:tcBorders>
                  <w:noWrap w:val="0"/>
                  <w:vAlign w:val="center"/>
                </w:tcPr>
                <w:p w14:paraId="46E6FB6B">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依托工程</w:t>
                  </w:r>
                </w:p>
              </w:tc>
              <w:tc>
                <w:tcPr>
                  <w:tcW w:w="770" w:type="pct"/>
                  <w:tcBorders>
                    <w:tl2br w:val="nil"/>
                    <w:tr2bl w:val="nil"/>
                  </w:tcBorders>
                  <w:noWrap w:val="0"/>
                  <w:vAlign w:val="center"/>
                </w:tcPr>
                <w:p w14:paraId="1BBCC2D0">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原料库</w:t>
                  </w:r>
                </w:p>
              </w:tc>
              <w:tc>
                <w:tcPr>
                  <w:tcW w:w="3099" w:type="pct"/>
                  <w:tcBorders>
                    <w:tl2br w:val="nil"/>
                    <w:tr2bl w:val="nil"/>
                  </w:tcBorders>
                  <w:noWrap w:val="0"/>
                  <w:vAlign w:val="center"/>
                </w:tcPr>
                <w:p w14:paraId="7E328486">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建筑面积为3600m</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eastAsia" w:cs="Times New Roman"/>
                      <w:b w:val="0"/>
                      <w:bCs w:val="0"/>
                      <w:color w:val="000000" w:themeColor="text1"/>
                      <w:sz w:val="21"/>
                      <w:szCs w:val="21"/>
                      <w:highlight w:val="none"/>
                      <w:lang w:val="en-US" w:eastAsia="zh-CN"/>
                      <w14:textFill>
                        <w14:solidFill>
                          <w14:schemeClr w14:val="tx1"/>
                        </w14:solidFill>
                      </w14:textFill>
                    </w:rPr>
                    <w:t>，用于储存石子、铣刨沥青等原材料，为彩钢结构。</w:t>
                  </w:r>
                </w:p>
              </w:tc>
              <w:tc>
                <w:tcPr>
                  <w:tcW w:w="452" w:type="pct"/>
                  <w:vMerge w:val="restart"/>
                  <w:tcBorders>
                    <w:tl2br w:val="nil"/>
                    <w:tr2bl w:val="nil"/>
                  </w:tcBorders>
                  <w:noWrap w:val="0"/>
                  <w:vAlign w:val="center"/>
                </w:tcPr>
                <w:p w14:paraId="2C1CE3E5">
                  <w:pPr>
                    <w:keepNext w:val="0"/>
                    <w:keepLines w:val="0"/>
                    <w:pageBreakBefore w:val="0"/>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利旧，已建成</w:t>
                  </w:r>
                </w:p>
              </w:tc>
            </w:tr>
            <w:tr w14:paraId="0C15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3BF54828">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tcBorders>
                    <w:tl2br w:val="nil"/>
                    <w:tr2bl w:val="nil"/>
                  </w:tcBorders>
                  <w:shd w:val="clear" w:color="auto" w:fill="auto"/>
                  <w:noWrap w:val="0"/>
                  <w:vAlign w:val="center"/>
                </w:tcPr>
                <w:p w14:paraId="47962350">
                  <w:pPr>
                    <w:pStyle w:val="70"/>
                    <w:pageBreakBefore w:val="0"/>
                    <w:kinsoku/>
                    <w:wordWrap w:val="0"/>
                    <w:overflowPunct/>
                    <w:bidi w:val="0"/>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危险废物暂存间</w:t>
                  </w:r>
                </w:p>
              </w:tc>
              <w:tc>
                <w:tcPr>
                  <w:tcW w:w="3099" w:type="pct"/>
                  <w:tcBorders>
                    <w:tl2br w:val="nil"/>
                    <w:tr2bl w:val="nil"/>
                  </w:tcBorders>
                  <w:shd w:val="clear" w:color="auto" w:fill="auto"/>
                  <w:noWrap w:val="0"/>
                  <w:vAlign w:val="center"/>
                </w:tcPr>
                <w:p w14:paraId="688EACAA">
                  <w:pPr>
                    <w:pStyle w:val="70"/>
                    <w:pageBreakBefore w:val="0"/>
                    <w:kinsoku/>
                    <w:wordWrap w:val="0"/>
                    <w:overflowPunct/>
                    <w:bidi w:val="0"/>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项目建成后全厂危险废物为废润滑油、废润滑油桶和废活性炭</w:t>
                  </w:r>
                  <w:r>
                    <w:rPr>
                      <w:rFonts w:hint="eastAsia" w:cs="Times New Roman"/>
                      <w:b w:val="0"/>
                      <w:bCs w:val="0"/>
                      <w:color w:val="000000" w:themeColor="text1"/>
                      <w:sz w:val="21"/>
                      <w:szCs w:val="21"/>
                      <w:highlight w:val="none"/>
                      <w:lang w:val="en-US" w:eastAsia="zh-CN"/>
                      <w14:textFill>
                        <w14:solidFill>
                          <w14:schemeClr w14:val="tx1"/>
                        </w14:solidFill>
                      </w14:textFill>
                    </w:rPr>
                    <w:t>暂存于企业自建危险废物暂存间内，</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建筑面积为</w:t>
                  </w:r>
                  <w:r>
                    <w:rPr>
                      <w:rFonts w:ascii="Times New Roman" w:hAnsi="Times New Roman" w:eastAsia="Times New Roman" w:cs="Times New Roman"/>
                      <w:b w:val="0"/>
                      <w:bCs w:val="0"/>
                      <w:color w:val="000000" w:themeColor="text1"/>
                      <w:spacing w:val="-2"/>
                      <w:sz w:val="21"/>
                      <w:szCs w:val="21"/>
                      <w:highlight w:val="none"/>
                      <w14:textFill>
                        <w14:solidFill>
                          <w14:schemeClr w14:val="tx1"/>
                        </w14:solidFill>
                      </w14:textFill>
                    </w:rPr>
                    <w:t>6</w:t>
                  </w:r>
                  <w:r>
                    <w:rPr>
                      <w:rFonts w:ascii="Times New Roman" w:hAnsi="Times New Roman" w:eastAsia="Times New Roman" w:cs="Times New Roman"/>
                      <w:b w:val="0"/>
                      <w:bCs w:val="0"/>
                      <w:color w:val="000000" w:themeColor="text1"/>
                      <w:spacing w:val="-1"/>
                      <w:sz w:val="21"/>
                      <w:szCs w:val="21"/>
                      <w:highlight w:val="none"/>
                      <w14:textFill>
                        <w14:solidFill>
                          <w14:schemeClr w14:val="tx1"/>
                        </w14:solidFill>
                      </w14:textFill>
                    </w:rPr>
                    <w:t>m</w:t>
                  </w:r>
                  <w:r>
                    <w:rPr>
                      <w:rFonts w:hint="eastAsia" w:eastAsia="宋体" w:cs="Times New Roman"/>
                      <w:b w:val="0"/>
                      <w:bCs w:val="0"/>
                      <w:color w:val="000000" w:themeColor="text1"/>
                      <w:spacing w:val="-1"/>
                      <w:sz w:val="21"/>
                      <w:szCs w:val="21"/>
                      <w:highlight w:val="none"/>
                      <w:vertAlign w:val="superscript"/>
                      <w:lang w:val="en-US" w:eastAsia="zh-CN"/>
                      <w14:textFill>
                        <w14:solidFill>
                          <w14:schemeClr w14:val="tx1"/>
                        </w14:solidFill>
                      </w14:textFill>
                    </w:rPr>
                    <w:t>2</w:t>
                  </w:r>
                </w:p>
              </w:tc>
              <w:tc>
                <w:tcPr>
                  <w:tcW w:w="452" w:type="pct"/>
                  <w:vMerge w:val="continue"/>
                  <w:tcBorders>
                    <w:tl2br w:val="nil"/>
                    <w:tr2bl w:val="nil"/>
                  </w:tcBorders>
                  <w:noWrap w:val="0"/>
                  <w:vAlign w:val="center"/>
                </w:tcPr>
                <w:p w14:paraId="33033B26">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r>
            <w:tr w14:paraId="1272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4ADF3996">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tcBorders>
                    <w:tl2br w:val="nil"/>
                    <w:tr2bl w:val="nil"/>
                  </w:tcBorders>
                  <w:shd w:val="clear" w:color="auto" w:fill="auto"/>
                  <w:noWrap w:val="0"/>
                  <w:vAlign w:val="center"/>
                </w:tcPr>
                <w:p w14:paraId="5FBC971D">
                  <w:pPr>
                    <w:pStyle w:val="70"/>
                    <w:pageBreakBefore w:val="0"/>
                    <w:kinsoku/>
                    <w:wordWrap w:val="0"/>
                    <w:overflowPunct/>
                    <w:bidi w:val="0"/>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搅拌楼</w:t>
                  </w:r>
                </w:p>
              </w:tc>
              <w:tc>
                <w:tcPr>
                  <w:tcW w:w="3099" w:type="pct"/>
                  <w:tcBorders>
                    <w:tl2br w:val="nil"/>
                    <w:tr2bl w:val="nil"/>
                  </w:tcBorders>
                  <w:shd w:val="clear" w:color="auto" w:fill="auto"/>
                  <w:noWrap w:val="0"/>
                  <w:vAlign w:val="center"/>
                </w:tcPr>
                <w:p w14:paraId="137DEBA9">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本项目铣刨沥青预处理完成后，通过计量进入搅拌楼内同原生料进行搅拌，本次项目不新增搅拌楼</w:t>
                  </w:r>
                </w:p>
              </w:tc>
              <w:tc>
                <w:tcPr>
                  <w:tcW w:w="452" w:type="pct"/>
                  <w:vMerge w:val="continue"/>
                  <w:tcBorders>
                    <w:tl2br w:val="nil"/>
                    <w:tr2bl w:val="nil"/>
                  </w:tcBorders>
                  <w:noWrap w:val="0"/>
                  <w:vAlign w:val="center"/>
                </w:tcPr>
                <w:p w14:paraId="382B6969">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r>
            <w:tr w14:paraId="36E0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7" w:type="pct"/>
                  <w:vMerge w:val="continue"/>
                  <w:tcBorders>
                    <w:tl2br w:val="nil"/>
                    <w:tr2bl w:val="nil"/>
                  </w:tcBorders>
                  <w:noWrap w:val="0"/>
                  <w:vAlign w:val="center"/>
                </w:tcPr>
                <w:p w14:paraId="072E32F4">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tcBorders>
                    <w:tl2br w:val="nil"/>
                    <w:tr2bl w:val="nil"/>
                  </w:tcBorders>
                  <w:shd w:val="clear" w:color="auto" w:fill="auto"/>
                  <w:noWrap w:val="0"/>
                  <w:vAlign w:val="center"/>
                </w:tcPr>
                <w:p w14:paraId="4B6CD6F8">
                  <w:pPr>
                    <w:pStyle w:val="70"/>
                    <w:pageBreakBefore w:val="0"/>
                    <w:kinsoku/>
                    <w:wordWrap w:val="0"/>
                    <w:overflowPunct/>
                    <w:bidi w:val="0"/>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L-CNG</w:t>
                  </w:r>
                </w:p>
              </w:tc>
              <w:tc>
                <w:tcPr>
                  <w:tcW w:w="3099" w:type="pct"/>
                  <w:tcBorders>
                    <w:tl2br w:val="nil"/>
                    <w:tr2bl w:val="nil"/>
                  </w:tcBorders>
                  <w:shd w:val="clear" w:color="auto" w:fill="auto"/>
                  <w:noWrap w:val="0"/>
                  <w:vAlign w:val="center"/>
                </w:tcPr>
                <w:p w14:paraId="23716838">
                  <w:pPr>
                    <w:pStyle w:val="70"/>
                    <w:pageBreakBefore w:val="0"/>
                    <w:kinsoku/>
                    <w:wordWrap w:val="0"/>
                    <w:overflowPunct/>
                    <w:bidi w:val="0"/>
                    <w:rPr>
                      <w:rFonts w:hint="default"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本项目天然气转换器依托原有，不新增</w:t>
                  </w:r>
                </w:p>
              </w:tc>
              <w:tc>
                <w:tcPr>
                  <w:tcW w:w="452" w:type="pct"/>
                  <w:vMerge w:val="continue"/>
                  <w:tcBorders>
                    <w:tl2br w:val="nil"/>
                    <w:tr2bl w:val="nil"/>
                  </w:tcBorders>
                  <w:noWrap w:val="0"/>
                  <w:vAlign w:val="center"/>
                </w:tcPr>
                <w:p w14:paraId="06549996">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r>
            <w:tr w14:paraId="1ABB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7" w:type="pct"/>
                  <w:vMerge w:val="continue"/>
                  <w:tcBorders>
                    <w:tl2br w:val="nil"/>
                    <w:tr2bl w:val="nil"/>
                  </w:tcBorders>
                  <w:noWrap w:val="0"/>
                  <w:vAlign w:val="center"/>
                </w:tcPr>
                <w:p w14:paraId="7EF50641">
                  <w:pPr>
                    <w:keepNext w:val="0"/>
                    <w:keepLines w:val="0"/>
                    <w:pageBreakBefore w:val="0"/>
                    <w:kinsoku/>
                    <w:wordWrap w:val="0"/>
                    <w:overflowPunct/>
                    <w:topLinePunct w:val="0"/>
                    <w:autoSpaceDE/>
                    <w:autoSpaceDN/>
                    <w:bidi w:val="0"/>
                    <w:adjustRightInd w:val="0"/>
                    <w:snapToGrid w:val="0"/>
                    <w:spacing w:line="320" w:lineRule="exact"/>
                    <w:ind w:left="0" w:leftChars="0" w:right="0" w:rightChars="0"/>
                    <w:jc w:val="center"/>
                    <w:textAlignment w:val="auto"/>
                    <w:rPr>
                      <w:rFonts w:cs="Times New Roman"/>
                      <w:b w:val="0"/>
                      <w:bCs w:val="0"/>
                      <w:color w:val="000000" w:themeColor="text1"/>
                      <w:sz w:val="21"/>
                      <w:szCs w:val="21"/>
                      <w:highlight w:val="none"/>
                      <w14:textFill>
                        <w14:solidFill>
                          <w14:schemeClr w14:val="tx1"/>
                        </w14:solidFill>
                      </w14:textFill>
                    </w:rPr>
                  </w:pPr>
                </w:p>
              </w:tc>
              <w:tc>
                <w:tcPr>
                  <w:tcW w:w="770" w:type="pct"/>
                  <w:vMerge w:val="restart"/>
                  <w:tcBorders>
                    <w:tl2br w:val="nil"/>
                    <w:tr2bl w:val="nil"/>
                  </w:tcBorders>
                  <w:noWrap w:val="0"/>
                  <w:vAlign w:val="center"/>
                </w:tcPr>
                <w:p w14:paraId="04C79515">
                  <w:pPr>
                    <w:keepNext w:val="0"/>
                    <w:keepLines w:val="0"/>
                    <w:pageBreakBefore w:val="0"/>
                    <w:widowControl w:val="0"/>
                    <w:kinsoku/>
                    <w:wordWrap w:val="0"/>
                    <w:overflowPunct/>
                    <w:topLinePunct w:val="0"/>
                    <w:autoSpaceDE/>
                    <w:autoSpaceDN/>
                    <w:bidi w:val="0"/>
                    <w:adjustRightInd w:val="0"/>
                    <w:snapToGrid w:val="0"/>
                    <w:spacing w:line="320" w:lineRule="exact"/>
                    <w:ind w:left="0" w:leftChars="0" w:right="0" w:rightChars="0"/>
                    <w:jc w:val="center"/>
                    <w:textAlignment w:val="auto"/>
                    <w:rPr>
                      <w:rFonts w:hint="eastAsia"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环保设施</w:t>
                  </w:r>
                </w:p>
              </w:tc>
              <w:tc>
                <w:tcPr>
                  <w:tcW w:w="3099" w:type="pct"/>
                  <w:tcBorders>
                    <w:tl2br w:val="nil"/>
                    <w:tr2bl w:val="nil"/>
                  </w:tcBorders>
                  <w:noWrap w:val="0"/>
                  <w:vAlign w:val="center"/>
                </w:tcPr>
                <w:p w14:paraId="2B7A0EE8">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为铣刨沥青干燥滚筒加热的天然气燃烧器采用低氮燃烧器，产生废气经环保设施收集后通过“</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b w:val="0"/>
                      <w:bCs w:val="0"/>
                      <w:color w:val="000000" w:themeColor="text1"/>
                      <w:sz w:val="21"/>
                      <w:szCs w:val="21"/>
                      <w:highlight w:val="none"/>
                      <w:lang w:val="en-US" w:eastAsia="zh-CN"/>
                      <w14:textFill>
                        <w14:solidFill>
                          <w14:schemeClr w14:val="tx1"/>
                        </w14:solidFill>
                      </w14:textFill>
                    </w:rPr>
                    <w:t>”处理装置处理后，通过一根15m高的排气筒外排（DA001）</w:t>
                  </w:r>
                </w:p>
              </w:tc>
              <w:tc>
                <w:tcPr>
                  <w:tcW w:w="452" w:type="pct"/>
                  <w:vMerge w:val="continue"/>
                  <w:tcBorders>
                    <w:tl2br w:val="nil"/>
                    <w:tr2bl w:val="nil"/>
                  </w:tcBorders>
                  <w:noWrap w:val="0"/>
                  <w:vAlign w:val="center"/>
                </w:tcPr>
                <w:p w14:paraId="6E476E94">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r>
            <w:tr w14:paraId="324C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77" w:type="pct"/>
                  <w:vMerge w:val="continue"/>
                  <w:tcBorders>
                    <w:tl2br w:val="nil"/>
                    <w:tr2bl w:val="nil"/>
                  </w:tcBorders>
                  <w:noWrap w:val="0"/>
                  <w:vAlign w:val="center"/>
                </w:tcPr>
                <w:p w14:paraId="3E09AB0E">
                  <w:pPr>
                    <w:keepNext w:val="0"/>
                    <w:keepLines w:val="0"/>
                    <w:pageBreakBefore w:val="0"/>
                    <w:widowControl/>
                    <w:kinsoku/>
                    <w:wordWrap w:val="0"/>
                    <w:overflowPunct/>
                    <w:topLinePunct w:val="0"/>
                    <w:autoSpaceDE/>
                    <w:autoSpaceDN/>
                    <w:bidi w:val="0"/>
                    <w:spacing w:line="320" w:lineRule="exact"/>
                    <w:ind w:left="0" w:leftChars="0" w:right="0" w:rightChars="0"/>
                    <w:jc w:val="left"/>
                    <w:textAlignment w:val="auto"/>
                    <w:rPr>
                      <w:color w:val="000000" w:themeColor="text1"/>
                      <w:highlight w:val="none"/>
                      <w14:textFill>
                        <w14:solidFill>
                          <w14:schemeClr w14:val="tx1"/>
                        </w14:solidFill>
                      </w14:textFill>
                    </w:rPr>
                  </w:pPr>
                </w:p>
              </w:tc>
              <w:tc>
                <w:tcPr>
                  <w:tcW w:w="770" w:type="pct"/>
                  <w:vMerge w:val="continue"/>
                  <w:tcBorders>
                    <w:tl2br w:val="nil"/>
                    <w:tr2bl w:val="nil"/>
                  </w:tcBorders>
                  <w:noWrap w:val="0"/>
                  <w:vAlign w:val="center"/>
                </w:tcPr>
                <w:p w14:paraId="11EE87F5">
                  <w:pPr>
                    <w:keepNext w:val="0"/>
                    <w:keepLines w:val="0"/>
                    <w:pageBreakBefore w:val="0"/>
                    <w:widowControl/>
                    <w:kinsoku/>
                    <w:wordWrap w:val="0"/>
                    <w:overflowPunct/>
                    <w:topLinePunct w:val="0"/>
                    <w:autoSpaceDE/>
                    <w:autoSpaceDN/>
                    <w:bidi w:val="0"/>
                    <w:spacing w:line="320" w:lineRule="exact"/>
                    <w:ind w:left="0" w:leftChars="0" w:right="0" w:rightChars="0"/>
                    <w:jc w:val="left"/>
                    <w:textAlignment w:val="auto"/>
                    <w:rPr>
                      <w:color w:val="000000" w:themeColor="text1"/>
                      <w:highlight w:val="none"/>
                      <w14:textFill>
                        <w14:solidFill>
                          <w14:schemeClr w14:val="tx1"/>
                        </w14:solidFill>
                      </w14:textFill>
                    </w:rPr>
                  </w:pPr>
                </w:p>
              </w:tc>
              <w:tc>
                <w:tcPr>
                  <w:tcW w:w="3099" w:type="pct"/>
                  <w:tcBorders>
                    <w:tl2br w:val="nil"/>
                    <w:tr2bl w:val="nil"/>
                  </w:tcBorders>
                  <w:noWrap w:val="0"/>
                  <w:vAlign w:val="center"/>
                </w:tcPr>
                <w:p w14:paraId="59CA0701">
                  <w:pPr>
                    <w:keepNext w:val="0"/>
                    <w:keepLines w:val="0"/>
                    <w:pageBreakBefore w:val="0"/>
                    <w:widowControl/>
                    <w:kinsoku/>
                    <w:wordWrap w:val="0"/>
                    <w:overflowPunct/>
                    <w:topLinePunct w:val="0"/>
                    <w:autoSpaceDE/>
                    <w:autoSpaceDN/>
                    <w:bidi w:val="0"/>
                    <w:spacing w:line="320" w:lineRule="exact"/>
                    <w:ind w:left="0" w:leftChars="0" w:right="0" w:righ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原有导热油炉加热燃烧器采用低氮燃烧器，</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废气经一根16m高排气筒排放（DA002）</w:t>
                  </w:r>
                </w:p>
              </w:tc>
              <w:tc>
                <w:tcPr>
                  <w:tcW w:w="452" w:type="pct"/>
                  <w:vMerge w:val="continue"/>
                  <w:tcBorders>
                    <w:tl2br w:val="nil"/>
                    <w:tr2bl w:val="nil"/>
                  </w:tcBorders>
                  <w:noWrap w:val="0"/>
                  <w:vAlign w:val="center"/>
                </w:tcPr>
                <w:p w14:paraId="2709BEAB">
                  <w:pPr>
                    <w:keepNext w:val="0"/>
                    <w:keepLines w:val="0"/>
                    <w:pageBreakBefore w:val="0"/>
                    <w:widowControl/>
                    <w:kinsoku/>
                    <w:wordWrap w:val="0"/>
                    <w:overflowPunct/>
                    <w:topLinePunct w:val="0"/>
                    <w:autoSpaceDE/>
                    <w:autoSpaceDN/>
                    <w:bidi w:val="0"/>
                    <w:spacing w:line="320" w:lineRule="exact"/>
                    <w:ind w:left="0" w:leftChars="0" w:right="0" w:rightChars="0"/>
                    <w:jc w:val="left"/>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p>
              </w:tc>
            </w:tr>
          </w:tbl>
          <w:p w14:paraId="5973988C">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2" w:firstLineChars="200"/>
              <w:jc w:val="left"/>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2.主要生产设施及设施参数</w:t>
            </w:r>
          </w:p>
          <w:p w14:paraId="032E9B59">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cs="Times New Roman"/>
                <w:color w:val="000000" w:themeColor="text1"/>
                <w:spacing w:val="0"/>
                <w:position w:val="0"/>
                <w:sz w:val="21"/>
                <w:szCs w:val="21"/>
                <w:highlight w:val="none"/>
                <w:lang w:val="en-US" w:eastAsia="zh-CN"/>
                <w14:textFill>
                  <w14:solidFill>
                    <w14:schemeClr w14:val="tx1"/>
                  </w14:solidFill>
                </w14:textFill>
              </w:rPr>
              <w:t>本项目生产设备一览</w:t>
            </w: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表</w:t>
            </w:r>
            <w:r>
              <w:rPr>
                <w:rFonts w:hint="eastAsia" w:cs="Times New Roman"/>
                <w:color w:val="000000" w:themeColor="text1"/>
                <w:spacing w:val="0"/>
                <w:position w:val="0"/>
                <w:sz w:val="21"/>
                <w:szCs w:val="21"/>
                <w:highlight w:val="none"/>
                <w:lang w:val="en-US" w:eastAsia="zh-CN"/>
                <w14:textFill>
                  <w14:solidFill>
                    <w14:schemeClr w14:val="tx1"/>
                  </w14:solidFill>
                </w14:textFill>
              </w:rPr>
              <w:t>如下</w:t>
            </w: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所示：</w:t>
            </w:r>
          </w:p>
          <w:p w14:paraId="01C296C2">
            <w:pPr>
              <w:keepNext w:val="0"/>
              <w:keepLines w:val="0"/>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表2-2 </w:t>
            </w:r>
            <w:r>
              <w:rPr>
                <w:rFonts w:ascii="Times New Roman" w:hAnsi="Times New Roman" w:cs="Times New Roman"/>
                <w:b/>
                <w:bCs/>
                <w:color w:val="000000" w:themeColor="text1"/>
                <w:szCs w:val="21"/>
                <w:highlight w:val="none"/>
                <w14:textFill>
                  <w14:solidFill>
                    <w14:schemeClr w14:val="tx1"/>
                  </w14:solidFill>
                </w14:textFill>
              </w:rPr>
              <w:t>本项目</w:t>
            </w:r>
            <w:r>
              <w:rPr>
                <w:rFonts w:hint="eastAsia" w:cs="Times New Roman"/>
                <w:b/>
                <w:bCs/>
                <w:color w:val="000000" w:themeColor="text1"/>
                <w:szCs w:val="21"/>
                <w:highlight w:val="none"/>
                <w:lang w:val="en-US" w:eastAsia="zh-CN"/>
                <w14:textFill>
                  <w14:solidFill>
                    <w14:schemeClr w14:val="tx1"/>
                  </w14:solidFill>
                </w14:textFill>
              </w:rPr>
              <w:t>建成后全厂</w:t>
            </w:r>
            <w:r>
              <w:rPr>
                <w:rFonts w:ascii="Times New Roman" w:hAnsi="Times New Roman" w:cs="Times New Roman"/>
                <w:b/>
                <w:bCs/>
                <w:color w:val="000000" w:themeColor="text1"/>
                <w:szCs w:val="21"/>
                <w:highlight w:val="none"/>
                <w14:textFill>
                  <w14:solidFill>
                    <w14:schemeClr w14:val="tx1"/>
                  </w14:solidFill>
                </w14:textFill>
              </w:rPr>
              <w:t>设备一览表</w:t>
            </w:r>
          </w:p>
          <w:tbl>
            <w:tblPr>
              <w:tblStyle w:val="72"/>
              <w:tblW w:w="499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59"/>
              <w:gridCol w:w="2870"/>
              <w:gridCol w:w="3070"/>
              <w:gridCol w:w="769"/>
              <w:gridCol w:w="797"/>
            </w:tblGrid>
            <w:tr w14:paraId="2544B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000" w:type="pct"/>
                  <w:gridSpan w:val="5"/>
                  <w:vAlign w:val="center"/>
                </w:tcPr>
                <w:p w14:paraId="675C65D6">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bCs/>
                      <w:color w:val="000000" w:themeColor="text1"/>
                      <w:spacing w:val="-2"/>
                      <w:sz w:val="21"/>
                      <w:szCs w:val="21"/>
                      <w:highlight w:val="none"/>
                      <w:lang w:val="en-US" w:eastAsia="zh-CN"/>
                      <w14:textFill>
                        <w14:solidFill>
                          <w14:schemeClr w14:val="tx1"/>
                        </w14:solidFill>
                      </w14:textFill>
                    </w:rPr>
                  </w:pPr>
                  <w:r>
                    <w:rPr>
                      <w:rFonts w:hint="eastAsia" w:cs="Times New Roman"/>
                      <w:b/>
                      <w:bCs/>
                      <w:color w:val="000000" w:themeColor="text1"/>
                      <w:spacing w:val="-2"/>
                      <w:sz w:val="21"/>
                      <w:szCs w:val="21"/>
                      <w:highlight w:val="none"/>
                      <w:lang w:val="en-US" w:eastAsia="zh-CN"/>
                      <w14:textFill>
                        <w14:solidFill>
                          <w14:schemeClr w14:val="tx1"/>
                        </w14:solidFill>
                      </w14:textFill>
                    </w:rPr>
                    <w:t>本次项目新建设备</w:t>
                  </w:r>
                </w:p>
              </w:tc>
            </w:tr>
            <w:tr w14:paraId="3B064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vAlign w:val="center"/>
                </w:tcPr>
                <w:p w14:paraId="4D1102CA">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序</w:t>
                  </w: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号</w:t>
                  </w:r>
                </w:p>
              </w:tc>
              <w:tc>
                <w:tcPr>
                  <w:tcW w:w="1736" w:type="pct"/>
                  <w:vAlign w:val="center"/>
                </w:tcPr>
                <w:p w14:paraId="3AE79C68">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设备名称</w:t>
                  </w:r>
                </w:p>
              </w:tc>
              <w:tc>
                <w:tcPr>
                  <w:tcW w:w="1857" w:type="pct"/>
                  <w:vAlign w:val="center"/>
                </w:tcPr>
                <w:p w14:paraId="77A54592">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规格</w:t>
                  </w: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型号</w:t>
                  </w:r>
                </w:p>
              </w:tc>
              <w:tc>
                <w:tcPr>
                  <w:tcW w:w="465" w:type="pct"/>
                  <w:vAlign w:val="center"/>
                </w:tcPr>
                <w:p w14:paraId="50B180E3">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单位</w:t>
                  </w:r>
                </w:p>
              </w:tc>
              <w:tc>
                <w:tcPr>
                  <w:tcW w:w="480" w:type="pct"/>
                  <w:vAlign w:val="center"/>
                </w:tcPr>
                <w:p w14:paraId="1F95BE25">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数量</w:t>
                  </w:r>
                </w:p>
              </w:tc>
            </w:tr>
            <w:tr w14:paraId="16D9A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vAlign w:val="center"/>
                </w:tcPr>
                <w:p w14:paraId="409F183D">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736" w:type="pct"/>
                  <w:vAlign w:val="center"/>
                </w:tcPr>
                <w:p w14:paraId="5A37A968">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上料斗</w:t>
                  </w:r>
                </w:p>
              </w:tc>
              <w:tc>
                <w:tcPr>
                  <w:tcW w:w="1857" w:type="pct"/>
                  <w:vAlign w:val="center"/>
                </w:tcPr>
                <w:p w14:paraId="35EBD244">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8m</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465" w:type="pct"/>
                  <w:vAlign w:val="center"/>
                </w:tcPr>
                <w:p w14:paraId="2DB84ED6">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5B9F1F7F">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r>
            <w:tr w14:paraId="7046E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vAlign w:val="center"/>
                </w:tcPr>
                <w:p w14:paraId="746C73F5">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736" w:type="pct"/>
                  <w:vAlign w:val="center"/>
                </w:tcPr>
                <w:p w14:paraId="00DC875C">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震动式破拱装置</w:t>
                  </w:r>
                </w:p>
              </w:tc>
              <w:tc>
                <w:tcPr>
                  <w:tcW w:w="1857" w:type="pct"/>
                  <w:vAlign w:val="center"/>
                </w:tcPr>
                <w:p w14:paraId="16A93D41">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65" w:type="pct"/>
                  <w:vAlign w:val="center"/>
                </w:tcPr>
                <w:p w14:paraId="498D69D4">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50A314E7">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r>
            <w:tr w14:paraId="05774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vAlign w:val="center"/>
                </w:tcPr>
                <w:p w14:paraId="34ADBFA5">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736" w:type="pct"/>
                  <w:vAlign w:val="center"/>
                </w:tcPr>
                <w:p w14:paraId="2DDDFF38">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变频调速皮带给料机</w:t>
                  </w:r>
                </w:p>
              </w:tc>
              <w:tc>
                <w:tcPr>
                  <w:tcW w:w="1857" w:type="pct"/>
                  <w:vAlign w:val="center"/>
                </w:tcPr>
                <w:p w14:paraId="22D34666">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10～120t/h</w:t>
                  </w:r>
                </w:p>
              </w:tc>
              <w:tc>
                <w:tcPr>
                  <w:tcW w:w="465" w:type="pct"/>
                  <w:vAlign w:val="center"/>
                </w:tcPr>
                <w:p w14:paraId="1625B472">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32600869">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r>
            <w:tr w14:paraId="28829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vAlign w:val="center"/>
                </w:tcPr>
                <w:p w14:paraId="7E1E1180">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1736" w:type="pct"/>
                  <w:vAlign w:val="center"/>
                </w:tcPr>
                <w:p w14:paraId="5F37B7C7">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皮带机</w:t>
                  </w:r>
                </w:p>
              </w:tc>
              <w:tc>
                <w:tcPr>
                  <w:tcW w:w="1857" w:type="pct"/>
                  <w:vAlign w:val="center"/>
                </w:tcPr>
                <w:p w14:paraId="34B98B45">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w:t>
                  </w:r>
                </w:p>
              </w:tc>
              <w:tc>
                <w:tcPr>
                  <w:tcW w:w="465" w:type="pct"/>
                  <w:vAlign w:val="center"/>
                </w:tcPr>
                <w:p w14:paraId="628140CC">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条</w:t>
                  </w:r>
                </w:p>
              </w:tc>
              <w:tc>
                <w:tcPr>
                  <w:tcW w:w="480" w:type="pct"/>
                  <w:vAlign w:val="center"/>
                </w:tcPr>
                <w:p w14:paraId="2A4BE7A6">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p>
              </w:tc>
            </w:tr>
            <w:tr w14:paraId="515DF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vAlign w:val="center"/>
                </w:tcPr>
                <w:p w14:paraId="0A0B0FCA">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1736" w:type="pct"/>
                  <w:vAlign w:val="center"/>
                </w:tcPr>
                <w:p w14:paraId="5DCED917">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骨</w:t>
                  </w:r>
                  <w:r>
                    <w:rPr>
                      <w:rFonts w:hint="default" w:ascii="Times New Roman" w:hAnsi="Times New Roman" w:eastAsia="宋体" w:cs="Times New Roman"/>
                      <w:color w:val="000000" w:themeColor="text1"/>
                      <w:sz w:val="21"/>
                      <w:szCs w:val="21"/>
                      <w:highlight w:val="none"/>
                      <w14:textFill>
                        <w14:solidFill>
                          <w14:schemeClr w14:val="tx1"/>
                        </w14:solidFill>
                      </w14:textFill>
                    </w:rPr>
                    <w:t>料提升机</w:t>
                  </w:r>
                </w:p>
              </w:tc>
              <w:tc>
                <w:tcPr>
                  <w:tcW w:w="1857" w:type="pct"/>
                  <w:vAlign w:val="center"/>
                </w:tcPr>
                <w:p w14:paraId="665C6F52">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180t/h（150m</w:t>
                  </w:r>
                  <w:r>
                    <w:rPr>
                      <w:rFonts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ascii="Times New Roman" w:hAnsi="Times New Roman" w:eastAsia="宋体" w:cs="Times New Roman"/>
                      <w:color w:val="000000" w:themeColor="text1"/>
                      <w:sz w:val="21"/>
                      <w:szCs w:val="21"/>
                      <w:highlight w:val="none"/>
                      <w14:textFill>
                        <w14:solidFill>
                          <w14:schemeClr w14:val="tx1"/>
                        </w14:solidFill>
                      </w14:textFill>
                    </w:rPr>
                    <w:t>/h）</w:t>
                  </w:r>
                </w:p>
              </w:tc>
              <w:tc>
                <w:tcPr>
                  <w:tcW w:w="465" w:type="pct"/>
                  <w:vAlign w:val="center"/>
                </w:tcPr>
                <w:p w14:paraId="08A0D996">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6FBE37DA">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1BC03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vAlign w:val="center"/>
                </w:tcPr>
                <w:p w14:paraId="050A7E03">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1736" w:type="pct"/>
                  <w:vAlign w:val="center"/>
                </w:tcPr>
                <w:p w14:paraId="2C369F75">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棘刺轮制动（止推轮）</w:t>
                  </w:r>
                </w:p>
              </w:tc>
              <w:tc>
                <w:tcPr>
                  <w:tcW w:w="1857" w:type="pct"/>
                  <w:vAlign w:val="center"/>
                </w:tcPr>
                <w:p w14:paraId="79DA4735">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65" w:type="pct"/>
                  <w:vAlign w:val="center"/>
                </w:tcPr>
                <w:p w14:paraId="3B330CF8">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41D50C3D">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6D0E0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vAlign w:val="center"/>
                </w:tcPr>
                <w:p w14:paraId="3EF0375D">
                  <w:pPr>
                    <w:keepNext w:val="0"/>
                    <w:keepLines w:val="0"/>
                    <w:pageBreakBefore w:val="0"/>
                    <w:widowControl w:val="0"/>
                    <w:kinsoku/>
                    <w:wordWrap w:val="0"/>
                    <w:overflowPunct/>
                    <w:topLinePunct w:val="0"/>
                    <w:autoSpaceDE/>
                    <w:autoSpaceDN/>
                    <w:bidi w:val="0"/>
                    <w:adjustRightInd/>
                    <w:snapToGrid/>
                    <w:spacing w:line="320" w:lineRule="exact"/>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w:t>
                  </w:r>
                </w:p>
              </w:tc>
              <w:tc>
                <w:tcPr>
                  <w:tcW w:w="1736" w:type="pct"/>
                  <w:vAlign w:val="center"/>
                </w:tcPr>
                <w:p w14:paraId="3B08402C">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燃气燃烧器</w:t>
                  </w:r>
                </w:p>
              </w:tc>
              <w:tc>
                <w:tcPr>
                  <w:tcW w:w="1857" w:type="pct"/>
                  <w:vAlign w:val="center"/>
                </w:tcPr>
                <w:p w14:paraId="27D6F358">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1250m</w:t>
                  </w:r>
                  <w:r>
                    <w:rPr>
                      <w:rFonts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ascii="Times New Roman" w:hAnsi="Times New Roman" w:eastAsia="宋体" w:cs="Times New Roman"/>
                      <w:color w:val="000000" w:themeColor="text1"/>
                      <w:sz w:val="21"/>
                      <w:szCs w:val="21"/>
                      <w:highlight w:val="none"/>
                      <w14:textFill>
                        <w14:solidFill>
                          <w14:schemeClr w14:val="tx1"/>
                        </w14:solidFill>
                      </w14:textFill>
                    </w:rPr>
                    <w:t>/h</w:t>
                  </w:r>
                </w:p>
              </w:tc>
              <w:tc>
                <w:tcPr>
                  <w:tcW w:w="465" w:type="pct"/>
                  <w:vAlign w:val="center"/>
                </w:tcPr>
                <w:p w14:paraId="33905E2B">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7A036016">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49790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79971818">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1736" w:type="pct"/>
                  <w:vAlign w:val="center"/>
                </w:tcPr>
                <w:p w14:paraId="61A1C061">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干燥滚筒</w:t>
                  </w:r>
                </w:p>
              </w:tc>
              <w:tc>
                <w:tcPr>
                  <w:tcW w:w="1857" w:type="pct"/>
                  <w:vAlign w:val="center"/>
                </w:tcPr>
                <w:p w14:paraId="3D58A239">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直径×长度= φ2800 mm× 11000 mm</w:t>
                  </w:r>
                </w:p>
              </w:tc>
              <w:tc>
                <w:tcPr>
                  <w:tcW w:w="465" w:type="pct"/>
                  <w:vAlign w:val="center"/>
                </w:tcPr>
                <w:p w14:paraId="45F728FC">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2A7AC8C0">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2D5EA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136309E7">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1736" w:type="pct"/>
                  <w:vAlign w:val="center"/>
                </w:tcPr>
                <w:p w14:paraId="1D3B1ADF">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悬挂式电机减速器</w:t>
                  </w:r>
                </w:p>
              </w:tc>
              <w:tc>
                <w:tcPr>
                  <w:tcW w:w="1857" w:type="pct"/>
                  <w:vAlign w:val="center"/>
                </w:tcPr>
                <w:p w14:paraId="5172A45A">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465" w:type="pct"/>
                  <w:vAlign w:val="center"/>
                </w:tcPr>
                <w:p w14:paraId="7E902692">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4E39871C">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w:t>
                  </w:r>
                </w:p>
              </w:tc>
            </w:tr>
            <w:tr w14:paraId="05778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077854CD">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10</w:t>
                  </w:r>
                </w:p>
              </w:tc>
              <w:tc>
                <w:tcPr>
                  <w:tcW w:w="1736" w:type="pct"/>
                  <w:vAlign w:val="center"/>
                </w:tcPr>
                <w:p w14:paraId="40248158">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连续式料位检测装置</w:t>
                  </w:r>
                </w:p>
              </w:tc>
              <w:tc>
                <w:tcPr>
                  <w:tcW w:w="1857" w:type="pct"/>
                  <w:vAlign w:val="center"/>
                </w:tcPr>
                <w:p w14:paraId="51A8329D">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465" w:type="pct"/>
                  <w:vAlign w:val="center"/>
                </w:tcPr>
                <w:p w14:paraId="0AB49D61">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64B12CBA">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w:t>
                  </w:r>
                </w:p>
              </w:tc>
            </w:tr>
            <w:tr w14:paraId="4D379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28BD11E9">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w:t>
                  </w:r>
                </w:p>
              </w:tc>
              <w:tc>
                <w:tcPr>
                  <w:tcW w:w="1736" w:type="pct"/>
                  <w:vAlign w:val="center"/>
                </w:tcPr>
                <w:p w14:paraId="2333750C">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再生料计量仓容量</w:t>
                  </w:r>
                </w:p>
              </w:tc>
              <w:tc>
                <w:tcPr>
                  <w:tcW w:w="1857" w:type="pct"/>
                  <w:vAlign w:val="center"/>
                </w:tcPr>
                <w:p w14:paraId="616B6F8B">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2t</w:t>
                  </w:r>
                </w:p>
              </w:tc>
              <w:tc>
                <w:tcPr>
                  <w:tcW w:w="465" w:type="pct"/>
                  <w:vAlign w:val="center"/>
                </w:tcPr>
                <w:p w14:paraId="4C1439EF">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台</w:t>
                  </w:r>
                </w:p>
              </w:tc>
              <w:tc>
                <w:tcPr>
                  <w:tcW w:w="480" w:type="pct"/>
                  <w:vAlign w:val="center"/>
                </w:tcPr>
                <w:p w14:paraId="7333FF22">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w:t>
                  </w:r>
                </w:p>
              </w:tc>
            </w:tr>
            <w:tr w14:paraId="42C81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19C91A7C">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1736" w:type="pct"/>
                  <w:vAlign w:val="center"/>
                </w:tcPr>
                <w:p w14:paraId="447EE1DD">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高温快速溜料输送装置</w:t>
                  </w:r>
                </w:p>
              </w:tc>
              <w:tc>
                <w:tcPr>
                  <w:tcW w:w="1857" w:type="pct"/>
                  <w:vAlign w:val="center"/>
                </w:tcPr>
                <w:p w14:paraId="0EED082A">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65" w:type="pct"/>
                  <w:vAlign w:val="center"/>
                </w:tcPr>
                <w:p w14:paraId="5E9813C2">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台</w:t>
                  </w:r>
                </w:p>
              </w:tc>
              <w:tc>
                <w:tcPr>
                  <w:tcW w:w="480" w:type="pct"/>
                  <w:vAlign w:val="center"/>
                </w:tcPr>
                <w:p w14:paraId="4C420999">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554A0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4AE58D28">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w:t>
                  </w:r>
                </w:p>
              </w:tc>
              <w:tc>
                <w:tcPr>
                  <w:tcW w:w="1736" w:type="pct"/>
                  <w:vAlign w:val="center"/>
                </w:tcPr>
                <w:p w14:paraId="2E46D33A">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破碎机</w:t>
                  </w:r>
                </w:p>
              </w:tc>
              <w:tc>
                <w:tcPr>
                  <w:tcW w:w="1857" w:type="pct"/>
                  <w:vAlign w:val="center"/>
                </w:tcPr>
                <w:p w14:paraId="7CAAF1EB">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80t/h</w:t>
                  </w:r>
                </w:p>
              </w:tc>
              <w:tc>
                <w:tcPr>
                  <w:tcW w:w="465" w:type="pct"/>
                  <w:vAlign w:val="center"/>
                </w:tcPr>
                <w:p w14:paraId="7179ABC6">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台</w:t>
                  </w:r>
                </w:p>
              </w:tc>
              <w:tc>
                <w:tcPr>
                  <w:tcW w:w="480" w:type="pct"/>
                  <w:vAlign w:val="center"/>
                </w:tcPr>
                <w:p w14:paraId="0FFF38D1">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11398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65282D20">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w:t>
                  </w:r>
                </w:p>
              </w:tc>
              <w:tc>
                <w:tcPr>
                  <w:tcW w:w="1736" w:type="pct"/>
                  <w:shd w:val="clear" w:color="auto" w:fill="auto"/>
                  <w:vAlign w:val="center"/>
                </w:tcPr>
                <w:p w14:paraId="33F24381">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筛分机</w:t>
                  </w:r>
                </w:p>
              </w:tc>
              <w:tc>
                <w:tcPr>
                  <w:tcW w:w="1857" w:type="pct"/>
                  <w:shd w:val="clear" w:color="auto" w:fill="auto"/>
                  <w:vAlign w:val="center"/>
                </w:tcPr>
                <w:p w14:paraId="2C3DACD1">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80t/h</w:t>
                  </w:r>
                </w:p>
              </w:tc>
              <w:tc>
                <w:tcPr>
                  <w:tcW w:w="465" w:type="pct"/>
                  <w:shd w:val="clear" w:color="auto" w:fill="auto"/>
                  <w:vAlign w:val="center"/>
                </w:tcPr>
                <w:p w14:paraId="1241E935">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台</w:t>
                  </w:r>
                </w:p>
              </w:tc>
              <w:tc>
                <w:tcPr>
                  <w:tcW w:w="480" w:type="pct"/>
                  <w:shd w:val="clear" w:color="auto" w:fill="auto"/>
                  <w:vAlign w:val="center"/>
                </w:tcPr>
                <w:p w14:paraId="23BFA230">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164F6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0DC20FEA">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1736" w:type="pct"/>
                  <w:vAlign w:val="center"/>
                </w:tcPr>
                <w:p w14:paraId="7DDDB04E">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热料储存仓（暂存加热后的铣刨沥青料）</w:t>
                  </w:r>
                </w:p>
              </w:tc>
              <w:tc>
                <w:tcPr>
                  <w:tcW w:w="1857" w:type="pct"/>
                  <w:vAlign w:val="center"/>
                </w:tcPr>
                <w:p w14:paraId="0C09B062">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8m</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465" w:type="pct"/>
                  <w:vAlign w:val="center"/>
                </w:tcPr>
                <w:p w14:paraId="2568F38D">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台</w:t>
                  </w:r>
                </w:p>
              </w:tc>
              <w:tc>
                <w:tcPr>
                  <w:tcW w:w="480" w:type="pct"/>
                  <w:vAlign w:val="center"/>
                </w:tcPr>
                <w:p w14:paraId="6414F04C">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39617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1F558A9D">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w:t>
                  </w:r>
                </w:p>
              </w:tc>
              <w:tc>
                <w:tcPr>
                  <w:tcW w:w="1736" w:type="pct"/>
                  <w:vAlign w:val="center"/>
                </w:tcPr>
                <w:p w14:paraId="77307472">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再生剂储存罐</w:t>
                  </w:r>
                </w:p>
              </w:tc>
              <w:tc>
                <w:tcPr>
                  <w:tcW w:w="1857" w:type="pct"/>
                  <w:vAlign w:val="center"/>
                </w:tcPr>
                <w:p w14:paraId="4AD1C73E">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0.4L</w:t>
                  </w:r>
                </w:p>
              </w:tc>
              <w:tc>
                <w:tcPr>
                  <w:tcW w:w="465" w:type="pct"/>
                  <w:vAlign w:val="center"/>
                </w:tcPr>
                <w:p w14:paraId="698F7C1E">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台</w:t>
                  </w:r>
                </w:p>
              </w:tc>
              <w:tc>
                <w:tcPr>
                  <w:tcW w:w="480" w:type="pct"/>
                  <w:vAlign w:val="center"/>
                </w:tcPr>
                <w:p w14:paraId="35DE780F">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r>
            <w:tr w14:paraId="3F3D4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000" w:type="pct"/>
                  <w:gridSpan w:val="5"/>
                  <w:shd w:val="clear" w:color="auto" w:fill="auto"/>
                  <w:vAlign w:val="center"/>
                </w:tcPr>
                <w:p w14:paraId="24B658CC">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原有项目生产设备</w:t>
                  </w:r>
                </w:p>
              </w:tc>
            </w:tr>
            <w:tr w14:paraId="11EE0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025ACD85">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序</w:t>
                  </w: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号</w:t>
                  </w:r>
                </w:p>
              </w:tc>
              <w:tc>
                <w:tcPr>
                  <w:tcW w:w="1736" w:type="pct"/>
                  <w:shd w:val="clear" w:color="auto" w:fill="auto"/>
                  <w:vAlign w:val="center"/>
                </w:tcPr>
                <w:p w14:paraId="077ECC9C">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设备名称</w:t>
                  </w:r>
                </w:p>
              </w:tc>
              <w:tc>
                <w:tcPr>
                  <w:tcW w:w="1857" w:type="pct"/>
                  <w:shd w:val="clear" w:color="auto" w:fill="auto"/>
                  <w:vAlign w:val="center"/>
                </w:tcPr>
                <w:p w14:paraId="263C37FB">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规格</w:t>
                  </w:r>
                  <w:r>
                    <w:rPr>
                      <w:rFonts w:hint="default" w:ascii="Times New Roman" w:hAnsi="Times New Roman" w:eastAsia="宋体" w:cs="Times New Roman"/>
                      <w:b/>
                      <w:bCs/>
                      <w:color w:val="000000" w:themeColor="text1"/>
                      <w:spacing w:val="-1"/>
                      <w:sz w:val="21"/>
                      <w:szCs w:val="21"/>
                      <w:highlight w:val="none"/>
                      <w14:textFill>
                        <w14:solidFill>
                          <w14:schemeClr w14:val="tx1"/>
                        </w14:solidFill>
                      </w14:textFill>
                    </w:rPr>
                    <w:t>型号</w:t>
                  </w:r>
                </w:p>
              </w:tc>
              <w:tc>
                <w:tcPr>
                  <w:tcW w:w="465" w:type="pct"/>
                  <w:shd w:val="clear" w:color="auto" w:fill="auto"/>
                  <w:vAlign w:val="center"/>
                </w:tcPr>
                <w:p w14:paraId="0066C015">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单位</w:t>
                  </w:r>
                </w:p>
              </w:tc>
              <w:tc>
                <w:tcPr>
                  <w:tcW w:w="480" w:type="pct"/>
                  <w:shd w:val="clear" w:color="auto" w:fill="auto"/>
                  <w:vAlign w:val="center"/>
                </w:tcPr>
                <w:p w14:paraId="6A8F723D">
                  <w:pPr>
                    <w:keepNext w:val="0"/>
                    <w:keepLines w:val="0"/>
                    <w:pageBreakBefore w:val="0"/>
                    <w:widowControl w:val="0"/>
                    <w:kinsoku/>
                    <w:wordWrap w:val="0"/>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14:textFill>
                        <w14:solidFill>
                          <w14:schemeClr w14:val="tx1"/>
                        </w14:solidFill>
                      </w14:textFill>
                    </w:rPr>
                    <w:t>数量</w:t>
                  </w:r>
                </w:p>
              </w:tc>
            </w:tr>
            <w:tr w14:paraId="12B05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6F105B81">
                  <w:pPr>
                    <w:pageBreakBefore w:val="0"/>
                    <w:kinsoku/>
                    <w:wordWrap w:val="0"/>
                    <w:overflowPunct/>
                    <w:bidi w:val="0"/>
                    <w:jc w:val="center"/>
                    <w:rPr>
                      <w:rFonts w:hint="eastAsia" w:ascii="Times New Roman" w:hAnsi="Times New Roman" w:eastAsia="宋体" w:cs="Times New Roman"/>
                      <w:b/>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w:t>
                  </w:r>
                </w:p>
              </w:tc>
              <w:tc>
                <w:tcPr>
                  <w:tcW w:w="1736" w:type="pct"/>
                  <w:shd w:val="clear" w:color="auto" w:fill="auto"/>
                  <w:vAlign w:val="center"/>
                </w:tcPr>
                <w:p w14:paraId="2DA575BE">
                  <w:pPr>
                    <w:pageBreakBefore w:val="0"/>
                    <w:kinsoku/>
                    <w:wordWrap w:val="0"/>
                    <w:overflowPunct/>
                    <w:bidi w:val="0"/>
                    <w:spacing w:line="240" w:lineRule="exac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沥青混凝土拌合机组</w:t>
                  </w:r>
                </w:p>
              </w:tc>
              <w:tc>
                <w:tcPr>
                  <w:tcW w:w="1857" w:type="pct"/>
                  <w:shd w:val="clear" w:color="auto" w:fill="auto"/>
                  <w:vAlign w:val="center"/>
                </w:tcPr>
                <w:p w14:paraId="4DC148E4">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LJ3000型</w:t>
                  </w:r>
                </w:p>
              </w:tc>
              <w:tc>
                <w:tcPr>
                  <w:tcW w:w="465" w:type="pct"/>
                  <w:shd w:val="clear" w:color="auto" w:fill="auto"/>
                  <w:vAlign w:val="center"/>
                </w:tcPr>
                <w:p w14:paraId="4BF8E9CF">
                  <w:pPr>
                    <w:pageBreakBefore w:val="0"/>
                    <w:widowControl/>
                    <w:kinsoku/>
                    <w:wordWrap w:val="0"/>
                    <w:overflowPunct/>
                    <w:bidi w:val="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台</w:t>
                  </w:r>
                </w:p>
              </w:tc>
              <w:tc>
                <w:tcPr>
                  <w:tcW w:w="480" w:type="pct"/>
                  <w:shd w:val="clear" w:color="auto" w:fill="auto"/>
                  <w:vAlign w:val="center"/>
                </w:tcPr>
                <w:p w14:paraId="02F0F84A">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15542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216161F0">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2</w:t>
                  </w:r>
                </w:p>
              </w:tc>
              <w:tc>
                <w:tcPr>
                  <w:tcW w:w="1736" w:type="pct"/>
                  <w:shd w:val="clear" w:color="auto" w:fill="auto"/>
                  <w:vAlign w:val="center"/>
                </w:tcPr>
                <w:p w14:paraId="41FFA160">
                  <w:pPr>
                    <w:pageBreakBefore w:val="0"/>
                    <w:kinsoku/>
                    <w:wordWrap w:val="0"/>
                    <w:overflowPunct/>
                    <w:bidi w:val="0"/>
                    <w:spacing w:line="240" w:lineRule="exac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冷料供应系统</w:t>
                  </w:r>
                </w:p>
              </w:tc>
              <w:tc>
                <w:tcPr>
                  <w:tcW w:w="1857" w:type="pct"/>
                  <w:shd w:val="clear" w:color="auto" w:fill="auto"/>
                  <w:vAlign w:val="center"/>
                </w:tcPr>
                <w:p w14:paraId="06E52EBB">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3.2m2.86m</w:t>
                  </w:r>
                </w:p>
              </w:tc>
              <w:tc>
                <w:tcPr>
                  <w:tcW w:w="465" w:type="pct"/>
                  <w:shd w:val="clear" w:color="auto" w:fill="auto"/>
                  <w:vAlign w:val="center"/>
                </w:tcPr>
                <w:p w14:paraId="5316861F">
                  <w:pPr>
                    <w:pageBreakBefore w:val="0"/>
                    <w:widowControl/>
                    <w:kinsoku/>
                    <w:wordWrap w:val="0"/>
                    <w:overflowPunct/>
                    <w:bidi w:val="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套</w:t>
                  </w:r>
                </w:p>
              </w:tc>
              <w:tc>
                <w:tcPr>
                  <w:tcW w:w="480" w:type="pct"/>
                  <w:shd w:val="clear" w:color="auto" w:fill="auto"/>
                  <w:vAlign w:val="center"/>
                </w:tcPr>
                <w:p w14:paraId="207473B9">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w:t>
                  </w:r>
                </w:p>
              </w:tc>
            </w:tr>
            <w:tr w14:paraId="1FE32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2E873AC1">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3</w:t>
                  </w:r>
                </w:p>
              </w:tc>
              <w:tc>
                <w:tcPr>
                  <w:tcW w:w="1736" w:type="pct"/>
                  <w:shd w:val="clear" w:color="auto" w:fill="auto"/>
                  <w:vAlign w:val="center"/>
                </w:tcPr>
                <w:p w14:paraId="3C22F99F">
                  <w:pPr>
                    <w:pageBreakBefore w:val="0"/>
                    <w:kinsoku/>
                    <w:wordWrap w:val="0"/>
                    <w:overflowPunct/>
                    <w:bidi w:val="0"/>
                    <w:spacing w:line="240" w:lineRule="exac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骨料加热器</w:t>
                  </w:r>
                </w:p>
              </w:tc>
              <w:tc>
                <w:tcPr>
                  <w:tcW w:w="1857" w:type="pct"/>
                  <w:shd w:val="clear" w:color="auto" w:fill="auto"/>
                  <w:vAlign w:val="center"/>
                </w:tcPr>
                <w:p w14:paraId="04A23226">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1200kg/h</w:t>
                  </w:r>
                </w:p>
              </w:tc>
              <w:tc>
                <w:tcPr>
                  <w:tcW w:w="465" w:type="pct"/>
                  <w:shd w:val="clear" w:color="auto" w:fill="auto"/>
                  <w:vAlign w:val="center"/>
                </w:tcPr>
                <w:p w14:paraId="6D32838B">
                  <w:pPr>
                    <w:pageBreakBefore w:val="0"/>
                    <w:widowControl/>
                    <w:kinsoku/>
                    <w:wordWrap w:val="0"/>
                    <w:overflowPunct/>
                    <w:bidi w:val="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台</w:t>
                  </w:r>
                </w:p>
              </w:tc>
              <w:tc>
                <w:tcPr>
                  <w:tcW w:w="480" w:type="pct"/>
                  <w:shd w:val="clear" w:color="auto" w:fill="auto"/>
                  <w:vAlign w:val="center"/>
                </w:tcPr>
                <w:p w14:paraId="0CF59C6E">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w:t>
                  </w:r>
                </w:p>
              </w:tc>
            </w:tr>
            <w:tr w14:paraId="3F660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257AA22A">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4</w:t>
                  </w:r>
                </w:p>
              </w:tc>
              <w:tc>
                <w:tcPr>
                  <w:tcW w:w="1736" w:type="pct"/>
                  <w:shd w:val="clear" w:color="auto" w:fill="auto"/>
                  <w:vAlign w:val="center"/>
                </w:tcPr>
                <w:p w14:paraId="15961037">
                  <w:pPr>
                    <w:pageBreakBefore w:val="0"/>
                    <w:kinsoku/>
                    <w:wordWrap w:val="0"/>
                    <w:overflowPunct/>
                    <w:bidi w:val="0"/>
                    <w:spacing w:line="240" w:lineRule="exact"/>
                    <w:contextualSpacing/>
                    <w:jc w:val="cente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集料皮带机</w:t>
                  </w:r>
                </w:p>
              </w:tc>
              <w:tc>
                <w:tcPr>
                  <w:tcW w:w="1857" w:type="pct"/>
                  <w:shd w:val="clear" w:color="auto" w:fill="auto"/>
                  <w:vAlign w:val="center"/>
                </w:tcPr>
                <w:p w14:paraId="792C8EDF">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65" w:type="pct"/>
                  <w:shd w:val="clear" w:color="auto" w:fill="auto"/>
                  <w:vAlign w:val="center"/>
                </w:tcPr>
                <w:p w14:paraId="07CBAE2F">
                  <w:pPr>
                    <w:pageBreakBefore w:val="0"/>
                    <w:widowControl/>
                    <w:kinsoku/>
                    <w:wordWrap w:val="0"/>
                    <w:overflowPunct/>
                    <w:bidi w:val="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条</w:t>
                  </w:r>
                </w:p>
              </w:tc>
              <w:tc>
                <w:tcPr>
                  <w:tcW w:w="480" w:type="pct"/>
                  <w:shd w:val="clear" w:color="auto" w:fill="auto"/>
                  <w:vAlign w:val="center"/>
                </w:tcPr>
                <w:p w14:paraId="0943F979">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w:t>
                  </w:r>
                </w:p>
              </w:tc>
            </w:tr>
            <w:tr w14:paraId="638DC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0DB04501">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5</w:t>
                  </w:r>
                </w:p>
              </w:tc>
              <w:tc>
                <w:tcPr>
                  <w:tcW w:w="1736" w:type="pct"/>
                  <w:shd w:val="clear" w:color="auto" w:fill="auto"/>
                  <w:vAlign w:val="center"/>
                </w:tcPr>
                <w:p w14:paraId="08C24A7D">
                  <w:pPr>
                    <w:pageBreakBefore w:val="0"/>
                    <w:kinsoku/>
                    <w:wordWrap w:val="0"/>
                    <w:overflowPunct/>
                    <w:bidi w:val="0"/>
                    <w:spacing w:line="240" w:lineRule="exact"/>
                    <w:contextualSpacing/>
                    <w:jc w:val="cente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冷料输送机</w:t>
                  </w:r>
                </w:p>
              </w:tc>
              <w:tc>
                <w:tcPr>
                  <w:tcW w:w="1857" w:type="pct"/>
                  <w:shd w:val="clear" w:color="auto" w:fill="auto"/>
                  <w:vAlign w:val="center"/>
                </w:tcPr>
                <w:p w14:paraId="40FEE981">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65" w:type="pct"/>
                  <w:shd w:val="clear" w:color="auto" w:fill="auto"/>
                  <w:vAlign w:val="center"/>
                </w:tcPr>
                <w:p w14:paraId="0F0CC30C">
                  <w:pPr>
                    <w:pageBreakBefore w:val="0"/>
                    <w:widowControl/>
                    <w:kinsoku/>
                    <w:wordWrap w:val="0"/>
                    <w:overflowPunct/>
                    <w:bidi w:val="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台</w:t>
                  </w:r>
                </w:p>
              </w:tc>
              <w:tc>
                <w:tcPr>
                  <w:tcW w:w="480" w:type="pct"/>
                  <w:shd w:val="clear" w:color="auto" w:fill="auto"/>
                  <w:vAlign w:val="center"/>
                </w:tcPr>
                <w:p w14:paraId="6BDB8852">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w:t>
                  </w:r>
                </w:p>
              </w:tc>
            </w:tr>
            <w:tr w14:paraId="76950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7CD0074D">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6</w:t>
                  </w:r>
                </w:p>
              </w:tc>
              <w:tc>
                <w:tcPr>
                  <w:tcW w:w="1736" w:type="pct"/>
                  <w:shd w:val="clear" w:color="auto" w:fill="auto"/>
                  <w:vAlign w:val="center"/>
                </w:tcPr>
                <w:p w14:paraId="48A7A0F5">
                  <w:pPr>
                    <w:pageBreakBefore w:val="0"/>
                    <w:kinsoku/>
                    <w:wordWrap w:val="0"/>
                    <w:overflowPunct/>
                    <w:bidi w:val="0"/>
                    <w:spacing w:line="240" w:lineRule="exact"/>
                    <w:contextualSpacing/>
                    <w:jc w:val="cente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干燥筒</w:t>
                  </w:r>
                </w:p>
              </w:tc>
              <w:tc>
                <w:tcPr>
                  <w:tcW w:w="1857" w:type="pct"/>
                  <w:shd w:val="clear" w:color="auto" w:fill="auto"/>
                  <w:vAlign w:val="center"/>
                </w:tcPr>
                <w:p w14:paraId="6CDBEE7E">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65" w:type="pct"/>
                  <w:shd w:val="clear" w:color="auto" w:fill="auto"/>
                  <w:vAlign w:val="center"/>
                </w:tcPr>
                <w:p w14:paraId="54933D95">
                  <w:pPr>
                    <w:pageBreakBefore w:val="0"/>
                    <w:widowControl/>
                    <w:kinsoku/>
                    <w:wordWrap w:val="0"/>
                    <w:overflowPunct/>
                    <w:bidi w:val="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台</w:t>
                  </w:r>
                </w:p>
              </w:tc>
              <w:tc>
                <w:tcPr>
                  <w:tcW w:w="480" w:type="pct"/>
                  <w:shd w:val="clear" w:color="auto" w:fill="auto"/>
                  <w:vAlign w:val="center"/>
                </w:tcPr>
                <w:p w14:paraId="196F905F">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23F96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5859F552">
                  <w:pPr>
                    <w:pageBreakBefore w:val="0"/>
                    <w:kinsoku/>
                    <w:wordWrap w:val="0"/>
                    <w:overflowPunct/>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7</w:t>
                  </w:r>
                </w:p>
              </w:tc>
              <w:tc>
                <w:tcPr>
                  <w:tcW w:w="1736" w:type="pct"/>
                  <w:shd w:val="clear" w:color="auto" w:fill="auto"/>
                  <w:vAlign w:val="center"/>
                </w:tcPr>
                <w:p w14:paraId="10B4D107">
                  <w:pPr>
                    <w:pageBreakBefore w:val="0"/>
                    <w:kinsoku/>
                    <w:wordWrap w:val="0"/>
                    <w:overflowPunct/>
                    <w:bidi w:val="0"/>
                    <w:spacing w:line="240" w:lineRule="exac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沥青储罐</w:t>
                  </w:r>
                </w:p>
              </w:tc>
              <w:tc>
                <w:tcPr>
                  <w:tcW w:w="1857" w:type="pct"/>
                  <w:shd w:val="clear" w:color="auto" w:fill="auto"/>
                  <w:vAlign w:val="center"/>
                </w:tcPr>
                <w:p w14:paraId="0243943C">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40t</w:t>
                  </w:r>
                </w:p>
              </w:tc>
              <w:tc>
                <w:tcPr>
                  <w:tcW w:w="465" w:type="pct"/>
                  <w:shd w:val="clear" w:color="auto" w:fill="auto"/>
                  <w:vAlign w:val="center"/>
                </w:tcPr>
                <w:p w14:paraId="7E6B1FA8">
                  <w:pPr>
                    <w:pageBreakBefore w:val="0"/>
                    <w:kinsoku/>
                    <w:wordWrap w:val="0"/>
                    <w:overflowPunct/>
                    <w:bidi w:val="0"/>
                    <w:spacing w:line="28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台</w:t>
                  </w:r>
                </w:p>
              </w:tc>
              <w:tc>
                <w:tcPr>
                  <w:tcW w:w="480" w:type="pct"/>
                  <w:shd w:val="clear" w:color="auto" w:fill="auto"/>
                  <w:vAlign w:val="center"/>
                </w:tcPr>
                <w:p w14:paraId="4D17F71A">
                  <w:pPr>
                    <w:pageBreakBefore w:val="0"/>
                    <w:kinsoku/>
                    <w:wordWrap w:val="0"/>
                    <w:overflowPunct/>
                    <w:bidi w:val="0"/>
                    <w:spacing w:line="280" w:lineRule="exac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w:t>
                  </w:r>
                </w:p>
              </w:tc>
            </w:tr>
            <w:tr w14:paraId="0DC74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4ABB73ED">
                  <w:pPr>
                    <w:pageBreakBefore w:val="0"/>
                    <w:kinsoku/>
                    <w:wordWrap w:val="0"/>
                    <w:overflowPunct/>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8</w:t>
                  </w:r>
                </w:p>
              </w:tc>
              <w:tc>
                <w:tcPr>
                  <w:tcW w:w="1736" w:type="pct"/>
                  <w:shd w:val="clear" w:color="auto" w:fill="auto"/>
                  <w:vAlign w:val="center"/>
                </w:tcPr>
                <w:p w14:paraId="3D2329BE">
                  <w:pPr>
                    <w:pageBreakBefore w:val="0"/>
                    <w:kinsoku/>
                    <w:wordWrap w:val="0"/>
                    <w:overflowPunct/>
                    <w:bidi w:val="0"/>
                    <w:spacing w:line="240" w:lineRule="exac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沥青高温罐</w:t>
                  </w:r>
                </w:p>
              </w:tc>
              <w:tc>
                <w:tcPr>
                  <w:tcW w:w="1857" w:type="pct"/>
                  <w:shd w:val="clear" w:color="auto" w:fill="auto"/>
                  <w:vAlign w:val="center"/>
                </w:tcPr>
                <w:p w14:paraId="5282EF2D">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40t</w:t>
                  </w:r>
                </w:p>
              </w:tc>
              <w:tc>
                <w:tcPr>
                  <w:tcW w:w="465" w:type="pct"/>
                  <w:shd w:val="clear" w:color="auto" w:fill="auto"/>
                  <w:vAlign w:val="center"/>
                </w:tcPr>
                <w:p w14:paraId="27B17F46">
                  <w:pPr>
                    <w:pageBreakBefore w:val="0"/>
                    <w:kinsoku/>
                    <w:wordWrap w:val="0"/>
                    <w:overflowPunct/>
                    <w:bidi w:val="0"/>
                    <w:spacing w:line="28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台</w:t>
                  </w:r>
                </w:p>
              </w:tc>
              <w:tc>
                <w:tcPr>
                  <w:tcW w:w="480" w:type="pct"/>
                  <w:shd w:val="clear" w:color="auto" w:fill="auto"/>
                  <w:vAlign w:val="center"/>
                </w:tcPr>
                <w:p w14:paraId="76EDCC6C">
                  <w:pPr>
                    <w:pageBreakBefore w:val="0"/>
                    <w:kinsoku/>
                    <w:wordWrap w:val="0"/>
                    <w:overflowPunct/>
                    <w:bidi w:val="0"/>
                    <w:spacing w:line="280" w:lineRule="exac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w:t>
                  </w:r>
                </w:p>
              </w:tc>
            </w:tr>
            <w:tr w14:paraId="5F047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7F369C7C">
                  <w:pPr>
                    <w:pageBreakBefore w:val="0"/>
                    <w:kinsoku/>
                    <w:wordWrap w:val="0"/>
                    <w:overflowPunct/>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9</w:t>
                  </w:r>
                </w:p>
              </w:tc>
              <w:tc>
                <w:tcPr>
                  <w:tcW w:w="1736" w:type="pct"/>
                  <w:shd w:val="clear" w:color="auto" w:fill="auto"/>
                  <w:vAlign w:val="center"/>
                </w:tcPr>
                <w:p w14:paraId="650A3DD1">
                  <w:pPr>
                    <w:pageBreakBefore w:val="0"/>
                    <w:kinsoku/>
                    <w:wordWrap w:val="0"/>
                    <w:overflowPunct/>
                    <w:bidi w:val="0"/>
                    <w:spacing w:line="240" w:lineRule="exac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布袋除尘器</w:t>
                  </w:r>
                </w:p>
              </w:tc>
              <w:tc>
                <w:tcPr>
                  <w:tcW w:w="1857" w:type="pct"/>
                  <w:shd w:val="clear" w:color="auto" w:fill="auto"/>
                  <w:vAlign w:val="center"/>
                </w:tcPr>
                <w:p w14:paraId="69701493">
                  <w:pPr>
                    <w:pageBreakBefore w:val="0"/>
                    <w:widowControl/>
                    <w:kinsoku/>
                    <w:wordWrap w:val="0"/>
                    <w:overflowPunct/>
                    <w:bidi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684布袋</w:t>
                  </w:r>
                </w:p>
              </w:tc>
              <w:tc>
                <w:tcPr>
                  <w:tcW w:w="465" w:type="pct"/>
                  <w:shd w:val="clear" w:color="auto" w:fill="auto"/>
                  <w:vAlign w:val="center"/>
                </w:tcPr>
                <w:p w14:paraId="162F2084">
                  <w:pPr>
                    <w:pageBreakBefore w:val="0"/>
                    <w:kinsoku/>
                    <w:wordWrap w:val="0"/>
                    <w:overflowPunct/>
                    <w:bidi w:val="0"/>
                    <w:spacing w:line="28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套</w:t>
                  </w:r>
                </w:p>
              </w:tc>
              <w:tc>
                <w:tcPr>
                  <w:tcW w:w="480" w:type="pct"/>
                  <w:shd w:val="clear" w:color="auto" w:fill="auto"/>
                  <w:vAlign w:val="center"/>
                </w:tcPr>
                <w:p w14:paraId="3873E5D4">
                  <w:pPr>
                    <w:pageBreakBefore w:val="0"/>
                    <w:kinsoku/>
                    <w:wordWrap w:val="0"/>
                    <w:overflowPunct/>
                    <w:bidi w:val="0"/>
                    <w:spacing w:line="280" w:lineRule="exac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4F1B5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6856DF69">
                  <w:pPr>
                    <w:pageBreakBefore w:val="0"/>
                    <w:kinsoku/>
                    <w:wordWrap w:val="0"/>
                    <w:overflowPunct/>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10</w:t>
                  </w:r>
                </w:p>
              </w:tc>
              <w:tc>
                <w:tcPr>
                  <w:tcW w:w="1736" w:type="pct"/>
                  <w:shd w:val="clear" w:color="auto" w:fill="auto"/>
                  <w:vAlign w:val="center"/>
                </w:tcPr>
                <w:p w14:paraId="19490577">
                  <w:pPr>
                    <w:pageBreakBefore w:val="0"/>
                    <w:kinsoku/>
                    <w:wordWrap w:val="0"/>
                    <w:overflowPunct/>
                    <w:bidi w:val="0"/>
                    <w:spacing w:line="240" w:lineRule="exac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天然气撬车</w:t>
                  </w:r>
                </w:p>
              </w:tc>
              <w:tc>
                <w:tcPr>
                  <w:tcW w:w="1857" w:type="pct"/>
                  <w:shd w:val="clear" w:color="auto" w:fill="auto"/>
                  <w:vAlign w:val="center"/>
                </w:tcPr>
                <w:p w14:paraId="13A456E3">
                  <w:pPr>
                    <w:pageBreakBefore w:val="0"/>
                    <w:kinsoku/>
                    <w:wordWrap w:val="0"/>
                    <w:overflowPunct/>
                    <w:bidi w:val="0"/>
                    <w:spacing w:line="240" w:lineRule="exac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65" w:type="pct"/>
                  <w:shd w:val="clear" w:color="auto" w:fill="auto"/>
                  <w:vAlign w:val="center"/>
                </w:tcPr>
                <w:p w14:paraId="78100D27">
                  <w:pPr>
                    <w:pageBreakBefore w:val="0"/>
                    <w:kinsoku/>
                    <w:wordWrap w:val="0"/>
                    <w:overflowPunct/>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辆</w:t>
                  </w:r>
                </w:p>
              </w:tc>
              <w:tc>
                <w:tcPr>
                  <w:tcW w:w="480" w:type="pct"/>
                  <w:shd w:val="clear" w:color="auto" w:fill="auto"/>
                  <w:vAlign w:val="center"/>
                </w:tcPr>
                <w:p w14:paraId="4EF3E969">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113DD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6E3CBAA7">
                  <w:pPr>
                    <w:pageBreakBefore w:val="0"/>
                    <w:kinsoku/>
                    <w:wordWrap w:val="0"/>
                    <w:overflowPunct/>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11</w:t>
                  </w:r>
                </w:p>
              </w:tc>
              <w:tc>
                <w:tcPr>
                  <w:tcW w:w="1736" w:type="pct"/>
                  <w:shd w:val="clear" w:color="auto" w:fill="auto"/>
                  <w:vAlign w:val="center"/>
                </w:tcPr>
                <w:p w14:paraId="34AF6BE8">
                  <w:pPr>
                    <w:pageBreakBefore w:val="0"/>
                    <w:kinsoku/>
                    <w:wordWrap w:val="0"/>
                    <w:overflowPunct/>
                    <w:bidi w:val="0"/>
                    <w:spacing w:line="240" w:lineRule="exact"/>
                    <w:contextualSpacing/>
                    <w:jc w:val="cente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天然气设备</w:t>
                  </w:r>
                </w:p>
              </w:tc>
              <w:tc>
                <w:tcPr>
                  <w:tcW w:w="1857" w:type="pct"/>
                  <w:shd w:val="clear" w:color="auto" w:fill="auto"/>
                  <w:vAlign w:val="center"/>
                </w:tcPr>
                <w:p w14:paraId="36C5A1C8">
                  <w:pPr>
                    <w:pageBreakBefore w:val="0"/>
                    <w:kinsoku/>
                    <w:wordWrap w:val="0"/>
                    <w:overflowPunct/>
                    <w:bidi w:val="0"/>
                    <w:spacing w:line="240" w:lineRule="exact"/>
                    <w:contextualSpacing/>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465" w:type="pct"/>
                  <w:shd w:val="clear" w:color="auto" w:fill="auto"/>
                  <w:vAlign w:val="center"/>
                </w:tcPr>
                <w:p w14:paraId="2BAC15C1">
                  <w:pPr>
                    <w:pageBreakBefore w:val="0"/>
                    <w:kinsoku/>
                    <w:wordWrap w:val="0"/>
                    <w:overflowPunct/>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套</w:t>
                  </w:r>
                </w:p>
              </w:tc>
              <w:tc>
                <w:tcPr>
                  <w:tcW w:w="480" w:type="pct"/>
                  <w:shd w:val="clear" w:color="auto" w:fill="auto"/>
                  <w:vAlign w:val="center"/>
                </w:tcPr>
                <w:p w14:paraId="64D8A8F3">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2A681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60" w:type="pct"/>
                  <w:shd w:val="clear" w:color="auto" w:fill="auto"/>
                  <w:vAlign w:val="center"/>
                </w:tcPr>
                <w:p w14:paraId="1DC5E172">
                  <w:pPr>
                    <w:pageBreakBefore w:val="0"/>
                    <w:kinsoku/>
                    <w:wordWrap w:val="0"/>
                    <w:overflowPunct/>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12</w:t>
                  </w:r>
                </w:p>
              </w:tc>
              <w:tc>
                <w:tcPr>
                  <w:tcW w:w="1736" w:type="pct"/>
                  <w:shd w:val="clear" w:color="auto" w:fill="auto"/>
                  <w:vAlign w:val="center"/>
                </w:tcPr>
                <w:p w14:paraId="72BFE7E1">
                  <w:pPr>
                    <w:pageBreakBefore w:val="0"/>
                    <w:kinsoku/>
                    <w:wordWrap w:val="0"/>
                    <w:overflowPunct/>
                    <w:bidi w:val="0"/>
                    <w:spacing w:line="240" w:lineRule="exact"/>
                    <w:contextualSpacing/>
                    <w:jc w:val="center"/>
                    <w:rPr>
                      <w:rFonts w:hint="eastAsia" w:ascii="Times New Roman"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变压器</w:t>
                  </w:r>
                </w:p>
              </w:tc>
              <w:tc>
                <w:tcPr>
                  <w:tcW w:w="1857" w:type="pct"/>
                  <w:shd w:val="clear" w:color="auto" w:fill="auto"/>
                  <w:vAlign w:val="center"/>
                </w:tcPr>
                <w:p w14:paraId="2EC6790C">
                  <w:pPr>
                    <w:pageBreakBefore w:val="0"/>
                    <w:kinsoku/>
                    <w:wordWrap w:val="0"/>
                    <w:overflowPunct/>
                    <w:bidi w:val="0"/>
                    <w:spacing w:line="240" w:lineRule="exact"/>
                    <w:contextualSpacing/>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800</w:t>
                  </w:r>
                  <w:r>
                    <w:rPr>
                      <w:rFonts w:hint="eastAsia"/>
                      <w:color w:val="000000" w:themeColor="text1"/>
                      <w:szCs w:val="21"/>
                      <w:highlight w:val="none"/>
                      <w:lang w:val="en-US" w:eastAsia="zh-CN"/>
                      <w14:textFill>
                        <w14:solidFill>
                          <w14:schemeClr w14:val="tx1"/>
                        </w14:solidFill>
                      </w14:textFill>
                    </w:rPr>
                    <w:t>kW</w:t>
                  </w:r>
                </w:p>
              </w:tc>
              <w:tc>
                <w:tcPr>
                  <w:tcW w:w="465" w:type="pct"/>
                  <w:shd w:val="clear" w:color="auto" w:fill="auto"/>
                  <w:vAlign w:val="center"/>
                </w:tcPr>
                <w:p w14:paraId="7BBA6EAD">
                  <w:pPr>
                    <w:pageBreakBefore w:val="0"/>
                    <w:kinsoku/>
                    <w:wordWrap w:val="0"/>
                    <w:overflowPunct/>
                    <w:bidi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台</w:t>
                  </w:r>
                </w:p>
              </w:tc>
              <w:tc>
                <w:tcPr>
                  <w:tcW w:w="480" w:type="pct"/>
                  <w:shd w:val="clear" w:color="auto" w:fill="auto"/>
                  <w:vAlign w:val="center"/>
                </w:tcPr>
                <w:p w14:paraId="336545FA">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bl>
          <w:p w14:paraId="58A2FE03">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3.主要原辅材料及燃料的种类和用量</w:t>
            </w:r>
          </w:p>
          <w:p w14:paraId="19C659F4">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项目生产使用的主要原辅材料及用量情况和</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新增生产线后</w:t>
            </w: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变化情况列表如下：</w:t>
            </w:r>
          </w:p>
          <w:p w14:paraId="143ECC90">
            <w:pPr>
              <w:keepNext w:val="0"/>
              <w:keepLines w:val="0"/>
              <w:pageBreakBefore w:val="0"/>
              <w:widowControl w:val="0"/>
              <w:kinsoku/>
              <w:wordWrap w:val="0"/>
              <w:overflowPunct/>
              <w:topLinePunct w:val="0"/>
              <w:autoSpaceDE/>
              <w:autoSpaceDN/>
              <w:bidi w:val="0"/>
              <w:adjustRightInd/>
              <w:snapToGrid/>
              <w:spacing w:line="480" w:lineRule="exact"/>
              <w:jc w:val="center"/>
              <w:textAlignment w:val="auto"/>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表2-3 </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本项目与原有项目</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原辅材料</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用量及能源消耗一览</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w:t>
            </w:r>
          </w:p>
          <w:tbl>
            <w:tblPr>
              <w:tblStyle w:val="72"/>
              <w:tblW w:w="49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86"/>
              <w:gridCol w:w="797"/>
              <w:gridCol w:w="792"/>
              <w:gridCol w:w="1631"/>
              <w:gridCol w:w="2"/>
              <w:gridCol w:w="1006"/>
              <w:gridCol w:w="792"/>
              <w:gridCol w:w="1459"/>
              <w:gridCol w:w="1195"/>
            </w:tblGrid>
            <w:tr w14:paraId="42D07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55" w:type="pct"/>
                  <w:vMerge w:val="restart"/>
                  <w:vAlign w:val="center"/>
                </w:tcPr>
                <w:p w14:paraId="6EEA1E07">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序号</w:t>
                  </w:r>
                </w:p>
              </w:tc>
              <w:tc>
                <w:tcPr>
                  <w:tcW w:w="1949" w:type="pct"/>
                  <w:gridSpan w:val="4"/>
                  <w:tcBorders>
                    <w:right w:val="single" w:color="auto" w:sz="4" w:space="0"/>
                  </w:tcBorders>
                  <w:vAlign w:val="center"/>
                </w:tcPr>
                <w:p w14:paraId="4BA8F0E7">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原有项目</w:t>
                  </w:r>
                </w:p>
              </w:tc>
              <w:tc>
                <w:tcPr>
                  <w:tcW w:w="1971" w:type="pct"/>
                  <w:gridSpan w:val="3"/>
                  <w:tcBorders>
                    <w:right w:val="single" w:color="auto" w:sz="4" w:space="0"/>
                  </w:tcBorders>
                  <w:vAlign w:val="center"/>
                </w:tcPr>
                <w:p w14:paraId="708A4C14">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本项目</w:t>
                  </w:r>
                </w:p>
              </w:tc>
              <w:tc>
                <w:tcPr>
                  <w:tcW w:w="723" w:type="pct"/>
                  <w:vMerge w:val="restart"/>
                  <w:vAlign w:val="center"/>
                </w:tcPr>
                <w:p w14:paraId="72135D38">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变化量</w:t>
                  </w:r>
                </w:p>
              </w:tc>
            </w:tr>
            <w:tr w14:paraId="19DA4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55" w:type="pct"/>
                  <w:vMerge w:val="continue"/>
                  <w:vAlign w:val="center"/>
                </w:tcPr>
                <w:p w14:paraId="253AEA3A">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p>
              </w:tc>
              <w:tc>
                <w:tcPr>
                  <w:tcW w:w="482" w:type="pct"/>
                  <w:vAlign w:val="center"/>
                </w:tcPr>
                <w:p w14:paraId="6B64388B">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名称</w:t>
                  </w:r>
                </w:p>
              </w:tc>
              <w:tc>
                <w:tcPr>
                  <w:tcW w:w="479" w:type="pct"/>
                  <w:vAlign w:val="center"/>
                </w:tcPr>
                <w:p w14:paraId="1C315913">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单位</w:t>
                  </w:r>
                </w:p>
              </w:tc>
              <w:tc>
                <w:tcPr>
                  <w:tcW w:w="985" w:type="pct"/>
                  <w:tcBorders>
                    <w:right w:val="single" w:color="auto" w:sz="4" w:space="0"/>
                  </w:tcBorders>
                  <w:vAlign w:val="center"/>
                </w:tcPr>
                <w:p w14:paraId="2458D413">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数量</w:t>
                  </w:r>
                </w:p>
              </w:tc>
              <w:tc>
                <w:tcPr>
                  <w:tcW w:w="610" w:type="pct"/>
                  <w:gridSpan w:val="2"/>
                  <w:shd w:val="clear" w:color="auto" w:fill="auto"/>
                  <w:vAlign w:val="center"/>
                </w:tcPr>
                <w:p w14:paraId="58E97B8A">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名称</w:t>
                  </w:r>
                </w:p>
              </w:tc>
              <w:tc>
                <w:tcPr>
                  <w:tcW w:w="479" w:type="pct"/>
                  <w:shd w:val="clear" w:color="auto" w:fill="auto"/>
                  <w:vAlign w:val="center"/>
                </w:tcPr>
                <w:p w14:paraId="23B8DDB3">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单位</w:t>
                  </w:r>
                </w:p>
              </w:tc>
              <w:tc>
                <w:tcPr>
                  <w:tcW w:w="882" w:type="pct"/>
                  <w:tcBorders>
                    <w:right w:val="single" w:color="auto" w:sz="4" w:space="0"/>
                  </w:tcBorders>
                  <w:shd w:val="clear" w:color="auto" w:fill="auto"/>
                  <w:vAlign w:val="center"/>
                </w:tcPr>
                <w:p w14:paraId="2459C38A">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数量</w:t>
                  </w:r>
                </w:p>
              </w:tc>
              <w:tc>
                <w:tcPr>
                  <w:tcW w:w="723" w:type="pct"/>
                  <w:vMerge w:val="continue"/>
                  <w:shd w:val="clear" w:color="auto" w:fill="auto"/>
                  <w:vAlign w:val="center"/>
                </w:tcPr>
                <w:p w14:paraId="5C04C49C">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p>
              </w:tc>
            </w:tr>
            <w:tr w14:paraId="0CB8E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55" w:type="pct"/>
                  <w:vAlign w:val="center"/>
                </w:tcPr>
                <w:p w14:paraId="38D8AB5E">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482" w:type="pct"/>
                  <w:vAlign w:val="center"/>
                </w:tcPr>
                <w:p w14:paraId="0842CA9C">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沥青</w:t>
                  </w:r>
                </w:p>
              </w:tc>
              <w:tc>
                <w:tcPr>
                  <w:tcW w:w="479" w:type="pct"/>
                  <w:vAlign w:val="center"/>
                </w:tcPr>
                <w:p w14:paraId="355064A5">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985" w:type="pct"/>
                  <w:vAlign w:val="center"/>
                </w:tcPr>
                <w:p w14:paraId="4D7470D8">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3065</w:t>
                  </w:r>
                </w:p>
              </w:tc>
              <w:tc>
                <w:tcPr>
                  <w:tcW w:w="610" w:type="pct"/>
                  <w:gridSpan w:val="2"/>
                  <w:shd w:val="clear" w:color="auto" w:fill="auto"/>
                  <w:vAlign w:val="center"/>
                </w:tcPr>
                <w:p w14:paraId="089A9A7F">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沥青</w:t>
                  </w:r>
                </w:p>
              </w:tc>
              <w:tc>
                <w:tcPr>
                  <w:tcW w:w="479" w:type="pct"/>
                  <w:shd w:val="clear" w:color="auto" w:fill="auto"/>
                  <w:vAlign w:val="center"/>
                </w:tcPr>
                <w:p w14:paraId="6C80F0C3">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882" w:type="pct"/>
                  <w:shd w:val="clear" w:color="auto" w:fill="auto"/>
                  <w:vAlign w:val="center"/>
                </w:tcPr>
                <w:p w14:paraId="6C5C441E">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2700</w:t>
                  </w:r>
                </w:p>
              </w:tc>
              <w:tc>
                <w:tcPr>
                  <w:tcW w:w="723" w:type="pct"/>
                  <w:shd w:val="clear" w:color="auto" w:fill="auto"/>
                  <w:vAlign w:val="center"/>
                </w:tcPr>
                <w:p w14:paraId="5D0B7C46">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-365t</w:t>
                  </w:r>
                </w:p>
              </w:tc>
            </w:tr>
            <w:tr w14:paraId="0EBDC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55" w:type="pct"/>
                  <w:vAlign w:val="center"/>
                </w:tcPr>
                <w:p w14:paraId="4B98C3CA">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w:t>
                  </w:r>
                </w:p>
              </w:tc>
              <w:tc>
                <w:tcPr>
                  <w:tcW w:w="482" w:type="pct"/>
                  <w:vAlign w:val="center"/>
                </w:tcPr>
                <w:p w14:paraId="6E48D42D">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矿粉</w:t>
                  </w:r>
                </w:p>
              </w:tc>
              <w:tc>
                <w:tcPr>
                  <w:tcW w:w="479" w:type="pct"/>
                  <w:vAlign w:val="center"/>
                </w:tcPr>
                <w:p w14:paraId="7CE5C808">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985" w:type="pct"/>
                  <w:vAlign w:val="center"/>
                </w:tcPr>
                <w:p w14:paraId="4F2EE7E7">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3866</w:t>
                  </w:r>
                </w:p>
              </w:tc>
              <w:tc>
                <w:tcPr>
                  <w:tcW w:w="610" w:type="pct"/>
                  <w:gridSpan w:val="2"/>
                  <w:shd w:val="clear" w:color="auto" w:fill="auto"/>
                  <w:vAlign w:val="center"/>
                </w:tcPr>
                <w:p w14:paraId="08AF71CC">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矿粉</w:t>
                  </w:r>
                </w:p>
              </w:tc>
              <w:tc>
                <w:tcPr>
                  <w:tcW w:w="479" w:type="pct"/>
                  <w:shd w:val="clear" w:color="auto" w:fill="auto"/>
                  <w:vAlign w:val="center"/>
                </w:tcPr>
                <w:p w14:paraId="29D4002E">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882" w:type="pct"/>
                  <w:shd w:val="clear" w:color="auto" w:fill="auto"/>
                  <w:vAlign w:val="center"/>
                </w:tcPr>
                <w:p w14:paraId="0AF38D55">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1100</w:t>
                  </w:r>
                </w:p>
              </w:tc>
              <w:tc>
                <w:tcPr>
                  <w:tcW w:w="723" w:type="pct"/>
                  <w:shd w:val="clear" w:color="auto" w:fill="auto"/>
                  <w:vAlign w:val="center"/>
                </w:tcPr>
                <w:p w14:paraId="2E2F3311">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-2766t</w:t>
                  </w:r>
                </w:p>
              </w:tc>
            </w:tr>
            <w:tr w14:paraId="2B65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55" w:type="pct"/>
                  <w:vAlign w:val="center"/>
                </w:tcPr>
                <w:p w14:paraId="7AE91682">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w:t>
                  </w:r>
                </w:p>
              </w:tc>
              <w:tc>
                <w:tcPr>
                  <w:tcW w:w="482" w:type="pct"/>
                  <w:vAlign w:val="center"/>
                </w:tcPr>
                <w:p w14:paraId="7144F86E">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骨料</w:t>
                  </w:r>
                </w:p>
              </w:tc>
              <w:tc>
                <w:tcPr>
                  <w:tcW w:w="479" w:type="pct"/>
                  <w:vAlign w:val="center"/>
                </w:tcPr>
                <w:p w14:paraId="4D532C72">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985" w:type="pct"/>
                  <w:vAlign w:val="center"/>
                </w:tcPr>
                <w:p w14:paraId="733B24BF">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43085</w:t>
                  </w:r>
                </w:p>
              </w:tc>
              <w:tc>
                <w:tcPr>
                  <w:tcW w:w="610" w:type="pct"/>
                  <w:gridSpan w:val="2"/>
                  <w:shd w:val="clear" w:color="auto" w:fill="auto"/>
                  <w:vAlign w:val="center"/>
                </w:tcPr>
                <w:p w14:paraId="4D223EB6">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骨料</w:t>
                  </w:r>
                </w:p>
              </w:tc>
              <w:tc>
                <w:tcPr>
                  <w:tcW w:w="479" w:type="pct"/>
                  <w:shd w:val="clear" w:color="auto" w:fill="auto"/>
                  <w:vAlign w:val="center"/>
                </w:tcPr>
                <w:p w14:paraId="707DA12A">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882" w:type="pct"/>
                  <w:shd w:val="clear" w:color="auto" w:fill="auto"/>
                  <w:vAlign w:val="center"/>
                </w:tcPr>
                <w:p w14:paraId="5B9AB889">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27000</w:t>
                  </w:r>
                </w:p>
              </w:tc>
              <w:tc>
                <w:tcPr>
                  <w:tcW w:w="723" w:type="pct"/>
                  <w:shd w:val="clear" w:color="auto" w:fill="auto"/>
                  <w:vAlign w:val="center"/>
                </w:tcPr>
                <w:p w14:paraId="79D0E058">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-16085t</w:t>
                  </w:r>
                </w:p>
              </w:tc>
            </w:tr>
            <w:tr w14:paraId="72D96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55" w:type="pct"/>
                  <w:vAlign w:val="center"/>
                </w:tcPr>
                <w:p w14:paraId="5ADF19E1">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482" w:type="pct"/>
                  <w:vAlign w:val="center"/>
                </w:tcPr>
                <w:p w14:paraId="6DFA81FC">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479" w:type="pct"/>
                  <w:vAlign w:val="center"/>
                </w:tcPr>
                <w:p w14:paraId="390F73CB">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985" w:type="pct"/>
                  <w:vAlign w:val="center"/>
                </w:tcPr>
                <w:p w14:paraId="2388C223">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610" w:type="pct"/>
                  <w:gridSpan w:val="2"/>
                  <w:shd w:val="clear" w:color="auto" w:fill="auto"/>
                  <w:vAlign w:val="center"/>
                </w:tcPr>
                <w:p w14:paraId="10D46F3C">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铣刨沥青</w:t>
                  </w:r>
                </w:p>
              </w:tc>
              <w:tc>
                <w:tcPr>
                  <w:tcW w:w="479" w:type="pct"/>
                  <w:shd w:val="clear" w:color="auto" w:fill="auto"/>
                  <w:vAlign w:val="center"/>
                </w:tcPr>
                <w:p w14:paraId="5D8B8753">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882" w:type="pct"/>
                  <w:shd w:val="clear" w:color="auto" w:fill="auto"/>
                  <w:vAlign w:val="center"/>
                </w:tcPr>
                <w:p w14:paraId="10B8CCB3">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20000</w:t>
                  </w:r>
                </w:p>
              </w:tc>
              <w:tc>
                <w:tcPr>
                  <w:tcW w:w="723" w:type="pct"/>
                  <w:shd w:val="clear" w:color="auto" w:fill="auto"/>
                  <w:vAlign w:val="center"/>
                </w:tcPr>
                <w:p w14:paraId="0217F5CD">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+20000t</w:t>
                  </w:r>
                </w:p>
              </w:tc>
            </w:tr>
            <w:tr w14:paraId="5014C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55" w:type="pct"/>
                  <w:vAlign w:val="center"/>
                </w:tcPr>
                <w:p w14:paraId="7B4534E7">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w:t>
                  </w:r>
                </w:p>
              </w:tc>
              <w:tc>
                <w:tcPr>
                  <w:tcW w:w="482" w:type="pct"/>
                  <w:vAlign w:val="center"/>
                </w:tcPr>
                <w:p w14:paraId="3A31115C">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479" w:type="pct"/>
                  <w:vAlign w:val="center"/>
                </w:tcPr>
                <w:p w14:paraId="2515BE3C">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985" w:type="pct"/>
                  <w:vAlign w:val="center"/>
                </w:tcPr>
                <w:p w14:paraId="1D53BC50">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610" w:type="pct"/>
                  <w:gridSpan w:val="2"/>
                  <w:shd w:val="clear" w:color="auto" w:fill="auto"/>
                  <w:vAlign w:val="center"/>
                </w:tcPr>
                <w:p w14:paraId="1FC1A3FB">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再生剂</w:t>
                  </w:r>
                </w:p>
              </w:tc>
              <w:tc>
                <w:tcPr>
                  <w:tcW w:w="479" w:type="pct"/>
                  <w:shd w:val="clear" w:color="auto" w:fill="auto"/>
                  <w:vAlign w:val="center"/>
                </w:tcPr>
                <w:p w14:paraId="36BBC4B2">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882" w:type="pct"/>
                  <w:tcBorders>
                    <w:right w:val="single" w:color="auto" w:sz="4" w:space="0"/>
                  </w:tcBorders>
                  <w:shd w:val="clear" w:color="auto" w:fill="auto"/>
                  <w:vAlign w:val="center"/>
                </w:tcPr>
                <w:p w14:paraId="55090F06">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0.008</w:t>
                  </w:r>
                </w:p>
              </w:tc>
              <w:tc>
                <w:tcPr>
                  <w:tcW w:w="723" w:type="pct"/>
                  <w:tcBorders>
                    <w:left w:val="single" w:color="auto" w:sz="4" w:space="0"/>
                  </w:tcBorders>
                  <w:vAlign w:val="center"/>
                </w:tcPr>
                <w:p w14:paraId="6196F555">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pacing w:val="-4"/>
                      <w:sz w:val="21"/>
                      <w:szCs w:val="21"/>
                      <w:highlight w:val="none"/>
                      <w:lang w:val="en-US" w:eastAsia="zh-CN"/>
                      <w14:textFill>
                        <w14:solidFill>
                          <w14:schemeClr w14:val="tx1"/>
                        </w14:solidFill>
                      </w14:textFill>
                    </w:rPr>
                  </w:pPr>
                  <w:r>
                    <w:rPr>
                      <w:rFonts w:hint="eastAsia" w:cs="Times New Roman"/>
                      <w:b w:val="0"/>
                      <w:bCs w:val="0"/>
                      <w:color w:val="000000" w:themeColor="text1"/>
                      <w:spacing w:val="-4"/>
                      <w:sz w:val="21"/>
                      <w:szCs w:val="21"/>
                      <w:highlight w:val="none"/>
                      <w:lang w:val="en-US" w:eastAsia="zh-CN"/>
                      <w14:textFill>
                        <w14:solidFill>
                          <w14:schemeClr w14:val="tx1"/>
                        </w14:solidFill>
                      </w14:textFill>
                    </w:rPr>
                    <w:t>+0.008t</w:t>
                  </w:r>
                </w:p>
              </w:tc>
            </w:tr>
            <w:tr w14:paraId="0DEF6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303" w:type="pct"/>
                  <w:gridSpan w:val="4"/>
                  <w:tcBorders>
                    <w:right w:val="single" w:color="auto" w:sz="4" w:space="0"/>
                  </w:tcBorders>
                  <w:vAlign w:val="center"/>
                </w:tcPr>
                <w:p w14:paraId="4EF1D13C">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能源</w:t>
                  </w:r>
                </w:p>
              </w:tc>
              <w:tc>
                <w:tcPr>
                  <w:tcW w:w="1972" w:type="pct"/>
                  <w:gridSpan w:val="4"/>
                  <w:tcBorders>
                    <w:right w:val="single" w:color="auto" w:sz="4" w:space="0"/>
                  </w:tcBorders>
                  <w:vAlign w:val="center"/>
                </w:tcPr>
                <w:p w14:paraId="258DEB69">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能源</w:t>
                  </w:r>
                </w:p>
              </w:tc>
              <w:tc>
                <w:tcPr>
                  <w:tcW w:w="723" w:type="pct"/>
                  <w:tcBorders>
                    <w:left w:val="single" w:color="auto" w:sz="4" w:space="0"/>
                  </w:tcBorders>
                  <w:vAlign w:val="center"/>
                </w:tcPr>
                <w:p w14:paraId="2CDD4318">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cs="Times New Roman"/>
                      <w:b/>
                      <w:bCs/>
                      <w:color w:val="000000" w:themeColor="text1"/>
                      <w:sz w:val="21"/>
                      <w:szCs w:val="21"/>
                      <w:highlight w:val="none"/>
                      <w:shd w:val="clear" w:color="auto" w:fill="auto"/>
                      <w:lang w:val="en-US" w:eastAsia="zh-CN"/>
                      <w14:textFill>
                        <w14:solidFill>
                          <w14:schemeClr w14:val="tx1"/>
                        </w14:solidFill>
                      </w14:textFill>
                    </w:rPr>
                  </w:pPr>
                </w:p>
              </w:tc>
            </w:tr>
            <w:tr w14:paraId="30067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55" w:type="pct"/>
                  <w:vAlign w:val="center"/>
                </w:tcPr>
                <w:p w14:paraId="6768579C">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w:t>
                  </w:r>
                </w:p>
              </w:tc>
              <w:tc>
                <w:tcPr>
                  <w:tcW w:w="482" w:type="pct"/>
                  <w:vAlign w:val="center"/>
                </w:tcPr>
                <w:p w14:paraId="66CAAB5E">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w:t>
                  </w:r>
                </w:p>
              </w:tc>
              <w:tc>
                <w:tcPr>
                  <w:tcW w:w="479" w:type="pct"/>
                  <w:vAlign w:val="center"/>
                </w:tcPr>
                <w:p w14:paraId="09646565">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15"/>
                      <w:sz w:val="21"/>
                      <w:szCs w:val="21"/>
                      <w:highlight w:val="none"/>
                      <w14:textFill>
                        <w14:solidFill>
                          <w14:schemeClr w14:val="tx1"/>
                        </w14:solidFill>
                      </w14:textFill>
                    </w:rPr>
                    <w:t>万</w:t>
                  </w:r>
                  <w:r>
                    <w:rPr>
                      <w:rFonts w:hint="eastAsia" w:cs="Times New Roman"/>
                      <w:b w:val="0"/>
                      <w:bCs w:val="0"/>
                      <w:color w:val="000000" w:themeColor="text1"/>
                      <w:spacing w:val="-15"/>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12"/>
                      <w:sz w:val="21"/>
                      <w:szCs w:val="21"/>
                      <w:highlight w:val="none"/>
                      <w14:textFill>
                        <w14:solidFill>
                          <w14:schemeClr w14:val="tx1"/>
                        </w14:solidFill>
                      </w14:textFill>
                    </w:rPr>
                    <w:t>kWh</w:t>
                  </w:r>
                </w:p>
              </w:tc>
              <w:tc>
                <w:tcPr>
                  <w:tcW w:w="985" w:type="pct"/>
                  <w:vAlign w:val="center"/>
                </w:tcPr>
                <w:p w14:paraId="4F9E8CBC">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40</w:t>
                  </w:r>
                </w:p>
              </w:tc>
              <w:tc>
                <w:tcPr>
                  <w:tcW w:w="610" w:type="pct"/>
                  <w:gridSpan w:val="2"/>
                  <w:vAlign w:val="center"/>
                </w:tcPr>
                <w:p w14:paraId="777B9C60">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电</w:t>
                  </w:r>
                </w:p>
              </w:tc>
              <w:tc>
                <w:tcPr>
                  <w:tcW w:w="479" w:type="pct"/>
                  <w:vAlign w:val="center"/>
                </w:tcPr>
                <w:p w14:paraId="4B3FA164">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15"/>
                      <w:sz w:val="21"/>
                      <w:szCs w:val="21"/>
                      <w:highlight w:val="none"/>
                      <w14:textFill>
                        <w14:solidFill>
                          <w14:schemeClr w14:val="tx1"/>
                        </w14:solidFill>
                      </w14:textFill>
                    </w:rPr>
                    <w:t>万</w:t>
                  </w:r>
                  <w:r>
                    <w:rPr>
                      <w:rFonts w:hint="eastAsia" w:cs="Times New Roman"/>
                      <w:b w:val="0"/>
                      <w:bCs w:val="0"/>
                      <w:color w:val="000000" w:themeColor="text1"/>
                      <w:spacing w:val="-15"/>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pacing w:val="-12"/>
                      <w:sz w:val="21"/>
                      <w:szCs w:val="21"/>
                      <w:highlight w:val="none"/>
                      <w14:textFill>
                        <w14:solidFill>
                          <w14:schemeClr w14:val="tx1"/>
                        </w14:solidFill>
                      </w14:textFill>
                    </w:rPr>
                    <w:t>kWh</w:t>
                  </w:r>
                </w:p>
              </w:tc>
              <w:tc>
                <w:tcPr>
                  <w:tcW w:w="882" w:type="pct"/>
                  <w:vAlign w:val="center"/>
                </w:tcPr>
                <w:p w14:paraId="6CB377DF">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40</w:t>
                  </w:r>
                </w:p>
              </w:tc>
              <w:tc>
                <w:tcPr>
                  <w:tcW w:w="723" w:type="pct"/>
                  <w:vAlign w:val="center"/>
                </w:tcPr>
                <w:p w14:paraId="42EF2F01">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无变化</w:t>
                  </w:r>
                </w:p>
              </w:tc>
            </w:tr>
            <w:tr w14:paraId="34544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355" w:type="pct"/>
                  <w:vAlign w:val="center"/>
                </w:tcPr>
                <w:p w14:paraId="748A6D71">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6</w:t>
                  </w:r>
                </w:p>
              </w:tc>
              <w:tc>
                <w:tcPr>
                  <w:tcW w:w="482" w:type="pct"/>
                  <w:vAlign w:val="center"/>
                </w:tcPr>
                <w:p w14:paraId="47BD9009">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天然气</w:t>
                  </w:r>
                </w:p>
              </w:tc>
              <w:tc>
                <w:tcPr>
                  <w:tcW w:w="479" w:type="pct"/>
                  <w:vAlign w:val="center"/>
                </w:tcPr>
                <w:p w14:paraId="23A26822">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val="0"/>
                      <w:bCs w:val="0"/>
                      <w:color w:val="000000" w:themeColor="text1"/>
                      <w:spacing w:val="-15"/>
                      <w:sz w:val="21"/>
                      <w:szCs w:val="21"/>
                      <w:highlight w:val="none"/>
                      <w:lang w:val="en-US" w:eastAsia="zh-CN"/>
                      <w14:textFill>
                        <w14:solidFill>
                          <w14:schemeClr w14:val="tx1"/>
                        </w14:solidFill>
                      </w14:textFill>
                    </w:rPr>
                  </w:pPr>
                  <w:r>
                    <w:rPr>
                      <w:rFonts w:hint="eastAsia" w:cs="Times New Roman"/>
                      <w:b w:val="0"/>
                      <w:bCs w:val="0"/>
                      <w:color w:val="000000" w:themeColor="text1"/>
                      <w:spacing w:val="-15"/>
                      <w:sz w:val="21"/>
                      <w:szCs w:val="21"/>
                      <w:highlight w:val="none"/>
                      <w:lang w:val="en-US" w:eastAsia="zh-CN"/>
                      <w14:textFill>
                        <w14:solidFill>
                          <w14:schemeClr w14:val="tx1"/>
                        </w14:solidFill>
                      </w14:textFill>
                    </w:rPr>
                    <w:t>万m</w:t>
                  </w:r>
                  <w:r>
                    <w:rPr>
                      <w:rFonts w:hint="eastAsia" w:cs="Times New Roman"/>
                      <w:b w:val="0"/>
                      <w:bCs w:val="0"/>
                      <w:color w:val="000000" w:themeColor="text1"/>
                      <w:spacing w:val="-15"/>
                      <w:sz w:val="21"/>
                      <w:szCs w:val="21"/>
                      <w:highlight w:val="none"/>
                      <w:vertAlign w:val="superscript"/>
                      <w:lang w:val="en-US" w:eastAsia="zh-CN"/>
                      <w14:textFill>
                        <w14:solidFill>
                          <w14:schemeClr w14:val="tx1"/>
                        </w14:solidFill>
                      </w14:textFill>
                    </w:rPr>
                    <w:t>3</w:t>
                  </w:r>
                  <w:r>
                    <w:rPr>
                      <w:rFonts w:hint="eastAsia" w:cs="Times New Roman"/>
                      <w:b w:val="0"/>
                      <w:bCs w:val="0"/>
                      <w:color w:val="000000" w:themeColor="text1"/>
                      <w:spacing w:val="-15"/>
                      <w:sz w:val="21"/>
                      <w:szCs w:val="21"/>
                      <w:highlight w:val="none"/>
                      <w:lang w:val="en-US" w:eastAsia="zh-CN"/>
                      <w14:textFill>
                        <w14:solidFill>
                          <w14:schemeClr w14:val="tx1"/>
                        </w14:solidFill>
                      </w14:textFill>
                    </w:rPr>
                    <w:t>/a</w:t>
                  </w:r>
                </w:p>
              </w:tc>
              <w:tc>
                <w:tcPr>
                  <w:tcW w:w="985" w:type="pct"/>
                  <w:vAlign w:val="center"/>
                </w:tcPr>
                <w:p w14:paraId="43C714FE">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40</w:t>
                  </w:r>
                </w:p>
              </w:tc>
              <w:tc>
                <w:tcPr>
                  <w:tcW w:w="610" w:type="pct"/>
                  <w:gridSpan w:val="2"/>
                  <w:vAlign w:val="center"/>
                </w:tcPr>
                <w:p w14:paraId="79088560">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天然气</w:t>
                  </w:r>
                </w:p>
              </w:tc>
              <w:tc>
                <w:tcPr>
                  <w:tcW w:w="479" w:type="pct"/>
                  <w:vAlign w:val="center"/>
                </w:tcPr>
                <w:p w14:paraId="3997A94C">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pacing w:val="-15"/>
                      <w:sz w:val="21"/>
                      <w:szCs w:val="21"/>
                      <w:highlight w:val="none"/>
                      <w:lang w:val="en-US" w:eastAsia="zh-CN"/>
                      <w14:textFill>
                        <w14:solidFill>
                          <w14:schemeClr w14:val="tx1"/>
                        </w14:solidFill>
                      </w14:textFill>
                    </w:rPr>
                    <w:t>万m</w:t>
                  </w:r>
                  <w:r>
                    <w:rPr>
                      <w:rFonts w:hint="eastAsia" w:cs="Times New Roman"/>
                      <w:b w:val="0"/>
                      <w:bCs w:val="0"/>
                      <w:color w:val="000000" w:themeColor="text1"/>
                      <w:spacing w:val="-15"/>
                      <w:sz w:val="21"/>
                      <w:szCs w:val="21"/>
                      <w:highlight w:val="none"/>
                      <w:vertAlign w:val="superscript"/>
                      <w:lang w:val="en-US" w:eastAsia="zh-CN"/>
                      <w14:textFill>
                        <w14:solidFill>
                          <w14:schemeClr w14:val="tx1"/>
                        </w14:solidFill>
                      </w14:textFill>
                    </w:rPr>
                    <w:t>3</w:t>
                  </w:r>
                  <w:r>
                    <w:rPr>
                      <w:rFonts w:hint="eastAsia" w:cs="Times New Roman"/>
                      <w:b w:val="0"/>
                      <w:bCs w:val="0"/>
                      <w:color w:val="000000" w:themeColor="text1"/>
                      <w:spacing w:val="-15"/>
                      <w:sz w:val="21"/>
                      <w:szCs w:val="21"/>
                      <w:highlight w:val="none"/>
                      <w:lang w:val="en-US" w:eastAsia="zh-CN"/>
                      <w14:textFill>
                        <w14:solidFill>
                          <w14:schemeClr w14:val="tx1"/>
                        </w14:solidFill>
                      </w14:textFill>
                    </w:rPr>
                    <w:t>/a</w:t>
                  </w:r>
                </w:p>
              </w:tc>
              <w:tc>
                <w:tcPr>
                  <w:tcW w:w="882" w:type="pct"/>
                  <w:vAlign w:val="center"/>
                </w:tcPr>
                <w:p w14:paraId="0FD15546">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40</w:t>
                  </w:r>
                </w:p>
              </w:tc>
              <w:tc>
                <w:tcPr>
                  <w:tcW w:w="723" w:type="pct"/>
                  <w:vAlign w:val="center"/>
                </w:tcPr>
                <w:p w14:paraId="4D8FFE72">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无变化</w:t>
                  </w:r>
                </w:p>
              </w:tc>
            </w:tr>
          </w:tbl>
          <w:p w14:paraId="562FE030">
            <w:pPr>
              <w:keepNext w:val="0"/>
              <w:keepLines w:val="0"/>
              <w:pageBreakBefore w:val="0"/>
              <w:widowControl w:val="0"/>
              <w:kinsoku/>
              <w:wordWrap w:val="0"/>
              <w:overflowPunct/>
              <w:topLinePunct w:val="0"/>
              <w:autoSpaceDE/>
              <w:autoSpaceDN/>
              <w:bidi w:val="0"/>
              <w:adjustRightInd/>
              <w:snapToGrid/>
              <w:spacing w:line="480" w:lineRule="exact"/>
              <w:jc w:val="center"/>
              <w:textAlignment w:val="auto"/>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表2-</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4</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原有项目物料平衡一览</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973"/>
              <w:gridCol w:w="1706"/>
              <w:gridCol w:w="1941"/>
              <w:gridCol w:w="974"/>
              <w:gridCol w:w="1704"/>
            </w:tblGrid>
            <w:tr w14:paraId="58D9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07" w:type="pct"/>
                  <w:gridSpan w:val="3"/>
                  <w:vAlign w:val="center"/>
                </w:tcPr>
                <w:p w14:paraId="7F399898">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投入</w:t>
                  </w:r>
                </w:p>
              </w:tc>
              <w:tc>
                <w:tcPr>
                  <w:tcW w:w="2792" w:type="pct"/>
                  <w:gridSpan w:val="3"/>
                  <w:vAlign w:val="center"/>
                </w:tcPr>
                <w:p w14:paraId="147838D9">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产出</w:t>
                  </w:r>
                </w:p>
              </w:tc>
            </w:tr>
            <w:tr w14:paraId="5A6D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8" w:type="pct"/>
                  <w:vAlign w:val="center"/>
                </w:tcPr>
                <w:p w14:paraId="256B697F">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名称</w:t>
                  </w:r>
                </w:p>
              </w:tc>
              <w:tc>
                <w:tcPr>
                  <w:tcW w:w="588" w:type="pct"/>
                  <w:vAlign w:val="center"/>
                </w:tcPr>
                <w:p w14:paraId="6FC07C84">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单位</w:t>
                  </w:r>
                </w:p>
              </w:tc>
              <w:tc>
                <w:tcPr>
                  <w:tcW w:w="1030" w:type="pct"/>
                  <w:vAlign w:val="center"/>
                </w:tcPr>
                <w:p w14:paraId="0E8E11CC">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数量</w:t>
                  </w:r>
                </w:p>
              </w:tc>
              <w:tc>
                <w:tcPr>
                  <w:tcW w:w="1173" w:type="pct"/>
                  <w:vAlign w:val="center"/>
                </w:tcPr>
                <w:p w14:paraId="6BF88159">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名称</w:t>
                  </w:r>
                </w:p>
              </w:tc>
              <w:tc>
                <w:tcPr>
                  <w:tcW w:w="589" w:type="pct"/>
                  <w:vAlign w:val="center"/>
                </w:tcPr>
                <w:p w14:paraId="043C4579">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单位</w:t>
                  </w:r>
                </w:p>
              </w:tc>
              <w:tc>
                <w:tcPr>
                  <w:tcW w:w="1029" w:type="pct"/>
                  <w:vAlign w:val="center"/>
                </w:tcPr>
                <w:p w14:paraId="61FA6565">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数量</w:t>
                  </w:r>
                </w:p>
              </w:tc>
            </w:tr>
            <w:tr w14:paraId="39C9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8" w:type="pct"/>
                  <w:vAlign w:val="center"/>
                </w:tcPr>
                <w:p w14:paraId="394AECAA">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沥青</w:t>
                  </w:r>
                </w:p>
              </w:tc>
              <w:tc>
                <w:tcPr>
                  <w:tcW w:w="588" w:type="pct"/>
                  <w:vAlign w:val="center"/>
                </w:tcPr>
                <w:p w14:paraId="78AC3980">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0" w:type="pct"/>
                  <w:vAlign w:val="center"/>
                </w:tcPr>
                <w:p w14:paraId="3C74940B">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3065</w:t>
                  </w:r>
                </w:p>
              </w:tc>
              <w:tc>
                <w:tcPr>
                  <w:tcW w:w="1173" w:type="pct"/>
                  <w:vAlign w:val="center"/>
                </w:tcPr>
                <w:p w14:paraId="31C98702">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沥青混凝土</w:t>
                  </w:r>
                </w:p>
              </w:tc>
              <w:tc>
                <w:tcPr>
                  <w:tcW w:w="589" w:type="pct"/>
                  <w:vAlign w:val="center"/>
                </w:tcPr>
                <w:p w14:paraId="447D23FF">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29" w:type="pct"/>
                  <w:vAlign w:val="center"/>
                </w:tcPr>
                <w:p w14:paraId="1B1CDCA4">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50000</w:t>
                  </w:r>
                </w:p>
              </w:tc>
            </w:tr>
            <w:tr w14:paraId="5107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8" w:type="pct"/>
                  <w:vAlign w:val="center"/>
                </w:tcPr>
                <w:p w14:paraId="59E4E995">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矿粉</w:t>
                  </w:r>
                </w:p>
              </w:tc>
              <w:tc>
                <w:tcPr>
                  <w:tcW w:w="588" w:type="pct"/>
                  <w:vAlign w:val="center"/>
                </w:tcPr>
                <w:p w14:paraId="3DD2D3E9">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0" w:type="pct"/>
                  <w:vAlign w:val="center"/>
                </w:tcPr>
                <w:p w14:paraId="7DEA51D1">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3866</w:t>
                  </w:r>
                </w:p>
              </w:tc>
              <w:tc>
                <w:tcPr>
                  <w:tcW w:w="1173" w:type="pct"/>
                  <w:vAlign w:val="center"/>
                </w:tcPr>
                <w:p w14:paraId="5FBCE601">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颗粒物</w:t>
                  </w:r>
                </w:p>
              </w:tc>
              <w:tc>
                <w:tcPr>
                  <w:tcW w:w="589" w:type="pct"/>
                  <w:vAlign w:val="center"/>
                </w:tcPr>
                <w:p w14:paraId="288668EF">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29" w:type="pct"/>
                  <w:vAlign w:val="center"/>
                </w:tcPr>
                <w:p w14:paraId="1344EFE4">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0.054</w:t>
                  </w:r>
                </w:p>
              </w:tc>
            </w:tr>
            <w:tr w14:paraId="4D1A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8" w:type="pct"/>
                  <w:vAlign w:val="center"/>
                </w:tcPr>
                <w:p w14:paraId="3B217269">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骨料</w:t>
                  </w:r>
                </w:p>
              </w:tc>
              <w:tc>
                <w:tcPr>
                  <w:tcW w:w="588" w:type="pct"/>
                  <w:vAlign w:val="center"/>
                </w:tcPr>
                <w:p w14:paraId="557BCDA2">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0" w:type="pct"/>
                  <w:vAlign w:val="center"/>
                </w:tcPr>
                <w:p w14:paraId="60CD4DF7">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43085</w:t>
                  </w:r>
                </w:p>
              </w:tc>
              <w:tc>
                <w:tcPr>
                  <w:tcW w:w="1173" w:type="pct"/>
                  <w:vAlign w:val="center"/>
                </w:tcPr>
                <w:p w14:paraId="305AF375">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除尘灰</w:t>
                  </w:r>
                </w:p>
              </w:tc>
              <w:tc>
                <w:tcPr>
                  <w:tcW w:w="589" w:type="pct"/>
                  <w:vAlign w:val="center"/>
                </w:tcPr>
                <w:p w14:paraId="1C51E5EB">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29" w:type="pct"/>
                  <w:vAlign w:val="center"/>
                </w:tcPr>
                <w:p w14:paraId="4385C3E4">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15.13</w:t>
                  </w:r>
                </w:p>
              </w:tc>
            </w:tr>
            <w:tr w14:paraId="664E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8" w:type="pct"/>
                  <w:vAlign w:val="center"/>
                </w:tcPr>
                <w:p w14:paraId="52E8BAC9">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合计</w:t>
                  </w:r>
                </w:p>
              </w:tc>
              <w:tc>
                <w:tcPr>
                  <w:tcW w:w="588" w:type="pct"/>
                  <w:vAlign w:val="center"/>
                </w:tcPr>
                <w:p w14:paraId="6D50BC24">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0" w:type="pct"/>
                  <w:vAlign w:val="center"/>
                </w:tcPr>
                <w:p w14:paraId="0E2DA639">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50016</w:t>
                  </w:r>
                </w:p>
              </w:tc>
              <w:tc>
                <w:tcPr>
                  <w:tcW w:w="1173" w:type="pct"/>
                  <w:vAlign w:val="center"/>
                </w:tcPr>
                <w:p w14:paraId="76C6738A">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合计</w:t>
                  </w:r>
                </w:p>
              </w:tc>
              <w:tc>
                <w:tcPr>
                  <w:tcW w:w="589" w:type="pct"/>
                  <w:vAlign w:val="center"/>
                </w:tcPr>
                <w:p w14:paraId="32519892">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29" w:type="pct"/>
                  <w:vAlign w:val="center"/>
                </w:tcPr>
                <w:p w14:paraId="741AC01D">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50015.184</w:t>
                  </w:r>
                </w:p>
              </w:tc>
            </w:tr>
          </w:tbl>
          <w:p w14:paraId="5A614D45">
            <w:pPr>
              <w:keepNext w:val="0"/>
              <w:keepLines w:val="0"/>
              <w:pageBreakBefore w:val="0"/>
              <w:widowControl w:val="0"/>
              <w:kinsoku/>
              <w:wordWrap w:val="0"/>
              <w:overflowPunct/>
              <w:topLinePunct w:val="0"/>
              <w:autoSpaceDE/>
              <w:autoSpaceDN/>
              <w:bidi w:val="0"/>
              <w:adjustRightInd/>
              <w:snapToGrid/>
              <w:spacing w:line="480" w:lineRule="exact"/>
              <w:jc w:val="center"/>
              <w:textAlignment w:val="auto"/>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表2-</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5</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本项目建成后物料平衡一览表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973"/>
              <w:gridCol w:w="1707"/>
              <w:gridCol w:w="1941"/>
              <w:gridCol w:w="973"/>
              <w:gridCol w:w="1706"/>
            </w:tblGrid>
            <w:tr w14:paraId="4307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07" w:type="pct"/>
                  <w:gridSpan w:val="3"/>
                  <w:vAlign w:val="center"/>
                </w:tcPr>
                <w:p w14:paraId="09766A73">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投入</w:t>
                  </w:r>
                </w:p>
              </w:tc>
              <w:tc>
                <w:tcPr>
                  <w:tcW w:w="2792" w:type="pct"/>
                  <w:gridSpan w:val="3"/>
                  <w:vAlign w:val="center"/>
                </w:tcPr>
                <w:p w14:paraId="23503796">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产出</w:t>
                  </w:r>
                </w:p>
              </w:tc>
            </w:tr>
            <w:tr w14:paraId="3139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pct"/>
                  <w:vAlign w:val="center"/>
                </w:tcPr>
                <w:p w14:paraId="5CBC36A6">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名称</w:t>
                  </w:r>
                </w:p>
              </w:tc>
              <w:tc>
                <w:tcPr>
                  <w:tcW w:w="588" w:type="pct"/>
                  <w:vAlign w:val="center"/>
                </w:tcPr>
                <w:p w14:paraId="506C04B3">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单位</w:t>
                  </w:r>
                </w:p>
              </w:tc>
              <w:tc>
                <w:tcPr>
                  <w:tcW w:w="1031" w:type="pct"/>
                  <w:vAlign w:val="center"/>
                </w:tcPr>
                <w:p w14:paraId="1928F15A">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数量</w:t>
                  </w:r>
                </w:p>
              </w:tc>
              <w:tc>
                <w:tcPr>
                  <w:tcW w:w="1173" w:type="pct"/>
                  <w:vAlign w:val="center"/>
                </w:tcPr>
                <w:p w14:paraId="1536F1D6">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名称</w:t>
                  </w:r>
                </w:p>
              </w:tc>
              <w:tc>
                <w:tcPr>
                  <w:tcW w:w="588" w:type="pct"/>
                  <w:vAlign w:val="center"/>
                </w:tcPr>
                <w:p w14:paraId="3EB5116D">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单位</w:t>
                  </w:r>
                </w:p>
              </w:tc>
              <w:tc>
                <w:tcPr>
                  <w:tcW w:w="1030" w:type="pct"/>
                  <w:vAlign w:val="center"/>
                </w:tcPr>
                <w:p w14:paraId="6E04A939">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数量</w:t>
                  </w:r>
                </w:p>
              </w:tc>
            </w:tr>
            <w:tr w14:paraId="219C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pct"/>
                  <w:vAlign w:val="center"/>
                </w:tcPr>
                <w:p w14:paraId="35A27671">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沥青</w:t>
                  </w:r>
                </w:p>
              </w:tc>
              <w:tc>
                <w:tcPr>
                  <w:tcW w:w="588" w:type="pct"/>
                  <w:vAlign w:val="center"/>
                </w:tcPr>
                <w:p w14:paraId="0C976547">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1" w:type="pct"/>
                  <w:vAlign w:val="center"/>
                </w:tcPr>
                <w:p w14:paraId="4A6EB5F0">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2700</w:t>
                  </w:r>
                </w:p>
              </w:tc>
              <w:tc>
                <w:tcPr>
                  <w:tcW w:w="1173" w:type="pct"/>
                  <w:vAlign w:val="center"/>
                </w:tcPr>
                <w:p w14:paraId="33943B45">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沥青混凝土</w:t>
                  </w:r>
                </w:p>
              </w:tc>
              <w:tc>
                <w:tcPr>
                  <w:tcW w:w="588" w:type="pct"/>
                  <w:vAlign w:val="center"/>
                </w:tcPr>
                <w:p w14:paraId="67971375">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0" w:type="pct"/>
                  <w:vAlign w:val="center"/>
                </w:tcPr>
                <w:p w14:paraId="60AA4C10">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50000</w:t>
                  </w:r>
                </w:p>
              </w:tc>
            </w:tr>
            <w:tr w14:paraId="58E6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pct"/>
                  <w:vAlign w:val="center"/>
                </w:tcPr>
                <w:p w14:paraId="725AEC71">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矿粉</w:t>
                  </w:r>
                </w:p>
              </w:tc>
              <w:tc>
                <w:tcPr>
                  <w:tcW w:w="588" w:type="pct"/>
                  <w:vAlign w:val="center"/>
                </w:tcPr>
                <w:p w14:paraId="5724AAF0">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1" w:type="pct"/>
                  <w:vAlign w:val="center"/>
                </w:tcPr>
                <w:p w14:paraId="238E66FC">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1100</w:t>
                  </w:r>
                </w:p>
              </w:tc>
              <w:tc>
                <w:tcPr>
                  <w:tcW w:w="1173" w:type="pct"/>
                  <w:vAlign w:val="center"/>
                </w:tcPr>
                <w:p w14:paraId="1670E2B8">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颗粒物</w:t>
                  </w:r>
                </w:p>
              </w:tc>
              <w:tc>
                <w:tcPr>
                  <w:tcW w:w="588" w:type="pct"/>
                  <w:vAlign w:val="center"/>
                </w:tcPr>
                <w:p w14:paraId="5E2FE662">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0" w:type="pct"/>
                  <w:vAlign w:val="center"/>
                </w:tcPr>
                <w:p w14:paraId="72F95DA4">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1.166</w:t>
                  </w:r>
                </w:p>
              </w:tc>
            </w:tr>
            <w:tr w14:paraId="5350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pct"/>
                  <w:vAlign w:val="center"/>
                </w:tcPr>
                <w:p w14:paraId="01B4CB31">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骨料</w:t>
                  </w:r>
                </w:p>
              </w:tc>
              <w:tc>
                <w:tcPr>
                  <w:tcW w:w="588" w:type="pct"/>
                  <w:vAlign w:val="center"/>
                </w:tcPr>
                <w:p w14:paraId="0F868D27">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1" w:type="pct"/>
                  <w:vAlign w:val="center"/>
                </w:tcPr>
                <w:p w14:paraId="20C5CB98">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27000</w:t>
                  </w:r>
                </w:p>
              </w:tc>
              <w:tc>
                <w:tcPr>
                  <w:tcW w:w="1173" w:type="pct"/>
                  <w:vAlign w:val="center"/>
                </w:tcPr>
                <w:p w14:paraId="3AC57D53">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除尘灰</w:t>
                  </w:r>
                </w:p>
              </w:tc>
              <w:tc>
                <w:tcPr>
                  <w:tcW w:w="588" w:type="pct"/>
                  <w:vAlign w:val="center"/>
                </w:tcPr>
                <w:p w14:paraId="22A052C4">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0" w:type="pct"/>
                  <w:vAlign w:val="center"/>
                </w:tcPr>
                <w:p w14:paraId="41AC3EC3">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240.590</w:t>
                  </w:r>
                </w:p>
              </w:tc>
            </w:tr>
            <w:tr w14:paraId="6AEE6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pct"/>
                  <w:vAlign w:val="center"/>
                </w:tcPr>
                <w:p w14:paraId="45A9A201">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铣刨沥青</w:t>
                  </w:r>
                </w:p>
              </w:tc>
              <w:tc>
                <w:tcPr>
                  <w:tcW w:w="588" w:type="pct"/>
                  <w:vAlign w:val="center"/>
                </w:tcPr>
                <w:p w14:paraId="752C9FEF">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1" w:type="pct"/>
                  <w:vAlign w:val="center"/>
                </w:tcPr>
                <w:p w14:paraId="1502A91D">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20000</w:t>
                  </w:r>
                </w:p>
              </w:tc>
              <w:tc>
                <w:tcPr>
                  <w:tcW w:w="1173" w:type="pct"/>
                  <w:vAlign w:val="center"/>
                </w:tcPr>
                <w:p w14:paraId="770C39A6">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拌合残渣</w:t>
                  </w:r>
                </w:p>
              </w:tc>
              <w:tc>
                <w:tcPr>
                  <w:tcW w:w="588" w:type="pct"/>
                  <w:vAlign w:val="center"/>
                </w:tcPr>
                <w:p w14:paraId="259C9A6E">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0" w:type="pct"/>
                  <w:vAlign w:val="center"/>
                </w:tcPr>
                <w:p w14:paraId="510A7580">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583.944</w:t>
                  </w:r>
                </w:p>
              </w:tc>
            </w:tr>
            <w:tr w14:paraId="5D4B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pct"/>
                  <w:vAlign w:val="center"/>
                </w:tcPr>
                <w:p w14:paraId="7CC56C61">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再生剂</w:t>
                  </w:r>
                </w:p>
              </w:tc>
              <w:tc>
                <w:tcPr>
                  <w:tcW w:w="588" w:type="pct"/>
                  <w:vAlign w:val="center"/>
                </w:tcPr>
                <w:p w14:paraId="57FFC8EF">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1" w:type="pct"/>
                  <w:vAlign w:val="center"/>
                </w:tcPr>
                <w:p w14:paraId="0C799A60">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0.008</w:t>
                  </w:r>
                </w:p>
              </w:tc>
              <w:tc>
                <w:tcPr>
                  <w:tcW w:w="1173" w:type="pct"/>
                  <w:vAlign w:val="center"/>
                </w:tcPr>
                <w:p w14:paraId="3637E337">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588" w:type="pct"/>
                  <w:vAlign w:val="center"/>
                </w:tcPr>
                <w:p w14:paraId="0CE57EEA">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1030" w:type="pct"/>
                  <w:vAlign w:val="center"/>
                </w:tcPr>
                <w:p w14:paraId="10684C8D">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19FA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87" w:type="pct"/>
                  <w:vAlign w:val="center"/>
                </w:tcPr>
                <w:p w14:paraId="2C2077B6">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合计</w:t>
                  </w:r>
                </w:p>
              </w:tc>
              <w:tc>
                <w:tcPr>
                  <w:tcW w:w="588" w:type="pct"/>
                  <w:vAlign w:val="center"/>
                </w:tcPr>
                <w:p w14:paraId="446ACAA6">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1" w:type="pct"/>
                  <w:vAlign w:val="center"/>
                </w:tcPr>
                <w:p w14:paraId="1F1E54C5">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50800.008</w:t>
                  </w:r>
                </w:p>
              </w:tc>
              <w:tc>
                <w:tcPr>
                  <w:tcW w:w="1173" w:type="pct"/>
                  <w:vAlign w:val="center"/>
                </w:tcPr>
                <w:p w14:paraId="1F983D9B">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合计</w:t>
                  </w:r>
                </w:p>
              </w:tc>
              <w:tc>
                <w:tcPr>
                  <w:tcW w:w="588" w:type="pct"/>
                  <w:vAlign w:val="center"/>
                </w:tcPr>
                <w:p w14:paraId="472CEAEC">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1030" w:type="pct"/>
                  <w:vAlign w:val="center"/>
                </w:tcPr>
                <w:p w14:paraId="2AF01783">
                  <w:pPr>
                    <w:keepNext w:val="0"/>
                    <w:keepLines w:val="0"/>
                    <w:pageBreakBefore w:val="0"/>
                    <w:widowControl w:val="0"/>
                    <w:kinsoku/>
                    <w:wordWrap w:val="0"/>
                    <w:overflowPunct/>
                    <w:topLinePunct w:val="0"/>
                    <w:autoSpaceDE/>
                    <w:autoSpaceDN/>
                    <w:bidi w:val="0"/>
                    <w:adjustRightInd/>
                    <w:snapToGrid/>
                    <w:spacing w:line="320" w:lineRule="exact"/>
                    <w:ind w:left="0"/>
                    <w:jc w:val="center"/>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50825.7</w:t>
                  </w:r>
                </w:p>
              </w:tc>
            </w:tr>
          </w:tbl>
          <w:p w14:paraId="1DBF4F25">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铣刨沥青：本项目所用铣刨沥青主要为在空气、水以及车辆反复碾压作用等因素的影响下，已经出现了裂缝、坑槽、车辙等各种不同程度的病害情况的废旧沥青路面，不属于危险废物。</w:t>
            </w:r>
          </w:p>
          <w:p w14:paraId="166B1B6B">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沥青：沥青可以分为煤焦沥青、石油沥青和天然沥青三种，本工程使用的沥青为道路石油沥青，主要成分是沥青质和树脂，不易挥发，有高沸点矿物油和少量的氧、硫和氯的化合物。有光泽，外观呈液体，粘结性和防腐性能良好。沸点（℃）&lt;470；相对密度（水=1）1.15~1.25；闪点（℃）204.4；引燃温度（℃）485；爆炸下限（%，V/V）30（g/m3），不溶于水、丙酮、乙醚、稀乙醇，溶于二硫化碳、四氯化碳、氢氧化钠。用于涂料、塑料、橡胶等工业以及铺筑路面等。</w:t>
            </w:r>
          </w:p>
          <w:p w14:paraId="153D941C">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矿粉：是符合工程要求的石粉及其代用品的统称。是由石灰岩等碱性石料经磨细加工得到的，在沥青混合料中起填料作用的以碳酸钙为主要成分的矿物质粉尘。</w:t>
            </w:r>
          </w:p>
          <w:p w14:paraId="32F185A6">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骨料：本项目根据生产需求，所用骨料包括多种规格（0-3mm、3-6mm、6-13mm、13-22.5mm、22.5-31.5mm），主要成分为石灰岩石质，是沥青混凝主要原料。</w:t>
            </w:r>
          </w:p>
          <w:p w14:paraId="644C3682">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天然气：天然气是存在于地下岩石储集层中以烃为主体的混合气体的统称，比重约0.65，比空气轻，具有无色、无味、无毒之特性。天然气主要成分烷烃，其中甲烷占绝大多数，另有少量的乙烷、丙烷和丁烷，此外一般有硫化氢、二氧化碳、氮和水气和少量一氧化碳及微量的稀有气体，如氦和氩等。天然气不溶于水，密度为0.7174kg/Nm</w:t>
            </w:r>
            <w:r>
              <w:rPr>
                <w:rFonts w:hint="eastAsia"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t>3</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，相对密度（水）为约0.45（液化）燃点（℃）为650，爆炸极限（V%）为5-15。</w:t>
            </w:r>
          </w:p>
          <w:p w14:paraId="5CADEF44">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再生剂：沥青再生剂对老化沥青有软化作用，对沥青质有很强的溶解和分散能力，渗透性能好，能够使老化硬化的沥青回复其粘稠性能，这种粘稠性能可以用针入度、粘度表征，主要成分为沥青质和胶质分。</w:t>
            </w:r>
          </w:p>
          <w:p w14:paraId="4B18090F">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天然气由天然气撬车供给，由于本项目新增铣刨沥青加热工序，热源为天然气，故天然气使用量增加，但铣刨沥青为骨料、矿粉、沥青的混合物，他在生产的过程中取代了一部分原料。根据物料平衡可知，原有的骨料、矿粉、沥青会相应的减少，冷骨料加热热源为天然气，沥青采用导热油炉加热。</w:t>
            </w:r>
          </w:p>
          <w:p w14:paraId="20AB333A">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共4个40t的沥青储罐，为延长沥青储罐使用寿命，沥青储罐储存沥青多为其容积的80%，即32t每罐。根据企业提供资料，企业每天需加热4个储罐的沥青约为128t，沥青的比热容为2kJ/（kg·℃），沥青常温下温度为25℃，需加热至200℃，根据企业提供天然气的检测报告可知，天然气的低位发热量为33.36MJ/m</w:t>
            </w:r>
            <w:r>
              <w:rPr>
                <w:rFonts w:hint="eastAsia"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t>3</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，导热油炉的热效率为85%，考虑热损失，故沥青储罐加热一次需天然气1600m</w:t>
            </w:r>
            <w:r>
              <w:rPr>
                <w:rFonts w:hint="eastAsia"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t>3</w:t>
            </w: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，企业年工作100天，故沥青储罐加热天然气的年消耗量为16万m</w:t>
            </w:r>
            <w:r>
              <w:rPr>
                <w:rFonts w:hint="eastAsia"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t>3</w:t>
            </w: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w:t>
            </w:r>
          </w:p>
          <w:p w14:paraId="344F24CA">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本项目加热铣刨沥青料20000吨，铣刨沥青的比热容为1.34kJ/（kg·℃），铣刨沥青常温下温度为25℃，需加热至200℃，根据企业提供天然气的检测报告可知，天然气的低位发热量为33.36MJ/m</w:t>
            </w:r>
            <w:r>
              <w:rPr>
                <w:rFonts w:hint="eastAsia"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t>3</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，考虑热损失，故铣刨沥青加热需天然气约为14万立。</w:t>
            </w:r>
          </w:p>
          <w:p w14:paraId="5359856D">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冷骨料为矿粉和骨料混合物，每年需加热28100吨的冷骨料，冷骨料的比热容按0.67kJ/（kg·℃），冷骨料常温下温度为25℃，需加热至200℃，根据企业提供天然气的检测报告可知，天然气的低位发热量为33.36MJ/m</w:t>
            </w:r>
            <w:r>
              <w:rPr>
                <w:rFonts w:hint="eastAsia"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t>3</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，考虑热损失，故冷骨料加热需天然气约为10万立。</w:t>
            </w:r>
          </w:p>
          <w:p w14:paraId="67A87082">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综上所述，本项目消耗天然气的量为40万立，故天然气的用量未发生改变，仍为40万m</w:t>
            </w:r>
            <w:r>
              <w:rPr>
                <w:rFonts w:hint="eastAsia"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t>3</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/a。</w:t>
            </w:r>
          </w:p>
          <w:p w14:paraId="161B8819">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Fonts w:hint="default"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4.主要产品及产能</w:t>
            </w:r>
          </w:p>
          <w:p w14:paraId="727A628E">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本项目原有生产线年产沥青混凝土5万t/a，新增铣刨沥青生产线后，原料有所调整，年生产能力为沥青混凝土5万t/a。本项目生产能力不变。</w:t>
            </w:r>
          </w:p>
          <w:p w14:paraId="6892A384">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5.</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劳动定员及工作制度</w:t>
            </w:r>
          </w:p>
          <w:p w14:paraId="6ED5C89E">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本项目不新增劳动定员，项目工作人员由原有厂区内工作人员进行调配</w:t>
            </w: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年生产100天，每天一班，每班8小时。</w:t>
            </w:r>
          </w:p>
          <w:p w14:paraId="58A13F4D">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6.</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平面布置</w:t>
            </w:r>
          </w:p>
          <w:p w14:paraId="27294BD2">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本项目扩建后，原料堆存在原有的原料库内，新增的上料斗位于原料库内，新增的</w:t>
            </w:r>
            <w:r>
              <w:rPr>
                <w:rFonts w:ascii="Times New Roman" w:hAnsi="Times New Roman" w:eastAsia="宋体" w:cs="Times New Roman"/>
                <w:color w:val="000000" w:themeColor="text1"/>
                <w:sz w:val="21"/>
                <w:szCs w:val="21"/>
                <w:highlight w:val="none"/>
                <w14:textFill>
                  <w14:solidFill>
                    <w14:schemeClr w14:val="tx1"/>
                  </w14:solidFill>
                </w14:textFill>
              </w:rPr>
              <w:t>沥青热再生设备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挂靠在原有的沥青搅拌站上。</w:t>
            </w:r>
          </w:p>
          <w:p w14:paraId="59465A73">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厂区呈矩形布设，员工宿舍、实验室、办公室位于厂区的东南角，食堂位于厂区的西南角，天然气转换器位于厂区西侧中部，原料库位于厂区的东北角，搅拌楼位于厂区的西北角，沥青储罐位于搅拌楼的南侧，新建的沥青热再生设备挂靠在原有的搅拌楼上，锅炉和沥青储罐位于厂区的中部。</w:t>
            </w:r>
          </w:p>
          <w:p w14:paraId="7D4ADC58">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具体平面布置图详见附图。</w:t>
            </w:r>
          </w:p>
          <w:p w14:paraId="3962DD5B">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7.四邻关系</w:t>
            </w:r>
          </w:p>
          <w:p w14:paraId="6F746AA7">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本项目位于原有厂区内，厂区西侧紧邻于家湾村，东侧紧邻于家湾村，南侧44m处为燕格柏沟门，南侧440m处为伊玛图河。</w:t>
            </w:r>
          </w:p>
          <w:p w14:paraId="556938E6">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2" w:firstLineChars="200"/>
              <w:jc w:val="left"/>
              <w:textAlignment w:val="auto"/>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8.给排水情况</w:t>
            </w:r>
          </w:p>
          <w:p w14:paraId="2CE4CF31">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本项目生产过程中无生产废水产生，员工由厂区内员工调配无新增工作人员，故本项目无新增生活用水，本项目无废水外排。</w:t>
            </w:r>
          </w:p>
          <w:p w14:paraId="1C1DB37F">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Fonts w:hint="default"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9.依托工程</w:t>
            </w:r>
          </w:p>
          <w:p w14:paraId="1775FB3D">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（1）原料库</w:t>
            </w:r>
          </w:p>
          <w:p w14:paraId="7C1FCC18">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原有原料库主要存放矿粉和骨料，新增本项目生产线后，原料新增铣刨沥青。由于铣刨沥青的增加，原有项目矿粉和骨料的使用量减少，其存放量也相应的减少。原料库高5m，占地面积为3600m</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2</w:t>
            </w:r>
            <w:r>
              <w:rPr>
                <w:rFonts w:hint="eastAsia" w:cs="Times New Roman"/>
                <w:b w:val="0"/>
                <w:bCs w:val="0"/>
                <w:color w:val="000000" w:themeColor="text1"/>
                <w:sz w:val="21"/>
                <w:szCs w:val="21"/>
                <w:highlight w:val="none"/>
                <w:lang w:val="en-US" w:eastAsia="zh-CN"/>
                <w14:textFill>
                  <w14:solidFill>
                    <w14:schemeClr w14:val="tx1"/>
                  </w14:solidFill>
                </w14:textFill>
              </w:rPr>
              <w:t>，可储存矿粉和骨料5000t，本项目建成后，原料库内储存矿粉、骨料和铣刨沥青，可储存铣刨沥青2000t，矿粉和骨料3000t，故本项目原料库依托原有是可行的。</w:t>
            </w:r>
          </w:p>
          <w:p w14:paraId="51E89C4A">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（2）危险废物暂存间</w:t>
            </w:r>
          </w:p>
          <w:p w14:paraId="1746A9E8">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项目危险废物暂存间储存废润滑油、废润滑油桶、废活性炭、废焦油，新增生产线后，原有危险废物种类不变，根据“表4-17工程分析中危险废物汇总表”和“表4-19建设项目危险废物贮存场所基本情况表”可知，本项目危险废物的储存量小于危险废物暂存间的最大储存量；且原有项目危险废物暂存间位于厂区内，故本项目依托原有危险废物暂存间措施可行。</w:t>
            </w:r>
          </w:p>
          <w:p w14:paraId="1C8CCF78">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（3）环保设施</w:t>
            </w:r>
          </w:p>
          <w:p w14:paraId="01AEB14E">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原有项目为冷骨料加热，天然气燃烧器提供热源，</w:t>
            </w:r>
            <w:r>
              <w:rPr>
                <w:rFonts w:hint="eastAsia" w:cs="Times New Roman" w:eastAsiaTheme="minorEastAsia"/>
                <w:b w:val="0"/>
                <w:bCs w:val="0"/>
                <w:color w:val="000000" w:themeColor="text1"/>
                <w:sz w:val="21"/>
                <w:szCs w:val="21"/>
                <w:highlight w:val="none"/>
                <w:vertAlign w:val="baseline"/>
                <w:lang w:val="en-US" w:eastAsia="zh-CN"/>
                <w14:textFill>
                  <w14:solidFill>
                    <w14:schemeClr w14:val="tx1"/>
                  </w14:solidFill>
                </w14:textFill>
              </w:rPr>
              <w:t>天然气</w:t>
            </w:r>
            <w:r>
              <w:rPr>
                <w:rFonts w:hint="eastAsia" w:cs="Times New Roman"/>
                <w:b w:val="0"/>
                <w:bCs w:val="0"/>
                <w:color w:val="000000" w:themeColor="text1"/>
                <w:sz w:val="21"/>
                <w:szCs w:val="21"/>
                <w:highlight w:val="none"/>
                <w:lang w:val="en-US" w:eastAsia="zh-CN"/>
                <w14:textFill>
                  <w14:solidFill>
                    <w14:schemeClr w14:val="tx1"/>
                  </w14:solidFill>
                </w14:textFill>
              </w:rPr>
              <w:t>燃烧器采用低氮燃烧器，产生的废气</w:t>
            </w:r>
            <w:r>
              <w:rPr>
                <w:rFonts w:hint="eastAsia" w:cs="Times New Roman"/>
                <w:color w:val="000000" w:themeColor="text1"/>
                <w:sz w:val="21"/>
                <w:szCs w:val="21"/>
                <w:highlight w:val="none"/>
                <w:lang w:val="en-US" w:eastAsia="zh-CN"/>
                <w14:textFill>
                  <w14:solidFill>
                    <w14:schemeClr w14:val="tx1"/>
                  </w14:solidFill>
                </w14:textFill>
              </w:rPr>
              <w:t>进入</w:t>
            </w:r>
            <w:r>
              <w:rPr>
                <w:rFonts w:hint="default" w:eastAsia="宋体" w:cs="Times New Roman"/>
                <w:color w:val="000000" w:themeColor="text1"/>
                <w:sz w:val="21"/>
                <w:szCs w:val="21"/>
                <w:highlight w:val="none"/>
                <w:lang w:val="en-US" w:eastAsia="zh-CN"/>
                <w14:textFill>
                  <w14:solidFill>
                    <w14:schemeClr w14:val="tx1"/>
                  </w14:solidFill>
                </w14:textFill>
              </w:rPr>
              <w:t>布袋除尘器</w:t>
            </w:r>
            <w:r>
              <w:rPr>
                <w:rFonts w:hint="eastAsia" w:cs="Times New Roman"/>
                <w:color w:val="000000" w:themeColor="text1"/>
                <w:sz w:val="21"/>
                <w:szCs w:val="21"/>
                <w:highlight w:val="none"/>
                <w:lang w:val="en-US" w:eastAsia="zh-CN"/>
                <w14:textFill>
                  <w14:solidFill>
                    <w14:schemeClr w14:val="tx1"/>
                  </w14:solidFill>
                </w14:textFill>
              </w:rPr>
              <w:t>处理</w:t>
            </w:r>
            <w:r>
              <w:rPr>
                <w:rFonts w:hint="eastAsia" w:cs="Times New Roman"/>
                <w:b w:val="0"/>
                <w:bCs w:val="0"/>
                <w:color w:val="000000" w:themeColor="text1"/>
                <w:sz w:val="21"/>
                <w:szCs w:val="21"/>
                <w:highlight w:val="none"/>
                <w:lang w:val="en-US" w:eastAsia="zh-CN"/>
                <w14:textFill>
                  <w14:solidFill>
                    <w14:schemeClr w14:val="tx1"/>
                  </w14:solidFill>
                </w14:textFill>
              </w:rPr>
              <w:t>，通过一根15m高的排气筒排放（DA001）；新建项目铣刨沥青需进行加热，燃烧器为其提供热源，同样天然气燃气燃烧器加热会产生颗粒物、二氧化硫和氮氧化物，该工序采用低氮燃烧器，产生的废气</w:t>
            </w:r>
            <w:r>
              <w:rPr>
                <w:rFonts w:hint="eastAsia" w:cs="Times New Roman"/>
                <w:color w:val="000000" w:themeColor="text1"/>
                <w:sz w:val="21"/>
                <w:szCs w:val="21"/>
                <w:highlight w:val="none"/>
                <w:lang w:val="en-US" w:eastAsia="zh-CN"/>
                <w14:textFill>
                  <w14:solidFill>
                    <w14:schemeClr w14:val="tx1"/>
                  </w14:solidFill>
                </w14:textFill>
              </w:rPr>
              <w:t>进入</w:t>
            </w:r>
            <w:r>
              <w:rPr>
                <w:rFonts w:hint="default" w:eastAsia="宋体" w:cs="Times New Roman"/>
                <w:color w:val="000000" w:themeColor="text1"/>
                <w:sz w:val="21"/>
                <w:szCs w:val="21"/>
                <w:highlight w:val="none"/>
                <w:lang w:val="en-US" w:eastAsia="zh-CN"/>
                <w14:textFill>
                  <w14:solidFill>
                    <w14:schemeClr w14:val="tx1"/>
                  </w14:solidFill>
                </w14:textFill>
              </w:rPr>
              <w:t>布袋除尘器</w:t>
            </w:r>
            <w:r>
              <w:rPr>
                <w:rFonts w:hint="eastAsia" w:cs="Times New Roman"/>
                <w:color w:val="000000" w:themeColor="text1"/>
                <w:sz w:val="21"/>
                <w:szCs w:val="21"/>
                <w:highlight w:val="none"/>
                <w:lang w:val="en-US" w:eastAsia="zh-CN"/>
                <w14:textFill>
                  <w14:solidFill>
                    <w14:schemeClr w14:val="tx1"/>
                  </w14:solidFill>
                </w14:textFill>
              </w:rPr>
              <w:t>处理</w:t>
            </w:r>
            <w:r>
              <w:rPr>
                <w:rFonts w:hint="eastAsia" w:cs="Times New Roman"/>
                <w:b w:val="0"/>
                <w:bCs w:val="0"/>
                <w:color w:val="000000" w:themeColor="text1"/>
                <w:sz w:val="21"/>
                <w:szCs w:val="21"/>
                <w:highlight w:val="none"/>
                <w:lang w:val="en-US" w:eastAsia="zh-CN"/>
                <w14:textFill>
                  <w14:solidFill>
                    <w14:schemeClr w14:val="tx1"/>
                  </w14:solidFill>
                </w14:textFill>
              </w:rPr>
              <w:t>，通过一根15m高的排气筒排放（DA001），根据“表4-1各工序污染物产生和排放情况一览表”源强计算可知，颗粒物、二氧化硫和氮氧化物的排放浓度满足《工业炉窑大气污染物排放标准》（DB13/1640-2012）表1、表2中新建炉窑标准并同时满足《承德市工业炉窑综合治理实施方案》（承环办[2020]72 号）中相关限值中的相关要求</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，故本项目</w:t>
            </w:r>
            <w:r>
              <w:rPr>
                <w:rFonts w:hint="eastAsia" w:cs="Times New Roman"/>
                <w:b w:val="0"/>
                <w:bCs w:val="0"/>
                <w:color w:val="000000" w:themeColor="text1"/>
                <w:sz w:val="21"/>
                <w:szCs w:val="21"/>
                <w:highlight w:val="none"/>
                <w:lang w:val="en-US" w:eastAsia="zh-CN"/>
                <w14:textFill>
                  <w14:solidFill>
                    <w14:schemeClr w14:val="tx1"/>
                  </w14:solidFill>
                </w14:textFill>
              </w:rPr>
              <w:t>颗粒物、二氧化硫和氮氧化物污染物的处理措施依托原有可行。</w:t>
            </w:r>
          </w:p>
          <w:p w14:paraId="668FADCB">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原有项目沥青通过导热油炉加热，沥青罐内的沥青加热至190℃-200℃，产生废气包含非甲烷总烃、沥青烟、苯并[a]芘；原有项目在搅拌过程中，沥青温度保持在180℃左右，产生废气包含非甲烷总烃、沥青烟、苯并[a]芘，原有项目这两个工序产生的废气经环保设施收集后，由一根管道进入“</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b w:val="0"/>
                <w:bCs w:val="0"/>
                <w:color w:val="000000" w:themeColor="text1"/>
                <w:sz w:val="21"/>
                <w:szCs w:val="21"/>
                <w:highlight w:val="none"/>
                <w:lang w:val="en-US" w:eastAsia="zh-CN"/>
                <w14:textFill>
                  <w14:solidFill>
                    <w14:schemeClr w14:val="tx1"/>
                  </w14:solidFill>
                </w14:textFill>
              </w:rPr>
              <w:t>”处理装置处理，通过一根15m高的排气筒外排（DA001）。新增本项目生产线后，铣刨沥青加热，铣刨沥青温度加热至190℃-200℃，干燥滚筒内产生的废气包含非甲烷总烃、沥青烟、苯并[a]芘，该工序产生的污染物经环保设施收集后同上述两道工序产生的非甲烷总烃、沥青烟、苯并[a]芘由一根管道进入“</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b w:val="0"/>
                <w:bCs w:val="0"/>
                <w:color w:val="000000" w:themeColor="text1"/>
                <w:sz w:val="21"/>
                <w:szCs w:val="21"/>
                <w:highlight w:val="none"/>
                <w:lang w:val="en-US" w:eastAsia="zh-CN"/>
                <w14:textFill>
                  <w14:solidFill>
                    <w14:schemeClr w14:val="tx1"/>
                  </w14:solidFill>
                </w14:textFill>
              </w:rPr>
              <w:t>”处理装置处理，通过一根15m高的排气筒外排（DA001），根据“表4-1各工序污染物产生和排放情况一览表”中该排气筒的污染物源强核算可知，非甲烷总烃满足《工业企业挥发性有机物排放控制标准》（DB13/2322-2016）表1其他行业标准；苯并[a]芘、沥青烟满足《大气污染物综合排放标准》（GB16297-1996）表2中二级标准，故本项目非甲烷总烃、沥青烟、苯并[a]芘污染物的处理措施依托原有可行。</w:t>
            </w:r>
          </w:p>
          <w:p w14:paraId="716ECA3D">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10.建设进度</w:t>
            </w:r>
          </w:p>
          <w:p w14:paraId="5C385A2D">
            <w:pPr>
              <w:pStyle w:val="9"/>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本工程建设周期约</w:t>
            </w:r>
            <w:r>
              <w:rPr>
                <w:rFonts w:hint="eastAsia" w:cs="Times New Roman"/>
                <w:b w:val="0"/>
                <w:bCs w:val="0"/>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个月，计划于2024年</w:t>
            </w:r>
            <w:r>
              <w:rPr>
                <w:rFonts w:hint="eastAsia" w:cs="Times New Roman"/>
                <w:b w:val="0"/>
                <w:bCs w:val="0"/>
                <w:color w:val="000000" w:themeColor="text1"/>
                <w:highlight w:val="none"/>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月开工建设，预计2024年</w:t>
            </w:r>
            <w:r>
              <w:rPr>
                <w:rFonts w:hint="eastAsia" w:cs="Times New Roman"/>
                <w:b w:val="0"/>
                <w:bCs w:val="0"/>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月投产使用。</w:t>
            </w:r>
          </w:p>
        </w:tc>
      </w:tr>
      <w:tr w14:paraId="7B383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7" w:type="dxa"/>
            <w:vAlign w:val="center"/>
          </w:tcPr>
          <w:p w14:paraId="064F8D03">
            <w:pPr>
              <w:pStyle w:val="26"/>
              <w:pageBreakBefore w:val="0"/>
              <w:kinsoku/>
              <w:wordWrap w:val="0"/>
              <w:overflowPunct/>
              <w:bidi w:val="0"/>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工艺流程和产排污环节</w:t>
            </w:r>
          </w:p>
        </w:tc>
        <w:tc>
          <w:tcPr>
            <w:tcW w:w="8453" w:type="dxa"/>
          </w:tcPr>
          <w:p w14:paraId="7B36FE80">
            <w:pPr>
              <w:pStyle w:val="9"/>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1.施工期工艺流程</w:t>
            </w:r>
          </w:p>
          <w:p w14:paraId="31B6B32D">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本项目</w:t>
            </w:r>
            <w:r>
              <w:rPr>
                <w:rFonts w:hint="eastAsia" w:cs="Times New Roman"/>
                <w:b w:val="0"/>
                <w:bCs w:val="0"/>
                <w:color w:val="000000" w:themeColor="text1"/>
                <w:highlight w:val="none"/>
                <w:lang w:val="en-US" w:eastAsia="zh-CN"/>
                <w14:textFill>
                  <w14:solidFill>
                    <w14:schemeClr w14:val="tx1"/>
                  </w14:solidFill>
                </w14:textFill>
              </w:rPr>
              <w:t>位于承德路瑞公路养护工程有限公司院内，挂靠在原有设备上</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，施工期主要工程为主体工程的改造和场地的清理等，产污环节主要为</w:t>
            </w:r>
            <w:r>
              <w:rPr>
                <w:rFonts w:hint="eastAsia"/>
                <w:color w:val="000000" w:themeColor="text1"/>
                <w:sz w:val="21"/>
                <w:szCs w:val="21"/>
                <w:highlight w:val="none"/>
                <w:lang w:val="en-US" w:eastAsia="zh-CN"/>
                <w14:textFill>
                  <w14:solidFill>
                    <w14:schemeClr w14:val="tx1"/>
                  </w14:solidFill>
                </w14:textFill>
              </w:rPr>
              <w:t>主体工程施工、设备安装、表面修整、现场清理等工程产生的施工扬尘、生活污水、机械噪声、生活垃圾及建筑垃圾，施工期污染物的排放均呈现间断排放特征。</w:t>
            </w:r>
          </w:p>
          <w:p w14:paraId="53A08E2C">
            <w:pPr>
              <w:pStyle w:val="9"/>
              <w:keepNext w:val="0"/>
              <w:keepLines w:val="0"/>
              <w:pageBreakBefore w:val="0"/>
              <w:widowControl w:val="0"/>
              <w:numPr>
                <w:ilvl w:val="0"/>
                <w:numId w:val="3"/>
              </w:numPr>
              <w:kinsoku/>
              <w:wordWrap w:val="0"/>
              <w:overflowPunct/>
              <w:topLinePunct w:val="0"/>
              <w:autoSpaceDE/>
              <w:autoSpaceDN/>
              <w:bidi w:val="0"/>
              <w:adjustRightInd/>
              <w:snapToGrid/>
              <w:spacing w:line="480" w:lineRule="exact"/>
              <w:ind w:firstLine="422" w:firstLineChars="200"/>
              <w:textAlignment w:val="auto"/>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运用期工艺流程</w:t>
            </w:r>
          </w:p>
          <w:p w14:paraId="742E3F51">
            <w:pPr>
              <w:pStyle w:val="9"/>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工艺流程：</w:t>
            </w:r>
          </w:p>
          <w:p w14:paraId="716BA555">
            <w:pPr>
              <w:pStyle w:val="9"/>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1）回收的铣刨沥青暂存于原料库内，通过装载机将铣刨沥青通过装载机运送至破碎机的上料口，破碎后的铣刨沥青经筛分后筛下物通过皮带进入新建的上料仓，筛上物通过皮带输送至破碎机再次破碎形成闭环；</w:t>
            </w:r>
          </w:p>
          <w:p w14:paraId="3A603899">
            <w:pPr>
              <w:pStyle w:val="9"/>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（2）筛分后的铣刨沥青通过上料仓的下料口落至输送皮带，通过冷料提升机运送至</w:t>
            </w:r>
            <w:r>
              <w:rPr>
                <w:rFonts w:hint="eastAsia" w:cs="Times New Roman"/>
                <w:color w:val="000000" w:themeColor="text1"/>
                <w:sz w:val="21"/>
                <w:szCs w:val="21"/>
                <w:highlight w:val="none"/>
                <w:lang w:eastAsia="zh-CN"/>
                <w14:textFill>
                  <w14:solidFill>
                    <w14:schemeClr w14:val="tx1"/>
                  </w14:solidFill>
                </w14:textFill>
              </w:rPr>
              <w:t>干燥滚筒</w:t>
            </w:r>
            <w:r>
              <w:rPr>
                <w:rFonts w:hint="eastAsia" w:cs="Times New Roman"/>
                <w:b w:val="0"/>
                <w:bCs w:val="0"/>
                <w:color w:val="000000" w:themeColor="text1"/>
                <w:highlight w:val="none"/>
                <w:lang w:val="en-US" w:eastAsia="zh-CN"/>
                <w14:textFill>
                  <w14:solidFill>
                    <w14:schemeClr w14:val="tx1"/>
                  </w14:solidFill>
                </w14:textFill>
              </w:rPr>
              <w:t>内；</w:t>
            </w:r>
          </w:p>
          <w:p w14:paraId="34BA3D55">
            <w:pPr>
              <w:pStyle w:val="9"/>
              <w:keepNext w:val="0"/>
              <w:keepLines w:val="0"/>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（3）干燥滚筒通过</w:t>
            </w:r>
            <w:r>
              <w:rPr>
                <w:rFonts w:hint="default" w:cs="Times New Roman"/>
                <w:b w:val="0"/>
                <w:bCs w:val="0"/>
                <w:color w:val="000000" w:themeColor="text1"/>
                <w:highlight w:val="none"/>
                <w:lang w:val="en-US" w:eastAsia="zh-CN"/>
                <w14:textFill>
                  <w14:solidFill>
                    <w14:schemeClr w14:val="tx1"/>
                  </w14:solidFill>
                </w14:textFill>
              </w:rPr>
              <w:t>燃气燃烧器</w:t>
            </w:r>
            <w:r>
              <w:rPr>
                <w:rFonts w:hint="eastAsia" w:cs="Times New Roman"/>
                <w:b w:val="0"/>
                <w:bCs w:val="0"/>
                <w:color w:val="000000" w:themeColor="text1"/>
                <w:highlight w:val="none"/>
                <w:lang w:val="en-US" w:eastAsia="zh-CN"/>
                <w14:textFill>
                  <w14:solidFill>
                    <w14:schemeClr w14:val="tx1"/>
                  </w14:solidFill>
                </w14:textFill>
              </w:rPr>
              <w:t>进行加热（加热温度190-200℃），加热后的铣刨沥青进行称量配料进入搅拌器同原生料（原有项目的沥青、冷骨料）进行搅拌，此时沥青混凝土的温度在180℃左右，不会发生凝固。搅拌完成后出料，由于卸料口和罐车之间为密闭连接，因此外排的沥青烟气极少。</w:t>
            </w:r>
          </w:p>
          <w:p w14:paraId="5E58F589">
            <w:pPr>
              <w:pStyle w:val="9"/>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注：本次提升改造铣刨沥青作为原料同原生料一起搅拌生产成品，由于有铣刨沥青的加入，原生料内沥青和冷骨料的用量会相应的减少。</w:t>
            </w:r>
          </w:p>
          <w:p w14:paraId="13A9DD34">
            <w:pPr>
              <w:pStyle w:val="9"/>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drawing>
                <wp:inline distT="0" distB="0" distL="114300" distR="114300">
                  <wp:extent cx="5259705" cy="4667250"/>
                  <wp:effectExtent l="0" t="0" r="0" b="0"/>
                  <wp:docPr id="31" name="图片 31"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工艺流程"/>
                          <pic:cNvPicPr>
                            <a:picLocks noChangeAspect="1"/>
                          </pic:cNvPicPr>
                        </pic:nvPicPr>
                        <pic:blipFill>
                          <a:blip r:embed="rId16"/>
                          <a:stretch>
                            <a:fillRect/>
                          </a:stretch>
                        </pic:blipFill>
                        <pic:spPr>
                          <a:xfrm>
                            <a:off x="0" y="0"/>
                            <a:ext cx="5259705" cy="4667250"/>
                          </a:xfrm>
                          <a:prstGeom prst="rect">
                            <a:avLst/>
                          </a:prstGeom>
                        </pic:spPr>
                      </pic:pic>
                    </a:graphicData>
                  </a:graphic>
                </wp:inline>
              </w:drawing>
            </w:r>
            <w:r>
              <w:rPr>
                <w:color w:val="000000" w:themeColor="text1"/>
                <w:sz w:val="21"/>
                <w:highlight w:val="none"/>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240030</wp:posOffset>
                      </wp:positionH>
                      <wp:positionV relativeFrom="paragraph">
                        <wp:posOffset>80010</wp:posOffset>
                      </wp:positionV>
                      <wp:extent cx="4728845" cy="4591050"/>
                      <wp:effectExtent l="12700" t="12700" r="20955" b="25400"/>
                      <wp:wrapNone/>
                      <wp:docPr id="3" name="组合 3"/>
                      <wp:cNvGraphicFramePr/>
                      <a:graphic xmlns:a="http://schemas.openxmlformats.org/drawingml/2006/main">
                        <a:graphicData uri="http://schemas.microsoft.com/office/word/2010/wordprocessingGroup">
                          <wpg:wgp>
                            <wpg:cNvGrpSpPr/>
                            <wpg:grpSpPr>
                              <a:xfrm>
                                <a:off x="0" y="0"/>
                                <a:ext cx="4728845" cy="4591050"/>
                                <a:chOff x="2679" y="413024"/>
                                <a:chExt cx="7447" cy="7230"/>
                              </a:xfrm>
                            </wpg:grpSpPr>
                            <wps:wsp>
                              <wps:cNvPr id="16" name="矩形 16"/>
                              <wps:cNvSpPr/>
                              <wps:spPr>
                                <a:xfrm>
                                  <a:off x="3022" y="419150"/>
                                  <a:ext cx="1860" cy="87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4660DD7">
                                    <w:pPr>
                                      <w:jc w:val="righ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原有项目</w:t>
                                    </w:r>
                                  </w:p>
                                  <w:p w14:paraId="4837C0B6">
                                    <w:pPr>
                                      <w:jc w:val="righ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扩建项目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29"/>
                              <wps:cNvSpPr/>
                              <wps:spPr>
                                <a:xfrm>
                                  <a:off x="3217" y="419375"/>
                                  <a:ext cx="585" cy="165"/>
                                </a:xfrm>
                                <a:prstGeom prst="rect">
                                  <a:avLst/>
                                </a:prstGeom>
                                <a:noFill/>
                                <a:ln>
                                  <a:solidFill>
                                    <a:srgbClr val="00B0F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矩形 30"/>
                              <wps:cNvSpPr/>
                              <wps:spPr>
                                <a:xfrm>
                                  <a:off x="3217" y="419675"/>
                                  <a:ext cx="585" cy="165"/>
                                </a:xfrm>
                                <a:prstGeom prst="rect">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任意多边形 28"/>
                              <wps:cNvSpPr/>
                              <wps:spPr>
                                <a:xfrm>
                                  <a:off x="2679" y="413125"/>
                                  <a:ext cx="6529" cy="7096"/>
                                </a:xfrm>
                                <a:custGeom>
                                  <a:avLst/>
                                  <a:gdLst>
                                    <a:gd name="connisteX0" fmla="*/ 14605 w 4145915"/>
                                    <a:gd name="connsiteY0" fmla="*/ 0 h 4505960"/>
                                    <a:gd name="connisteX1" fmla="*/ 2691765 w 4145915"/>
                                    <a:gd name="connsiteY1" fmla="*/ 5080 h 4505960"/>
                                    <a:gd name="connisteX2" fmla="*/ 2681605 w 4145915"/>
                                    <a:gd name="connsiteY2" fmla="*/ 3368675 h 4505960"/>
                                    <a:gd name="connisteX3" fmla="*/ 4145915 w 4145915"/>
                                    <a:gd name="connsiteY3" fmla="*/ 3353435 h 4505960"/>
                                    <a:gd name="connisteX4" fmla="*/ 4135755 w 4145915"/>
                                    <a:gd name="connsiteY4" fmla="*/ 4505960 h 4505960"/>
                                    <a:gd name="connisteX5" fmla="*/ 0 w 4145915"/>
                                    <a:gd name="connsiteY5" fmla="*/ 4496435 h 4505960"/>
                                    <a:gd name="connisteX6" fmla="*/ 14605 w 4145915"/>
                                    <a:gd name="connsiteY6" fmla="*/ 0 h 45059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4145915" h="4505960">
                                      <a:moveTo>
                                        <a:pt x="14605" y="0"/>
                                      </a:moveTo>
                                      <a:lnTo>
                                        <a:pt x="2691765" y="5080"/>
                                      </a:lnTo>
                                      <a:lnTo>
                                        <a:pt x="2681605" y="3368675"/>
                                      </a:lnTo>
                                      <a:lnTo>
                                        <a:pt x="4145915" y="3353435"/>
                                      </a:lnTo>
                                      <a:lnTo>
                                        <a:pt x="4135755" y="4505960"/>
                                      </a:lnTo>
                                      <a:lnTo>
                                        <a:pt x="0" y="4496435"/>
                                      </a:lnTo>
                                      <a:lnTo>
                                        <a:pt x="14605" y="0"/>
                                      </a:lnTo>
                                      <a:close/>
                                    </a:path>
                                  </a:pathLst>
                                </a:custGeom>
                                <a:noFill/>
                                <a:ln>
                                  <a:solidFill>
                                    <a:srgbClr val="00B0F0"/>
                                  </a:solidFill>
                                  <a:prstDash val="dash"/>
                                </a:ln>
                              </wps:spPr>
                              <wps:style>
                                <a:lnRef idx="2">
                                  <a:schemeClr val="accent1">
                                    <a:lumMod val="75000"/>
                                  </a:schemeClr>
                                </a:lnRef>
                                <a:fillRef idx="1">
                                  <a:schemeClr val="accent1"/>
                                </a:fillRef>
                                <a:effectRef idx="0">
                                  <a:srgbClr val="FFFFFF"/>
                                </a:effectRef>
                                <a:fontRef idx="minor">
                                  <a:schemeClr val="lt1"/>
                                </a:fontRef>
                              </wps:style>
                              <wps:bodyPr/>
                            </wps:wsp>
                            <wps:wsp>
                              <wps:cNvPr id="33" name="任意多边形 33"/>
                              <wps:cNvSpPr/>
                              <wps:spPr>
                                <a:xfrm>
                                  <a:off x="5536" y="413024"/>
                                  <a:ext cx="4590" cy="7230"/>
                                </a:xfrm>
                                <a:custGeom>
                                  <a:avLst/>
                                  <a:gdLst>
                                    <a:gd name="connisteX0" fmla="*/ 857250 w 2914650"/>
                                    <a:gd name="connsiteY0" fmla="*/ 3390900 h 4591050"/>
                                    <a:gd name="connisteX1" fmla="*/ 9525 w 2914650"/>
                                    <a:gd name="connsiteY1" fmla="*/ 3400425 h 4591050"/>
                                    <a:gd name="connisteX2" fmla="*/ 0 w 2914650"/>
                                    <a:gd name="connsiteY2" fmla="*/ 4591050 h 4591050"/>
                                    <a:gd name="connisteX3" fmla="*/ 2886075 w 2914650"/>
                                    <a:gd name="connsiteY3" fmla="*/ 4572000 h 4591050"/>
                                    <a:gd name="connisteX4" fmla="*/ 2914650 w 2914650"/>
                                    <a:gd name="connsiteY4" fmla="*/ 0 h 4591050"/>
                                    <a:gd name="connisteX5" fmla="*/ 933450 w 2914650"/>
                                    <a:gd name="connsiteY5" fmla="*/ 28575 h 4591050"/>
                                    <a:gd name="connisteX6" fmla="*/ 920750 w 2914650"/>
                                    <a:gd name="connsiteY6" fmla="*/ 3389630 h 4591050"/>
                                    <a:gd name="connisteX7" fmla="*/ 857250 w 2914650"/>
                                    <a:gd name="connsiteY7" fmla="*/ 3390900 h 45910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2914650" h="4591050">
                                      <a:moveTo>
                                        <a:pt x="857250" y="3390900"/>
                                      </a:moveTo>
                                      <a:lnTo>
                                        <a:pt x="9525" y="3400425"/>
                                      </a:lnTo>
                                      <a:lnTo>
                                        <a:pt x="0" y="4591050"/>
                                      </a:lnTo>
                                      <a:lnTo>
                                        <a:pt x="2886075" y="4572000"/>
                                      </a:lnTo>
                                      <a:lnTo>
                                        <a:pt x="2914650" y="0"/>
                                      </a:lnTo>
                                      <a:lnTo>
                                        <a:pt x="933450" y="28575"/>
                                      </a:lnTo>
                                      <a:lnTo>
                                        <a:pt x="920750" y="3389630"/>
                                      </a:lnTo>
                                      <a:lnTo>
                                        <a:pt x="857250" y="3390900"/>
                                      </a:lnTo>
                                      <a:close/>
                                    </a:path>
                                  </a:pathLst>
                                </a:cu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wps:wsp>
                          </wpg:wgp>
                        </a:graphicData>
                      </a:graphic>
                    </wp:anchor>
                  </w:drawing>
                </mc:Choice>
                <mc:Fallback>
                  <w:pict>
                    <v:group id="_x0000_s1026" o:spid="_x0000_s1026" o:spt="203" style="position:absolute;left:0pt;margin-left:18.9pt;margin-top:6.3pt;height:361.5pt;width:372.35pt;z-index:251670528;mso-width-relative:page;mso-height-relative:page;" coordorigin="2679,413024" coordsize="7447,7230" o:gfxdata="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geuKstoAAAAJ&#10;AQAADwAAAAAAAAABACAAAAAiAAAAZHJzL2Rvd25yZXYueG1sUEsBAhQAFAAAAAgAh07iQKtj+vtV&#10;BgAAmRwAAA4AAAAAAAAAAQAgAAAAKQEAAGRycy9lMm9Eb2MueG1sUEsFBgAAAAAGAAYAWQEAAPAJ&#10;AAAAAA==&#10;">
                      <o:lock v:ext="edit" aspectratio="f"/>
                      <v:rect id="_x0000_s1026" o:spid="_x0000_s1026" o:spt="1" style="position:absolute;left:3022;top:419150;height:870;width:1860;v-text-anchor:middle;" filled="f" stroked="t" coordsize="21600,21600" o:gfxdata="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zPYG8AAAA&#10;2wAAAA8AAAAAAAAAAQAgAAAAIgAAAGRycy9kb3ducmV2LnhtbFBLAQIUABQAAAAIAIdO4kAzLwWe&#10;OwAAADkAAAAQAAAAAAAAAAEAIAAAAAsBAABkcnMvc2hhcGV4bWwueG1sUEsFBgAAAAAGAAYAWwEA&#10;ALUDAAAAAA==&#10;">
                        <v:fill on="f" focussize="0,0"/>
                        <v:stroke weight="2pt" color="#000000 [3213]" joinstyle="round"/>
                        <v:imagedata o:title=""/>
                        <o:lock v:ext="edit" aspectratio="f"/>
                        <v:textbox>
                          <w:txbxContent>
                            <w:p w14:paraId="04660DD7">
                              <w:pPr>
                                <w:jc w:val="righ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原有项目</w:t>
                              </w:r>
                            </w:p>
                            <w:p w14:paraId="4837C0B6">
                              <w:pPr>
                                <w:jc w:val="righ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扩建项目</w:t>
                              </w:r>
                            </w:p>
                          </w:txbxContent>
                        </v:textbox>
                      </v:rect>
                      <v:rect id="_x0000_s1026" o:spid="_x0000_s1026" o:spt="1" style="position:absolute;left:3217;top:419375;height:165;width:585;v-text-anchor:middle;" filled="f" stroked="t" coordsize="21600,21600" o:gfxdata="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hFky5AAAA2wAA&#10;AA8AAAAAAAAAAQAgAAAAIgAAAGRycy9kb3ducmV2LnhtbFBLAQIUABQAAAAIAIdO4kAzLwWeOwAA&#10;ADkAAAAQAAAAAAAAAAEAIAAAAAgBAABkcnMvc2hhcGV4bWwueG1sUEsFBgAAAAAGAAYAWwEAALID&#10;AAAAAA==&#10;">
                        <v:fill on="f" focussize="0,0"/>
                        <v:stroke weight="2pt" color="#00B0F0 [2404]" joinstyle="round" dashstyle="dash"/>
                        <v:imagedata o:title=""/>
                        <o:lock v:ext="edit" aspectratio="f"/>
                      </v:rect>
                      <v:rect id="_x0000_s1026" o:spid="_x0000_s1026" o:spt="1" style="position:absolute;left:3217;top:419675;height:165;width:585;v-text-anchor:middle;" filled="f" stroked="t" coordsize="21600,21600" o:gfxdata="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d03bsAAADb&#10;AAAADwAAAAAAAAABACAAAAAiAAAAZHJzL2Rvd25yZXYueG1sUEsBAhQAFAAAAAgAh07iQDMvBZ47&#10;AAAAOQAAABAAAAAAAAAAAQAgAAAACgEAAGRycy9zaGFwZXhtbC54bWxQSwUGAAAAAAYABgBbAQAA&#10;tAMAAAAA&#10;">
                        <v:fill on="f" focussize="0,0"/>
                        <v:stroke weight="2pt" color="#FF0000 [2404]" joinstyle="round" dashstyle="dash"/>
                        <v:imagedata o:title=""/>
                        <o:lock v:ext="edit" aspectratio="f"/>
                      </v:rect>
                      <v:shape id="_x0000_s1026" o:spid="_x0000_s1026" o:spt="100" style="position:absolute;left:2679;top:413125;height:7096;width:6529;" filled="f" stroked="t" coordsize="4145915,4505960" o:gfxdata="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txQGtwAAANsAAAAP&#10;AAAAAAAAAAEAIAAAACIAAABkcnMvZG93bnJldi54bWxQSwECFAAUAAAACACHTuJAMy8FnjsAAAA5&#10;AAAAEAAAAAAAAAABACAAAAAGAQAAZHJzL3NoYXBleG1sLnhtbFBLBQYAAAAABgAGAFsBAACwAwAA&#10;AAA=&#10;" path="m14605,0l2691765,5080,2681605,3368675,4145915,3353435,4135755,4505960,0,4496435,14605,0xe">
                        <v:path o:connectlocs="23,0;4239,8;4223,5305;6529,5281;6513,7096;0,7081;23,0" o:connectangles="0,0,0,0,0,0,0"/>
                        <v:fill on="f" focussize="0,0"/>
                        <v:stroke weight="2pt" color="#00B0F0 [2404]" joinstyle="round" dashstyle="dash"/>
                        <v:imagedata o:title=""/>
                        <o:lock v:ext="edit" aspectratio="f"/>
                      </v:shape>
                      <v:shape id="_x0000_s1026" o:spid="_x0000_s1026" o:spt="100" style="position:absolute;left:5536;top:413024;height:7230;width:4590;" filled="f" stroked="t" coordsize="2914650,4591050" o:gfxdata="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iaSFrsAAADb&#10;AAAADwAAAAAAAAABACAAAAAiAAAAZHJzL2Rvd25yZXYueG1sUEsBAhQAFAAAAAgAh07iQDMvBZ47&#10;AAAAOQAAABAAAAAAAAAAAQAgAAAACgEAAGRycy9zaGFwZXhtbC54bWxQSwUGAAAAAAYABgBbAQAA&#10;tAMAAAAA&#10;" path="m857250,3390900l9525,3400425,0,4591050,2886075,4572000,2914650,0,933450,28575,920750,3389630,857250,3390900xe">
                        <v:path o:connectlocs="1350,5340;15,5355;0,7230;4545,7200;4590,0;1470,45;1450,5338;1350,5340" o:connectangles="0,0,0,0,0,0,0,0"/>
                        <v:fill on="f" focussize="0,0"/>
                        <v:stroke weight="2pt" color="#FF0000 [2404]" joinstyle="round" dashstyle="dash"/>
                        <v:imagedata o:title=""/>
                        <o:lock v:ext="edit" aspectratio="f"/>
                      </v:shape>
                    </v:group>
                  </w:pict>
                </mc:Fallback>
              </mc:AlternateContent>
            </w:r>
          </w:p>
          <w:p w14:paraId="531F16F0">
            <w:pPr>
              <w:pStyle w:val="9"/>
              <w:keepNext w:val="0"/>
              <w:keepLines w:val="0"/>
              <w:pageBreakBefore w:val="0"/>
              <w:widowControl w:val="0"/>
              <w:kinsoku/>
              <w:wordWrap w:val="0"/>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b/>
                <w:bCs/>
                <w:color w:val="000000" w:themeColor="text1"/>
                <w:highlight w:val="none"/>
                <w14:textFill>
                  <w14:solidFill>
                    <w14:schemeClr w14:val="tx1"/>
                  </w14:solidFill>
                </w14:textFill>
              </w:rPr>
              <w:t>图</w:t>
            </w:r>
            <w:r>
              <w:rPr>
                <w:rFonts w:hint="eastAsia"/>
                <w:b/>
                <w:bCs/>
                <w:color w:val="000000" w:themeColor="text1"/>
                <w:highlight w:val="none"/>
                <w14:textFill>
                  <w14:solidFill>
                    <w14:schemeClr w14:val="tx1"/>
                  </w14:solidFill>
                </w14:textFill>
              </w:rPr>
              <w:t>2-</w:t>
            </w:r>
            <w:r>
              <w:rPr>
                <w:rFonts w:hint="eastAsia"/>
                <w:b/>
                <w:bCs/>
                <w:color w:val="000000" w:themeColor="text1"/>
                <w:highlight w:val="none"/>
                <w:lang w:val="en-US" w:eastAsia="zh-CN"/>
                <w14:textFill>
                  <w14:solidFill>
                    <w14:schemeClr w14:val="tx1"/>
                  </w14:solidFill>
                </w14:textFill>
              </w:rPr>
              <w:t>1</w:t>
            </w:r>
            <w:r>
              <w:rPr>
                <w:b/>
                <w:bCs/>
                <w:color w:val="000000" w:themeColor="text1"/>
                <w:highlight w:val="none"/>
                <w14:textFill>
                  <w14:solidFill>
                    <w14:schemeClr w14:val="tx1"/>
                  </w14:solidFill>
                </w14:textFill>
              </w:rPr>
              <w:t xml:space="preserve"> </w:t>
            </w:r>
            <w:r>
              <w:rPr>
                <w:rFonts w:hint="eastAsia"/>
                <w:b/>
                <w:bCs/>
                <w:color w:val="000000" w:themeColor="text1"/>
                <w:highlight w:val="none"/>
                <w:lang w:val="en-US" w:eastAsia="zh-CN"/>
                <w14:textFill>
                  <w14:solidFill>
                    <w14:schemeClr w14:val="tx1"/>
                  </w14:solidFill>
                </w14:textFill>
              </w:rPr>
              <w:t>运营期</w:t>
            </w:r>
            <w:r>
              <w:rPr>
                <w:b/>
                <w:bCs/>
                <w:color w:val="000000" w:themeColor="text1"/>
                <w:highlight w:val="none"/>
                <w14:textFill>
                  <w14:solidFill>
                    <w14:schemeClr w14:val="tx1"/>
                  </w14:solidFill>
                </w14:textFill>
              </w:rPr>
              <w:t>工艺流程</w:t>
            </w:r>
            <w:r>
              <w:rPr>
                <w:rFonts w:hint="eastAsia"/>
                <w:b/>
                <w:bCs/>
                <w:color w:val="000000" w:themeColor="text1"/>
                <w:highlight w:val="none"/>
                <w:lang w:val="en-US" w:eastAsia="zh-CN"/>
                <w14:textFill>
                  <w14:solidFill>
                    <w14:schemeClr w14:val="tx1"/>
                  </w14:solidFill>
                </w14:textFill>
              </w:rPr>
              <w:t>及排污节点</w:t>
            </w:r>
            <w:r>
              <w:rPr>
                <w:b/>
                <w:bCs/>
                <w:color w:val="000000" w:themeColor="text1"/>
                <w:highlight w:val="none"/>
                <w14:textFill>
                  <w14:solidFill>
                    <w14:schemeClr w14:val="tx1"/>
                  </w14:solidFill>
                </w14:textFill>
              </w:rPr>
              <w:t>图</w:t>
            </w:r>
          </w:p>
          <w:p w14:paraId="05AF52CA">
            <w:pPr>
              <w:pStyle w:val="9"/>
              <w:keepNext w:val="0"/>
              <w:keepLines w:val="0"/>
              <w:pageBreakBefore w:val="0"/>
              <w:widowControl w:val="0"/>
              <w:kinsoku/>
              <w:wordWrap w:val="0"/>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表2-</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6</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运营期产污节点一览表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28"/>
              <w:gridCol w:w="533"/>
              <w:gridCol w:w="915"/>
              <w:gridCol w:w="1320"/>
              <w:gridCol w:w="649"/>
              <w:gridCol w:w="357"/>
              <w:gridCol w:w="3516"/>
            </w:tblGrid>
            <w:tr w14:paraId="288C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blHeader/>
              </w:trPr>
              <w:tc>
                <w:tcPr>
                  <w:tcW w:w="928" w:type="dxa"/>
                  <w:noWrap w:val="0"/>
                  <w:vAlign w:val="center"/>
                </w:tcPr>
                <w:p w14:paraId="7DFE6357">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533" w:type="dxa"/>
                  <w:noWrap w:val="0"/>
                  <w:vAlign w:val="center"/>
                </w:tcPr>
                <w:p w14:paraId="2625A56D">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915" w:type="dxa"/>
                  <w:noWrap w:val="0"/>
                  <w:vAlign w:val="center"/>
                </w:tcPr>
                <w:p w14:paraId="2076E186">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排污节点</w:t>
                  </w:r>
                </w:p>
              </w:tc>
              <w:tc>
                <w:tcPr>
                  <w:tcW w:w="1320" w:type="dxa"/>
                  <w:noWrap w:val="0"/>
                  <w:vAlign w:val="center"/>
                </w:tcPr>
                <w:p w14:paraId="4087334D">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w:t>
                  </w:r>
                </w:p>
              </w:tc>
              <w:tc>
                <w:tcPr>
                  <w:tcW w:w="649" w:type="dxa"/>
                  <w:noWrap w:val="0"/>
                  <w:vAlign w:val="center"/>
                </w:tcPr>
                <w:p w14:paraId="5E8B672E">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所在生产单元</w:t>
                  </w:r>
                </w:p>
              </w:tc>
              <w:tc>
                <w:tcPr>
                  <w:tcW w:w="357" w:type="dxa"/>
                  <w:noWrap w:val="0"/>
                  <w:vAlign w:val="center"/>
                </w:tcPr>
                <w:p w14:paraId="211E4AE9">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产生特征</w:t>
                  </w:r>
                </w:p>
              </w:tc>
              <w:tc>
                <w:tcPr>
                  <w:tcW w:w="3516" w:type="dxa"/>
                  <w:noWrap w:val="0"/>
                  <w:vAlign w:val="center"/>
                </w:tcPr>
                <w:p w14:paraId="300B1B59">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措施</w:t>
                  </w:r>
                </w:p>
              </w:tc>
            </w:tr>
            <w:tr w14:paraId="5954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restart"/>
                  <w:noWrap w:val="0"/>
                  <w:vAlign w:val="center"/>
                </w:tcPr>
                <w:p w14:paraId="7FD744CF">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废气</w:t>
                  </w:r>
                </w:p>
                <w:p w14:paraId="05BB4450">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本次扩建项目</w:t>
                  </w:r>
                  <w:r>
                    <w:rPr>
                      <w:rFonts w:hint="eastAsia" w:cs="Times New Roman"/>
                      <w:bCs/>
                      <w:color w:val="000000" w:themeColor="text1"/>
                      <w:sz w:val="21"/>
                      <w:szCs w:val="21"/>
                      <w:highlight w:val="none"/>
                      <w:lang w:eastAsia="zh-CN"/>
                      <w14:textFill>
                        <w14:solidFill>
                          <w14:schemeClr w14:val="tx1"/>
                        </w14:solidFill>
                      </w14:textFill>
                    </w:rPr>
                    <w:t>）</w:t>
                  </w:r>
                </w:p>
              </w:tc>
              <w:tc>
                <w:tcPr>
                  <w:tcW w:w="533" w:type="dxa"/>
                  <w:noWrap w:val="0"/>
                  <w:vAlign w:val="center"/>
                </w:tcPr>
                <w:p w14:paraId="59A5A9BF">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G1</w:t>
                  </w:r>
                </w:p>
              </w:tc>
              <w:tc>
                <w:tcPr>
                  <w:tcW w:w="915" w:type="dxa"/>
                  <w:noWrap w:val="0"/>
                  <w:vAlign w:val="center"/>
                </w:tcPr>
                <w:p w14:paraId="7F944BBD">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原料堆存</w:t>
                  </w:r>
                </w:p>
              </w:tc>
              <w:tc>
                <w:tcPr>
                  <w:tcW w:w="1320" w:type="dxa"/>
                  <w:noWrap w:val="0"/>
                  <w:vAlign w:val="center"/>
                </w:tcPr>
                <w:p w14:paraId="3F07A3EA">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w:t>
                  </w:r>
                </w:p>
              </w:tc>
              <w:tc>
                <w:tcPr>
                  <w:tcW w:w="649" w:type="dxa"/>
                  <w:vMerge w:val="restart"/>
                  <w:noWrap w:val="0"/>
                  <w:vAlign w:val="center"/>
                </w:tcPr>
                <w:p w14:paraId="4850950F">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铣刨沥青生产单元</w:t>
                  </w:r>
                </w:p>
              </w:tc>
              <w:tc>
                <w:tcPr>
                  <w:tcW w:w="357" w:type="dxa"/>
                  <w:noWrap w:val="0"/>
                  <w:vAlign w:val="center"/>
                </w:tcPr>
                <w:p w14:paraId="3F3A5E8F">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516" w:type="dxa"/>
                  <w:noWrap w:val="0"/>
                  <w:vAlign w:val="center"/>
                </w:tcPr>
                <w:p w14:paraId="19AC3CE3">
                  <w:pPr>
                    <w:pageBreakBefore w:val="0"/>
                    <w:kinsoku/>
                    <w:wordWrap w:val="0"/>
                    <w:overflowPunct/>
                    <w:bidi w:val="0"/>
                    <w:jc w:val="center"/>
                    <w:rPr>
                      <w:rFonts w:hint="default" w:ascii="Times New Roman" w:hAnsi="Times New Roman" w:eastAsia="宋体" w:cs="Times New Roman"/>
                      <w:bCs/>
                      <w:color w:val="000000" w:themeColor="text1"/>
                      <w:spacing w:val="9"/>
                      <w:sz w:val="21"/>
                      <w:szCs w:val="21"/>
                      <w:highlight w:val="none"/>
                      <w:lang w:val="en-US" w:eastAsia="zh-CN"/>
                      <w14:textFill>
                        <w14:solidFill>
                          <w14:schemeClr w14:val="tx1"/>
                        </w14:solidFill>
                      </w14:textFill>
                    </w:rPr>
                  </w:pPr>
                  <w:r>
                    <w:rPr>
                      <w:rFonts w:hint="eastAsia" w:cs="Times New Roman"/>
                      <w:bCs/>
                      <w:color w:val="000000" w:themeColor="text1"/>
                      <w:spacing w:val="9"/>
                      <w:sz w:val="21"/>
                      <w:szCs w:val="21"/>
                      <w:highlight w:val="none"/>
                      <w:lang w:val="en-US" w:eastAsia="zh-CN"/>
                      <w14:textFill>
                        <w14:solidFill>
                          <w14:schemeClr w14:val="tx1"/>
                        </w14:solidFill>
                      </w14:textFill>
                    </w:rPr>
                    <w:t>封闭车间，洒水降尘</w:t>
                  </w:r>
                </w:p>
              </w:tc>
            </w:tr>
            <w:tr w14:paraId="0CC6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36C5EED0">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588DEA57">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G2</w:t>
                  </w:r>
                </w:p>
              </w:tc>
              <w:tc>
                <w:tcPr>
                  <w:tcW w:w="915" w:type="dxa"/>
                  <w:noWrap w:val="0"/>
                  <w:vAlign w:val="center"/>
                </w:tcPr>
                <w:p w14:paraId="1D3560BD">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铣刨沥青破碎、筛分</w:t>
                  </w:r>
                </w:p>
              </w:tc>
              <w:tc>
                <w:tcPr>
                  <w:tcW w:w="1320" w:type="dxa"/>
                  <w:noWrap w:val="0"/>
                  <w:vAlign w:val="center"/>
                </w:tcPr>
                <w:p w14:paraId="0256F363">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w:t>
                  </w:r>
                </w:p>
              </w:tc>
              <w:tc>
                <w:tcPr>
                  <w:tcW w:w="649" w:type="dxa"/>
                  <w:vMerge w:val="continue"/>
                  <w:noWrap w:val="0"/>
                  <w:vAlign w:val="center"/>
                </w:tcPr>
                <w:p w14:paraId="4FFFC5CB">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57" w:type="dxa"/>
                  <w:noWrap w:val="0"/>
                  <w:vAlign w:val="center"/>
                </w:tcPr>
                <w:p w14:paraId="0476DE30">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连续</w:t>
                  </w:r>
                </w:p>
              </w:tc>
              <w:tc>
                <w:tcPr>
                  <w:tcW w:w="3516" w:type="dxa"/>
                  <w:noWrap w:val="0"/>
                  <w:vAlign w:val="center"/>
                </w:tcPr>
                <w:p w14:paraId="752E6BDE">
                  <w:pPr>
                    <w:pageBreakBefore w:val="0"/>
                    <w:kinsoku/>
                    <w:wordWrap w:val="0"/>
                    <w:overflowPunct/>
                    <w:bidi w:val="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铣刨沥青破碎筛分产生的粉尘由集气罩收集</w:t>
                  </w:r>
                  <w:r>
                    <w:rPr>
                      <w:rFonts w:hint="eastAsia" w:cs="Times New Roman"/>
                      <w:b w:val="0"/>
                      <w:bCs w:val="0"/>
                      <w:color w:val="000000" w:themeColor="text1"/>
                      <w:sz w:val="21"/>
                      <w:szCs w:val="21"/>
                      <w:highlight w:val="none"/>
                      <w:lang w:val="en-US" w:eastAsia="zh-CN"/>
                      <w14:textFill>
                        <w14:solidFill>
                          <w14:schemeClr w14:val="tx1"/>
                        </w14:solidFill>
                      </w14:textFill>
                    </w:rPr>
                    <w:t>后经布袋除尘器处理后通过一根15m高的排气筒排放（DA003）</w:t>
                  </w:r>
                </w:p>
              </w:tc>
            </w:tr>
            <w:tr w14:paraId="271F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49D9B941">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267B0264">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G3</w:t>
                  </w:r>
                </w:p>
              </w:tc>
              <w:tc>
                <w:tcPr>
                  <w:tcW w:w="915" w:type="dxa"/>
                  <w:noWrap w:val="0"/>
                  <w:vAlign w:val="center"/>
                </w:tcPr>
                <w:p w14:paraId="10A75A6A">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冷料提升</w:t>
                  </w:r>
                </w:p>
              </w:tc>
              <w:tc>
                <w:tcPr>
                  <w:tcW w:w="1320" w:type="dxa"/>
                  <w:noWrap w:val="0"/>
                  <w:vAlign w:val="center"/>
                </w:tcPr>
                <w:p w14:paraId="2C138A77">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w:t>
                  </w:r>
                </w:p>
              </w:tc>
              <w:tc>
                <w:tcPr>
                  <w:tcW w:w="649" w:type="dxa"/>
                  <w:vMerge w:val="continue"/>
                  <w:noWrap w:val="0"/>
                  <w:vAlign w:val="center"/>
                </w:tcPr>
                <w:p w14:paraId="434205DA">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57" w:type="dxa"/>
                  <w:noWrap w:val="0"/>
                  <w:vAlign w:val="center"/>
                </w:tcPr>
                <w:p w14:paraId="15286159">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516" w:type="dxa"/>
                  <w:noWrap w:val="0"/>
                  <w:vAlign w:val="center"/>
                </w:tcPr>
                <w:p w14:paraId="7DB81A82">
                  <w:pPr>
                    <w:pageBreakBefore w:val="0"/>
                    <w:kinsoku/>
                    <w:wordWrap w:val="0"/>
                    <w:overflowPunct/>
                    <w:bidi w:val="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封闭生产过程</w:t>
                  </w:r>
                </w:p>
              </w:tc>
            </w:tr>
            <w:tr w14:paraId="37C0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20" w:hRule="atLeast"/>
              </w:trPr>
              <w:tc>
                <w:tcPr>
                  <w:tcW w:w="928" w:type="dxa"/>
                  <w:vMerge w:val="continue"/>
                  <w:noWrap w:val="0"/>
                  <w:vAlign w:val="center"/>
                </w:tcPr>
                <w:p w14:paraId="365B0406">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6C2BDAF0">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G4</w:t>
                  </w:r>
                </w:p>
              </w:tc>
              <w:tc>
                <w:tcPr>
                  <w:tcW w:w="915" w:type="dxa"/>
                  <w:noWrap w:val="0"/>
                  <w:vAlign w:val="center"/>
                </w:tcPr>
                <w:p w14:paraId="0990850A">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干燥滚筒</w:t>
                  </w:r>
                </w:p>
              </w:tc>
              <w:tc>
                <w:tcPr>
                  <w:tcW w:w="1320" w:type="dxa"/>
                  <w:noWrap w:val="0"/>
                  <w:vAlign w:val="center"/>
                </w:tcPr>
                <w:p w14:paraId="4766E9AC">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颗粒物、二氧化硫、氮氧化物、沥青烟、非甲烷总烃、苯并[a]芘</w:t>
                  </w:r>
                </w:p>
              </w:tc>
              <w:tc>
                <w:tcPr>
                  <w:tcW w:w="649" w:type="dxa"/>
                  <w:vMerge w:val="continue"/>
                  <w:noWrap w:val="0"/>
                  <w:vAlign w:val="center"/>
                </w:tcPr>
                <w:p w14:paraId="3C195D89">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57" w:type="dxa"/>
                  <w:noWrap w:val="0"/>
                  <w:vAlign w:val="center"/>
                </w:tcPr>
                <w:p w14:paraId="573E7F61">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连续</w:t>
                  </w:r>
                </w:p>
              </w:tc>
              <w:tc>
                <w:tcPr>
                  <w:tcW w:w="3516" w:type="dxa"/>
                  <w:noWrap w:val="0"/>
                  <w:vAlign w:val="center"/>
                </w:tcPr>
                <w:p w14:paraId="62D0E439">
                  <w:pPr>
                    <w:pageBreakBefore w:val="0"/>
                    <w:kinsoku/>
                    <w:wordWrap w:val="0"/>
                    <w:overflowPunct/>
                    <w:bidi w:val="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default" w:eastAsia="宋体" w:cs="Times New Roman"/>
                      <w:color w:val="000000" w:themeColor="text1"/>
                      <w:sz w:val="21"/>
                      <w:szCs w:val="21"/>
                      <w:highlight w:val="none"/>
                      <w:lang w:val="en-US" w:eastAsia="zh-CN"/>
                      <w14:textFill>
                        <w14:solidFill>
                          <w14:schemeClr w14:val="tx1"/>
                        </w14:solidFill>
                      </w14:textFill>
                    </w:rPr>
                    <w:t>为铣刨沥青干燥滚筒加热的天然气燃烧器采用低氮燃烧器，产生废气经环保设施收集后通过“电捕焦油器+活性炭吸附”处理装置处理后，通过一根15m高的排气筒外排（DA001）</w:t>
                  </w:r>
                </w:p>
              </w:tc>
            </w:tr>
            <w:tr w14:paraId="5D52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4518F0B7">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08A29EBC">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G5</w:t>
                  </w:r>
                </w:p>
              </w:tc>
              <w:tc>
                <w:tcPr>
                  <w:tcW w:w="915" w:type="dxa"/>
                  <w:noWrap w:val="0"/>
                  <w:vAlign w:val="center"/>
                </w:tcPr>
                <w:p w14:paraId="52019B3E">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搅拌器</w:t>
                  </w:r>
                </w:p>
              </w:tc>
              <w:tc>
                <w:tcPr>
                  <w:tcW w:w="1320" w:type="dxa"/>
                  <w:noWrap w:val="0"/>
                  <w:vAlign w:val="center"/>
                </w:tcPr>
                <w:p w14:paraId="60A45A04">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颗粒物、沥青烟、非甲烷总烃、苯</w:t>
                  </w:r>
                </w:p>
                <w:p w14:paraId="584A37FF">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并[a]芘</w:t>
                  </w:r>
                </w:p>
              </w:tc>
              <w:tc>
                <w:tcPr>
                  <w:tcW w:w="649" w:type="dxa"/>
                  <w:vMerge w:val="continue"/>
                  <w:noWrap w:val="0"/>
                  <w:vAlign w:val="center"/>
                </w:tcPr>
                <w:p w14:paraId="095CF0EA">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57" w:type="dxa"/>
                  <w:noWrap w:val="0"/>
                  <w:vAlign w:val="center"/>
                </w:tcPr>
                <w:p w14:paraId="5EAAD526">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连续</w:t>
                  </w:r>
                </w:p>
              </w:tc>
              <w:tc>
                <w:tcPr>
                  <w:tcW w:w="3516" w:type="dxa"/>
                  <w:noWrap w:val="0"/>
                  <w:vAlign w:val="center"/>
                </w:tcPr>
                <w:p w14:paraId="2F680332">
                  <w:pPr>
                    <w:pageBreakBefore w:val="0"/>
                    <w:kinsoku/>
                    <w:wordWrap w:val="0"/>
                    <w:overflowPunct/>
                    <w:bidi w:val="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废气通过管道经布袋除尘器处理后在进入“</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color w:val="000000" w:themeColor="text1"/>
                      <w:sz w:val="21"/>
                      <w:szCs w:val="21"/>
                      <w:highlight w:val="none"/>
                      <w:lang w:val="en-US" w:eastAsia="zh-CN"/>
                      <w14:textFill>
                        <w14:solidFill>
                          <w14:schemeClr w14:val="tx1"/>
                        </w14:solidFill>
                      </w14:textFill>
                    </w:rPr>
                    <w:t>”装置，处理后的废气经15m高的排气筒排出（DA001）</w:t>
                  </w:r>
                </w:p>
              </w:tc>
            </w:tr>
            <w:tr w14:paraId="604A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2DD6C9ED">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19FC6A41">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G6</w:t>
                  </w:r>
                </w:p>
              </w:tc>
              <w:tc>
                <w:tcPr>
                  <w:tcW w:w="915" w:type="dxa"/>
                  <w:noWrap w:val="0"/>
                  <w:vAlign w:val="center"/>
                </w:tcPr>
                <w:p w14:paraId="7CF4A7CC">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搅拌卸料</w:t>
                  </w:r>
                </w:p>
              </w:tc>
              <w:tc>
                <w:tcPr>
                  <w:tcW w:w="1320" w:type="dxa"/>
                  <w:noWrap w:val="0"/>
                  <w:vAlign w:val="center"/>
                </w:tcPr>
                <w:p w14:paraId="7466C407">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沥青烟、非甲烷总烃、苯并[a]芘</w:t>
                  </w:r>
                </w:p>
              </w:tc>
              <w:tc>
                <w:tcPr>
                  <w:tcW w:w="649" w:type="dxa"/>
                  <w:vMerge w:val="continue"/>
                  <w:noWrap w:val="0"/>
                  <w:vAlign w:val="center"/>
                </w:tcPr>
                <w:p w14:paraId="7477DDFB">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57" w:type="dxa"/>
                  <w:noWrap w:val="0"/>
                  <w:vAlign w:val="center"/>
                </w:tcPr>
                <w:p w14:paraId="7E8CD031">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连续</w:t>
                  </w:r>
                </w:p>
              </w:tc>
              <w:tc>
                <w:tcPr>
                  <w:tcW w:w="3516" w:type="dxa"/>
                  <w:noWrap w:val="0"/>
                  <w:vAlign w:val="center"/>
                </w:tcPr>
                <w:p w14:paraId="6BCC4C2D">
                  <w:pPr>
                    <w:pageBreakBefore w:val="0"/>
                    <w:kinsoku/>
                    <w:wordWrap w:val="0"/>
                    <w:overflowPunct/>
                    <w:bidi w:val="0"/>
                    <w:jc w:val="center"/>
                    <w:rPr>
                      <w:rFonts w:hint="eastAsia" w:cs="Times New Roman"/>
                      <w:color w:val="000000" w:themeColor="text1"/>
                      <w:sz w:val="21"/>
                      <w:szCs w:val="21"/>
                      <w:highlight w:val="none"/>
                      <w:lang w:val="en-US" w:eastAsia="zh-CN"/>
                      <w14:textFill>
                        <w14:solidFill>
                          <w14:schemeClr w14:val="tx1"/>
                        </w14:solidFill>
                      </w14:textFill>
                    </w:rPr>
                  </w:pPr>
                  <w:r>
                    <w:rPr>
                      <w:color w:val="000000" w:themeColor="text1"/>
                      <w:spacing w:val="-2"/>
                      <w:sz w:val="21"/>
                      <w:highlight w:val="none"/>
                      <w14:textFill>
                        <w14:solidFill>
                          <w14:schemeClr w14:val="tx1"/>
                        </w14:solidFill>
                      </w14:textFill>
                    </w:rPr>
                    <w:t>搅拌楼封闭，</w:t>
                  </w:r>
                  <w:r>
                    <w:rPr>
                      <w:rFonts w:hint="eastAsia"/>
                      <w:color w:val="000000" w:themeColor="text1"/>
                      <w:spacing w:val="-2"/>
                      <w:sz w:val="21"/>
                      <w:highlight w:val="none"/>
                      <w:lang w:val="en-US" w:eastAsia="zh-CN"/>
                      <w14:textFill>
                        <w14:solidFill>
                          <w14:schemeClr w14:val="tx1"/>
                        </w14:solidFill>
                      </w14:textFill>
                    </w:rPr>
                    <w:t>出料口</w:t>
                  </w:r>
                  <w:r>
                    <w:rPr>
                      <w:color w:val="000000" w:themeColor="text1"/>
                      <w:spacing w:val="-2"/>
                      <w:sz w:val="21"/>
                      <w:highlight w:val="none"/>
                      <w14:textFill>
                        <w14:solidFill>
                          <w14:schemeClr w14:val="tx1"/>
                        </w14:solidFill>
                      </w14:textFill>
                    </w:rPr>
                    <w:t>设置</w:t>
                  </w:r>
                  <w:r>
                    <w:rPr>
                      <w:rFonts w:hint="eastAsia"/>
                      <w:color w:val="000000" w:themeColor="text1"/>
                      <w:spacing w:val="-2"/>
                      <w:sz w:val="21"/>
                      <w:highlight w:val="none"/>
                      <w:lang w:val="en-US" w:eastAsia="zh-CN"/>
                      <w14:textFill>
                        <w14:solidFill>
                          <w14:schemeClr w14:val="tx1"/>
                        </w14:solidFill>
                      </w14:textFill>
                    </w:rPr>
                    <w:t>侧吸式集气罩收集废气</w:t>
                  </w:r>
                  <w:r>
                    <w:rPr>
                      <w:color w:val="000000" w:themeColor="text1"/>
                      <w:spacing w:val="-2"/>
                      <w:sz w:val="21"/>
                      <w:highlight w:val="none"/>
                      <w14:textFill>
                        <w14:solidFill>
                          <w14:schemeClr w14:val="tx1"/>
                        </w14:solidFill>
                      </w14:textFill>
                    </w:rPr>
                    <w:t>，收集的沥青烟气</w:t>
                  </w:r>
                  <w:r>
                    <w:rPr>
                      <w:rFonts w:hint="eastAsia" w:cs="Times New Roman"/>
                      <w:color w:val="000000" w:themeColor="text1"/>
                      <w:sz w:val="21"/>
                      <w:szCs w:val="21"/>
                      <w:highlight w:val="none"/>
                      <w:lang w:val="en-US" w:eastAsia="zh-CN"/>
                      <w14:textFill>
                        <w14:solidFill>
                          <w14:schemeClr w14:val="tx1"/>
                        </w14:solidFill>
                      </w14:textFill>
                    </w:rPr>
                    <w:t>进入“</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color w:val="000000" w:themeColor="text1"/>
                      <w:sz w:val="21"/>
                      <w:szCs w:val="21"/>
                      <w:highlight w:val="none"/>
                      <w:lang w:val="en-US" w:eastAsia="zh-CN"/>
                      <w14:textFill>
                        <w14:solidFill>
                          <w14:schemeClr w14:val="tx1"/>
                        </w14:solidFill>
                      </w14:textFill>
                    </w:rPr>
                    <w:t>”装置，处理后的废气经15m高的排气筒排出（DA001）</w:t>
                  </w:r>
                </w:p>
              </w:tc>
            </w:tr>
            <w:tr w14:paraId="19C5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shd w:val="clear" w:color="auto" w:fill="auto"/>
                  <w:noWrap w:val="0"/>
                  <w:vAlign w:val="center"/>
                </w:tcPr>
                <w:p w14:paraId="05105F21">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噪声</w:t>
                  </w: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本次扩建项目</w:t>
                  </w:r>
                  <w:r>
                    <w:rPr>
                      <w:rFonts w:hint="eastAsia" w:cs="Times New Roman"/>
                      <w:bCs/>
                      <w:color w:val="000000" w:themeColor="text1"/>
                      <w:sz w:val="21"/>
                      <w:szCs w:val="21"/>
                      <w:highlight w:val="none"/>
                      <w:lang w:eastAsia="zh-CN"/>
                      <w14:textFill>
                        <w14:solidFill>
                          <w14:schemeClr w14:val="tx1"/>
                        </w14:solidFill>
                      </w14:textFill>
                    </w:rPr>
                    <w:t>）</w:t>
                  </w:r>
                </w:p>
              </w:tc>
              <w:tc>
                <w:tcPr>
                  <w:tcW w:w="533" w:type="dxa"/>
                  <w:shd w:val="clear" w:color="auto" w:fill="auto"/>
                  <w:noWrap w:val="0"/>
                  <w:vAlign w:val="center"/>
                </w:tcPr>
                <w:p w14:paraId="5526F2BC">
                  <w:pPr>
                    <w:pageBreakBefore w:val="0"/>
                    <w:kinsoku/>
                    <w:wordWrap w:val="0"/>
                    <w:overflowPunct/>
                    <w:bidi w:val="0"/>
                    <w:spacing w:line="280" w:lineRule="exact"/>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N</w:t>
                  </w:r>
                  <w:r>
                    <w:rPr>
                      <w:rFonts w:hint="eastAsia" w:cs="Times New Roman"/>
                      <w:bCs/>
                      <w:color w:val="000000" w:themeColor="text1"/>
                      <w:sz w:val="21"/>
                      <w:szCs w:val="21"/>
                      <w:highlight w:val="none"/>
                      <w:lang w:val="en-US" w:eastAsia="zh-CN"/>
                      <w14:textFill>
                        <w14:solidFill>
                          <w14:schemeClr w14:val="tx1"/>
                        </w14:solidFill>
                      </w14:textFill>
                    </w:rPr>
                    <w:t>1~N6</w:t>
                  </w:r>
                </w:p>
              </w:tc>
              <w:tc>
                <w:tcPr>
                  <w:tcW w:w="915" w:type="dxa"/>
                  <w:shd w:val="clear" w:color="auto" w:fill="auto"/>
                  <w:noWrap w:val="0"/>
                  <w:vAlign w:val="center"/>
                </w:tcPr>
                <w:p w14:paraId="28A64F31">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生产设备</w:t>
                  </w:r>
                </w:p>
              </w:tc>
              <w:tc>
                <w:tcPr>
                  <w:tcW w:w="1320" w:type="dxa"/>
                  <w:shd w:val="clear" w:color="auto" w:fill="auto"/>
                  <w:noWrap w:val="0"/>
                  <w:vAlign w:val="center"/>
                </w:tcPr>
                <w:p w14:paraId="5F32539A">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1"/>
                      <w:szCs w:val="21"/>
                      <w:highlight w:val="none"/>
                      <w:lang w:bidi="ar"/>
                      <w14:textFill>
                        <w14:solidFill>
                          <w14:schemeClr w14:val="tx1"/>
                        </w14:solidFill>
                      </w14:textFill>
                    </w:rPr>
                    <w:t>等效连续A声级</w:t>
                  </w:r>
                </w:p>
              </w:tc>
              <w:tc>
                <w:tcPr>
                  <w:tcW w:w="649" w:type="dxa"/>
                  <w:shd w:val="clear" w:color="auto" w:fill="auto"/>
                  <w:noWrap w:val="0"/>
                  <w:vAlign w:val="center"/>
                </w:tcPr>
                <w:p w14:paraId="6852202F">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生产车间</w:t>
                  </w:r>
                </w:p>
              </w:tc>
              <w:tc>
                <w:tcPr>
                  <w:tcW w:w="357" w:type="dxa"/>
                  <w:shd w:val="clear" w:color="auto" w:fill="auto"/>
                  <w:noWrap w:val="0"/>
                  <w:vAlign w:val="center"/>
                </w:tcPr>
                <w:p w14:paraId="05579B4D">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color w:val="000000" w:themeColor="text1"/>
                      <w:sz w:val="21"/>
                      <w:szCs w:val="21"/>
                      <w:highlight w:val="none"/>
                      <w:lang w:bidi="ar"/>
                      <w14:textFill>
                        <w14:solidFill>
                          <w14:schemeClr w14:val="tx1"/>
                        </w14:solidFill>
                      </w14:textFill>
                    </w:rPr>
                    <w:t>间断</w:t>
                  </w:r>
                </w:p>
              </w:tc>
              <w:tc>
                <w:tcPr>
                  <w:tcW w:w="3516" w:type="dxa"/>
                  <w:shd w:val="clear" w:color="auto" w:fill="auto"/>
                  <w:noWrap w:val="0"/>
                  <w:vAlign w:val="center"/>
                </w:tcPr>
                <w:p w14:paraId="31E514B8">
                  <w:pPr>
                    <w:pageBreakBefore w:val="0"/>
                    <w:kinsoku/>
                    <w:wordWrap w:val="0"/>
                    <w:overflowPunct/>
                    <w:bidi w:val="0"/>
                    <w:spacing w:line="280" w:lineRule="exac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选用低噪声设备，</w:t>
                  </w:r>
                  <w:r>
                    <w:rPr>
                      <w:color w:val="000000" w:themeColor="text1"/>
                      <w:sz w:val="21"/>
                      <w:szCs w:val="21"/>
                      <w:highlight w:val="none"/>
                      <w14:textFill>
                        <w14:solidFill>
                          <w14:schemeClr w14:val="tx1"/>
                        </w14:solidFill>
                      </w14:textFill>
                    </w:rPr>
                    <w:t>设备基础减振</w:t>
                  </w:r>
                </w:p>
              </w:tc>
            </w:tr>
            <w:tr w14:paraId="629A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restart"/>
                  <w:shd w:val="clear" w:color="auto" w:fill="auto"/>
                  <w:noWrap w:val="0"/>
                  <w:vAlign w:val="center"/>
                </w:tcPr>
                <w:p w14:paraId="7A8057D7">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固废</w:t>
                  </w: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本次扩建项目</w:t>
                  </w:r>
                  <w:r>
                    <w:rPr>
                      <w:rFonts w:hint="eastAsia" w:cs="Times New Roman"/>
                      <w:bCs/>
                      <w:color w:val="000000" w:themeColor="text1"/>
                      <w:sz w:val="21"/>
                      <w:szCs w:val="21"/>
                      <w:highlight w:val="none"/>
                      <w:lang w:eastAsia="zh-CN"/>
                      <w14:textFill>
                        <w14:solidFill>
                          <w14:schemeClr w14:val="tx1"/>
                        </w14:solidFill>
                      </w14:textFill>
                    </w:rPr>
                    <w:t>）</w:t>
                  </w:r>
                </w:p>
              </w:tc>
              <w:tc>
                <w:tcPr>
                  <w:tcW w:w="533" w:type="dxa"/>
                  <w:shd w:val="clear" w:color="auto" w:fill="auto"/>
                  <w:noWrap w:val="0"/>
                  <w:vAlign w:val="center"/>
                </w:tcPr>
                <w:p w14:paraId="640EFEA1">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S1</w:t>
                  </w:r>
                </w:p>
              </w:tc>
              <w:tc>
                <w:tcPr>
                  <w:tcW w:w="915" w:type="dxa"/>
                  <w:shd w:val="clear" w:color="auto" w:fill="auto"/>
                  <w:noWrap w:val="0"/>
                  <w:vAlign w:val="center"/>
                </w:tcPr>
                <w:p w14:paraId="04F87042">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破碎筛分</w:t>
                  </w:r>
                </w:p>
              </w:tc>
              <w:tc>
                <w:tcPr>
                  <w:tcW w:w="1320" w:type="dxa"/>
                  <w:shd w:val="clear" w:color="auto" w:fill="auto"/>
                  <w:noWrap w:val="0"/>
                  <w:vAlign w:val="center"/>
                </w:tcPr>
                <w:p w14:paraId="4029BB1A">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除尘灰</w:t>
                  </w:r>
                </w:p>
              </w:tc>
              <w:tc>
                <w:tcPr>
                  <w:tcW w:w="649" w:type="dxa"/>
                  <w:shd w:val="clear" w:color="auto" w:fill="auto"/>
                  <w:noWrap w:val="0"/>
                  <w:vAlign w:val="center"/>
                </w:tcPr>
                <w:p w14:paraId="407B4826">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原料库</w:t>
                  </w:r>
                </w:p>
              </w:tc>
              <w:tc>
                <w:tcPr>
                  <w:tcW w:w="357" w:type="dxa"/>
                  <w:shd w:val="clear" w:color="auto" w:fill="auto"/>
                  <w:noWrap w:val="0"/>
                  <w:vAlign w:val="center"/>
                </w:tcPr>
                <w:p w14:paraId="7D13DA73">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516" w:type="dxa"/>
                  <w:shd w:val="clear" w:color="auto" w:fill="auto"/>
                  <w:noWrap w:val="0"/>
                  <w:vAlign w:val="center"/>
                </w:tcPr>
                <w:p w14:paraId="107E326C">
                  <w:pPr>
                    <w:pageBreakBefore w:val="0"/>
                    <w:kinsoku/>
                    <w:wordWrap w:val="0"/>
                    <w:overflowPunct/>
                    <w:bidi w:val="0"/>
                    <w:spacing w:line="280" w:lineRule="exact"/>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除尘灰集中收集后回用于生产</w:t>
                  </w:r>
                </w:p>
              </w:tc>
            </w:tr>
            <w:tr w14:paraId="3381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28B7929F">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shd w:val="clear" w:color="auto" w:fill="auto"/>
                  <w:noWrap w:val="0"/>
                  <w:vAlign w:val="center"/>
                </w:tcPr>
                <w:p w14:paraId="3438C44A">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S2</w:t>
                  </w:r>
                </w:p>
              </w:tc>
              <w:tc>
                <w:tcPr>
                  <w:tcW w:w="915" w:type="dxa"/>
                  <w:shd w:val="clear" w:color="auto" w:fill="auto"/>
                  <w:noWrap w:val="0"/>
                  <w:vAlign w:val="center"/>
                </w:tcPr>
                <w:p w14:paraId="2AABF9F9">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干燥滚筒</w:t>
                  </w:r>
                </w:p>
              </w:tc>
              <w:tc>
                <w:tcPr>
                  <w:tcW w:w="1320" w:type="dxa"/>
                  <w:shd w:val="clear" w:color="auto" w:fill="auto"/>
                  <w:noWrap w:val="0"/>
                  <w:vAlign w:val="center"/>
                </w:tcPr>
                <w:p w14:paraId="551C76E3">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除尘灰、拌合残渣、废活性炭</w:t>
                  </w:r>
                </w:p>
              </w:tc>
              <w:tc>
                <w:tcPr>
                  <w:tcW w:w="649" w:type="dxa"/>
                  <w:shd w:val="clear" w:color="auto" w:fill="auto"/>
                  <w:noWrap w:val="0"/>
                  <w:vAlign w:val="center"/>
                </w:tcPr>
                <w:p w14:paraId="18D74F8F">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环保设施</w:t>
                  </w:r>
                </w:p>
              </w:tc>
              <w:tc>
                <w:tcPr>
                  <w:tcW w:w="357" w:type="dxa"/>
                  <w:shd w:val="clear" w:color="auto" w:fill="auto"/>
                  <w:noWrap w:val="0"/>
                  <w:vAlign w:val="center"/>
                </w:tcPr>
                <w:p w14:paraId="1D823A3E">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516" w:type="dxa"/>
                  <w:shd w:val="clear" w:color="auto" w:fill="auto"/>
                  <w:noWrap w:val="0"/>
                  <w:vAlign w:val="center"/>
                </w:tcPr>
                <w:p w14:paraId="6800D77A">
                  <w:pPr>
                    <w:pageBreakBefore w:val="0"/>
                    <w:kinsoku/>
                    <w:wordWrap w:val="0"/>
                    <w:overflowPunct/>
                    <w:bidi w:val="0"/>
                    <w:spacing w:line="280" w:lineRule="exact"/>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除尘灰、拌合残渣集中收集后回用于生产，废活性炭暂存于危险废物暂存间内，交由有资质单位处理</w:t>
                  </w:r>
                </w:p>
              </w:tc>
            </w:tr>
            <w:tr w14:paraId="13D5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0BC1A939">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shd w:val="clear" w:color="auto" w:fill="auto"/>
                  <w:noWrap w:val="0"/>
                  <w:vAlign w:val="center"/>
                </w:tcPr>
                <w:p w14:paraId="57B61C72">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915" w:type="dxa"/>
                  <w:shd w:val="clear" w:color="auto" w:fill="auto"/>
                  <w:noWrap w:val="0"/>
                  <w:vAlign w:val="center"/>
                </w:tcPr>
                <w:p w14:paraId="5A50239F">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设备检修</w:t>
                  </w:r>
                </w:p>
              </w:tc>
              <w:tc>
                <w:tcPr>
                  <w:tcW w:w="1320" w:type="dxa"/>
                  <w:shd w:val="clear" w:color="auto" w:fill="auto"/>
                  <w:noWrap w:val="0"/>
                  <w:vAlign w:val="center"/>
                </w:tcPr>
                <w:p w14:paraId="617545B7">
                  <w:pPr>
                    <w:pageBreakBefore w:val="0"/>
                    <w:kinsoku/>
                    <w:wordWrap w:val="0"/>
                    <w:overflowPunct/>
                    <w:bidi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废润滑油、废润滑油桶</w:t>
                  </w:r>
                </w:p>
              </w:tc>
              <w:tc>
                <w:tcPr>
                  <w:tcW w:w="649" w:type="dxa"/>
                  <w:shd w:val="clear" w:color="auto" w:fill="auto"/>
                  <w:noWrap w:val="0"/>
                  <w:vAlign w:val="center"/>
                </w:tcPr>
                <w:p w14:paraId="491FBE34">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设备检修</w:t>
                  </w:r>
                </w:p>
              </w:tc>
              <w:tc>
                <w:tcPr>
                  <w:tcW w:w="357" w:type="dxa"/>
                  <w:shd w:val="clear" w:color="auto" w:fill="auto"/>
                  <w:noWrap w:val="0"/>
                  <w:vAlign w:val="center"/>
                </w:tcPr>
                <w:p w14:paraId="0777D05B">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间断</w:t>
                  </w:r>
                </w:p>
              </w:tc>
              <w:tc>
                <w:tcPr>
                  <w:tcW w:w="3516" w:type="dxa"/>
                  <w:vMerge w:val="restart"/>
                  <w:shd w:val="clear" w:color="auto" w:fill="auto"/>
                  <w:noWrap w:val="0"/>
                  <w:vAlign w:val="center"/>
                </w:tcPr>
                <w:p w14:paraId="673A39F7">
                  <w:pPr>
                    <w:pageBreakBefore w:val="0"/>
                    <w:kinsoku/>
                    <w:wordWrap w:val="0"/>
                    <w:overflowPunct/>
                    <w:bidi w:val="0"/>
                    <w:spacing w:line="280" w:lineRule="exact"/>
                    <w:jc w:val="center"/>
                    <w:rPr>
                      <w:color w:val="000000" w:themeColor="text1"/>
                      <w:spacing w:val="-2"/>
                      <w:sz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暂存于危险废物暂存间内，定期交由有资质单位处理</w:t>
                  </w:r>
                </w:p>
              </w:tc>
            </w:tr>
            <w:tr w14:paraId="69F5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27AEBA4A">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17C3B181">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915" w:type="dxa"/>
                  <w:noWrap w:val="0"/>
                  <w:vAlign w:val="center"/>
                </w:tcPr>
                <w:p w14:paraId="4794C831">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环保设施</w:t>
                  </w:r>
                </w:p>
              </w:tc>
              <w:tc>
                <w:tcPr>
                  <w:tcW w:w="1320" w:type="dxa"/>
                  <w:noWrap w:val="0"/>
                  <w:vAlign w:val="center"/>
                </w:tcPr>
                <w:p w14:paraId="73BF5BC1">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废焦油</w:t>
                  </w:r>
                </w:p>
              </w:tc>
              <w:tc>
                <w:tcPr>
                  <w:tcW w:w="649" w:type="dxa"/>
                  <w:noWrap w:val="0"/>
                  <w:vAlign w:val="center"/>
                </w:tcPr>
                <w:p w14:paraId="6F4DABE0">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环保设施</w:t>
                  </w:r>
                </w:p>
              </w:tc>
              <w:tc>
                <w:tcPr>
                  <w:tcW w:w="357" w:type="dxa"/>
                  <w:noWrap w:val="0"/>
                  <w:vAlign w:val="center"/>
                </w:tcPr>
                <w:p w14:paraId="205B997E">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516" w:type="dxa"/>
                  <w:vMerge w:val="continue"/>
                  <w:noWrap w:val="0"/>
                  <w:vAlign w:val="center"/>
                </w:tcPr>
                <w:p w14:paraId="77A597B0">
                  <w:pPr>
                    <w:pageBreakBefore w:val="0"/>
                    <w:kinsoku/>
                    <w:wordWrap w:val="0"/>
                    <w:overflowPunct/>
                    <w:bidi w:val="0"/>
                    <w:jc w:val="center"/>
                    <w:rPr>
                      <w:color w:val="000000" w:themeColor="text1"/>
                      <w:spacing w:val="-2"/>
                      <w:sz w:val="21"/>
                      <w:highlight w:val="none"/>
                      <w14:textFill>
                        <w14:solidFill>
                          <w14:schemeClr w14:val="tx1"/>
                        </w14:solidFill>
                      </w14:textFill>
                    </w:rPr>
                  </w:pPr>
                </w:p>
              </w:tc>
            </w:tr>
            <w:tr w14:paraId="3F49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noWrap w:val="0"/>
                  <w:vAlign w:val="center"/>
                </w:tcPr>
                <w:p w14:paraId="5D38471F">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废水</w:t>
                  </w: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本次扩建项目</w:t>
                  </w:r>
                  <w:r>
                    <w:rPr>
                      <w:rFonts w:hint="eastAsia" w:cs="Times New Roman"/>
                      <w:bCs/>
                      <w:color w:val="000000" w:themeColor="text1"/>
                      <w:sz w:val="21"/>
                      <w:szCs w:val="21"/>
                      <w:highlight w:val="none"/>
                      <w:lang w:eastAsia="zh-CN"/>
                      <w14:textFill>
                        <w14:solidFill>
                          <w14:schemeClr w14:val="tx1"/>
                        </w14:solidFill>
                      </w14:textFill>
                    </w:rPr>
                    <w:t>）</w:t>
                  </w:r>
                </w:p>
              </w:tc>
              <w:tc>
                <w:tcPr>
                  <w:tcW w:w="533" w:type="dxa"/>
                  <w:noWrap w:val="0"/>
                  <w:vAlign w:val="center"/>
                </w:tcPr>
                <w:p w14:paraId="66E4900B">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915" w:type="dxa"/>
                  <w:noWrap w:val="0"/>
                  <w:vAlign w:val="center"/>
                </w:tcPr>
                <w:p w14:paraId="12DD3057">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1320" w:type="dxa"/>
                  <w:noWrap w:val="0"/>
                  <w:vAlign w:val="center"/>
                </w:tcPr>
                <w:p w14:paraId="26243AC4">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649" w:type="dxa"/>
                  <w:noWrap w:val="0"/>
                  <w:vAlign w:val="center"/>
                </w:tcPr>
                <w:p w14:paraId="310A9D4B">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357" w:type="dxa"/>
                  <w:noWrap w:val="0"/>
                  <w:vAlign w:val="center"/>
                </w:tcPr>
                <w:p w14:paraId="6A528E08">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3516" w:type="dxa"/>
                  <w:noWrap w:val="0"/>
                  <w:vAlign w:val="center"/>
                </w:tcPr>
                <w:p w14:paraId="5A54E63E">
                  <w:pPr>
                    <w:pageBreakBefore w:val="0"/>
                    <w:kinsoku/>
                    <w:wordWrap w:val="0"/>
                    <w:overflowPunct/>
                    <w:bidi w:val="0"/>
                    <w:spacing w:line="280" w:lineRule="exact"/>
                    <w:jc w:val="center"/>
                    <w:rPr>
                      <w:color w:val="000000" w:themeColor="text1"/>
                      <w:spacing w:val="-2"/>
                      <w:sz w:val="21"/>
                      <w:highlight w:val="none"/>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r>
            <w:tr w14:paraId="77C7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restart"/>
                  <w:noWrap w:val="0"/>
                  <w:vAlign w:val="center"/>
                </w:tcPr>
                <w:p w14:paraId="7F9670E1">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废气</w:t>
                  </w:r>
                </w:p>
                <w:p w14:paraId="1D62AB15">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原有项目</w:t>
                  </w:r>
                  <w:r>
                    <w:rPr>
                      <w:rFonts w:hint="eastAsia" w:cs="Times New Roman"/>
                      <w:bCs/>
                      <w:color w:val="000000" w:themeColor="text1"/>
                      <w:sz w:val="21"/>
                      <w:szCs w:val="21"/>
                      <w:highlight w:val="none"/>
                      <w:lang w:eastAsia="zh-CN"/>
                      <w14:textFill>
                        <w14:solidFill>
                          <w14:schemeClr w14:val="tx1"/>
                        </w14:solidFill>
                      </w14:textFill>
                    </w:rPr>
                    <w:t>）</w:t>
                  </w:r>
                </w:p>
              </w:tc>
              <w:tc>
                <w:tcPr>
                  <w:tcW w:w="533" w:type="dxa"/>
                  <w:noWrap w:val="0"/>
                  <w:vAlign w:val="center"/>
                </w:tcPr>
                <w:p w14:paraId="26E9D16F">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G7</w:t>
                  </w:r>
                </w:p>
              </w:tc>
              <w:tc>
                <w:tcPr>
                  <w:tcW w:w="915" w:type="dxa"/>
                  <w:noWrap w:val="0"/>
                  <w:vAlign w:val="center"/>
                </w:tcPr>
                <w:p w14:paraId="5E06F8DC">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砂</w:t>
                  </w:r>
                  <w:r>
                    <w:rPr>
                      <w:rFonts w:ascii="Times New Roman" w:hAnsi="Times New Roman"/>
                      <w:color w:val="000000" w:themeColor="text1"/>
                      <w:szCs w:val="21"/>
                      <w:highlight w:val="none"/>
                      <w14:textFill>
                        <w14:solidFill>
                          <w14:schemeClr w14:val="tx1"/>
                        </w14:solidFill>
                      </w14:textFill>
                    </w:rPr>
                    <w:t>子、石子储存、装卸</w:t>
                  </w:r>
                  <w:r>
                    <w:rPr>
                      <w:rFonts w:hint="eastAsia" w:ascii="Times New Roman" w:hAnsi="Times New Roman"/>
                      <w:color w:val="000000" w:themeColor="text1"/>
                      <w:szCs w:val="21"/>
                      <w:highlight w:val="none"/>
                      <w:lang w:eastAsia="zh-CN"/>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装载机上料</w:t>
                  </w:r>
                </w:p>
              </w:tc>
              <w:tc>
                <w:tcPr>
                  <w:tcW w:w="1320" w:type="dxa"/>
                  <w:noWrap w:val="0"/>
                  <w:vAlign w:val="center"/>
                </w:tcPr>
                <w:p w14:paraId="73A8761E">
                  <w:pPr>
                    <w:pageBreakBefore w:val="0"/>
                    <w:kinsoku/>
                    <w:wordWrap w:val="0"/>
                    <w:overflowPunct/>
                    <w:bidi w:val="0"/>
                    <w:spacing w:line="280" w:lineRule="exact"/>
                    <w:jc w:val="center"/>
                    <w:rPr>
                      <w:rFonts w:hint="default"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w:t>
                  </w:r>
                </w:p>
              </w:tc>
              <w:tc>
                <w:tcPr>
                  <w:tcW w:w="649" w:type="dxa"/>
                  <w:vMerge w:val="restart"/>
                  <w:noWrap w:val="0"/>
                  <w:vAlign w:val="center"/>
                </w:tcPr>
                <w:p w14:paraId="071AA2C1">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沥青混凝土生产单元</w:t>
                  </w:r>
                </w:p>
              </w:tc>
              <w:tc>
                <w:tcPr>
                  <w:tcW w:w="357" w:type="dxa"/>
                  <w:noWrap w:val="0"/>
                  <w:vAlign w:val="center"/>
                </w:tcPr>
                <w:p w14:paraId="60D58C6E">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516" w:type="dxa"/>
                  <w:noWrap w:val="0"/>
                  <w:vAlign w:val="center"/>
                </w:tcPr>
                <w:p w14:paraId="7013FBC2">
                  <w:pPr>
                    <w:pageBreakBefore w:val="0"/>
                    <w:kinsoku/>
                    <w:wordWrap w:val="0"/>
                    <w:overflowPunct/>
                    <w:bidi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9"/>
                      <w:sz w:val="21"/>
                      <w:szCs w:val="21"/>
                      <w:highlight w:val="none"/>
                      <w:lang w:val="en-US" w:eastAsia="zh-CN"/>
                      <w14:textFill>
                        <w14:solidFill>
                          <w14:schemeClr w14:val="tx1"/>
                        </w14:solidFill>
                      </w14:textFill>
                    </w:rPr>
                    <w:t>封闭车间，洒水降尘</w:t>
                  </w:r>
                </w:p>
              </w:tc>
            </w:tr>
            <w:tr w14:paraId="6572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4B7D5CCF">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22397E88">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G8</w:t>
                  </w:r>
                </w:p>
              </w:tc>
              <w:tc>
                <w:tcPr>
                  <w:tcW w:w="915" w:type="dxa"/>
                  <w:noWrap w:val="0"/>
                  <w:vAlign w:val="center"/>
                </w:tcPr>
                <w:p w14:paraId="1A2513E4">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干燥滚筒</w:t>
                  </w:r>
                </w:p>
              </w:tc>
              <w:tc>
                <w:tcPr>
                  <w:tcW w:w="1320" w:type="dxa"/>
                  <w:noWrap w:val="0"/>
                  <w:vAlign w:val="center"/>
                </w:tcPr>
                <w:p w14:paraId="259590F0">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颗粒物、二氧化硫、氮氧化物</w:t>
                  </w:r>
                </w:p>
              </w:tc>
              <w:tc>
                <w:tcPr>
                  <w:tcW w:w="649" w:type="dxa"/>
                  <w:vMerge w:val="continue"/>
                  <w:noWrap w:val="0"/>
                  <w:vAlign w:val="center"/>
                </w:tcPr>
                <w:p w14:paraId="69C5DA3C">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57" w:type="dxa"/>
                  <w:noWrap w:val="0"/>
                  <w:vAlign w:val="center"/>
                </w:tcPr>
                <w:p w14:paraId="76E1C676">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连续</w:t>
                  </w:r>
                </w:p>
              </w:tc>
              <w:tc>
                <w:tcPr>
                  <w:tcW w:w="3516" w:type="dxa"/>
                  <w:noWrap w:val="0"/>
                  <w:vAlign w:val="center"/>
                </w:tcPr>
                <w:p w14:paraId="29C2C315">
                  <w:pPr>
                    <w:pageBreakBefore w:val="0"/>
                    <w:kinsoku/>
                    <w:wordWrap w:val="0"/>
                    <w:overflowPunct/>
                    <w:bidi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为干燥滚筒加热的天然气燃烧器采用低氮燃烧器，产生的废气进入布袋除尘器处理，</w:t>
                  </w:r>
                  <w:r>
                    <w:rPr>
                      <w:rFonts w:hint="default" w:eastAsia="宋体" w:cs="Times New Roman"/>
                      <w:color w:val="000000" w:themeColor="text1"/>
                      <w:sz w:val="21"/>
                      <w:szCs w:val="21"/>
                      <w:highlight w:val="none"/>
                      <w:lang w:val="en-US" w:eastAsia="zh-CN"/>
                      <w14:textFill>
                        <w14:solidFill>
                          <w14:schemeClr w14:val="tx1"/>
                        </w14:solidFill>
                      </w14:textFill>
                    </w:rPr>
                    <w:t>通过一根15m高的排气筒排放（DA001）</w:t>
                  </w:r>
                </w:p>
              </w:tc>
            </w:tr>
            <w:tr w14:paraId="67A7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20" w:hRule="atLeast"/>
              </w:trPr>
              <w:tc>
                <w:tcPr>
                  <w:tcW w:w="928" w:type="dxa"/>
                  <w:vMerge w:val="continue"/>
                  <w:noWrap w:val="0"/>
                  <w:vAlign w:val="center"/>
                </w:tcPr>
                <w:p w14:paraId="0DF149AE">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vMerge w:val="restart"/>
                  <w:noWrap w:val="0"/>
                  <w:vAlign w:val="center"/>
                </w:tcPr>
                <w:p w14:paraId="13B0AAE5">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G9</w:t>
                  </w:r>
                </w:p>
              </w:tc>
              <w:tc>
                <w:tcPr>
                  <w:tcW w:w="915" w:type="dxa"/>
                  <w:vMerge w:val="restart"/>
                  <w:noWrap w:val="0"/>
                  <w:vAlign w:val="center"/>
                </w:tcPr>
                <w:p w14:paraId="2BE0E539">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沥青罐</w:t>
                  </w:r>
                </w:p>
              </w:tc>
              <w:tc>
                <w:tcPr>
                  <w:tcW w:w="1320" w:type="dxa"/>
                  <w:noWrap w:val="0"/>
                  <w:vAlign w:val="center"/>
                </w:tcPr>
                <w:p w14:paraId="61E28C35">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颗粒物、二氧化硫、氮氧化物</w:t>
                  </w:r>
                </w:p>
              </w:tc>
              <w:tc>
                <w:tcPr>
                  <w:tcW w:w="649" w:type="dxa"/>
                  <w:vMerge w:val="continue"/>
                  <w:noWrap w:val="0"/>
                  <w:vAlign w:val="center"/>
                </w:tcPr>
                <w:p w14:paraId="7685D831">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57" w:type="dxa"/>
                  <w:vMerge w:val="restart"/>
                  <w:noWrap w:val="0"/>
                  <w:vAlign w:val="center"/>
                </w:tcPr>
                <w:p w14:paraId="2567A2B1">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连续</w:t>
                  </w:r>
                </w:p>
              </w:tc>
              <w:tc>
                <w:tcPr>
                  <w:tcW w:w="3516" w:type="dxa"/>
                  <w:noWrap w:val="0"/>
                  <w:vAlign w:val="center"/>
                </w:tcPr>
                <w:p w14:paraId="2235F327">
                  <w:pPr>
                    <w:pageBreakBefore w:val="0"/>
                    <w:kinsoku/>
                    <w:wordWrap w:val="0"/>
                    <w:overflowPunct/>
                    <w:bidi w:val="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导热油炉加热采用低氮燃烧器，产生的废气进入布袋除尘器处理，处理后的废气经16m高的排气筒排出（DA002）</w:t>
                  </w:r>
                </w:p>
              </w:tc>
            </w:tr>
            <w:tr w14:paraId="1774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20" w:hRule="atLeast"/>
              </w:trPr>
              <w:tc>
                <w:tcPr>
                  <w:tcW w:w="928" w:type="dxa"/>
                  <w:vMerge w:val="continue"/>
                  <w:noWrap w:val="0"/>
                  <w:vAlign w:val="center"/>
                </w:tcPr>
                <w:p w14:paraId="6FAF3050">
                  <w:pPr>
                    <w:pageBreakBefore w:val="0"/>
                    <w:kinsoku/>
                    <w:wordWrap w:val="0"/>
                    <w:overflowPunct/>
                    <w:bidi w:val="0"/>
                    <w:spacing w:line="280" w:lineRule="exact"/>
                    <w:jc w:val="center"/>
                    <w:rPr>
                      <w:color w:val="000000" w:themeColor="text1"/>
                      <w:highlight w:val="none"/>
                      <w14:textFill>
                        <w14:solidFill>
                          <w14:schemeClr w14:val="tx1"/>
                        </w14:solidFill>
                      </w14:textFill>
                    </w:rPr>
                  </w:pPr>
                </w:p>
              </w:tc>
              <w:tc>
                <w:tcPr>
                  <w:tcW w:w="533" w:type="dxa"/>
                  <w:vMerge w:val="continue"/>
                  <w:noWrap w:val="0"/>
                  <w:vAlign w:val="center"/>
                </w:tcPr>
                <w:p w14:paraId="6868505E">
                  <w:pPr>
                    <w:pageBreakBefore w:val="0"/>
                    <w:kinsoku/>
                    <w:wordWrap w:val="0"/>
                    <w:overflowPunct/>
                    <w:bidi w:val="0"/>
                    <w:spacing w:line="280" w:lineRule="exact"/>
                    <w:jc w:val="center"/>
                    <w:rPr>
                      <w:color w:val="000000" w:themeColor="text1"/>
                      <w:highlight w:val="none"/>
                      <w14:textFill>
                        <w14:solidFill>
                          <w14:schemeClr w14:val="tx1"/>
                        </w14:solidFill>
                      </w14:textFill>
                    </w:rPr>
                  </w:pPr>
                </w:p>
              </w:tc>
              <w:tc>
                <w:tcPr>
                  <w:tcW w:w="915" w:type="dxa"/>
                  <w:vMerge w:val="continue"/>
                  <w:noWrap w:val="0"/>
                  <w:vAlign w:val="center"/>
                </w:tcPr>
                <w:p w14:paraId="331B33A5">
                  <w:pPr>
                    <w:pageBreakBefore w:val="0"/>
                    <w:kinsoku/>
                    <w:wordWrap w:val="0"/>
                    <w:overflowPunct/>
                    <w:bidi w:val="0"/>
                    <w:spacing w:line="280" w:lineRule="exact"/>
                    <w:jc w:val="center"/>
                    <w:rPr>
                      <w:color w:val="000000" w:themeColor="text1"/>
                      <w:highlight w:val="none"/>
                      <w14:textFill>
                        <w14:solidFill>
                          <w14:schemeClr w14:val="tx1"/>
                        </w14:solidFill>
                      </w14:textFill>
                    </w:rPr>
                  </w:pPr>
                </w:p>
              </w:tc>
              <w:tc>
                <w:tcPr>
                  <w:tcW w:w="1320" w:type="dxa"/>
                  <w:noWrap w:val="0"/>
                  <w:vAlign w:val="center"/>
                </w:tcPr>
                <w:p w14:paraId="61B46C05">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沥青烟、非甲烷总烃、苯并[a]芘</w:t>
                  </w:r>
                </w:p>
              </w:tc>
              <w:tc>
                <w:tcPr>
                  <w:tcW w:w="649" w:type="dxa"/>
                  <w:vMerge w:val="continue"/>
                  <w:noWrap w:val="0"/>
                  <w:vAlign w:val="center"/>
                </w:tcPr>
                <w:p w14:paraId="54E242E0">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57" w:type="dxa"/>
                  <w:vMerge w:val="continue"/>
                  <w:noWrap w:val="0"/>
                  <w:vAlign w:val="center"/>
                </w:tcPr>
                <w:p w14:paraId="17EB85A6">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516" w:type="dxa"/>
                  <w:noWrap w:val="0"/>
                  <w:vAlign w:val="center"/>
                </w:tcPr>
                <w:p w14:paraId="72065CEE">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default" w:eastAsia="宋体" w:cs="Times New Roman"/>
                      <w:color w:val="000000" w:themeColor="text1"/>
                      <w:sz w:val="21"/>
                      <w:szCs w:val="21"/>
                      <w:highlight w:val="none"/>
                      <w:lang w:val="en-US" w:eastAsia="zh-CN"/>
                      <w14:textFill>
                        <w14:solidFill>
                          <w14:schemeClr w14:val="tx1"/>
                        </w14:solidFill>
                      </w14:textFill>
                    </w:rPr>
                    <w:t>沥青加热产生的沥青烟、非甲烷总烃、苯并[a]芘经管道收集后，通过“电捕焦油器+活性炭吸附”处理装置处理后，通过一根15m高的排气筒外排（DA001）</w:t>
                  </w:r>
                </w:p>
              </w:tc>
            </w:tr>
            <w:tr w14:paraId="49B7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noWrap w:val="0"/>
                  <w:vAlign w:val="center"/>
                </w:tcPr>
                <w:p w14:paraId="6B8D3A94">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废水</w:t>
                  </w: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原有项目</w:t>
                  </w:r>
                  <w:r>
                    <w:rPr>
                      <w:rFonts w:hint="eastAsia" w:cs="Times New Roman"/>
                      <w:bCs/>
                      <w:color w:val="000000" w:themeColor="text1"/>
                      <w:sz w:val="21"/>
                      <w:szCs w:val="21"/>
                      <w:highlight w:val="none"/>
                      <w:lang w:eastAsia="zh-CN"/>
                      <w14:textFill>
                        <w14:solidFill>
                          <w14:schemeClr w14:val="tx1"/>
                        </w14:solidFill>
                      </w14:textFill>
                    </w:rPr>
                    <w:t>）</w:t>
                  </w:r>
                </w:p>
              </w:tc>
              <w:tc>
                <w:tcPr>
                  <w:tcW w:w="533" w:type="dxa"/>
                  <w:noWrap w:val="0"/>
                  <w:vAlign w:val="center"/>
                </w:tcPr>
                <w:p w14:paraId="19F4A627">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915" w:type="dxa"/>
                  <w:noWrap w:val="0"/>
                  <w:vAlign w:val="center"/>
                </w:tcPr>
                <w:p w14:paraId="63190013">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1320" w:type="dxa"/>
                  <w:noWrap w:val="0"/>
                  <w:vAlign w:val="center"/>
                </w:tcPr>
                <w:p w14:paraId="2E574FCE">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649" w:type="dxa"/>
                  <w:noWrap w:val="0"/>
                  <w:vAlign w:val="center"/>
                </w:tcPr>
                <w:p w14:paraId="4BBECF59">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357" w:type="dxa"/>
                  <w:noWrap w:val="0"/>
                  <w:vAlign w:val="center"/>
                </w:tcPr>
                <w:p w14:paraId="7494E74D">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3516" w:type="dxa"/>
                  <w:noWrap w:val="0"/>
                  <w:vAlign w:val="center"/>
                </w:tcPr>
                <w:p w14:paraId="3F072736">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r>
            <w:tr w14:paraId="102F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noWrap w:val="0"/>
                  <w:vAlign w:val="center"/>
                </w:tcPr>
                <w:p w14:paraId="0A1129EC">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噪声</w:t>
                  </w: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原有项目</w:t>
                  </w:r>
                  <w:r>
                    <w:rPr>
                      <w:rFonts w:hint="eastAsia" w:cs="Times New Roman"/>
                      <w:bCs/>
                      <w:color w:val="000000" w:themeColor="text1"/>
                      <w:sz w:val="21"/>
                      <w:szCs w:val="21"/>
                      <w:highlight w:val="none"/>
                      <w:lang w:eastAsia="zh-CN"/>
                      <w14:textFill>
                        <w14:solidFill>
                          <w14:schemeClr w14:val="tx1"/>
                        </w14:solidFill>
                      </w14:textFill>
                    </w:rPr>
                    <w:t>）</w:t>
                  </w:r>
                </w:p>
              </w:tc>
              <w:tc>
                <w:tcPr>
                  <w:tcW w:w="533" w:type="dxa"/>
                  <w:noWrap w:val="0"/>
                  <w:vAlign w:val="center"/>
                </w:tcPr>
                <w:p w14:paraId="75177361">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N</w:t>
                  </w:r>
                  <w:r>
                    <w:rPr>
                      <w:rFonts w:hint="eastAsia" w:cs="Times New Roman"/>
                      <w:bCs/>
                      <w:color w:val="000000" w:themeColor="text1"/>
                      <w:sz w:val="21"/>
                      <w:szCs w:val="21"/>
                      <w:highlight w:val="none"/>
                      <w:lang w:val="en-US" w:eastAsia="zh-CN"/>
                      <w14:textFill>
                        <w14:solidFill>
                          <w14:schemeClr w14:val="tx1"/>
                        </w14:solidFill>
                      </w14:textFill>
                    </w:rPr>
                    <w:t>6~N9</w:t>
                  </w:r>
                </w:p>
              </w:tc>
              <w:tc>
                <w:tcPr>
                  <w:tcW w:w="915" w:type="dxa"/>
                  <w:noWrap w:val="0"/>
                  <w:vAlign w:val="center"/>
                </w:tcPr>
                <w:p w14:paraId="7501664F">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生产设备</w:t>
                  </w:r>
                </w:p>
              </w:tc>
              <w:tc>
                <w:tcPr>
                  <w:tcW w:w="1320" w:type="dxa"/>
                  <w:noWrap w:val="0"/>
                  <w:vAlign w:val="center"/>
                </w:tcPr>
                <w:p w14:paraId="4701C49B">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bidi="ar"/>
                      <w14:textFill>
                        <w14:solidFill>
                          <w14:schemeClr w14:val="tx1"/>
                        </w14:solidFill>
                      </w14:textFill>
                    </w:rPr>
                    <w:t>等效连续A声级</w:t>
                  </w:r>
                </w:p>
              </w:tc>
              <w:tc>
                <w:tcPr>
                  <w:tcW w:w="649" w:type="dxa"/>
                  <w:noWrap w:val="0"/>
                  <w:vAlign w:val="center"/>
                </w:tcPr>
                <w:p w14:paraId="71A98EB0">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生产车间</w:t>
                  </w:r>
                </w:p>
              </w:tc>
              <w:tc>
                <w:tcPr>
                  <w:tcW w:w="357" w:type="dxa"/>
                  <w:noWrap w:val="0"/>
                  <w:vAlign w:val="center"/>
                </w:tcPr>
                <w:p w14:paraId="63ABEA91">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lang w:bidi="ar"/>
                      <w14:textFill>
                        <w14:solidFill>
                          <w14:schemeClr w14:val="tx1"/>
                        </w14:solidFill>
                      </w14:textFill>
                    </w:rPr>
                    <w:t>间断</w:t>
                  </w:r>
                </w:p>
              </w:tc>
              <w:tc>
                <w:tcPr>
                  <w:tcW w:w="3516" w:type="dxa"/>
                  <w:noWrap w:val="0"/>
                  <w:vAlign w:val="center"/>
                </w:tcPr>
                <w:p w14:paraId="110BDCDB">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选用低噪声设备，</w:t>
                  </w:r>
                  <w:r>
                    <w:rPr>
                      <w:color w:val="000000" w:themeColor="text1"/>
                      <w:sz w:val="21"/>
                      <w:szCs w:val="21"/>
                      <w:highlight w:val="none"/>
                      <w14:textFill>
                        <w14:solidFill>
                          <w14:schemeClr w14:val="tx1"/>
                        </w14:solidFill>
                      </w14:textFill>
                    </w:rPr>
                    <w:t>设备基础减振</w:t>
                  </w:r>
                </w:p>
              </w:tc>
            </w:tr>
            <w:tr w14:paraId="4D97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restart"/>
                  <w:noWrap w:val="0"/>
                  <w:vAlign w:val="center"/>
                </w:tcPr>
                <w:p w14:paraId="7E7BA70C">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固废</w:t>
                  </w:r>
                  <w:r>
                    <w:rPr>
                      <w:rFonts w:hint="eastAsia" w:cs="Times New Roman"/>
                      <w:bCs/>
                      <w:color w:val="000000" w:themeColor="text1"/>
                      <w:sz w:val="21"/>
                      <w:szCs w:val="21"/>
                      <w:highlight w:val="none"/>
                      <w:lang w:eastAsia="zh-CN"/>
                      <w14:textFill>
                        <w14:solidFill>
                          <w14:schemeClr w14:val="tx1"/>
                        </w14:solidFill>
                      </w14:textFill>
                    </w:rPr>
                    <w:t>（</w:t>
                  </w:r>
                  <w:r>
                    <w:rPr>
                      <w:rFonts w:hint="eastAsia" w:cs="Times New Roman"/>
                      <w:bCs/>
                      <w:color w:val="000000" w:themeColor="text1"/>
                      <w:sz w:val="21"/>
                      <w:szCs w:val="21"/>
                      <w:highlight w:val="none"/>
                      <w:lang w:val="en-US" w:eastAsia="zh-CN"/>
                      <w14:textFill>
                        <w14:solidFill>
                          <w14:schemeClr w14:val="tx1"/>
                        </w14:solidFill>
                      </w14:textFill>
                    </w:rPr>
                    <w:t>原有项目</w:t>
                  </w:r>
                  <w:r>
                    <w:rPr>
                      <w:rFonts w:hint="eastAsia" w:cs="Times New Roman"/>
                      <w:bCs/>
                      <w:color w:val="000000" w:themeColor="text1"/>
                      <w:sz w:val="21"/>
                      <w:szCs w:val="21"/>
                      <w:highlight w:val="none"/>
                      <w:lang w:eastAsia="zh-CN"/>
                      <w14:textFill>
                        <w14:solidFill>
                          <w14:schemeClr w14:val="tx1"/>
                        </w14:solidFill>
                      </w14:textFill>
                    </w:rPr>
                    <w:t>）</w:t>
                  </w:r>
                </w:p>
              </w:tc>
              <w:tc>
                <w:tcPr>
                  <w:tcW w:w="533" w:type="dxa"/>
                  <w:noWrap w:val="0"/>
                  <w:vAlign w:val="center"/>
                </w:tcPr>
                <w:p w14:paraId="4E8CFE9E">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S3</w:t>
                  </w:r>
                </w:p>
              </w:tc>
              <w:tc>
                <w:tcPr>
                  <w:tcW w:w="915" w:type="dxa"/>
                  <w:noWrap w:val="0"/>
                  <w:vAlign w:val="center"/>
                </w:tcPr>
                <w:p w14:paraId="04D063F7">
                  <w:pPr>
                    <w:pageBreakBefore w:val="0"/>
                    <w:kinsoku/>
                    <w:wordWrap w:val="0"/>
                    <w:overflowPunct/>
                    <w:bidi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干燥滚筒</w:t>
                  </w:r>
                </w:p>
              </w:tc>
              <w:tc>
                <w:tcPr>
                  <w:tcW w:w="1320" w:type="dxa"/>
                  <w:noWrap w:val="0"/>
                  <w:vAlign w:val="center"/>
                </w:tcPr>
                <w:p w14:paraId="32A9E0F9">
                  <w:pPr>
                    <w:pageBreakBefore w:val="0"/>
                    <w:kinsoku/>
                    <w:wordWrap w:val="0"/>
                    <w:overflowPunct/>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除尘灰、废活性炭</w:t>
                  </w:r>
                </w:p>
              </w:tc>
              <w:tc>
                <w:tcPr>
                  <w:tcW w:w="649" w:type="dxa"/>
                  <w:noWrap w:val="0"/>
                  <w:vAlign w:val="center"/>
                </w:tcPr>
                <w:p w14:paraId="29FB8B05">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环保设施</w:t>
                  </w:r>
                </w:p>
              </w:tc>
              <w:tc>
                <w:tcPr>
                  <w:tcW w:w="357" w:type="dxa"/>
                  <w:noWrap w:val="0"/>
                  <w:vAlign w:val="center"/>
                </w:tcPr>
                <w:p w14:paraId="6240B122">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516" w:type="dxa"/>
                  <w:noWrap w:val="0"/>
                  <w:vAlign w:val="center"/>
                </w:tcPr>
                <w:p w14:paraId="01317823">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除尘灰集中收集后回用于生产，废活性炭暂存于危险废物暂存间内，交由有资质单位处理</w:t>
                  </w:r>
                </w:p>
              </w:tc>
            </w:tr>
            <w:tr w14:paraId="1B2C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1BC45A56">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27C0F824">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915" w:type="dxa"/>
                  <w:noWrap w:val="0"/>
                  <w:vAlign w:val="center"/>
                </w:tcPr>
                <w:p w14:paraId="7EA939F2">
                  <w:pPr>
                    <w:pageBreakBefore w:val="0"/>
                    <w:kinsoku/>
                    <w:wordWrap w:val="0"/>
                    <w:overflowPunct/>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设备检修</w:t>
                  </w:r>
                </w:p>
              </w:tc>
              <w:tc>
                <w:tcPr>
                  <w:tcW w:w="1320" w:type="dxa"/>
                  <w:noWrap w:val="0"/>
                  <w:vAlign w:val="center"/>
                </w:tcPr>
                <w:p w14:paraId="0103628D">
                  <w:pPr>
                    <w:pageBreakBefore w:val="0"/>
                    <w:kinsoku/>
                    <w:wordWrap w:val="0"/>
                    <w:overflowPunct/>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废润滑油、废润滑油桶</w:t>
                  </w:r>
                </w:p>
              </w:tc>
              <w:tc>
                <w:tcPr>
                  <w:tcW w:w="649" w:type="dxa"/>
                  <w:noWrap w:val="0"/>
                  <w:vAlign w:val="center"/>
                </w:tcPr>
                <w:p w14:paraId="7B3CAF9F">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设备检修</w:t>
                  </w:r>
                </w:p>
              </w:tc>
              <w:tc>
                <w:tcPr>
                  <w:tcW w:w="357" w:type="dxa"/>
                  <w:noWrap w:val="0"/>
                  <w:vAlign w:val="center"/>
                </w:tcPr>
                <w:p w14:paraId="18B9CF57">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间断</w:t>
                  </w:r>
                </w:p>
              </w:tc>
              <w:tc>
                <w:tcPr>
                  <w:tcW w:w="3516" w:type="dxa"/>
                  <w:vMerge w:val="restart"/>
                  <w:noWrap w:val="0"/>
                  <w:vAlign w:val="center"/>
                </w:tcPr>
                <w:p w14:paraId="03B8F683">
                  <w:pPr>
                    <w:pageBreakBefore w:val="0"/>
                    <w:kinsoku/>
                    <w:wordWrap w:val="0"/>
                    <w:overflowPunct/>
                    <w:bidi w:val="0"/>
                    <w:spacing w:line="28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暂存于危险废物暂存间内，定期交由有资质单位处理</w:t>
                  </w:r>
                </w:p>
              </w:tc>
            </w:tr>
            <w:tr w14:paraId="526B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6C424B20">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533" w:type="dxa"/>
                  <w:shd w:val="clear" w:color="auto" w:fill="auto"/>
                  <w:noWrap w:val="0"/>
                  <w:vAlign w:val="center"/>
                </w:tcPr>
                <w:p w14:paraId="5437AB66">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915" w:type="dxa"/>
                  <w:shd w:val="clear" w:color="auto" w:fill="auto"/>
                  <w:noWrap w:val="0"/>
                  <w:vAlign w:val="center"/>
                </w:tcPr>
                <w:p w14:paraId="71DFF531">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环保设施</w:t>
                  </w:r>
                </w:p>
              </w:tc>
              <w:tc>
                <w:tcPr>
                  <w:tcW w:w="1320" w:type="dxa"/>
                  <w:shd w:val="clear" w:color="auto" w:fill="auto"/>
                  <w:noWrap w:val="0"/>
                  <w:vAlign w:val="center"/>
                </w:tcPr>
                <w:p w14:paraId="3AD771C9">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废焦油</w:t>
                  </w:r>
                </w:p>
              </w:tc>
              <w:tc>
                <w:tcPr>
                  <w:tcW w:w="649" w:type="dxa"/>
                  <w:shd w:val="clear" w:color="auto" w:fill="auto"/>
                  <w:noWrap w:val="0"/>
                  <w:vAlign w:val="center"/>
                </w:tcPr>
                <w:p w14:paraId="43387DDF">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环保设施</w:t>
                  </w:r>
                </w:p>
              </w:tc>
              <w:tc>
                <w:tcPr>
                  <w:tcW w:w="357" w:type="dxa"/>
                  <w:shd w:val="clear" w:color="auto" w:fill="auto"/>
                  <w:noWrap w:val="0"/>
                  <w:vAlign w:val="center"/>
                </w:tcPr>
                <w:p w14:paraId="048CBC70">
                  <w:pPr>
                    <w:pageBreakBefore w:val="0"/>
                    <w:kinsoku/>
                    <w:wordWrap w:val="0"/>
                    <w:overflowPunct/>
                    <w:bidi w:val="0"/>
                    <w:spacing w:line="280" w:lineRule="exact"/>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516" w:type="dxa"/>
                  <w:vMerge w:val="continue"/>
                  <w:noWrap w:val="0"/>
                  <w:vAlign w:val="center"/>
                </w:tcPr>
                <w:p w14:paraId="603E14B8">
                  <w:pPr>
                    <w:pageBreakBefore w:val="0"/>
                    <w:kinsoku/>
                    <w:wordWrap w:val="0"/>
                    <w:overflowPunct/>
                    <w:bidi w:val="0"/>
                    <w:spacing w:line="280" w:lineRule="exact"/>
                    <w:jc w:val="center"/>
                    <w:rPr>
                      <w:rFonts w:hint="eastAsia" w:cs="Times New Roman"/>
                      <w:color w:val="000000" w:themeColor="text1"/>
                      <w:sz w:val="21"/>
                      <w:szCs w:val="21"/>
                      <w:highlight w:val="none"/>
                      <w:lang w:val="en-US" w:eastAsia="zh-CN"/>
                      <w14:textFill>
                        <w14:solidFill>
                          <w14:schemeClr w14:val="tx1"/>
                        </w14:solidFill>
                      </w14:textFill>
                    </w:rPr>
                  </w:pPr>
                </w:p>
              </w:tc>
            </w:tr>
          </w:tbl>
          <w:p w14:paraId="2895FC9D">
            <w:pPr>
              <w:pageBreakBefore w:val="0"/>
              <w:kinsoku/>
              <w:wordWrap w:val="0"/>
              <w:overflowPunct/>
              <w:bidi w:val="0"/>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5E15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477" w:type="dxa"/>
            <w:vAlign w:val="center"/>
          </w:tcPr>
          <w:p w14:paraId="553AC2A8">
            <w:pPr>
              <w:pStyle w:val="26"/>
              <w:pageBreakBefore w:val="0"/>
              <w:kinsoku/>
              <w:wordWrap w:val="0"/>
              <w:overflowPunct/>
              <w:bidi w:val="0"/>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与项目有关的原有环境污染问题</w:t>
            </w:r>
          </w:p>
        </w:tc>
        <w:tc>
          <w:tcPr>
            <w:tcW w:w="8453" w:type="dxa"/>
          </w:tcPr>
          <w:p w14:paraId="71087234">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textAlignment w:val="auto"/>
              <w:rPr>
                <w:rFonts w:hint="eastAsia"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与本项目有关的原有污染情况及主要环境问题：</w:t>
            </w:r>
          </w:p>
          <w:p w14:paraId="558364F1">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2017年</w:t>
            </w:r>
            <w:r>
              <w:rPr>
                <w:rFonts w:hint="eastAsia" w:ascii="Times New Roman" w:hAnsi="Times New Roman"/>
                <w:color w:val="000000" w:themeColor="text1"/>
                <w:highlight w:val="none"/>
                <w14:textFill>
                  <w14:solidFill>
                    <w14:schemeClr w14:val="tx1"/>
                  </w14:solidFill>
                </w14:textFill>
              </w:rPr>
              <w:t>承德路瑞公</w:t>
            </w:r>
            <w:r>
              <w:rPr>
                <w:rFonts w:hint="eastAsia"/>
                <w:color w:val="000000" w:themeColor="text1"/>
                <w:highlight w:val="none"/>
                <w:lang w:val="en-US" w:eastAsia="zh-CN"/>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路养护工程有限公司</w:t>
            </w:r>
            <w:r>
              <w:rPr>
                <w:rFonts w:hint="eastAsia" w:ascii="Times New Roman" w:hAnsi="Times New Roman"/>
                <w:color w:val="000000" w:themeColor="text1"/>
                <w:highlight w:val="none"/>
                <w:lang w:val="en-US" w:eastAsia="zh-CN"/>
                <w14:textFill>
                  <w14:solidFill>
                    <w14:schemeClr w14:val="tx1"/>
                  </w14:solidFill>
                </w14:textFill>
              </w:rPr>
              <w:t>委托苏州合巨环保技术有限公司</w:t>
            </w:r>
            <w:r>
              <w:rPr>
                <w:rFonts w:hint="eastAsia"/>
                <w:color w:val="000000" w:themeColor="text1"/>
                <w:highlight w:val="none"/>
                <w:lang w:val="en-US" w:eastAsia="zh-CN"/>
                <w14:textFill>
                  <w14:solidFill>
                    <w14:schemeClr w14:val="tx1"/>
                  </w14:solidFill>
                </w14:textFill>
              </w:rPr>
              <w:t>编制了《承德路瑞公路养护工程有限公司沥青混凝土搅拌站项目环境影响报告表》，于2018年3月30日通过了承德市环境保护局围场满族蒙古族自治县分局审批，审批文号围环评[2018]12号。2017年4月，项目开工建设；2018年9月，项目完工并投入试运行，企业于2018年10月27日完成企业自主验收。</w:t>
            </w:r>
          </w:p>
          <w:p w14:paraId="1766FF1F">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企业于2020年7月8日取得排污许可证，排污许可证编号为91130828MA07U73PXX。</w:t>
            </w:r>
          </w:p>
          <w:p w14:paraId="0774AE85">
            <w:pPr>
              <w:keepNext w:val="0"/>
              <w:keepLines w:val="0"/>
              <w:pageBreakBefore w:val="0"/>
              <w:widowControl w:val="0"/>
              <w:kinsoku/>
              <w:wordWrap w:val="0"/>
              <w:overflowPunct/>
              <w:topLinePunct w:val="0"/>
              <w:autoSpaceDE/>
              <w:autoSpaceDN/>
              <w:bidi w:val="0"/>
              <w:spacing w:line="480" w:lineRule="exact"/>
              <w:ind w:firstLine="422" w:firstLineChars="200"/>
              <w:jc w:val="left"/>
              <w:textAlignment w:val="auto"/>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原有环评建设情况如下所示：</w:t>
            </w:r>
          </w:p>
          <w:p w14:paraId="2F360C8D">
            <w:pPr>
              <w:keepNext w:val="0"/>
              <w:keepLines w:val="0"/>
              <w:pageBreakBefore w:val="0"/>
              <w:widowControl w:val="0"/>
              <w:kinsoku/>
              <w:wordWrap w:val="0"/>
              <w:overflowPunct/>
              <w:topLinePunct w:val="0"/>
              <w:autoSpaceDE/>
              <w:autoSpaceDN/>
              <w:bidi w:val="0"/>
              <w:spacing w:line="480" w:lineRule="exact"/>
              <w:ind w:firstLine="422" w:firstLineChars="200"/>
              <w:jc w:val="left"/>
              <w:textAlignment w:val="auto"/>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1、工程内容及规模</w:t>
            </w:r>
          </w:p>
          <w:p w14:paraId="6CBBEDD2">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项目地理位置：本项目位于河北省承德市围场满族蒙古族自治县牌楼乡于家湾村4组，项目所在位置中心坐标为东经</w:t>
            </w:r>
            <w:r>
              <w:rPr>
                <w:rFonts w:hint="default" w:ascii="Times New Roman" w:hAnsi="Times New Roman" w:cs="Times New Roman"/>
                <w:b w:val="0"/>
                <w:bCs w:val="0"/>
                <w:color w:val="000000" w:themeColor="text1"/>
                <w:highlight w:val="none"/>
                <w:lang w:val="en-US" w:eastAsia="zh-CN"/>
                <w14:textFill>
                  <w14:solidFill>
                    <w14:schemeClr w14:val="tx1"/>
                  </w14:solidFill>
                </w14:textFill>
              </w:rPr>
              <w:t>117°24′52″，北纬41°56′43″。</w:t>
            </w:r>
            <w:r>
              <w:rPr>
                <w:rFonts w:hint="eastAsia" w:cs="Times New Roman"/>
                <w:b w:val="0"/>
                <w:bCs w:val="0"/>
                <w:color w:val="000000" w:themeColor="text1"/>
                <w:highlight w:val="none"/>
                <w:lang w:val="en-US" w:eastAsia="zh-CN"/>
                <w14:textFill>
                  <w14:solidFill>
                    <w14:schemeClr w14:val="tx1"/>
                  </w14:solidFill>
                </w14:textFill>
              </w:rPr>
              <w:t>项目东侧为空地，北侧为林地，西侧为空地，南侧为111国道。厂区西侧紧邻于家湾村，东侧紧邻于家湾村，南侧44m处为燕格柏沟门。</w:t>
            </w:r>
          </w:p>
          <w:p w14:paraId="369B3F57">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建设内容及规模：本项目总占地面积为27442.80m</w:t>
            </w:r>
            <w:r>
              <w:rPr>
                <w:rFonts w:hint="eastAsia" w:cs="Times New Roman"/>
                <w:b w:val="0"/>
                <w:bCs w:val="0"/>
                <w:color w:val="000000" w:themeColor="text1"/>
                <w:highlight w:val="none"/>
                <w:vertAlign w:val="superscript"/>
                <w:lang w:val="en-US" w:eastAsia="zh-CN"/>
                <w14:textFill>
                  <w14:solidFill>
                    <w14:schemeClr w14:val="tx1"/>
                  </w14:solidFill>
                </w14:textFill>
              </w:rPr>
              <w:t>2</w:t>
            </w:r>
            <w:r>
              <w:rPr>
                <w:rFonts w:hint="eastAsia" w:cs="Times New Roman"/>
                <w:b w:val="0"/>
                <w:bCs w:val="0"/>
                <w:color w:val="000000" w:themeColor="text1"/>
                <w:highlight w:val="none"/>
                <w:lang w:val="en-US" w:eastAsia="zh-CN"/>
                <w14:textFill>
                  <w14:solidFill>
                    <w14:schemeClr w14:val="tx1"/>
                  </w14:solidFill>
                </w14:textFill>
              </w:rPr>
              <w:t>，建筑面积为8530m</w:t>
            </w:r>
            <w:r>
              <w:rPr>
                <w:rFonts w:hint="eastAsia" w:cs="Times New Roman"/>
                <w:b w:val="0"/>
                <w:bCs w:val="0"/>
                <w:color w:val="000000" w:themeColor="text1"/>
                <w:highlight w:val="none"/>
                <w:vertAlign w:val="superscript"/>
                <w:lang w:val="en-US" w:eastAsia="zh-CN"/>
                <w14:textFill>
                  <w14:solidFill>
                    <w14:schemeClr w14:val="tx1"/>
                  </w14:solidFill>
                </w14:textFill>
              </w:rPr>
              <w:t>2</w:t>
            </w:r>
            <w:r>
              <w:rPr>
                <w:rFonts w:hint="eastAsia" w:cs="Times New Roman"/>
                <w:b w:val="0"/>
                <w:bCs w:val="0"/>
                <w:color w:val="000000" w:themeColor="text1"/>
                <w:highlight w:val="none"/>
                <w:lang w:val="en-US" w:eastAsia="zh-CN"/>
                <w14:textFill>
                  <w14:solidFill>
                    <w14:schemeClr w14:val="tx1"/>
                  </w14:solidFill>
                </w14:textFill>
              </w:rPr>
              <w:t>，主要建设项目为：沥青混凝土搅拌区、原料库、办公室、实验室、临时休息宿舍等。本项目年产沥青混凝土5万吨。</w:t>
            </w:r>
          </w:p>
          <w:p w14:paraId="3BFD70D3">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主要工程内容：</w:t>
            </w:r>
          </w:p>
          <w:p w14:paraId="607DC977">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本项目组成及工程内容及主要建（构）筑物见下表：</w:t>
            </w:r>
          </w:p>
          <w:p w14:paraId="258E5BD5">
            <w:pPr>
              <w:pStyle w:val="28"/>
              <w:keepNext w:val="0"/>
              <w:keepLines w:val="0"/>
              <w:pageBreakBefore w:val="0"/>
              <w:widowControl w:val="0"/>
              <w:kinsoku/>
              <w:wordWrap w:val="0"/>
              <w:overflowPunct/>
              <w:topLinePunct w:val="0"/>
              <w:autoSpaceDE/>
              <w:autoSpaceDN/>
              <w:bidi w:val="0"/>
              <w:adjustRightInd/>
              <w:snapToGrid/>
              <w:spacing w:after="0" w:line="480" w:lineRule="exact"/>
              <w:ind w:left="0" w:leftChars="0" w:firstLine="0" w:firstLineChars="0"/>
              <w:jc w:val="center"/>
              <w:textAlignment w:val="auto"/>
              <w:rPr>
                <w:rFonts w:hint="eastAsia"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表2-</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7</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ascii="Times New Roman" w:hAnsi="Times New Roman"/>
                <w:b/>
                <w:color w:val="000000" w:themeColor="text1"/>
                <w:highlight w:val="none"/>
                <w14:textFill>
                  <w14:solidFill>
                    <w14:schemeClr w14:val="tx1"/>
                  </w14:solidFill>
                </w14:textFill>
              </w:rPr>
              <w:t>主项目组成及主要建</w:t>
            </w:r>
            <w:r>
              <w:rPr>
                <w:rFonts w:hint="eastAsia"/>
                <w:b/>
                <w:color w:val="000000" w:themeColor="text1"/>
                <w:highlight w:val="none"/>
                <w:lang w:eastAsia="zh-CN"/>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构</w:t>
            </w:r>
            <w:r>
              <w:rPr>
                <w:rFonts w:hint="eastAsia"/>
                <w:b/>
                <w:color w:val="000000" w:themeColor="text1"/>
                <w:highlight w:val="none"/>
                <w:lang w:eastAsia="zh-CN"/>
                <w14:textFill>
                  <w14:solidFill>
                    <w14:schemeClr w14:val="tx1"/>
                  </w14:solidFill>
                </w14:textFill>
              </w:rPr>
              <w:t>）</w:t>
            </w:r>
            <w:r>
              <w:rPr>
                <w:rFonts w:ascii="Times New Roman" w:hAnsi="Times New Roman"/>
                <w:b/>
                <w:color w:val="000000" w:themeColor="text1"/>
                <w:highlight w:val="none"/>
                <w14:textFill>
                  <w14:solidFill>
                    <w14:schemeClr w14:val="tx1"/>
                  </w14:solidFill>
                </w14:textFill>
              </w:rPr>
              <w:t>筑物一览表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445"/>
              <w:gridCol w:w="479"/>
              <w:gridCol w:w="721"/>
              <w:gridCol w:w="945"/>
              <w:gridCol w:w="5673"/>
            </w:tblGrid>
            <w:tr w14:paraId="01D67AA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noWrap w:val="0"/>
                  <w:vAlign w:val="center"/>
                </w:tcPr>
                <w:p w14:paraId="69A6A7D6">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序号</w:t>
                  </w:r>
                </w:p>
              </w:tc>
              <w:tc>
                <w:tcPr>
                  <w:tcW w:w="2145" w:type="dxa"/>
                  <w:gridSpan w:val="3"/>
                  <w:noWrap w:val="0"/>
                  <w:vAlign w:val="center"/>
                </w:tcPr>
                <w:p w14:paraId="37C30F27">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项目组成及名称</w:t>
                  </w:r>
                </w:p>
              </w:tc>
              <w:tc>
                <w:tcPr>
                  <w:tcW w:w="5673" w:type="dxa"/>
                  <w:noWrap w:val="0"/>
                  <w:vAlign w:val="center"/>
                </w:tcPr>
                <w:p w14:paraId="14754200">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工程内容</w:t>
                  </w:r>
                </w:p>
              </w:tc>
            </w:tr>
            <w:tr w14:paraId="79A41F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restart"/>
                  <w:noWrap w:val="0"/>
                  <w:vAlign w:val="center"/>
                </w:tcPr>
                <w:p w14:paraId="1DA8B81C">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c>
                <w:tcPr>
                  <w:tcW w:w="0" w:type="auto"/>
                  <w:vMerge w:val="restart"/>
                  <w:noWrap w:val="0"/>
                  <w:vAlign w:val="center"/>
                </w:tcPr>
                <w:p w14:paraId="240BE3DE">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主体工程</w:t>
                  </w:r>
                </w:p>
              </w:tc>
              <w:tc>
                <w:tcPr>
                  <w:tcW w:w="721" w:type="dxa"/>
                  <w:vMerge w:val="restart"/>
                  <w:noWrap w:val="0"/>
                  <w:vAlign w:val="center"/>
                </w:tcPr>
                <w:p w14:paraId="42E3CED9">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沥青混凝土搅拌区</w:t>
                  </w:r>
                </w:p>
              </w:tc>
              <w:tc>
                <w:tcPr>
                  <w:tcW w:w="945" w:type="dxa"/>
                  <w:noWrap w:val="0"/>
                  <w:vAlign w:val="center"/>
                </w:tcPr>
                <w:p w14:paraId="3ADB134B">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原料库</w:t>
                  </w:r>
                </w:p>
              </w:tc>
              <w:tc>
                <w:tcPr>
                  <w:tcW w:w="5673" w:type="dxa"/>
                  <w:noWrap w:val="0"/>
                  <w:vAlign w:val="center"/>
                </w:tcPr>
                <w:p w14:paraId="4E369872">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占地面积为</w:t>
                  </w:r>
                  <w:r>
                    <w:rPr>
                      <w:rFonts w:hint="default" w:ascii="Times New Roman" w:hAnsi="Times New Roman" w:cs="Times New Roman"/>
                      <w:color w:val="000000" w:themeColor="text1"/>
                      <w:szCs w:val="21"/>
                      <w:highlight w:val="none"/>
                      <w14:textFill>
                        <w14:solidFill>
                          <w14:schemeClr w14:val="tx1"/>
                        </w14:solidFill>
                      </w14:textFill>
                    </w:rPr>
                    <w:t>3600</w:t>
                  </w:r>
                  <w:r>
                    <w:rPr>
                      <w:rFonts w:hint="eastAsia" w:ascii="Times New Roman" w:cs="Times New Roman"/>
                      <w:color w:val="000000" w:themeColor="text1"/>
                      <w:szCs w:val="21"/>
                      <w:highlight w:val="none"/>
                      <w:lang w:val="en-US" w:eastAsia="zh-CN"/>
                      <w14:textFill>
                        <w14:solidFill>
                          <w14:schemeClr w14:val="tx1"/>
                        </w14:solidFill>
                      </w14:textFill>
                    </w:rPr>
                    <w:t>m</w:t>
                  </w:r>
                  <w:r>
                    <w:rPr>
                      <w:rFonts w:hint="eastAsia" w:asci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kern w:val="0"/>
                      <w:szCs w:val="21"/>
                      <w:highlight w:val="none"/>
                      <w14:textFill>
                        <w14:solidFill>
                          <w14:schemeClr w14:val="tx1"/>
                        </w14:solidFill>
                      </w14:textFill>
                    </w:rPr>
                    <w:t>彩钢结构</w:t>
                  </w:r>
                </w:p>
              </w:tc>
            </w:tr>
            <w:tr w14:paraId="67315CD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continue"/>
                  <w:noWrap w:val="0"/>
                  <w:vAlign w:val="center"/>
                </w:tcPr>
                <w:p w14:paraId="4B59760D">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0" w:type="auto"/>
                  <w:vMerge w:val="continue"/>
                  <w:noWrap w:val="0"/>
                  <w:vAlign w:val="center"/>
                </w:tcPr>
                <w:p w14:paraId="12DAA424">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721" w:type="dxa"/>
                  <w:vMerge w:val="continue"/>
                  <w:noWrap w:val="0"/>
                  <w:vAlign w:val="center"/>
                </w:tcPr>
                <w:p w14:paraId="0DE0B4F0">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945" w:type="dxa"/>
                  <w:noWrap w:val="0"/>
                  <w:vAlign w:val="center"/>
                </w:tcPr>
                <w:p w14:paraId="34030FE0">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沥青储存罐</w:t>
                  </w:r>
                </w:p>
              </w:tc>
              <w:tc>
                <w:tcPr>
                  <w:tcW w:w="5673" w:type="dxa"/>
                  <w:noWrap w:val="0"/>
                  <w:vAlign w:val="center"/>
                </w:tcPr>
                <w:p w14:paraId="5AFB5504">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占地面积为50m</w:t>
                  </w:r>
                  <w:r>
                    <w:rPr>
                      <w:rFonts w:hint="eastAsia" w:asci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cs="Times New Roman"/>
                      <w:color w:val="000000" w:themeColor="text1"/>
                      <w:szCs w:val="21"/>
                      <w:highlight w:val="none"/>
                      <w:lang w:val="en-US" w:eastAsia="zh-CN"/>
                      <w14:textFill>
                        <w14:solidFill>
                          <w14:schemeClr w14:val="tx1"/>
                        </w14:solidFill>
                      </w14:textFill>
                    </w:rPr>
                    <w:t>，建设4个沥青储罐，每个储罐的容积为40t，最大储存能力为32t</w:t>
                  </w:r>
                </w:p>
              </w:tc>
            </w:tr>
            <w:tr w14:paraId="722E26C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restart"/>
                  <w:noWrap w:val="0"/>
                  <w:vAlign w:val="center"/>
                </w:tcPr>
                <w:p w14:paraId="3D2B2455">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w:t>
                  </w:r>
                </w:p>
              </w:tc>
              <w:tc>
                <w:tcPr>
                  <w:tcW w:w="0" w:type="auto"/>
                  <w:vMerge w:val="restart"/>
                  <w:noWrap w:val="0"/>
                  <w:vAlign w:val="center"/>
                </w:tcPr>
                <w:p w14:paraId="1D3E5541">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辅助工程</w:t>
                  </w:r>
                </w:p>
              </w:tc>
              <w:tc>
                <w:tcPr>
                  <w:tcW w:w="1666" w:type="dxa"/>
                  <w:gridSpan w:val="2"/>
                  <w:noWrap w:val="0"/>
                  <w:vAlign w:val="center"/>
                </w:tcPr>
                <w:p w14:paraId="6816FC70">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办公区</w:t>
                  </w:r>
                </w:p>
              </w:tc>
              <w:tc>
                <w:tcPr>
                  <w:tcW w:w="5673" w:type="dxa"/>
                  <w:noWrap w:val="0"/>
                  <w:vAlign w:val="center"/>
                </w:tcPr>
                <w:p w14:paraId="204FB959">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占地面积为</w:t>
                  </w:r>
                  <w:r>
                    <w:rPr>
                      <w:rFonts w:hint="default" w:ascii="Times New Roman" w:hAnsi="Times New Roman" w:cs="Times New Roman"/>
                      <w:color w:val="000000" w:themeColor="text1"/>
                      <w:szCs w:val="21"/>
                      <w:highlight w:val="none"/>
                      <w14:textFill>
                        <w14:solidFill>
                          <w14:schemeClr w14:val="tx1"/>
                        </w14:solidFill>
                      </w14:textFill>
                    </w:rPr>
                    <w:t>200</w:t>
                  </w:r>
                  <w:r>
                    <w:rPr>
                      <w:rFonts w:hint="eastAsia" w:ascii="Times New Roman" w:cs="Times New Roman"/>
                      <w:color w:val="000000" w:themeColor="text1"/>
                      <w:szCs w:val="21"/>
                      <w:highlight w:val="none"/>
                      <w:lang w:val="en-US" w:eastAsia="zh-CN"/>
                      <w14:textFill>
                        <w14:solidFill>
                          <w14:schemeClr w14:val="tx1"/>
                        </w14:solidFill>
                      </w14:textFill>
                    </w:rPr>
                    <w:t>m</w:t>
                  </w:r>
                  <w:r>
                    <w:rPr>
                      <w:rFonts w:hint="eastAsia" w:asci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砖混结构</w:t>
                  </w:r>
                </w:p>
              </w:tc>
            </w:tr>
            <w:tr w14:paraId="4387DA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continue"/>
                  <w:noWrap w:val="0"/>
                  <w:vAlign w:val="center"/>
                </w:tcPr>
                <w:p w14:paraId="276E3103">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0" w:type="auto"/>
                  <w:vMerge w:val="continue"/>
                  <w:noWrap w:val="0"/>
                  <w:vAlign w:val="center"/>
                </w:tcPr>
                <w:p w14:paraId="1AA9E087">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666" w:type="dxa"/>
                  <w:gridSpan w:val="2"/>
                  <w:noWrap w:val="0"/>
                  <w:vAlign w:val="center"/>
                </w:tcPr>
                <w:p w14:paraId="4B5F8B6E">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宿舍</w:t>
                  </w:r>
                </w:p>
              </w:tc>
              <w:tc>
                <w:tcPr>
                  <w:tcW w:w="5673" w:type="dxa"/>
                  <w:noWrap w:val="0"/>
                  <w:vAlign w:val="center"/>
                </w:tcPr>
                <w:p w14:paraId="2E8ABDE7">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占地面积为15</w:t>
                  </w: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cs="Times New Roman"/>
                      <w:color w:val="000000" w:themeColor="text1"/>
                      <w:szCs w:val="21"/>
                      <w:highlight w:val="none"/>
                      <w:lang w:val="en-US" w:eastAsia="zh-CN"/>
                      <w14:textFill>
                        <w14:solidFill>
                          <w14:schemeClr w14:val="tx1"/>
                        </w14:solidFill>
                      </w14:textFill>
                    </w:rPr>
                    <w:t>m</w:t>
                  </w:r>
                  <w:r>
                    <w:rPr>
                      <w:rFonts w:hint="eastAsia" w:asci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砖混结构</w:t>
                  </w:r>
                </w:p>
              </w:tc>
            </w:tr>
            <w:tr w14:paraId="0E3405A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continue"/>
                  <w:noWrap w:val="0"/>
                  <w:vAlign w:val="center"/>
                </w:tcPr>
                <w:p w14:paraId="0F2A1B1D">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0" w:type="auto"/>
                  <w:vMerge w:val="continue"/>
                  <w:noWrap w:val="0"/>
                  <w:vAlign w:val="center"/>
                </w:tcPr>
                <w:p w14:paraId="4B6F9043">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666" w:type="dxa"/>
                  <w:gridSpan w:val="2"/>
                  <w:noWrap w:val="0"/>
                  <w:vAlign w:val="center"/>
                </w:tcPr>
                <w:p w14:paraId="163855F3">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实验室</w:t>
                  </w:r>
                </w:p>
              </w:tc>
              <w:tc>
                <w:tcPr>
                  <w:tcW w:w="5673" w:type="dxa"/>
                  <w:noWrap w:val="0"/>
                  <w:vAlign w:val="center"/>
                </w:tcPr>
                <w:p w14:paraId="1C866566">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占地面积为120m</w:t>
                  </w:r>
                  <w:r>
                    <w:rPr>
                      <w:rFonts w:hint="eastAsia" w:asci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cs="Times New Roman"/>
                      <w:color w:val="000000" w:themeColor="text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砖混结构</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进行沥青混凝土的物理性（强度、硬度等）试验</w:t>
                  </w:r>
                </w:p>
              </w:tc>
            </w:tr>
            <w:tr w14:paraId="4D6162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continue"/>
                  <w:noWrap w:val="0"/>
                  <w:vAlign w:val="center"/>
                </w:tcPr>
                <w:p w14:paraId="51249296">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0" w:type="auto"/>
                  <w:vMerge w:val="continue"/>
                  <w:noWrap w:val="0"/>
                  <w:vAlign w:val="center"/>
                </w:tcPr>
                <w:p w14:paraId="551E5572">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666" w:type="dxa"/>
                  <w:gridSpan w:val="2"/>
                  <w:noWrap w:val="0"/>
                  <w:vAlign w:val="center"/>
                </w:tcPr>
                <w:p w14:paraId="446058C8">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危险废物暂存间</w:t>
                  </w:r>
                </w:p>
              </w:tc>
              <w:tc>
                <w:tcPr>
                  <w:tcW w:w="5673" w:type="dxa"/>
                  <w:noWrap w:val="0"/>
                  <w:vAlign w:val="center"/>
                </w:tcPr>
                <w:p w14:paraId="230B3EC1">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占地面积为6m</w:t>
                  </w:r>
                  <w:r>
                    <w:rPr>
                      <w:rFonts w:hint="eastAsia" w:ascii="Times New Roman" w:cs="Times New Roman"/>
                      <w:color w:val="000000" w:themeColor="text1"/>
                      <w:szCs w:val="21"/>
                      <w:highlight w:val="none"/>
                      <w:vertAlign w:val="superscript"/>
                      <w:lang w:val="en-US" w:eastAsia="zh-CN"/>
                      <w14:textFill>
                        <w14:solidFill>
                          <w14:schemeClr w14:val="tx1"/>
                        </w14:solidFill>
                      </w14:textFill>
                    </w:rPr>
                    <w:t>2</w:t>
                  </w:r>
                  <w:r>
                    <w:rPr>
                      <w:rFonts w:hint="eastAsia" w:ascii="Times New Roman" w:cs="Times New Roman"/>
                      <w:color w:val="000000" w:themeColor="text1"/>
                      <w:szCs w:val="21"/>
                      <w:highlight w:val="none"/>
                      <w:lang w:val="en-US" w:eastAsia="zh-CN"/>
                      <w14:textFill>
                        <w14:solidFill>
                          <w14:schemeClr w14:val="tx1"/>
                        </w14:solidFill>
                      </w14:textFill>
                    </w:rPr>
                    <w:t>，砖混结构</w:t>
                  </w:r>
                </w:p>
              </w:tc>
            </w:tr>
            <w:tr w14:paraId="711A46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restart"/>
                  <w:noWrap w:val="0"/>
                  <w:vAlign w:val="center"/>
                </w:tcPr>
                <w:p w14:paraId="37712B09">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3</w:t>
                  </w:r>
                </w:p>
              </w:tc>
              <w:tc>
                <w:tcPr>
                  <w:tcW w:w="0" w:type="auto"/>
                  <w:vMerge w:val="restart"/>
                  <w:noWrap w:val="0"/>
                  <w:vAlign w:val="center"/>
                </w:tcPr>
                <w:p w14:paraId="434E54D2">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环保工程</w:t>
                  </w:r>
                </w:p>
              </w:tc>
              <w:tc>
                <w:tcPr>
                  <w:tcW w:w="1666" w:type="dxa"/>
                  <w:gridSpan w:val="2"/>
                  <w:noWrap w:val="0"/>
                  <w:vAlign w:val="center"/>
                </w:tcPr>
                <w:p w14:paraId="3886750D">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废气处理</w:t>
                  </w:r>
                </w:p>
              </w:tc>
              <w:tc>
                <w:tcPr>
                  <w:tcW w:w="5673" w:type="dxa"/>
                  <w:noWrap w:val="0"/>
                  <w:vAlign w:val="center"/>
                </w:tcPr>
                <w:p w14:paraId="063EFA7E">
                  <w:pPr>
                    <w:keepNext w:val="0"/>
                    <w:keepLines w:val="0"/>
                    <w:pageBreakBefore w:val="0"/>
                    <w:widowControl w:val="0"/>
                    <w:kinsoku/>
                    <w:overflowPunct/>
                    <w:topLinePunct w:val="0"/>
                    <w:autoSpaceDE/>
                    <w:autoSpaceDN/>
                    <w:bidi w:val="0"/>
                    <w:spacing w:line="320" w:lineRule="exact"/>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为干燥滚筒（冷骨料）加热的天然气燃烧器采用低氮燃烧器，产生的废气进入布袋除尘器处理，</w:t>
                  </w:r>
                  <w:r>
                    <w:rPr>
                      <w:rFonts w:hint="default" w:eastAsia="宋体" w:cs="Times New Roman"/>
                      <w:color w:val="000000" w:themeColor="text1"/>
                      <w:sz w:val="21"/>
                      <w:szCs w:val="21"/>
                      <w:highlight w:val="none"/>
                      <w:lang w:val="en-US" w:eastAsia="zh-CN"/>
                      <w14:textFill>
                        <w14:solidFill>
                          <w14:schemeClr w14:val="tx1"/>
                        </w14:solidFill>
                      </w14:textFill>
                    </w:rPr>
                    <w:t>通过一根15m高的排气筒排放（DA001）</w:t>
                  </w:r>
                  <w:r>
                    <w:rPr>
                      <w:rFonts w:hint="eastAsia" w:cs="Times New Roman"/>
                      <w:color w:val="000000" w:themeColor="text1"/>
                      <w:sz w:val="21"/>
                      <w:szCs w:val="21"/>
                      <w:highlight w:val="none"/>
                      <w:lang w:val="en-US" w:eastAsia="zh-CN"/>
                      <w14:textFill>
                        <w14:solidFill>
                          <w14:schemeClr w14:val="tx1"/>
                        </w14:solidFill>
                      </w14:textFill>
                    </w:rPr>
                    <w:t>；</w:t>
                  </w:r>
                </w:p>
                <w:p w14:paraId="06B59E25">
                  <w:pPr>
                    <w:keepNext w:val="0"/>
                    <w:keepLines w:val="0"/>
                    <w:pageBreakBefore w:val="0"/>
                    <w:widowControl w:val="0"/>
                    <w:kinsoku/>
                    <w:overflowPunct/>
                    <w:topLinePunct w:val="0"/>
                    <w:autoSpaceDE/>
                    <w:autoSpaceDN/>
                    <w:bidi w:val="0"/>
                    <w:spacing w:line="320" w:lineRule="exact"/>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default" w:eastAsia="宋体" w:cs="Times New Roman"/>
                      <w:color w:val="000000" w:themeColor="text1"/>
                      <w:sz w:val="21"/>
                      <w:szCs w:val="21"/>
                      <w:highlight w:val="none"/>
                      <w:lang w:val="en-US" w:eastAsia="zh-CN"/>
                      <w14:textFill>
                        <w14:solidFill>
                          <w14:schemeClr w14:val="tx1"/>
                        </w14:solidFill>
                      </w14:textFill>
                    </w:rPr>
                    <w:t>沥青加热</w:t>
                  </w:r>
                  <w:r>
                    <w:rPr>
                      <w:rFonts w:hint="eastAsia" w:cs="Times New Roman"/>
                      <w:color w:val="000000" w:themeColor="text1"/>
                      <w:sz w:val="21"/>
                      <w:szCs w:val="21"/>
                      <w:highlight w:val="none"/>
                      <w:lang w:val="en-US" w:eastAsia="zh-CN"/>
                      <w14:textFill>
                        <w14:solidFill>
                          <w14:schemeClr w14:val="tx1"/>
                        </w14:solidFill>
                      </w14:textFill>
                    </w:rPr>
                    <w:t>沥青罐内</w:t>
                  </w:r>
                  <w:r>
                    <w:rPr>
                      <w:rFonts w:hint="default" w:eastAsia="宋体" w:cs="Times New Roman"/>
                      <w:color w:val="000000" w:themeColor="text1"/>
                      <w:sz w:val="21"/>
                      <w:szCs w:val="21"/>
                      <w:highlight w:val="none"/>
                      <w:lang w:val="en-US" w:eastAsia="zh-CN"/>
                      <w14:textFill>
                        <w14:solidFill>
                          <w14:schemeClr w14:val="tx1"/>
                        </w14:solidFill>
                      </w14:textFill>
                    </w:rPr>
                    <w:t>产生的沥青烟、非甲烷总烃、苯并[a]芘经管道收集后，通过</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“电捕焦油器+活性炭吸附”</w:t>
                  </w:r>
                  <w:r>
                    <w:rPr>
                      <w:rFonts w:hint="default" w:eastAsia="宋体" w:cs="Times New Roman"/>
                      <w:color w:val="000000" w:themeColor="text1"/>
                      <w:sz w:val="21"/>
                      <w:szCs w:val="21"/>
                      <w:highlight w:val="none"/>
                      <w:lang w:val="en-US" w:eastAsia="zh-CN"/>
                      <w14:textFill>
                        <w14:solidFill>
                          <w14:schemeClr w14:val="tx1"/>
                        </w14:solidFill>
                      </w14:textFill>
                    </w:rPr>
                    <w:t>处理装置处理后，通过一根15m高的排气筒外排（DA001）</w:t>
                  </w:r>
                  <w:r>
                    <w:rPr>
                      <w:rFonts w:hint="eastAsia" w:cs="Times New Roman"/>
                      <w:color w:val="000000" w:themeColor="text1"/>
                      <w:sz w:val="21"/>
                      <w:szCs w:val="21"/>
                      <w:highlight w:val="none"/>
                      <w:lang w:val="en-US" w:eastAsia="zh-CN"/>
                      <w14:textFill>
                        <w14:solidFill>
                          <w14:schemeClr w14:val="tx1"/>
                        </w14:solidFill>
                      </w14:textFill>
                    </w:rPr>
                    <w:t>；</w:t>
                  </w:r>
                </w:p>
                <w:p w14:paraId="49581095">
                  <w:pPr>
                    <w:keepNext w:val="0"/>
                    <w:keepLines w:val="0"/>
                    <w:pageBreakBefore w:val="0"/>
                    <w:widowControl w:val="0"/>
                    <w:kinsoku/>
                    <w:overflowPunct/>
                    <w:topLinePunct w:val="0"/>
                    <w:autoSpaceDE/>
                    <w:autoSpaceDN/>
                    <w:bidi w:val="0"/>
                    <w:spacing w:line="320" w:lineRule="exac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矿粉筒仓自带仓顶除尘器，</w:t>
                  </w:r>
                  <w:r>
                    <w:rPr>
                      <w:rFonts w:hint="eastAsia"/>
                      <w:bCs/>
                      <w:color w:val="000000" w:themeColor="text1"/>
                      <w:sz w:val="21"/>
                      <w:szCs w:val="21"/>
                      <w:highlight w:val="none"/>
                      <w14:textFill>
                        <w14:solidFill>
                          <w14:schemeClr w14:val="tx1"/>
                        </w14:solidFill>
                      </w14:textFill>
                    </w:rPr>
                    <w:t>处理后的粉尘由筒仓1</w:t>
                  </w:r>
                  <w:r>
                    <w:rPr>
                      <w:rFonts w:hint="eastAsia"/>
                      <w:bCs/>
                      <w:color w:val="000000" w:themeColor="text1"/>
                      <w:sz w:val="21"/>
                      <w:szCs w:val="21"/>
                      <w:highlight w:val="none"/>
                      <w:lang w:val="en-US" w:eastAsia="zh-CN"/>
                      <w14:textFill>
                        <w14:solidFill>
                          <w14:schemeClr w14:val="tx1"/>
                        </w14:solidFill>
                      </w14:textFill>
                    </w:rPr>
                    <w:t>5</w:t>
                  </w:r>
                  <w:r>
                    <w:rPr>
                      <w:rFonts w:hint="eastAsia"/>
                      <w:bCs/>
                      <w:color w:val="000000" w:themeColor="text1"/>
                      <w:sz w:val="21"/>
                      <w:szCs w:val="21"/>
                      <w:highlight w:val="none"/>
                      <w14:textFill>
                        <w14:solidFill>
                          <w14:schemeClr w14:val="tx1"/>
                        </w14:solidFill>
                      </w14:textFill>
                    </w:rPr>
                    <w:t>m高</w:t>
                  </w:r>
                  <w:r>
                    <w:rPr>
                      <w:rFonts w:hint="eastAsia"/>
                      <w:bCs/>
                      <w:color w:val="000000" w:themeColor="text1"/>
                      <w:sz w:val="21"/>
                      <w:szCs w:val="21"/>
                      <w:highlight w:val="none"/>
                      <w:lang w:val="en-US" w:eastAsia="zh-CN"/>
                      <w14:textFill>
                        <w14:solidFill>
                          <w14:schemeClr w14:val="tx1"/>
                        </w14:solidFill>
                      </w14:textFill>
                    </w:rPr>
                    <w:t>排气筒排放（DA001）；</w:t>
                  </w:r>
                </w:p>
                <w:p w14:paraId="0101755C">
                  <w:pPr>
                    <w:keepNext w:val="0"/>
                    <w:keepLines w:val="0"/>
                    <w:pageBreakBefore w:val="0"/>
                    <w:widowControl w:val="0"/>
                    <w:kinsoku/>
                    <w:overflowPunct/>
                    <w:topLinePunct w:val="0"/>
                    <w:autoSpaceDE/>
                    <w:autoSpaceDN/>
                    <w:bidi w:val="0"/>
                    <w:spacing w:line="320" w:lineRule="exact"/>
                    <w:textAlignment w:val="auto"/>
                    <w:rPr>
                      <w:rFonts w:hint="default"/>
                      <w:color w:val="000000" w:themeColor="text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沥青导热油炉采用低氮燃烧器，产生的废气进入布袋除尘器处理，处理后的废气经16m高的排气筒排出（DA002）。</w:t>
                  </w:r>
                </w:p>
              </w:tc>
            </w:tr>
            <w:tr w14:paraId="741D0B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continue"/>
                  <w:noWrap w:val="0"/>
                  <w:vAlign w:val="center"/>
                </w:tcPr>
                <w:p w14:paraId="5E945869">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0" w:type="auto"/>
                  <w:vMerge w:val="continue"/>
                  <w:noWrap w:val="0"/>
                  <w:vAlign w:val="center"/>
                </w:tcPr>
                <w:p w14:paraId="3BFAF182">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666" w:type="dxa"/>
                  <w:gridSpan w:val="2"/>
                  <w:noWrap w:val="0"/>
                  <w:vAlign w:val="center"/>
                </w:tcPr>
                <w:p w14:paraId="4FC7D1E0">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噪声防治</w:t>
                  </w:r>
                </w:p>
              </w:tc>
              <w:tc>
                <w:tcPr>
                  <w:tcW w:w="5673" w:type="dxa"/>
                  <w:noWrap w:val="0"/>
                  <w:vAlign w:val="center"/>
                </w:tcPr>
                <w:p w14:paraId="6B61D8B7">
                  <w:pPr>
                    <w:pStyle w:val="58"/>
                    <w:keepNext w:val="0"/>
                    <w:keepLines w:val="0"/>
                    <w:pageBreakBefore w:val="0"/>
                    <w:widowControl w:val="0"/>
                    <w:kinsoku/>
                    <w:wordWrap w:val="0"/>
                    <w:overflowPunct/>
                    <w:topLinePunct w:val="0"/>
                    <w:autoSpaceDE/>
                    <w:autoSpaceDN/>
                    <w:bidi w:val="0"/>
                    <w:spacing w:beforeLines="0" w:afterLines="0" w:line="320" w:lineRule="exact"/>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上料在密闭原料库进行，基础减震</w:t>
                  </w:r>
                </w:p>
              </w:tc>
            </w:tr>
            <w:tr w14:paraId="4E01AAA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vMerge w:val="continue"/>
                  <w:noWrap w:val="0"/>
                  <w:vAlign w:val="center"/>
                </w:tcPr>
                <w:p w14:paraId="4A5C43AD">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0" w:type="auto"/>
                  <w:vMerge w:val="continue"/>
                  <w:noWrap w:val="0"/>
                  <w:vAlign w:val="center"/>
                </w:tcPr>
                <w:p w14:paraId="5ED4F5DC">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666" w:type="dxa"/>
                  <w:gridSpan w:val="2"/>
                  <w:noWrap w:val="0"/>
                  <w:vAlign w:val="center"/>
                </w:tcPr>
                <w:p w14:paraId="420DEEB0">
                  <w:pPr>
                    <w:keepNext w:val="0"/>
                    <w:keepLines w:val="0"/>
                    <w:pageBreakBefore w:val="0"/>
                    <w:widowControl w:val="0"/>
                    <w:kinsoku/>
                    <w:wordWrap w:val="0"/>
                    <w:overflowPunct/>
                    <w:topLinePunct w:val="0"/>
                    <w:autoSpaceDE/>
                    <w:autoSpaceDN/>
                    <w:bidi w:val="0"/>
                    <w:spacing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固废处理</w:t>
                  </w:r>
                </w:p>
              </w:tc>
              <w:tc>
                <w:tcPr>
                  <w:tcW w:w="5673" w:type="dxa"/>
                  <w:noWrap w:val="0"/>
                  <w:vAlign w:val="center"/>
                </w:tcPr>
                <w:p w14:paraId="03C547FA">
                  <w:pPr>
                    <w:pStyle w:val="58"/>
                    <w:keepNext w:val="0"/>
                    <w:keepLines w:val="0"/>
                    <w:pageBreakBefore w:val="0"/>
                    <w:widowControl w:val="0"/>
                    <w:kinsoku/>
                    <w:wordWrap w:val="0"/>
                    <w:overflowPunct/>
                    <w:topLinePunct w:val="0"/>
                    <w:autoSpaceDE/>
                    <w:autoSpaceDN/>
                    <w:bidi w:val="0"/>
                    <w:spacing w:beforeLines="0" w:afterLines="0" w:line="320" w:lineRule="exact"/>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除尘灰及生活垃圾由环卫部门收集统一处理</w:t>
                  </w:r>
                  <w:r>
                    <w:rPr>
                      <w:rFonts w:hint="eastAsia" w:ascii="Times New Roman"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废润滑油、废润滑油桶、废活性炭暂存于危险废物暂存间内，定期交由有资质单位处理；废焦油由厂家定期处理，不在厂区内贮存</w:t>
                  </w:r>
                </w:p>
              </w:tc>
            </w:tr>
            <w:tr w14:paraId="2735BD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45" w:type="dxa"/>
                  <w:vMerge w:val="restart"/>
                  <w:noWrap w:val="0"/>
                  <w:vAlign w:val="center"/>
                </w:tcPr>
                <w:p w14:paraId="3ABB2C5F">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w:t>
                  </w:r>
                </w:p>
              </w:tc>
              <w:tc>
                <w:tcPr>
                  <w:tcW w:w="479" w:type="dxa"/>
                  <w:vMerge w:val="restart"/>
                  <w:noWrap w:val="0"/>
                  <w:vAlign w:val="center"/>
                </w:tcPr>
                <w:p w14:paraId="5C88ACB5">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公用工程</w:t>
                  </w:r>
                </w:p>
              </w:tc>
              <w:tc>
                <w:tcPr>
                  <w:tcW w:w="1666" w:type="dxa"/>
                  <w:gridSpan w:val="2"/>
                  <w:noWrap w:val="0"/>
                  <w:vAlign w:val="center"/>
                </w:tcPr>
                <w:p w14:paraId="22C35322">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供水</w:t>
                  </w:r>
                </w:p>
              </w:tc>
              <w:tc>
                <w:tcPr>
                  <w:tcW w:w="5673" w:type="dxa"/>
                  <w:noWrap w:val="0"/>
                  <w:vAlign w:val="center"/>
                </w:tcPr>
                <w:p w14:paraId="25739AA4">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自备水井</w:t>
                  </w:r>
                </w:p>
              </w:tc>
            </w:tr>
            <w:tr w14:paraId="26AE4F2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45" w:type="dxa"/>
                  <w:vMerge w:val="continue"/>
                  <w:noWrap w:val="0"/>
                  <w:vAlign w:val="center"/>
                </w:tcPr>
                <w:p w14:paraId="1D3D93FD">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479" w:type="dxa"/>
                  <w:vMerge w:val="continue"/>
                  <w:noWrap w:val="0"/>
                  <w:vAlign w:val="center"/>
                </w:tcPr>
                <w:p w14:paraId="3F0E257A">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666" w:type="dxa"/>
                  <w:gridSpan w:val="2"/>
                  <w:noWrap w:val="0"/>
                  <w:vAlign w:val="center"/>
                </w:tcPr>
                <w:p w14:paraId="310E2CBE">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排水</w:t>
                  </w:r>
                </w:p>
              </w:tc>
              <w:tc>
                <w:tcPr>
                  <w:tcW w:w="5673" w:type="dxa"/>
                  <w:noWrap w:val="0"/>
                  <w:vAlign w:val="center"/>
                </w:tcPr>
                <w:p w14:paraId="7AE78550">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主要为员工的盥洗用水，用于厂区泼洒抑尘</w:t>
                  </w:r>
                </w:p>
              </w:tc>
            </w:tr>
            <w:tr w14:paraId="4D429E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45" w:type="dxa"/>
                  <w:vMerge w:val="continue"/>
                  <w:noWrap w:val="0"/>
                  <w:vAlign w:val="center"/>
                </w:tcPr>
                <w:p w14:paraId="51CCF58E">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479" w:type="dxa"/>
                  <w:vMerge w:val="continue"/>
                  <w:noWrap w:val="0"/>
                  <w:vAlign w:val="center"/>
                </w:tcPr>
                <w:p w14:paraId="1739973B">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666" w:type="dxa"/>
                  <w:gridSpan w:val="2"/>
                  <w:noWrap w:val="0"/>
                  <w:vAlign w:val="center"/>
                </w:tcPr>
                <w:p w14:paraId="35FDAFD8">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cs="Times New Roman"/>
                      <w:color w:val="000000" w:themeColor="text1"/>
                      <w:szCs w:val="21"/>
                      <w:highlight w:val="none"/>
                      <w:lang w:val="en-US" w:eastAsia="zh-CN"/>
                      <w14:textFill>
                        <w14:solidFill>
                          <w14:schemeClr w14:val="tx1"/>
                        </w14:solidFill>
                      </w14:textFill>
                    </w:rPr>
                    <w:t>供热</w:t>
                  </w:r>
                </w:p>
              </w:tc>
              <w:tc>
                <w:tcPr>
                  <w:tcW w:w="5673" w:type="dxa"/>
                  <w:noWrap w:val="0"/>
                  <w:vAlign w:val="center"/>
                </w:tcPr>
                <w:p w14:paraId="76EFD776">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办公室内采用空调供暖，生产车间不供暖；天然气燃烧器和导热油炉热源为天然气，由撬车提供，由厂区内的天然转化器转化为气态</w:t>
                  </w:r>
                </w:p>
              </w:tc>
            </w:tr>
            <w:tr w14:paraId="78B522A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45" w:type="dxa"/>
                  <w:vMerge w:val="continue"/>
                  <w:noWrap w:val="0"/>
                  <w:vAlign w:val="center"/>
                </w:tcPr>
                <w:p w14:paraId="18186E54">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479" w:type="dxa"/>
                  <w:vMerge w:val="continue"/>
                  <w:noWrap w:val="0"/>
                  <w:vAlign w:val="center"/>
                </w:tcPr>
                <w:p w14:paraId="11729402">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666" w:type="dxa"/>
                  <w:gridSpan w:val="2"/>
                  <w:shd w:val="clear" w:color="auto" w:fill="auto"/>
                  <w:noWrap w:val="0"/>
                  <w:vAlign w:val="center"/>
                </w:tcPr>
                <w:p w14:paraId="497920A7">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供电</w:t>
                  </w:r>
                </w:p>
              </w:tc>
              <w:tc>
                <w:tcPr>
                  <w:tcW w:w="5673" w:type="dxa"/>
                  <w:shd w:val="clear" w:color="auto" w:fill="auto"/>
                  <w:noWrap w:val="0"/>
                  <w:vAlign w:val="center"/>
                </w:tcPr>
                <w:p w14:paraId="1E3481FF">
                  <w:pPr>
                    <w:pStyle w:val="58"/>
                    <w:keepNext w:val="0"/>
                    <w:keepLines w:val="0"/>
                    <w:pageBreakBefore w:val="0"/>
                    <w:widowControl w:val="0"/>
                    <w:kinsoku/>
                    <w:wordWrap w:val="0"/>
                    <w:overflowPunct/>
                    <w:topLinePunct w:val="0"/>
                    <w:autoSpaceDE/>
                    <w:autoSpaceDN/>
                    <w:bidi w:val="0"/>
                    <w:spacing w:beforeLines="0" w:afterLines="0"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当地电网</w:t>
                  </w:r>
                </w:p>
              </w:tc>
            </w:tr>
          </w:tbl>
          <w:p w14:paraId="0C15D0CD">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主要生产设备详见下表所示：</w:t>
            </w:r>
          </w:p>
          <w:p w14:paraId="6D4C4D7E">
            <w:pPr>
              <w:pStyle w:val="28"/>
              <w:keepNext w:val="0"/>
              <w:keepLines w:val="0"/>
              <w:pageBreakBefore w:val="0"/>
              <w:widowControl w:val="0"/>
              <w:kinsoku/>
              <w:wordWrap w:val="0"/>
              <w:overflowPunct/>
              <w:topLinePunct w:val="0"/>
              <w:autoSpaceDE/>
              <w:autoSpaceDN/>
              <w:bidi w:val="0"/>
              <w:adjustRightInd/>
              <w:snapToGrid/>
              <w:spacing w:after="0" w:line="480" w:lineRule="exact"/>
              <w:ind w:left="0" w:leftChars="0" w:firstLine="0" w:firstLineChars="0"/>
              <w:jc w:val="center"/>
              <w:textAlignment w:val="auto"/>
              <w:rPr>
                <w:rFonts w:hint="eastAsia"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表2-</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8</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主要生产设备一览表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78"/>
              <w:gridCol w:w="2616"/>
              <w:gridCol w:w="2137"/>
              <w:gridCol w:w="2139"/>
            </w:tblGrid>
            <w:tr w14:paraId="08F0B0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36E08D73">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序号</w:t>
                  </w:r>
                </w:p>
              </w:tc>
              <w:tc>
                <w:tcPr>
                  <w:tcW w:w="1581" w:type="pct"/>
                  <w:tcBorders>
                    <w:right w:val="single" w:color="auto" w:sz="4" w:space="0"/>
                  </w:tcBorders>
                  <w:noWrap w:val="0"/>
                  <w:vAlign w:val="center"/>
                </w:tcPr>
                <w:p w14:paraId="3483F8B6">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名称</w:t>
                  </w:r>
                </w:p>
              </w:tc>
              <w:tc>
                <w:tcPr>
                  <w:tcW w:w="1292" w:type="pct"/>
                  <w:noWrap w:val="0"/>
                  <w:vAlign w:val="center"/>
                </w:tcPr>
                <w:p w14:paraId="6EEB8B3C">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设备型号</w:t>
                  </w:r>
                </w:p>
              </w:tc>
              <w:tc>
                <w:tcPr>
                  <w:tcW w:w="1293" w:type="pct"/>
                  <w:noWrap w:val="0"/>
                  <w:vAlign w:val="center"/>
                </w:tcPr>
                <w:p w14:paraId="39669910">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数量</w:t>
                  </w:r>
                  <w:r>
                    <w:rPr>
                      <w:rFonts w:hint="eastAsia"/>
                      <w:b/>
                      <w:color w:val="000000" w:themeColor="text1"/>
                      <w:szCs w:val="21"/>
                      <w:highlight w:val="none"/>
                      <w:lang w:eastAsia="zh-CN"/>
                      <w14:textFill>
                        <w14:solidFill>
                          <w14:schemeClr w14:val="tx1"/>
                        </w14:solidFill>
                      </w14:textFill>
                    </w:rPr>
                    <w:t>（</w:t>
                  </w:r>
                  <w:r>
                    <w:rPr>
                      <w:rFonts w:ascii="Times New Roman" w:hAnsi="Times New Roman"/>
                      <w:b/>
                      <w:color w:val="000000" w:themeColor="text1"/>
                      <w:szCs w:val="21"/>
                      <w:highlight w:val="none"/>
                      <w14:textFill>
                        <w14:solidFill>
                          <w14:schemeClr w14:val="tx1"/>
                        </w14:solidFill>
                      </w14:textFill>
                    </w:rPr>
                    <w:t>台/套</w:t>
                  </w:r>
                  <w:r>
                    <w:rPr>
                      <w:rFonts w:hint="eastAsia"/>
                      <w:b/>
                      <w:color w:val="000000" w:themeColor="text1"/>
                      <w:szCs w:val="21"/>
                      <w:highlight w:val="none"/>
                      <w:lang w:eastAsia="zh-CN"/>
                      <w14:textFill>
                        <w14:solidFill>
                          <w14:schemeClr w14:val="tx1"/>
                        </w14:solidFill>
                      </w14:textFill>
                    </w:rPr>
                    <w:t>）</w:t>
                  </w:r>
                </w:p>
              </w:tc>
            </w:tr>
            <w:tr w14:paraId="4064DD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736B7212">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w:t>
                  </w:r>
                </w:p>
              </w:tc>
              <w:tc>
                <w:tcPr>
                  <w:tcW w:w="1581" w:type="pct"/>
                  <w:tcBorders>
                    <w:right w:val="single" w:color="auto" w:sz="4" w:space="0"/>
                  </w:tcBorders>
                  <w:noWrap w:val="0"/>
                  <w:vAlign w:val="center"/>
                </w:tcPr>
                <w:p w14:paraId="04E44C93">
                  <w:pPr>
                    <w:pageBreakBefore w:val="0"/>
                    <w:kinsoku/>
                    <w:wordWrap w:val="0"/>
                    <w:overflowPunct/>
                    <w:bidi w:val="0"/>
                    <w:spacing w:line="240" w:lineRule="exact"/>
                    <w:contextualSpacing/>
                    <w:jc w:val="center"/>
                    <w:rPr>
                      <w:rFonts w:ascii="Times New Roman" w:hAnsi="Times New Roman"/>
                      <w:color w:val="000000" w:themeColor="text1"/>
                      <w:szCs w:val="21"/>
                      <w:highlight w:val="none"/>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沥青混凝土拌合机组</w:t>
                  </w:r>
                </w:p>
              </w:tc>
              <w:tc>
                <w:tcPr>
                  <w:tcW w:w="1292" w:type="pct"/>
                  <w:noWrap w:val="0"/>
                  <w:vAlign w:val="center"/>
                </w:tcPr>
                <w:p w14:paraId="7FC1EFE0">
                  <w:pPr>
                    <w:pageBreakBefore w:val="0"/>
                    <w:widowControl/>
                    <w:kinsoku/>
                    <w:wordWrap w:val="0"/>
                    <w:overflowPunct/>
                    <w:bidi w:val="0"/>
                    <w:jc w:val="center"/>
                    <w:textAlignment w:val="bottom"/>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LJ3000型</w:t>
                  </w:r>
                </w:p>
              </w:tc>
              <w:tc>
                <w:tcPr>
                  <w:tcW w:w="1293" w:type="pct"/>
                  <w:noWrap w:val="0"/>
                  <w:vAlign w:val="center"/>
                </w:tcPr>
                <w:p w14:paraId="268EA971">
                  <w:pPr>
                    <w:pageBreakBefore w:val="0"/>
                    <w:widowControl/>
                    <w:kinsoku/>
                    <w:wordWrap w:val="0"/>
                    <w:overflowPunct/>
                    <w:bidi w:val="0"/>
                    <w:jc w:val="center"/>
                    <w:textAlignment w:val="bottom"/>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3F5BF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079CAC8D">
                  <w:pPr>
                    <w:pageBreakBefore w:val="0"/>
                    <w:kinsoku/>
                    <w:wordWrap w:val="0"/>
                    <w:overflowPunct/>
                    <w:bidi w:val="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2</w:t>
                  </w:r>
                </w:p>
              </w:tc>
              <w:tc>
                <w:tcPr>
                  <w:tcW w:w="1581" w:type="pct"/>
                  <w:tcBorders>
                    <w:right w:val="single" w:color="auto" w:sz="4" w:space="0"/>
                  </w:tcBorders>
                  <w:noWrap w:val="0"/>
                  <w:vAlign w:val="center"/>
                </w:tcPr>
                <w:p w14:paraId="45D3D56B">
                  <w:pPr>
                    <w:pageBreakBefore w:val="0"/>
                    <w:kinsoku/>
                    <w:wordWrap w:val="0"/>
                    <w:overflowPunct/>
                    <w:bidi w:val="0"/>
                    <w:spacing w:line="240" w:lineRule="exact"/>
                    <w:contextualSpacing/>
                    <w:jc w:val="center"/>
                    <w:rPr>
                      <w:rFonts w:ascii="Times New Roman" w:hAnsi="Times New Roman"/>
                      <w:color w:val="000000" w:themeColor="text1"/>
                      <w:szCs w:val="21"/>
                      <w:highlight w:val="none"/>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冷料供应系统</w:t>
                  </w:r>
                </w:p>
              </w:tc>
              <w:tc>
                <w:tcPr>
                  <w:tcW w:w="1292" w:type="pct"/>
                  <w:noWrap w:val="0"/>
                  <w:vAlign w:val="center"/>
                </w:tcPr>
                <w:p w14:paraId="0A869921">
                  <w:pPr>
                    <w:pageBreakBefore w:val="0"/>
                    <w:widowControl/>
                    <w:kinsoku/>
                    <w:wordWrap w:val="0"/>
                    <w:overflowPunct/>
                    <w:bidi w:val="0"/>
                    <w:jc w:val="center"/>
                    <w:textAlignment w:val="bottom"/>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3.2m2.86m</w:t>
                  </w:r>
                </w:p>
              </w:tc>
              <w:tc>
                <w:tcPr>
                  <w:tcW w:w="1293" w:type="pct"/>
                  <w:noWrap w:val="0"/>
                  <w:vAlign w:val="center"/>
                </w:tcPr>
                <w:p w14:paraId="6CC3607E">
                  <w:pPr>
                    <w:pageBreakBefore w:val="0"/>
                    <w:widowControl/>
                    <w:kinsoku/>
                    <w:wordWrap w:val="0"/>
                    <w:overflowPunct/>
                    <w:bidi w:val="0"/>
                    <w:jc w:val="center"/>
                    <w:textAlignment w:val="bottom"/>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w:t>
                  </w:r>
                  <w:r>
                    <w:rPr>
                      <w:rFonts w:hint="eastAsia" w:ascii="Times New Roman" w:hAnsi="Times New Roman"/>
                      <w:color w:val="000000" w:themeColor="text1"/>
                      <w:szCs w:val="21"/>
                      <w:highlight w:val="none"/>
                      <w14:textFill>
                        <w14:solidFill>
                          <w14:schemeClr w14:val="tx1"/>
                        </w14:solidFill>
                      </w14:textFill>
                    </w:rPr>
                    <w:t>套5仓</w:t>
                  </w:r>
                </w:p>
              </w:tc>
            </w:tr>
            <w:tr w14:paraId="62CA41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5DB134D7">
                  <w:pPr>
                    <w:pageBreakBefore w:val="0"/>
                    <w:kinsoku/>
                    <w:wordWrap w:val="0"/>
                    <w:overflowPunct/>
                    <w:bidi w:val="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3</w:t>
                  </w:r>
                </w:p>
              </w:tc>
              <w:tc>
                <w:tcPr>
                  <w:tcW w:w="1581" w:type="pct"/>
                  <w:tcBorders>
                    <w:right w:val="single" w:color="auto" w:sz="4" w:space="0"/>
                  </w:tcBorders>
                  <w:noWrap w:val="0"/>
                  <w:vAlign w:val="center"/>
                </w:tcPr>
                <w:p w14:paraId="096B5670">
                  <w:pPr>
                    <w:pageBreakBefore w:val="0"/>
                    <w:kinsoku/>
                    <w:wordWrap w:val="0"/>
                    <w:overflowPunct/>
                    <w:bidi w:val="0"/>
                    <w:spacing w:line="240" w:lineRule="exact"/>
                    <w:contextualSpacing/>
                    <w:jc w:val="center"/>
                    <w:rPr>
                      <w:rFonts w:ascii="Times New Roman" w:hAnsi="Times New Roman"/>
                      <w:color w:val="000000" w:themeColor="text1"/>
                      <w:szCs w:val="21"/>
                      <w:highlight w:val="none"/>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骨料加热器</w:t>
                  </w:r>
                </w:p>
              </w:tc>
              <w:tc>
                <w:tcPr>
                  <w:tcW w:w="1292" w:type="pct"/>
                  <w:noWrap w:val="0"/>
                  <w:vAlign w:val="center"/>
                </w:tcPr>
                <w:p w14:paraId="2A89C87C">
                  <w:pPr>
                    <w:pageBreakBefore w:val="0"/>
                    <w:widowControl/>
                    <w:kinsoku/>
                    <w:wordWrap w:val="0"/>
                    <w:overflowPunct/>
                    <w:bidi w:val="0"/>
                    <w:jc w:val="center"/>
                    <w:textAlignment w:val="bottom"/>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1200kg/h</w:t>
                  </w:r>
                </w:p>
              </w:tc>
              <w:tc>
                <w:tcPr>
                  <w:tcW w:w="1293" w:type="pct"/>
                  <w:noWrap w:val="0"/>
                  <w:vAlign w:val="center"/>
                </w:tcPr>
                <w:p w14:paraId="031ADCD7">
                  <w:pPr>
                    <w:pageBreakBefore w:val="0"/>
                    <w:widowControl/>
                    <w:kinsoku/>
                    <w:wordWrap w:val="0"/>
                    <w:overflowPunct/>
                    <w:bidi w:val="0"/>
                    <w:jc w:val="center"/>
                    <w:textAlignment w:val="bottom"/>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w:t>
                  </w:r>
                </w:p>
              </w:tc>
            </w:tr>
            <w:tr w14:paraId="28D8F7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090A226A">
                  <w:pPr>
                    <w:pageBreakBefore w:val="0"/>
                    <w:kinsoku/>
                    <w:wordWrap w:val="0"/>
                    <w:overflowPunct/>
                    <w:bidi w:val="0"/>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4</w:t>
                  </w:r>
                </w:p>
              </w:tc>
              <w:tc>
                <w:tcPr>
                  <w:tcW w:w="1581" w:type="pct"/>
                  <w:tcBorders>
                    <w:right w:val="single" w:color="auto" w:sz="4" w:space="0"/>
                  </w:tcBorders>
                  <w:noWrap w:val="0"/>
                  <w:vAlign w:val="center"/>
                </w:tcPr>
                <w:p w14:paraId="68F1831B">
                  <w:pPr>
                    <w:pageBreakBefore w:val="0"/>
                    <w:kinsoku/>
                    <w:wordWrap w:val="0"/>
                    <w:overflowPunct/>
                    <w:bidi w:val="0"/>
                    <w:spacing w:line="240" w:lineRule="exact"/>
                    <w:contextualSpacing/>
                    <w:jc w:val="center"/>
                    <w:rPr>
                      <w:rFonts w:hint="eastAsia" w:ascii="Times New Roman" w:hAnsi="宋体"/>
                      <w:color w:val="000000" w:themeColor="text1"/>
                      <w:szCs w:val="21"/>
                      <w:highlight w:val="none"/>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集料皮带机</w:t>
                  </w:r>
                </w:p>
              </w:tc>
              <w:tc>
                <w:tcPr>
                  <w:tcW w:w="1292" w:type="pct"/>
                  <w:noWrap w:val="0"/>
                  <w:vAlign w:val="center"/>
                </w:tcPr>
                <w:p w14:paraId="36A4AEDA">
                  <w:pPr>
                    <w:pageBreakBefore w:val="0"/>
                    <w:widowControl/>
                    <w:kinsoku/>
                    <w:wordWrap w:val="0"/>
                    <w:overflowPunct/>
                    <w:bidi w:val="0"/>
                    <w:jc w:val="center"/>
                    <w:textAlignment w:val="bottom"/>
                    <w:rPr>
                      <w:rFonts w:hint="eastAsia" w:ascii="Times New Roman" w:hAnsi="Times New Roman"/>
                      <w:color w:val="000000" w:themeColor="text1"/>
                      <w:szCs w:val="21"/>
                      <w:highlight w:val="none"/>
                      <w14:textFill>
                        <w14:solidFill>
                          <w14:schemeClr w14:val="tx1"/>
                        </w14:solidFill>
                      </w14:textFill>
                    </w:rPr>
                  </w:pPr>
                </w:p>
              </w:tc>
              <w:tc>
                <w:tcPr>
                  <w:tcW w:w="1293" w:type="pct"/>
                  <w:noWrap w:val="0"/>
                  <w:vAlign w:val="center"/>
                </w:tcPr>
                <w:p w14:paraId="6826C6C3">
                  <w:pPr>
                    <w:pageBreakBefore w:val="0"/>
                    <w:widowControl/>
                    <w:kinsoku/>
                    <w:wordWrap w:val="0"/>
                    <w:overflowPunct/>
                    <w:bidi w:val="0"/>
                    <w:jc w:val="center"/>
                    <w:textAlignment w:val="bottom"/>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w:t>
                  </w:r>
                </w:p>
              </w:tc>
            </w:tr>
            <w:tr w14:paraId="3C9AF1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2A071EFC">
                  <w:pPr>
                    <w:pageBreakBefore w:val="0"/>
                    <w:kinsoku/>
                    <w:wordWrap w:val="0"/>
                    <w:overflowPunct/>
                    <w:bidi w:val="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5</w:t>
                  </w:r>
                </w:p>
              </w:tc>
              <w:tc>
                <w:tcPr>
                  <w:tcW w:w="1581" w:type="pct"/>
                  <w:tcBorders>
                    <w:right w:val="single" w:color="auto" w:sz="4" w:space="0"/>
                  </w:tcBorders>
                  <w:noWrap w:val="0"/>
                  <w:vAlign w:val="center"/>
                </w:tcPr>
                <w:p w14:paraId="51207FB0">
                  <w:pPr>
                    <w:pageBreakBefore w:val="0"/>
                    <w:kinsoku/>
                    <w:wordWrap w:val="0"/>
                    <w:overflowPunct/>
                    <w:bidi w:val="0"/>
                    <w:spacing w:line="240" w:lineRule="exact"/>
                    <w:contextualSpacing/>
                    <w:jc w:val="center"/>
                    <w:rPr>
                      <w:rFonts w:hint="eastAsia" w:ascii="Times New Roman" w:hAnsi="宋体"/>
                      <w:color w:val="000000" w:themeColor="text1"/>
                      <w:szCs w:val="21"/>
                      <w:highlight w:val="none"/>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冷料输送机</w:t>
                  </w:r>
                </w:p>
              </w:tc>
              <w:tc>
                <w:tcPr>
                  <w:tcW w:w="1292" w:type="pct"/>
                  <w:noWrap w:val="0"/>
                  <w:vAlign w:val="center"/>
                </w:tcPr>
                <w:p w14:paraId="40197946">
                  <w:pPr>
                    <w:pageBreakBefore w:val="0"/>
                    <w:widowControl/>
                    <w:kinsoku/>
                    <w:wordWrap w:val="0"/>
                    <w:overflowPunct/>
                    <w:bidi w:val="0"/>
                    <w:jc w:val="center"/>
                    <w:textAlignment w:val="bottom"/>
                    <w:rPr>
                      <w:rFonts w:hint="eastAsia" w:ascii="Times New Roman" w:hAnsi="Times New Roman"/>
                      <w:color w:val="000000" w:themeColor="text1"/>
                      <w:szCs w:val="21"/>
                      <w:highlight w:val="none"/>
                      <w14:textFill>
                        <w14:solidFill>
                          <w14:schemeClr w14:val="tx1"/>
                        </w14:solidFill>
                      </w14:textFill>
                    </w:rPr>
                  </w:pPr>
                </w:p>
              </w:tc>
              <w:tc>
                <w:tcPr>
                  <w:tcW w:w="1293" w:type="pct"/>
                  <w:noWrap w:val="0"/>
                  <w:vAlign w:val="center"/>
                </w:tcPr>
                <w:p w14:paraId="0459D6A3">
                  <w:pPr>
                    <w:pageBreakBefore w:val="0"/>
                    <w:widowControl/>
                    <w:kinsoku/>
                    <w:wordWrap w:val="0"/>
                    <w:overflowPunct/>
                    <w:bidi w:val="0"/>
                    <w:jc w:val="center"/>
                    <w:textAlignment w:val="bottom"/>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w:t>
                  </w:r>
                </w:p>
              </w:tc>
            </w:tr>
            <w:tr w14:paraId="069B50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042E5EFB">
                  <w:pPr>
                    <w:pageBreakBefore w:val="0"/>
                    <w:kinsoku/>
                    <w:wordWrap w:val="0"/>
                    <w:overflowPunct/>
                    <w:bidi w:val="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6</w:t>
                  </w:r>
                </w:p>
              </w:tc>
              <w:tc>
                <w:tcPr>
                  <w:tcW w:w="1581" w:type="pct"/>
                  <w:tcBorders>
                    <w:right w:val="single" w:color="auto" w:sz="4" w:space="0"/>
                  </w:tcBorders>
                  <w:noWrap w:val="0"/>
                  <w:vAlign w:val="center"/>
                </w:tcPr>
                <w:p w14:paraId="436E7793">
                  <w:pPr>
                    <w:pageBreakBefore w:val="0"/>
                    <w:kinsoku/>
                    <w:wordWrap w:val="0"/>
                    <w:overflowPunct/>
                    <w:bidi w:val="0"/>
                    <w:spacing w:line="240" w:lineRule="exact"/>
                    <w:contextualSpacing/>
                    <w:jc w:val="center"/>
                    <w:rPr>
                      <w:rFonts w:hint="eastAsia" w:ascii="Times New Roman" w:hAnsi="宋体"/>
                      <w:color w:val="000000" w:themeColor="text1"/>
                      <w:szCs w:val="21"/>
                      <w:highlight w:val="none"/>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干燥筒</w:t>
                  </w:r>
                </w:p>
              </w:tc>
              <w:tc>
                <w:tcPr>
                  <w:tcW w:w="1292" w:type="pct"/>
                  <w:noWrap w:val="0"/>
                  <w:vAlign w:val="center"/>
                </w:tcPr>
                <w:p w14:paraId="380C4CDB">
                  <w:pPr>
                    <w:pageBreakBefore w:val="0"/>
                    <w:widowControl/>
                    <w:kinsoku/>
                    <w:wordWrap w:val="0"/>
                    <w:overflowPunct/>
                    <w:bidi w:val="0"/>
                    <w:jc w:val="center"/>
                    <w:textAlignment w:val="bottom"/>
                    <w:rPr>
                      <w:rFonts w:hint="eastAsia" w:ascii="Times New Roman" w:hAnsi="Times New Roman"/>
                      <w:color w:val="000000" w:themeColor="text1"/>
                      <w:szCs w:val="21"/>
                      <w:highlight w:val="none"/>
                      <w14:textFill>
                        <w14:solidFill>
                          <w14:schemeClr w14:val="tx1"/>
                        </w14:solidFill>
                      </w14:textFill>
                    </w:rPr>
                  </w:pPr>
                </w:p>
              </w:tc>
              <w:tc>
                <w:tcPr>
                  <w:tcW w:w="1293" w:type="pct"/>
                  <w:noWrap w:val="0"/>
                  <w:vAlign w:val="center"/>
                </w:tcPr>
                <w:p w14:paraId="63C67665">
                  <w:pPr>
                    <w:pageBreakBefore w:val="0"/>
                    <w:widowControl/>
                    <w:kinsoku/>
                    <w:wordWrap w:val="0"/>
                    <w:overflowPunct/>
                    <w:bidi w:val="0"/>
                    <w:jc w:val="center"/>
                    <w:textAlignment w:val="bottom"/>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3F48E0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5163A651">
                  <w:pPr>
                    <w:pageBreakBefore w:val="0"/>
                    <w:kinsoku/>
                    <w:wordWrap w:val="0"/>
                    <w:overflowPunct/>
                    <w:bidi w:val="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w:t>
                  </w:r>
                </w:p>
              </w:tc>
              <w:tc>
                <w:tcPr>
                  <w:tcW w:w="1581" w:type="pct"/>
                  <w:tcBorders>
                    <w:right w:val="single" w:color="auto" w:sz="4" w:space="0"/>
                  </w:tcBorders>
                  <w:noWrap w:val="0"/>
                  <w:vAlign w:val="center"/>
                </w:tcPr>
                <w:p w14:paraId="7CC63CC6">
                  <w:pPr>
                    <w:pageBreakBefore w:val="0"/>
                    <w:kinsoku/>
                    <w:wordWrap w:val="0"/>
                    <w:overflowPunct/>
                    <w:bidi w:val="0"/>
                    <w:spacing w:line="240" w:lineRule="exact"/>
                    <w:contextualSpacing/>
                    <w:jc w:val="center"/>
                    <w:rPr>
                      <w:rFonts w:ascii="Times New Roman" w:hAnsi="Times New Roman"/>
                      <w:color w:val="000000" w:themeColor="text1"/>
                      <w:szCs w:val="21"/>
                      <w:highlight w:val="none"/>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沥青储罐</w:t>
                  </w:r>
                </w:p>
              </w:tc>
              <w:tc>
                <w:tcPr>
                  <w:tcW w:w="1292" w:type="pct"/>
                  <w:noWrap w:val="0"/>
                  <w:vAlign w:val="center"/>
                </w:tcPr>
                <w:p w14:paraId="5B4D8F58">
                  <w:pPr>
                    <w:pageBreakBefore w:val="0"/>
                    <w:kinsoku/>
                    <w:wordWrap w:val="0"/>
                    <w:overflowPunct/>
                    <w:bidi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40t</w:t>
                  </w:r>
                </w:p>
              </w:tc>
              <w:tc>
                <w:tcPr>
                  <w:tcW w:w="1293" w:type="pct"/>
                  <w:noWrap w:val="0"/>
                  <w:vAlign w:val="center"/>
                </w:tcPr>
                <w:p w14:paraId="4C70474C">
                  <w:pPr>
                    <w:pageBreakBefore w:val="0"/>
                    <w:kinsoku/>
                    <w:wordWrap w:val="0"/>
                    <w:overflowPunct/>
                    <w:bidi w:val="0"/>
                    <w:spacing w:line="280" w:lineRule="exact"/>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w:t>
                  </w:r>
                </w:p>
              </w:tc>
            </w:tr>
            <w:tr w14:paraId="00766F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5222828B">
                  <w:pPr>
                    <w:pageBreakBefore w:val="0"/>
                    <w:kinsoku/>
                    <w:wordWrap w:val="0"/>
                    <w:overflowPunct/>
                    <w:bidi w:val="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8</w:t>
                  </w:r>
                </w:p>
              </w:tc>
              <w:tc>
                <w:tcPr>
                  <w:tcW w:w="1581" w:type="pct"/>
                  <w:tcBorders>
                    <w:right w:val="single" w:color="auto" w:sz="4" w:space="0"/>
                  </w:tcBorders>
                  <w:noWrap w:val="0"/>
                  <w:vAlign w:val="center"/>
                </w:tcPr>
                <w:p w14:paraId="7A747459">
                  <w:pPr>
                    <w:pageBreakBefore w:val="0"/>
                    <w:kinsoku/>
                    <w:wordWrap w:val="0"/>
                    <w:overflowPunct/>
                    <w:bidi w:val="0"/>
                    <w:spacing w:line="240" w:lineRule="exact"/>
                    <w:contextualSpacing/>
                    <w:jc w:val="center"/>
                    <w:rPr>
                      <w:rFonts w:ascii="Times New Roman" w:hAnsi="Times New Roman"/>
                      <w:color w:val="000000" w:themeColor="text1"/>
                      <w:szCs w:val="21"/>
                      <w:highlight w:val="none"/>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沥青高温罐</w:t>
                  </w:r>
                </w:p>
              </w:tc>
              <w:tc>
                <w:tcPr>
                  <w:tcW w:w="1292" w:type="pct"/>
                  <w:noWrap w:val="0"/>
                  <w:vAlign w:val="center"/>
                </w:tcPr>
                <w:p w14:paraId="08B7A821">
                  <w:pPr>
                    <w:pageBreakBefore w:val="0"/>
                    <w:widowControl/>
                    <w:kinsoku/>
                    <w:wordWrap w:val="0"/>
                    <w:overflowPunct/>
                    <w:bidi w:val="0"/>
                    <w:jc w:val="center"/>
                    <w:textAlignment w:val="bottom"/>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40t</w:t>
                  </w:r>
                </w:p>
              </w:tc>
              <w:tc>
                <w:tcPr>
                  <w:tcW w:w="1293" w:type="pct"/>
                  <w:noWrap w:val="0"/>
                  <w:vAlign w:val="center"/>
                </w:tcPr>
                <w:p w14:paraId="0400B1F1">
                  <w:pPr>
                    <w:pageBreakBefore w:val="0"/>
                    <w:kinsoku/>
                    <w:wordWrap w:val="0"/>
                    <w:overflowPunct/>
                    <w:bidi w:val="0"/>
                    <w:spacing w:line="280" w:lineRule="exact"/>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w:t>
                  </w:r>
                </w:p>
              </w:tc>
            </w:tr>
            <w:tr w14:paraId="08555F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noWrap w:val="0"/>
                  <w:vAlign w:val="center"/>
                </w:tcPr>
                <w:p w14:paraId="4B6376EF">
                  <w:pPr>
                    <w:pageBreakBefore w:val="0"/>
                    <w:kinsoku/>
                    <w:wordWrap w:val="0"/>
                    <w:overflowPunct/>
                    <w:bidi w:val="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w:t>
                  </w:r>
                </w:p>
              </w:tc>
              <w:tc>
                <w:tcPr>
                  <w:tcW w:w="1581" w:type="pct"/>
                  <w:tcBorders>
                    <w:right w:val="single" w:color="auto" w:sz="4" w:space="0"/>
                  </w:tcBorders>
                  <w:noWrap w:val="0"/>
                  <w:vAlign w:val="center"/>
                </w:tcPr>
                <w:p w14:paraId="7FE6D2A9">
                  <w:pPr>
                    <w:pageBreakBefore w:val="0"/>
                    <w:kinsoku/>
                    <w:wordWrap w:val="0"/>
                    <w:overflowPunct/>
                    <w:bidi w:val="0"/>
                    <w:spacing w:line="240" w:lineRule="exact"/>
                    <w:contextualSpacing/>
                    <w:jc w:val="center"/>
                    <w:rPr>
                      <w:rFonts w:ascii="Times New Roman" w:hAnsi="Times New Roman"/>
                      <w:color w:val="000000" w:themeColor="text1"/>
                      <w:szCs w:val="21"/>
                      <w:highlight w:val="none"/>
                      <w14:textFill>
                        <w14:solidFill>
                          <w14:schemeClr w14:val="tx1"/>
                        </w14:solidFill>
                      </w14:textFill>
                    </w:rPr>
                  </w:pPr>
                  <w:r>
                    <w:rPr>
                      <w:rFonts w:ascii="Times New Roman" w:hAnsi="宋体"/>
                      <w:color w:val="000000" w:themeColor="text1"/>
                      <w:szCs w:val="21"/>
                      <w:highlight w:val="none"/>
                      <w14:textFill>
                        <w14:solidFill>
                          <w14:schemeClr w14:val="tx1"/>
                        </w14:solidFill>
                      </w14:textFill>
                    </w:rPr>
                    <w:t>布袋除尘器</w:t>
                  </w:r>
                </w:p>
              </w:tc>
              <w:tc>
                <w:tcPr>
                  <w:tcW w:w="1292" w:type="pct"/>
                  <w:noWrap w:val="0"/>
                  <w:vAlign w:val="center"/>
                </w:tcPr>
                <w:p w14:paraId="6D778BD4">
                  <w:pPr>
                    <w:pageBreakBefore w:val="0"/>
                    <w:widowControl/>
                    <w:kinsoku/>
                    <w:wordWrap w:val="0"/>
                    <w:overflowPunct/>
                    <w:bidi w:val="0"/>
                    <w:jc w:val="center"/>
                    <w:textAlignment w:val="bottom"/>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684布袋</w:t>
                  </w:r>
                </w:p>
              </w:tc>
              <w:tc>
                <w:tcPr>
                  <w:tcW w:w="1293" w:type="pct"/>
                  <w:noWrap w:val="0"/>
                  <w:vAlign w:val="center"/>
                </w:tcPr>
                <w:p w14:paraId="79A6933F">
                  <w:pPr>
                    <w:pageBreakBefore w:val="0"/>
                    <w:kinsoku/>
                    <w:wordWrap w:val="0"/>
                    <w:overflowPunct/>
                    <w:bidi w:val="0"/>
                    <w:spacing w:line="280" w:lineRule="exact"/>
                    <w:jc w:val="center"/>
                    <w:rPr>
                      <w:rFonts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2637CF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tcBorders>
                    <w:right w:val="single" w:color="auto" w:sz="4" w:space="0"/>
                  </w:tcBorders>
                  <w:noWrap w:val="0"/>
                  <w:vAlign w:val="center"/>
                </w:tcPr>
                <w:p w14:paraId="3A51B5D5">
                  <w:pPr>
                    <w:pageBreakBefore w:val="0"/>
                    <w:kinsoku/>
                    <w:wordWrap w:val="0"/>
                    <w:overflowPunct/>
                    <w:bidi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p>
              </w:tc>
              <w:tc>
                <w:tcPr>
                  <w:tcW w:w="1581" w:type="pct"/>
                  <w:tcBorders>
                    <w:right w:val="single" w:color="auto" w:sz="4" w:space="0"/>
                  </w:tcBorders>
                  <w:noWrap w:val="0"/>
                  <w:vAlign w:val="center"/>
                </w:tcPr>
                <w:p w14:paraId="0CA91D16">
                  <w:pPr>
                    <w:pageBreakBefore w:val="0"/>
                    <w:kinsoku/>
                    <w:wordWrap w:val="0"/>
                    <w:overflowPunct/>
                    <w:bidi w:val="0"/>
                    <w:spacing w:line="240" w:lineRule="exact"/>
                    <w:contextualSpacing/>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天然气撬车</w:t>
                  </w:r>
                </w:p>
              </w:tc>
              <w:tc>
                <w:tcPr>
                  <w:tcW w:w="1292" w:type="pct"/>
                  <w:tcBorders>
                    <w:left w:val="single" w:color="auto" w:sz="4" w:space="0"/>
                  </w:tcBorders>
                  <w:noWrap w:val="0"/>
                  <w:vAlign w:val="center"/>
                </w:tcPr>
                <w:p w14:paraId="248EDCAF">
                  <w:pPr>
                    <w:pageBreakBefore w:val="0"/>
                    <w:kinsoku/>
                    <w:wordWrap w:val="0"/>
                    <w:overflowPunct/>
                    <w:bidi w:val="0"/>
                    <w:spacing w:line="240" w:lineRule="exact"/>
                    <w:contextualSpacing/>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7m</w:t>
                  </w:r>
                  <w:r>
                    <w:rPr>
                      <w:rFonts w:hint="eastAsia"/>
                      <w:color w:val="000000" w:themeColor="text1"/>
                      <w:szCs w:val="21"/>
                      <w:highlight w:val="none"/>
                      <w:vertAlign w:val="superscript"/>
                      <w:lang w:val="en-US" w:eastAsia="zh-CN"/>
                      <w14:textFill>
                        <w14:solidFill>
                          <w14:schemeClr w14:val="tx1"/>
                        </w14:solidFill>
                      </w14:textFill>
                    </w:rPr>
                    <w:t>3</w:t>
                  </w:r>
                </w:p>
              </w:tc>
              <w:tc>
                <w:tcPr>
                  <w:tcW w:w="1293" w:type="pct"/>
                  <w:noWrap w:val="0"/>
                  <w:vAlign w:val="center"/>
                </w:tcPr>
                <w:p w14:paraId="42E731F4">
                  <w:pPr>
                    <w:pageBreakBefore w:val="0"/>
                    <w:kinsoku/>
                    <w:wordWrap w:val="0"/>
                    <w:overflowPunct/>
                    <w:bidi w:val="0"/>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外部车辆</w:t>
                  </w:r>
                  <w:r>
                    <w:rPr>
                      <w:rFonts w:hint="eastAsia"/>
                      <w:color w:val="000000" w:themeColor="text1"/>
                      <w:szCs w:val="21"/>
                      <w:highlight w:val="none"/>
                      <w:lang w:eastAsia="zh-CN"/>
                      <w14:textFill>
                        <w14:solidFill>
                          <w14:schemeClr w14:val="tx1"/>
                        </w14:solidFill>
                      </w14:textFill>
                    </w:rPr>
                    <w:t>）</w:t>
                  </w:r>
                </w:p>
              </w:tc>
            </w:tr>
            <w:tr w14:paraId="1120FD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tcBorders>
                    <w:right w:val="single" w:color="auto" w:sz="4" w:space="0"/>
                  </w:tcBorders>
                  <w:noWrap w:val="0"/>
                  <w:vAlign w:val="center"/>
                </w:tcPr>
                <w:p w14:paraId="4CFFFCAD">
                  <w:pPr>
                    <w:pageBreakBefore w:val="0"/>
                    <w:kinsoku/>
                    <w:wordWrap w:val="0"/>
                    <w:overflowPunct/>
                    <w:bidi w:val="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11</w:t>
                  </w:r>
                </w:p>
              </w:tc>
              <w:tc>
                <w:tcPr>
                  <w:tcW w:w="1581" w:type="pct"/>
                  <w:tcBorders>
                    <w:right w:val="single" w:color="auto" w:sz="4" w:space="0"/>
                  </w:tcBorders>
                  <w:noWrap w:val="0"/>
                  <w:vAlign w:val="center"/>
                </w:tcPr>
                <w:p w14:paraId="136C65EC">
                  <w:pPr>
                    <w:pageBreakBefore w:val="0"/>
                    <w:kinsoku/>
                    <w:wordWrap w:val="0"/>
                    <w:overflowPunct/>
                    <w:bidi w:val="0"/>
                    <w:spacing w:line="240" w:lineRule="exact"/>
                    <w:contextualSpacing/>
                    <w:jc w:val="center"/>
                    <w:rPr>
                      <w:rFonts w:hint="eastAsia" w:ascii="Times New Roman" w:hAnsi="宋体"/>
                      <w:color w:val="000000" w:themeColor="text1"/>
                      <w:szCs w:val="21"/>
                      <w:highlight w:val="none"/>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天然气设备</w:t>
                  </w:r>
                </w:p>
              </w:tc>
              <w:tc>
                <w:tcPr>
                  <w:tcW w:w="1292" w:type="pct"/>
                  <w:tcBorders>
                    <w:left w:val="single" w:color="auto" w:sz="4" w:space="0"/>
                  </w:tcBorders>
                  <w:noWrap w:val="0"/>
                  <w:vAlign w:val="center"/>
                </w:tcPr>
                <w:p w14:paraId="071261DE">
                  <w:pPr>
                    <w:pageBreakBefore w:val="0"/>
                    <w:kinsoku/>
                    <w:wordWrap w:val="0"/>
                    <w:overflowPunct/>
                    <w:bidi w:val="0"/>
                    <w:spacing w:line="240" w:lineRule="exact"/>
                    <w:contextualSpacing/>
                    <w:jc w:val="center"/>
                    <w:rPr>
                      <w:color w:val="000000" w:themeColor="text1"/>
                      <w:szCs w:val="21"/>
                      <w:highlight w:val="none"/>
                      <w14:textFill>
                        <w14:solidFill>
                          <w14:schemeClr w14:val="tx1"/>
                        </w14:solidFill>
                      </w14:textFill>
                    </w:rPr>
                  </w:pPr>
                </w:p>
              </w:tc>
              <w:tc>
                <w:tcPr>
                  <w:tcW w:w="1293" w:type="pct"/>
                  <w:noWrap w:val="0"/>
                  <w:vAlign w:val="center"/>
                </w:tcPr>
                <w:p w14:paraId="6181B209">
                  <w:pPr>
                    <w:pageBreakBefore w:val="0"/>
                    <w:kinsoku/>
                    <w:wordWrap w:val="0"/>
                    <w:overflowPunct/>
                    <w:bidi w:val="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1BE576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tcBorders>
                    <w:right w:val="single" w:color="auto" w:sz="4" w:space="0"/>
                  </w:tcBorders>
                  <w:noWrap w:val="0"/>
                  <w:vAlign w:val="center"/>
                </w:tcPr>
                <w:p w14:paraId="571FBDCD">
                  <w:pPr>
                    <w:pageBreakBefore w:val="0"/>
                    <w:kinsoku/>
                    <w:wordWrap w:val="0"/>
                    <w:overflowPunct/>
                    <w:bidi w:val="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12</w:t>
                  </w:r>
                </w:p>
              </w:tc>
              <w:tc>
                <w:tcPr>
                  <w:tcW w:w="1581" w:type="pct"/>
                  <w:tcBorders>
                    <w:right w:val="single" w:color="auto" w:sz="4" w:space="0"/>
                  </w:tcBorders>
                  <w:noWrap w:val="0"/>
                  <w:vAlign w:val="center"/>
                </w:tcPr>
                <w:p w14:paraId="62F67179">
                  <w:pPr>
                    <w:pageBreakBefore w:val="0"/>
                    <w:kinsoku/>
                    <w:wordWrap w:val="0"/>
                    <w:overflowPunct/>
                    <w:bidi w:val="0"/>
                    <w:spacing w:line="240" w:lineRule="exact"/>
                    <w:contextualSpacing/>
                    <w:jc w:val="center"/>
                    <w:rPr>
                      <w:rFonts w:hint="eastAsia" w:ascii="Times New Roman" w:hAnsi="宋体"/>
                      <w:color w:val="000000" w:themeColor="text1"/>
                      <w:szCs w:val="21"/>
                      <w:highlight w:val="none"/>
                      <w14:textFill>
                        <w14:solidFill>
                          <w14:schemeClr w14:val="tx1"/>
                        </w14:solidFill>
                      </w14:textFill>
                    </w:rPr>
                  </w:pPr>
                  <w:r>
                    <w:rPr>
                      <w:rFonts w:hint="eastAsia" w:ascii="Times New Roman" w:hAnsi="宋体"/>
                      <w:color w:val="000000" w:themeColor="text1"/>
                      <w:szCs w:val="21"/>
                      <w:highlight w:val="none"/>
                      <w14:textFill>
                        <w14:solidFill>
                          <w14:schemeClr w14:val="tx1"/>
                        </w14:solidFill>
                      </w14:textFill>
                    </w:rPr>
                    <w:t>变压器</w:t>
                  </w:r>
                </w:p>
              </w:tc>
              <w:tc>
                <w:tcPr>
                  <w:tcW w:w="1292" w:type="pct"/>
                  <w:tcBorders>
                    <w:left w:val="single" w:color="auto" w:sz="4" w:space="0"/>
                  </w:tcBorders>
                  <w:noWrap w:val="0"/>
                  <w:vAlign w:val="center"/>
                </w:tcPr>
                <w:p w14:paraId="5464BEA1">
                  <w:pPr>
                    <w:pageBreakBefore w:val="0"/>
                    <w:kinsoku/>
                    <w:wordWrap w:val="0"/>
                    <w:overflowPunct/>
                    <w:bidi w:val="0"/>
                    <w:spacing w:line="240" w:lineRule="exact"/>
                    <w:contextualSpacing/>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800Kw</w:t>
                  </w:r>
                </w:p>
              </w:tc>
              <w:tc>
                <w:tcPr>
                  <w:tcW w:w="1293" w:type="pct"/>
                  <w:noWrap w:val="0"/>
                  <w:vAlign w:val="center"/>
                </w:tcPr>
                <w:p w14:paraId="169AC4C2">
                  <w:pPr>
                    <w:pageBreakBefore w:val="0"/>
                    <w:kinsoku/>
                    <w:wordWrap w:val="0"/>
                    <w:overflowPunct/>
                    <w:bidi w:val="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1</w:t>
                  </w:r>
                </w:p>
              </w:tc>
            </w:tr>
            <w:tr w14:paraId="79E552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33" w:type="pct"/>
                  <w:tcBorders>
                    <w:right w:val="single" w:color="auto" w:sz="4" w:space="0"/>
                  </w:tcBorders>
                  <w:noWrap w:val="0"/>
                  <w:vAlign w:val="center"/>
                </w:tcPr>
                <w:p w14:paraId="74877395">
                  <w:pPr>
                    <w:pageBreakBefore w:val="0"/>
                    <w:kinsoku/>
                    <w:wordWrap w:val="0"/>
                    <w:overflowPunct/>
                    <w:bidi w:val="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13</w:t>
                  </w:r>
                </w:p>
              </w:tc>
              <w:tc>
                <w:tcPr>
                  <w:tcW w:w="1581" w:type="pct"/>
                  <w:tcBorders>
                    <w:right w:val="single" w:color="auto" w:sz="4" w:space="0"/>
                  </w:tcBorders>
                  <w:noWrap w:val="0"/>
                  <w:vAlign w:val="center"/>
                </w:tcPr>
                <w:p w14:paraId="1F14F0ED">
                  <w:pPr>
                    <w:pageBreakBefore w:val="0"/>
                    <w:kinsoku/>
                    <w:wordWrap w:val="0"/>
                    <w:overflowPunct/>
                    <w:bidi w:val="0"/>
                    <w:spacing w:line="240" w:lineRule="exact"/>
                    <w:contextualSpacing/>
                    <w:jc w:val="center"/>
                    <w:rPr>
                      <w:rFonts w:hint="eastAsia" w:ascii="Times New Roman" w:hAnsi="宋体" w:eastAsia="宋体"/>
                      <w:color w:val="000000" w:themeColor="text1"/>
                      <w:szCs w:val="21"/>
                      <w:highlight w:val="none"/>
                      <w:lang w:val="en-US" w:eastAsia="zh-CN"/>
                      <w14:textFill>
                        <w14:solidFill>
                          <w14:schemeClr w14:val="tx1"/>
                        </w14:solidFill>
                      </w14:textFill>
                    </w:rPr>
                  </w:pPr>
                  <w:r>
                    <w:rPr>
                      <w:rFonts w:hint="eastAsia" w:hAnsi="宋体"/>
                      <w:color w:val="000000" w:themeColor="text1"/>
                      <w:szCs w:val="21"/>
                      <w:highlight w:val="none"/>
                      <w:lang w:val="en-US" w:eastAsia="zh-CN"/>
                      <w14:textFill>
                        <w14:solidFill>
                          <w14:schemeClr w14:val="tx1"/>
                        </w14:solidFill>
                      </w14:textFill>
                    </w:rPr>
                    <w:t>导热油炉</w:t>
                  </w:r>
                </w:p>
              </w:tc>
              <w:tc>
                <w:tcPr>
                  <w:tcW w:w="1292" w:type="pct"/>
                  <w:tcBorders>
                    <w:left w:val="single" w:color="auto" w:sz="4" w:space="0"/>
                  </w:tcBorders>
                  <w:noWrap w:val="0"/>
                  <w:vAlign w:val="center"/>
                </w:tcPr>
                <w:p w14:paraId="012361E9">
                  <w:pPr>
                    <w:pageBreakBefore w:val="0"/>
                    <w:kinsoku/>
                    <w:wordWrap w:val="0"/>
                    <w:overflowPunct/>
                    <w:bidi w:val="0"/>
                    <w:spacing w:line="240" w:lineRule="exact"/>
                    <w:contextualSpacing/>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2t/h</w:t>
                  </w:r>
                </w:p>
              </w:tc>
              <w:tc>
                <w:tcPr>
                  <w:tcW w:w="1293" w:type="pct"/>
                  <w:noWrap w:val="0"/>
                  <w:vAlign w:val="center"/>
                </w:tcPr>
                <w:p w14:paraId="514D659A">
                  <w:pPr>
                    <w:pageBreakBefore w:val="0"/>
                    <w:kinsoku/>
                    <w:wordWrap w:val="0"/>
                    <w:overflowPunct/>
                    <w:bidi w:val="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r>
          </w:tbl>
          <w:p w14:paraId="5A77A816">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主要原辅材料及能源消耗见下表所示：</w:t>
            </w:r>
          </w:p>
          <w:p w14:paraId="3CD4F7B8">
            <w:pPr>
              <w:pStyle w:val="28"/>
              <w:keepNext w:val="0"/>
              <w:keepLines w:val="0"/>
              <w:pageBreakBefore w:val="0"/>
              <w:widowControl w:val="0"/>
              <w:kinsoku/>
              <w:wordWrap w:val="0"/>
              <w:overflowPunct/>
              <w:topLinePunct w:val="0"/>
              <w:autoSpaceDE/>
              <w:autoSpaceDN/>
              <w:bidi w:val="0"/>
              <w:adjustRightInd/>
              <w:snapToGrid/>
              <w:spacing w:after="0" w:line="480" w:lineRule="exact"/>
              <w:ind w:left="0" w:leftChars="0" w:firstLine="0" w:firstLineChars="0"/>
              <w:jc w:val="center"/>
              <w:textAlignment w:val="auto"/>
              <w:rPr>
                <w:rFonts w:hint="eastAsia"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表2-</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9</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主要原辅材料及能源消耗一览表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53"/>
              <w:gridCol w:w="1444"/>
              <w:gridCol w:w="1120"/>
              <w:gridCol w:w="1277"/>
              <w:gridCol w:w="3276"/>
            </w:tblGrid>
            <w:tr w14:paraId="2CE66F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7" w:type="pct"/>
                  <w:noWrap w:val="0"/>
                  <w:vAlign w:val="center"/>
                </w:tcPr>
                <w:p w14:paraId="19DB1CE8">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序号</w:t>
                  </w:r>
                </w:p>
              </w:tc>
              <w:tc>
                <w:tcPr>
                  <w:tcW w:w="873" w:type="pct"/>
                  <w:tcBorders>
                    <w:right w:val="single" w:color="auto" w:sz="4" w:space="0"/>
                  </w:tcBorders>
                  <w:noWrap w:val="0"/>
                  <w:vAlign w:val="center"/>
                </w:tcPr>
                <w:p w14:paraId="74B1612C">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名称</w:t>
                  </w:r>
                </w:p>
              </w:tc>
              <w:tc>
                <w:tcPr>
                  <w:tcW w:w="677" w:type="pct"/>
                  <w:noWrap w:val="0"/>
                  <w:vAlign w:val="center"/>
                </w:tcPr>
                <w:p w14:paraId="44A187E1">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单位</w:t>
                  </w:r>
                </w:p>
              </w:tc>
              <w:tc>
                <w:tcPr>
                  <w:tcW w:w="772" w:type="pct"/>
                  <w:noWrap w:val="0"/>
                  <w:vAlign w:val="center"/>
                </w:tcPr>
                <w:p w14:paraId="43736D62">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消耗量</w:t>
                  </w:r>
                </w:p>
              </w:tc>
              <w:tc>
                <w:tcPr>
                  <w:tcW w:w="1980" w:type="pct"/>
                  <w:noWrap w:val="0"/>
                  <w:vAlign w:val="center"/>
                </w:tcPr>
                <w:p w14:paraId="03A20797">
                  <w:pPr>
                    <w:pageBreakBefore w:val="0"/>
                    <w:kinsoku/>
                    <w:wordWrap w:val="0"/>
                    <w:overflowPunct/>
                    <w:bidi w:val="0"/>
                    <w:jc w:val="center"/>
                    <w:rPr>
                      <w:rFonts w:ascii="Times New Roman" w:hAnsi="Times New Roman"/>
                      <w:b/>
                      <w:color w:val="000000" w:themeColor="text1"/>
                      <w:szCs w:val="21"/>
                      <w:highlight w:val="none"/>
                      <w14:textFill>
                        <w14:solidFill>
                          <w14:schemeClr w14:val="tx1"/>
                        </w14:solidFill>
                      </w14:textFill>
                    </w:rPr>
                  </w:pPr>
                  <w:r>
                    <w:rPr>
                      <w:rFonts w:ascii="Times New Roman" w:hAnsi="Times New Roman"/>
                      <w:b/>
                      <w:color w:val="000000" w:themeColor="text1"/>
                      <w:szCs w:val="21"/>
                      <w:highlight w:val="none"/>
                      <w14:textFill>
                        <w14:solidFill>
                          <w14:schemeClr w14:val="tx1"/>
                        </w14:solidFill>
                      </w14:textFill>
                    </w:rPr>
                    <w:t>备注</w:t>
                  </w:r>
                </w:p>
              </w:tc>
            </w:tr>
            <w:tr w14:paraId="4B55F2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7" w:type="pct"/>
                  <w:noWrap w:val="0"/>
                  <w:vAlign w:val="center"/>
                </w:tcPr>
                <w:p w14:paraId="4F646494">
                  <w:pPr>
                    <w:pageBreakBefore w:val="0"/>
                    <w:kinsoku/>
                    <w:wordWrap w:val="0"/>
                    <w:overflowPunct/>
                    <w:bidi w:val="0"/>
                    <w:jc w:val="center"/>
                    <w:rPr>
                      <w:b/>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14:textFill>
                        <w14:solidFill>
                          <w14:schemeClr w14:val="tx1"/>
                        </w14:solidFill>
                      </w14:textFill>
                    </w:rPr>
                    <w:t>1</w:t>
                  </w:r>
                </w:p>
              </w:tc>
              <w:tc>
                <w:tcPr>
                  <w:tcW w:w="873" w:type="pct"/>
                  <w:tcBorders>
                    <w:right w:val="single" w:color="auto" w:sz="4" w:space="0"/>
                  </w:tcBorders>
                  <w:noWrap w:val="0"/>
                  <w:vAlign w:val="center"/>
                </w:tcPr>
                <w:p w14:paraId="6640E4E8">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color w:val="000000" w:themeColor="text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沥青</w:t>
                  </w:r>
                </w:p>
              </w:tc>
              <w:tc>
                <w:tcPr>
                  <w:tcW w:w="677" w:type="pct"/>
                  <w:noWrap w:val="0"/>
                  <w:vAlign w:val="center"/>
                </w:tcPr>
                <w:p w14:paraId="3E160244">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772" w:type="pct"/>
                  <w:noWrap w:val="0"/>
                  <w:vAlign w:val="center"/>
                </w:tcPr>
                <w:p w14:paraId="215A819C">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color w:val="000000" w:themeColor="text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3065</w:t>
                  </w:r>
                </w:p>
              </w:tc>
              <w:tc>
                <w:tcPr>
                  <w:tcW w:w="1980" w:type="pct"/>
                  <w:noWrap w:val="0"/>
                  <w:vAlign w:val="center"/>
                </w:tcPr>
                <w:p w14:paraId="3570AC78">
                  <w:pPr>
                    <w:pageBreakBefore w:val="0"/>
                    <w:kinsoku/>
                    <w:wordWrap w:val="0"/>
                    <w:overflowPunct/>
                    <w:bidi w:val="0"/>
                    <w:jc w:val="center"/>
                    <w:rPr>
                      <w:b/>
                      <w:color w:val="000000" w:themeColor="text1"/>
                      <w:szCs w:val="21"/>
                      <w:highlight w:val="none"/>
                      <w14:textFill>
                        <w14:solidFill>
                          <w14:schemeClr w14:val="tx1"/>
                        </w14:solidFill>
                      </w14:textFill>
                    </w:rPr>
                  </w:pPr>
                </w:p>
              </w:tc>
            </w:tr>
            <w:tr w14:paraId="57F625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7" w:type="pct"/>
                  <w:noWrap w:val="0"/>
                  <w:vAlign w:val="center"/>
                </w:tcPr>
                <w:p w14:paraId="71F1ECD8">
                  <w:pPr>
                    <w:pageBreakBefore w:val="0"/>
                    <w:kinsoku/>
                    <w:wordWrap w:val="0"/>
                    <w:overflowPunct/>
                    <w:bidi w:val="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2</w:t>
                  </w:r>
                </w:p>
              </w:tc>
              <w:tc>
                <w:tcPr>
                  <w:tcW w:w="873" w:type="pct"/>
                  <w:tcBorders>
                    <w:right w:val="single" w:color="auto" w:sz="4" w:space="0"/>
                  </w:tcBorders>
                  <w:noWrap w:val="0"/>
                  <w:vAlign w:val="center"/>
                </w:tcPr>
                <w:p w14:paraId="336CCE8C">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ascii="Times New Roman" w:hAnsi="Times New Roman"/>
                      <w:color w:val="000000" w:themeColor="text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矿粉</w:t>
                  </w:r>
                </w:p>
              </w:tc>
              <w:tc>
                <w:tcPr>
                  <w:tcW w:w="677" w:type="pct"/>
                  <w:noWrap w:val="0"/>
                  <w:vAlign w:val="center"/>
                </w:tcPr>
                <w:p w14:paraId="0EA30C03">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772" w:type="pct"/>
                  <w:noWrap w:val="0"/>
                  <w:vAlign w:val="center"/>
                </w:tcPr>
                <w:p w14:paraId="5BADE41C">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eastAsia"/>
                      <w:color w:val="000000" w:themeColor="text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3866</w:t>
                  </w:r>
                </w:p>
              </w:tc>
              <w:tc>
                <w:tcPr>
                  <w:tcW w:w="1980" w:type="pct"/>
                  <w:noWrap w:val="0"/>
                  <w:vAlign w:val="center"/>
                </w:tcPr>
                <w:p w14:paraId="239FB98D">
                  <w:pPr>
                    <w:pStyle w:val="17"/>
                    <w:pageBreakBefore w:val="0"/>
                    <w:kinsoku/>
                    <w:wordWrap w:val="0"/>
                    <w:overflowPunct/>
                    <w:bidi w:val="0"/>
                    <w:spacing w:line="300" w:lineRule="exact"/>
                    <w:ind w:firstLine="0"/>
                    <w:jc w:val="center"/>
                    <w:rPr>
                      <w:color w:val="000000" w:themeColor="text1"/>
                      <w:sz w:val="21"/>
                      <w:szCs w:val="21"/>
                      <w:highlight w:val="none"/>
                      <w14:textFill>
                        <w14:solidFill>
                          <w14:schemeClr w14:val="tx1"/>
                        </w14:solidFill>
                      </w14:textFill>
                    </w:rPr>
                  </w:pPr>
                </w:p>
              </w:tc>
            </w:tr>
            <w:tr w14:paraId="6059D7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7" w:type="pct"/>
                  <w:noWrap w:val="0"/>
                  <w:vAlign w:val="center"/>
                </w:tcPr>
                <w:p w14:paraId="4811A576">
                  <w:pPr>
                    <w:pageBreakBefore w:val="0"/>
                    <w:kinsoku/>
                    <w:wordWrap w:val="0"/>
                    <w:overflowPunct/>
                    <w:bidi w:val="0"/>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3</w:t>
                  </w:r>
                </w:p>
              </w:tc>
              <w:tc>
                <w:tcPr>
                  <w:tcW w:w="873" w:type="pct"/>
                  <w:tcBorders>
                    <w:right w:val="single" w:color="auto" w:sz="4" w:space="0"/>
                  </w:tcBorders>
                  <w:noWrap w:val="0"/>
                  <w:vAlign w:val="center"/>
                </w:tcPr>
                <w:p w14:paraId="0E74416B">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ascii="Times New Roman" w:hAnsi="Times New Roman"/>
                      <w:color w:val="000000" w:themeColor="text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骨料</w:t>
                  </w:r>
                </w:p>
              </w:tc>
              <w:tc>
                <w:tcPr>
                  <w:tcW w:w="677" w:type="pct"/>
                  <w:noWrap w:val="0"/>
                  <w:vAlign w:val="center"/>
                </w:tcPr>
                <w:p w14:paraId="088FFBA5">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ascii="Times New Roman" w:hAnsi="Times New Roman"/>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吨</w:t>
                  </w:r>
                </w:p>
              </w:tc>
              <w:tc>
                <w:tcPr>
                  <w:tcW w:w="772" w:type="pct"/>
                  <w:noWrap w:val="0"/>
                  <w:vAlign w:val="center"/>
                </w:tcPr>
                <w:p w14:paraId="332F7A23">
                  <w:pPr>
                    <w:keepNext w:val="0"/>
                    <w:keepLines w:val="0"/>
                    <w:pageBreakBefore w:val="0"/>
                    <w:widowControl w:val="0"/>
                    <w:kinsoku/>
                    <w:wordWrap w:val="0"/>
                    <w:overflowPunct/>
                    <w:topLinePunct w:val="0"/>
                    <w:autoSpaceDE/>
                    <w:autoSpaceDN/>
                    <w:bidi w:val="0"/>
                    <w:adjustRightInd/>
                    <w:snapToGrid/>
                    <w:spacing w:line="320" w:lineRule="exact"/>
                    <w:ind w:left="0" w:leftChars="0"/>
                    <w:jc w:val="center"/>
                    <w:textAlignment w:val="auto"/>
                    <w:rPr>
                      <w:rFonts w:hint="default"/>
                      <w:color w:val="000000" w:themeColor="text1"/>
                      <w:szCs w:val="21"/>
                      <w:highlight w:val="none"/>
                      <w:lang w:val="en-US"/>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43085</w:t>
                  </w:r>
                </w:p>
              </w:tc>
              <w:tc>
                <w:tcPr>
                  <w:tcW w:w="1980" w:type="pct"/>
                  <w:noWrap w:val="0"/>
                  <w:vAlign w:val="center"/>
                </w:tcPr>
                <w:p w14:paraId="6559D40A">
                  <w:pPr>
                    <w:pStyle w:val="17"/>
                    <w:pageBreakBefore w:val="0"/>
                    <w:kinsoku/>
                    <w:wordWrap w:val="0"/>
                    <w:overflowPunct/>
                    <w:bidi w:val="0"/>
                    <w:spacing w:line="300" w:lineRule="exact"/>
                    <w:ind w:firstLine="0"/>
                    <w:jc w:val="center"/>
                    <w:rPr>
                      <w:color w:val="000000" w:themeColor="text1"/>
                      <w:sz w:val="21"/>
                      <w:szCs w:val="21"/>
                      <w:highlight w:val="none"/>
                      <w14:textFill>
                        <w14:solidFill>
                          <w14:schemeClr w14:val="tx1"/>
                        </w14:solidFill>
                      </w14:textFill>
                    </w:rPr>
                  </w:pPr>
                </w:p>
              </w:tc>
            </w:tr>
            <w:tr w14:paraId="16D1CA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7" w:type="pct"/>
                  <w:noWrap w:val="0"/>
                  <w:vAlign w:val="center"/>
                </w:tcPr>
                <w:p w14:paraId="2D46E9E8">
                  <w:pPr>
                    <w:pageBreakBefore w:val="0"/>
                    <w:kinsoku/>
                    <w:wordWrap w:val="0"/>
                    <w:overflowPunct/>
                    <w:bidi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4</w:t>
                  </w:r>
                </w:p>
              </w:tc>
              <w:tc>
                <w:tcPr>
                  <w:tcW w:w="873" w:type="pct"/>
                  <w:tcBorders>
                    <w:right w:val="single" w:color="auto" w:sz="4" w:space="0"/>
                  </w:tcBorders>
                  <w:noWrap w:val="0"/>
                  <w:vAlign w:val="center"/>
                </w:tcPr>
                <w:p w14:paraId="76B0CF18">
                  <w:pPr>
                    <w:pageBreakBefore w:val="0"/>
                    <w:kinsoku/>
                    <w:wordWrap w:val="0"/>
                    <w:overflowPunct/>
                    <w:bidi w:val="0"/>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lang w:val="zh-CN"/>
                      <w14:textFill>
                        <w14:solidFill>
                          <w14:schemeClr w14:val="tx1"/>
                        </w14:solidFill>
                      </w14:textFill>
                    </w:rPr>
                    <w:t>水</w:t>
                  </w:r>
                </w:p>
              </w:tc>
              <w:tc>
                <w:tcPr>
                  <w:tcW w:w="677" w:type="pct"/>
                  <w:noWrap w:val="0"/>
                  <w:vAlign w:val="center"/>
                </w:tcPr>
                <w:p w14:paraId="32A57CAA">
                  <w:pPr>
                    <w:pStyle w:val="17"/>
                    <w:pageBreakBefore w:val="0"/>
                    <w:kinsoku/>
                    <w:wordWrap w:val="0"/>
                    <w:overflowPunct/>
                    <w:bidi w:val="0"/>
                    <w:spacing w:line="300" w:lineRule="exact"/>
                    <w:ind w:firstLine="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t/a</w:t>
                  </w:r>
                </w:p>
              </w:tc>
              <w:tc>
                <w:tcPr>
                  <w:tcW w:w="772" w:type="pct"/>
                  <w:noWrap w:val="0"/>
                  <w:vAlign w:val="center"/>
                </w:tcPr>
                <w:p w14:paraId="387E2507">
                  <w:pPr>
                    <w:pageBreakBefore w:val="0"/>
                    <w:kinsoku/>
                    <w:wordWrap w:val="0"/>
                    <w:overflowPunct/>
                    <w:bidi w:val="0"/>
                    <w:spacing w:line="300" w:lineRule="exact"/>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0.88</w:t>
                  </w:r>
                </w:p>
              </w:tc>
              <w:tc>
                <w:tcPr>
                  <w:tcW w:w="1980" w:type="pct"/>
                  <w:noWrap w:val="0"/>
                  <w:vAlign w:val="center"/>
                </w:tcPr>
                <w:p w14:paraId="36A47D7B">
                  <w:pPr>
                    <w:pageBreakBefore w:val="0"/>
                    <w:kinsoku/>
                    <w:wordWrap w:val="0"/>
                    <w:overflowPunct/>
                    <w:bidi w:val="0"/>
                    <w:spacing w:line="300" w:lineRule="exact"/>
                    <w:jc w:val="center"/>
                    <w:rPr>
                      <w:rFonts w:hint="eastAsia" w:ascii="Times New Roman" w:hAnsi="Times New Roman"/>
                      <w:color w:val="000000" w:themeColor="text1"/>
                      <w:szCs w:val="21"/>
                      <w:highlight w:val="none"/>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养护中心自备井</w:t>
                  </w:r>
                </w:p>
              </w:tc>
            </w:tr>
            <w:tr w14:paraId="53724B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7" w:type="pct"/>
                  <w:noWrap w:val="0"/>
                  <w:vAlign w:val="center"/>
                </w:tcPr>
                <w:p w14:paraId="29E5CE72">
                  <w:pPr>
                    <w:pageBreakBefore w:val="0"/>
                    <w:kinsoku/>
                    <w:wordWrap w:val="0"/>
                    <w:overflowPunct/>
                    <w:bidi w:val="0"/>
                    <w:jc w:val="center"/>
                    <w:rPr>
                      <w:rFonts w:hint="eastAsia" w:ascii="Times New Roman" w:hAnsi="Times New Roman"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w:t>
                  </w:r>
                </w:p>
              </w:tc>
              <w:tc>
                <w:tcPr>
                  <w:tcW w:w="873" w:type="pct"/>
                  <w:tcBorders>
                    <w:right w:val="single" w:color="auto" w:sz="4" w:space="0"/>
                  </w:tcBorders>
                  <w:noWrap w:val="0"/>
                  <w:vAlign w:val="center"/>
                </w:tcPr>
                <w:p w14:paraId="3391F3B0">
                  <w:pPr>
                    <w:pageBreakBefore w:val="0"/>
                    <w:kinsoku/>
                    <w:wordWrap w:val="0"/>
                    <w:overflowPunct/>
                    <w:bidi w:val="0"/>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zCs w:val="21"/>
                      <w:highlight w:val="none"/>
                      <w:lang w:val="zh-CN"/>
                      <w14:textFill>
                        <w14:solidFill>
                          <w14:schemeClr w14:val="tx1"/>
                        </w14:solidFill>
                      </w14:textFill>
                    </w:rPr>
                    <w:t>电</w:t>
                  </w:r>
                </w:p>
              </w:tc>
              <w:tc>
                <w:tcPr>
                  <w:tcW w:w="677" w:type="pct"/>
                  <w:noWrap w:val="0"/>
                  <w:vAlign w:val="center"/>
                </w:tcPr>
                <w:p w14:paraId="35444786">
                  <w:pPr>
                    <w:pStyle w:val="17"/>
                    <w:pageBreakBefore w:val="0"/>
                    <w:kinsoku/>
                    <w:wordWrap w:val="0"/>
                    <w:overflowPunct/>
                    <w:bidi w:val="0"/>
                    <w:spacing w:line="300" w:lineRule="exact"/>
                    <w:ind w:firstLine="0"/>
                    <w:jc w:val="center"/>
                    <w:rPr>
                      <w:rFonts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bCs/>
                      <w:color w:val="000000" w:themeColor="text1"/>
                      <w:highlight w:val="none"/>
                      <w:lang w:val="en-US" w:eastAsia="zh-CN"/>
                      <w14:textFill>
                        <w14:solidFill>
                          <w14:schemeClr w14:val="tx1"/>
                        </w14:solidFill>
                      </w14:textFill>
                    </w:rPr>
                    <w:t>kWh</w:t>
                  </w:r>
                  <w:r>
                    <w:rPr>
                      <w:rFonts w:ascii="Times New Roman" w:hAnsi="Times New Roman"/>
                      <w:bCs/>
                      <w:color w:val="000000" w:themeColor="text1"/>
                      <w:highlight w:val="none"/>
                      <w14:textFill>
                        <w14:solidFill>
                          <w14:schemeClr w14:val="tx1"/>
                        </w14:solidFill>
                      </w14:textFill>
                    </w:rPr>
                    <w:t>/a</w:t>
                  </w:r>
                </w:p>
              </w:tc>
              <w:tc>
                <w:tcPr>
                  <w:tcW w:w="772" w:type="pct"/>
                  <w:noWrap w:val="0"/>
                  <w:vAlign w:val="center"/>
                </w:tcPr>
                <w:p w14:paraId="68B8FAEC">
                  <w:pPr>
                    <w:pageBreakBefore w:val="0"/>
                    <w:kinsoku/>
                    <w:wordWrap w:val="0"/>
                    <w:overflowPunct/>
                    <w:bidi w:val="0"/>
                    <w:spacing w:line="300" w:lineRule="exact"/>
                    <w:jc w:val="center"/>
                    <w:rPr>
                      <w:rFonts w:ascii="Times New Roman" w:hAnsi="Times New Roman"/>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40</w:t>
                  </w:r>
                  <w:r>
                    <w:rPr>
                      <w:rFonts w:ascii="Times New Roman" w:hAnsi="Times New Roman"/>
                      <w:color w:val="000000" w:themeColor="text1"/>
                      <w:szCs w:val="21"/>
                      <w:highlight w:val="none"/>
                      <w14:textFill>
                        <w14:solidFill>
                          <w14:schemeClr w14:val="tx1"/>
                        </w14:solidFill>
                      </w14:textFill>
                    </w:rPr>
                    <w:t>万</w:t>
                  </w:r>
                </w:p>
              </w:tc>
              <w:tc>
                <w:tcPr>
                  <w:tcW w:w="1980" w:type="pct"/>
                  <w:noWrap w:val="0"/>
                  <w:vAlign w:val="center"/>
                </w:tcPr>
                <w:p w14:paraId="49BFC36F">
                  <w:pPr>
                    <w:pageBreakBefore w:val="0"/>
                    <w:kinsoku/>
                    <w:wordWrap w:val="0"/>
                    <w:overflowPunct/>
                    <w:bidi w:val="0"/>
                    <w:spacing w:line="300" w:lineRule="exact"/>
                    <w:jc w:val="center"/>
                    <w:rPr>
                      <w:rFonts w:ascii="Times New Roman" w:hAnsi="Times New Roman"/>
                      <w:color w:val="000000" w:themeColor="text1"/>
                      <w:szCs w:val="21"/>
                      <w:highlight w:val="none"/>
                      <w14:textFill>
                        <w14:solidFill>
                          <w14:schemeClr w14:val="tx1"/>
                        </w14:solidFill>
                      </w14:textFill>
                    </w:rPr>
                  </w:pPr>
                  <w:r>
                    <w:rPr>
                      <w:rFonts w:ascii="Times New Roman" w:hAnsi="Times New Roman"/>
                      <w:color w:val="000000" w:themeColor="text1"/>
                      <w:spacing w:val="-4"/>
                      <w:szCs w:val="21"/>
                      <w:highlight w:val="none"/>
                      <w14:textFill>
                        <w14:solidFill>
                          <w14:schemeClr w14:val="tx1"/>
                        </w14:solidFill>
                      </w14:textFill>
                    </w:rPr>
                    <w:t>本地电网</w:t>
                  </w:r>
                </w:p>
              </w:tc>
            </w:tr>
            <w:tr w14:paraId="5C2DB6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97" w:type="pct"/>
                  <w:noWrap w:val="0"/>
                  <w:vAlign w:val="center"/>
                </w:tcPr>
                <w:p w14:paraId="0C9ADC8E">
                  <w:pPr>
                    <w:pageBreakBefore w:val="0"/>
                    <w:kinsoku/>
                    <w:wordWrap w:val="0"/>
                    <w:overflowPunct/>
                    <w:bidi w:val="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6</w:t>
                  </w:r>
                </w:p>
              </w:tc>
              <w:tc>
                <w:tcPr>
                  <w:tcW w:w="873" w:type="pct"/>
                  <w:tcBorders>
                    <w:right w:val="single" w:color="auto" w:sz="4" w:space="0"/>
                  </w:tcBorders>
                  <w:noWrap w:val="0"/>
                  <w:vAlign w:val="center"/>
                </w:tcPr>
                <w:p w14:paraId="675F6CA6">
                  <w:pPr>
                    <w:pageBreakBefore w:val="0"/>
                    <w:kinsoku/>
                    <w:wordWrap w:val="0"/>
                    <w:overflowPunct/>
                    <w:bidi w:val="0"/>
                    <w:spacing w:line="300" w:lineRule="exact"/>
                    <w:jc w:val="center"/>
                    <w:rPr>
                      <w:color w:val="000000" w:themeColor="text1"/>
                      <w:szCs w:val="21"/>
                      <w:highlight w:val="none"/>
                      <w:lang w:val="zh-CN"/>
                      <w14:textFill>
                        <w14:solidFill>
                          <w14:schemeClr w14:val="tx1"/>
                        </w14:solidFill>
                      </w14:textFill>
                    </w:rPr>
                  </w:pPr>
                  <w:r>
                    <w:rPr>
                      <w:rFonts w:hint="eastAsia"/>
                      <w:color w:val="000000" w:themeColor="text1"/>
                      <w:szCs w:val="21"/>
                      <w:highlight w:val="none"/>
                      <w:lang w:val="zh-CN"/>
                      <w14:textFill>
                        <w14:solidFill>
                          <w14:schemeClr w14:val="tx1"/>
                        </w14:solidFill>
                      </w14:textFill>
                    </w:rPr>
                    <w:t>天然气</w:t>
                  </w:r>
                </w:p>
              </w:tc>
              <w:tc>
                <w:tcPr>
                  <w:tcW w:w="677" w:type="pct"/>
                  <w:noWrap w:val="0"/>
                  <w:vAlign w:val="center"/>
                </w:tcPr>
                <w:p w14:paraId="5AB087F9">
                  <w:pPr>
                    <w:pStyle w:val="17"/>
                    <w:pageBreakBefore w:val="0"/>
                    <w:kinsoku/>
                    <w:wordWrap w:val="0"/>
                    <w:overflowPunct/>
                    <w:bidi w:val="0"/>
                    <w:spacing w:line="300" w:lineRule="exact"/>
                    <w:ind w:firstLine="0"/>
                    <w:jc w:val="center"/>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万m</w:t>
                  </w:r>
                  <w:r>
                    <w:rPr>
                      <w:rFonts w:hint="eastAsia"/>
                      <w:bCs/>
                      <w:color w:val="000000" w:themeColor="text1"/>
                      <w:highlight w:val="none"/>
                      <w:vertAlign w:val="superscript"/>
                      <w14:textFill>
                        <w14:solidFill>
                          <w14:schemeClr w14:val="tx1"/>
                        </w14:solidFill>
                      </w14:textFill>
                    </w:rPr>
                    <w:t>3</w:t>
                  </w:r>
                  <w:r>
                    <w:rPr>
                      <w:rFonts w:hint="eastAsia"/>
                      <w:bCs/>
                      <w:color w:val="000000" w:themeColor="text1"/>
                      <w:highlight w:val="none"/>
                      <w14:textFill>
                        <w14:solidFill>
                          <w14:schemeClr w14:val="tx1"/>
                        </w14:solidFill>
                      </w14:textFill>
                    </w:rPr>
                    <w:t>/a</w:t>
                  </w:r>
                </w:p>
              </w:tc>
              <w:tc>
                <w:tcPr>
                  <w:tcW w:w="772" w:type="pct"/>
                  <w:noWrap w:val="0"/>
                  <w:vAlign w:val="center"/>
                </w:tcPr>
                <w:p w14:paraId="678BA0F4">
                  <w:pPr>
                    <w:pageBreakBefore w:val="0"/>
                    <w:kinsoku/>
                    <w:wordWrap w:val="0"/>
                    <w:overflowPunct/>
                    <w:bidi w:val="0"/>
                    <w:spacing w:line="300" w:lineRule="exact"/>
                    <w:jc w:val="center"/>
                    <w:rPr>
                      <w:rFonts w:hint="default"/>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40</w:t>
                  </w:r>
                </w:p>
              </w:tc>
              <w:tc>
                <w:tcPr>
                  <w:tcW w:w="1980" w:type="pct"/>
                  <w:noWrap w:val="0"/>
                  <w:vAlign w:val="center"/>
                </w:tcPr>
                <w:p w14:paraId="45D64A59">
                  <w:pPr>
                    <w:pageBreakBefore w:val="0"/>
                    <w:kinsoku/>
                    <w:wordWrap w:val="0"/>
                    <w:overflowPunct/>
                    <w:bidi w:val="0"/>
                    <w:spacing w:line="300" w:lineRule="exact"/>
                    <w:jc w:val="center"/>
                    <w:rPr>
                      <w:rFonts w:hint="eastAsia" w:eastAsia="宋体"/>
                      <w:color w:val="000000" w:themeColor="text1"/>
                      <w:spacing w:val="-4"/>
                      <w:szCs w:val="21"/>
                      <w:highlight w:val="none"/>
                      <w:lang w:eastAsia="zh-CN"/>
                      <w14:textFill>
                        <w14:solidFill>
                          <w14:schemeClr w14:val="tx1"/>
                        </w14:solidFill>
                      </w14:textFill>
                    </w:rPr>
                  </w:pPr>
                  <w:r>
                    <w:rPr>
                      <w:rFonts w:hint="eastAsia"/>
                      <w:color w:val="000000" w:themeColor="text1"/>
                      <w:spacing w:val="-4"/>
                      <w:szCs w:val="21"/>
                      <w:highlight w:val="none"/>
                      <w14:textFill>
                        <w14:solidFill>
                          <w14:schemeClr w14:val="tx1"/>
                        </w14:solidFill>
                      </w14:textFill>
                    </w:rPr>
                    <w:t>撬车</w:t>
                  </w:r>
                  <w:r>
                    <w:rPr>
                      <w:rFonts w:hint="eastAsia"/>
                      <w:color w:val="000000" w:themeColor="text1"/>
                      <w:spacing w:val="-4"/>
                      <w:szCs w:val="21"/>
                      <w:highlight w:val="none"/>
                      <w:lang w:eastAsia="zh-CN"/>
                      <w14:textFill>
                        <w14:solidFill>
                          <w14:schemeClr w14:val="tx1"/>
                        </w14:solidFill>
                      </w14:textFill>
                    </w:rPr>
                    <w:t>（</w:t>
                  </w:r>
                  <w:r>
                    <w:rPr>
                      <w:rFonts w:hint="eastAsia"/>
                      <w:color w:val="000000" w:themeColor="text1"/>
                      <w:spacing w:val="-4"/>
                      <w:szCs w:val="21"/>
                      <w:highlight w:val="none"/>
                      <w:lang w:val="en-US" w:eastAsia="zh-CN"/>
                      <w14:textFill>
                        <w14:solidFill>
                          <w14:schemeClr w14:val="tx1"/>
                        </w14:solidFill>
                      </w14:textFill>
                    </w:rPr>
                    <w:t>原有生产工序满负荷生产，最大使用量</w:t>
                  </w:r>
                  <w:r>
                    <w:rPr>
                      <w:rFonts w:hint="eastAsia"/>
                      <w:color w:val="000000" w:themeColor="text1"/>
                      <w:spacing w:val="-4"/>
                      <w:szCs w:val="21"/>
                      <w:highlight w:val="none"/>
                      <w:lang w:eastAsia="zh-CN"/>
                      <w14:textFill>
                        <w14:solidFill>
                          <w14:schemeClr w14:val="tx1"/>
                        </w14:solidFill>
                      </w14:textFill>
                    </w:rPr>
                    <w:t>）</w:t>
                  </w:r>
                </w:p>
              </w:tc>
            </w:tr>
          </w:tbl>
          <w:p w14:paraId="59CD500F">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劳动定员及工作制度：本项目年运行100天。劳动定员22人，每天1班，每班8小时，其中站长1人，实验室4人，操作员2人，材料员2人，机械工2人，电工1人，司炉工2人，工作人员8人。</w:t>
            </w:r>
          </w:p>
          <w:p w14:paraId="75DE187E">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公用工程：</w:t>
            </w:r>
          </w:p>
          <w:p w14:paraId="08C35951">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（1）供电</w:t>
            </w:r>
          </w:p>
          <w:p w14:paraId="1BB1761E">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本项目以当地变电所供电，全年耗电量</w:t>
            </w:r>
            <w:r>
              <w:rPr>
                <w:rFonts w:hint="eastAsia" w:cs="Times New Roman"/>
                <w:b w:val="0"/>
                <w:bCs w:val="0"/>
                <w:color w:val="000000" w:themeColor="text1"/>
                <w:highlight w:val="none"/>
                <w:lang w:val="en-US" w:eastAsia="zh-CN"/>
                <w14:textFill>
                  <w14:solidFill>
                    <w14:schemeClr w14:val="tx1"/>
                  </w14:solidFill>
                </w14:textFill>
              </w:rPr>
              <w:t>40</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万kWh。</w:t>
            </w:r>
          </w:p>
          <w:p w14:paraId="58B1DAB3">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（2）供热</w:t>
            </w:r>
          </w:p>
          <w:p w14:paraId="6C5ECD45">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本项目冬季不生产，无需采暖。</w:t>
            </w:r>
          </w:p>
          <w:p w14:paraId="1B6F65D8">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（3）给排水</w:t>
            </w:r>
          </w:p>
          <w:p w14:paraId="3B4E76DD">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本项目紧邻围场县牌楼乡公路养护中心，用水引用养护中心的自备井，可满足全厂生活用水要求。生产过程中不用水，项目用水主要为生活用水和绿化用水。本项目设有办公室、宿舍等设施，厕所为防渗旱厕。项目职工人数为22人，每人用水40L/d，全年生产100天，新水用水量为88t/a（0.88t/d），生活用水主要为职工盥洗废水，泼洒抑尘，不外排。</w:t>
            </w:r>
          </w:p>
          <w:p w14:paraId="67BCC80E">
            <w:pPr>
              <w:keepNext w:val="0"/>
              <w:keepLines w:val="0"/>
              <w:pageBreakBefore w:val="0"/>
              <w:widowControl w:val="0"/>
              <w:kinsoku/>
              <w:wordWrap w:val="0"/>
              <w:overflowPunct/>
              <w:topLinePunct w:val="0"/>
              <w:autoSpaceDE/>
              <w:autoSpaceDN/>
              <w:bidi w:val="0"/>
              <w:spacing w:line="480" w:lineRule="exact"/>
              <w:ind w:firstLine="422" w:firstLineChars="200"/>
              <w:jc w:val="left"/>
              <w:textAlignment w:val="auto"/>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2、原项目生产工艺流程</w:t>
            </w:r>
          </w:p>
          <w:p w14:paraId="550D9419">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1.原料输送</w:t>
            </w:r>
          </w:p>
          <w:p w14:paraId="5E4D6B1F">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外购的不同规格砂石料由运输车辆运至原料库，将各种原料由装载机运至各个独立料斗内，每种原料分别通过带有自动感应计量的给料皮带机完成初级配料，然后原料有皮带上传给上料皮带机送入烘干系统。</w:t>
            </w:r>
          </w:p>
          <w:p w14:paraId="1A5853F0">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2.原料烘干</w:t>
            </w:r>
          </w:p>
          <w:p w14:paraId="2E4E9A54">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从冷料斗单元的上料皮带出来的原料由进料皮带进入干燥滚筒，在滚筒内与燃烧器产生的热气直接</w:t>
            </w:r>
            <w:r>
              <w:rPr>
                <w:rFonts w:hint="eastAsia" w:ascii="宋体" w:hAnsi="宋体" w:eastAsia="宋体" w:cs="宋体"/>
                <w:b w:val="0"/>
                <w:bCs w:val="0"/>
                <w:color w:val="000000" w:themeColor="text1"/>
                <w:highlight w:val="none"/>
                <w:lang w:val="en-US" w:eastAsia="zh-CN"/>
                <w14:textFill>
                  <w14:solidFill>
                    <w14:schemeClr w14:val="tx1"/>
                  </w14:solidFill>
                </w14:textFill>
              </w:rPr>
              <w:t>接触</w:t>
            </w:r>
            <w:r>
              <w:rPr>
                <w:rFonts w:hint="eastAsia" w:ascii="宋体" w:hAnsi="宋体" w:cs="宋体"/>
                <w:b w:val="0"/>
                <w:bCs w:val="0"/>
                <w:color w:val="000000" w:themeColor="text1"/>
                <w:highlight w:val="none"/>
                <w:lang w:val="en-US" w:eastAsia="zh-CN"/>
                <w14:textFill>
                  <w14:solidFill>
                    <w14:schemeClr w14:val="tx1"/>
                  </w14:solidFill>
                </w14:textFill>
              </w:rPr>
              <w:t>（</w:t>
            </w:r>
            <w:r>
              <w:rPr>
                <w:rFonts w:hint="eastAsia" w:ascii="宋体" w:hAnsi="宋体" w:eastAsia="宋体" w:cs="宋体"/>
                <w:b w:val="0"/>
                <w:bCs w:val="0"/>
                <w:color w:val="000000" w:themeColor="text1"/>
                <w:highlight w:val="none"/>
                <w:lang w:val="en-US" w:eastAsia="zh-CN"/>
                <w14:textFill>
                  <w14:solidFill>
                    <w14:schemeClr w14:val="tx1"/>
                  </w14:solidFill>
                </w14:textFill>
              </w:rPr>
              <w:t>以逆流加热的方式</w:t>
            </w:r>
            <w:r>
              <w:rPr>
                <w:rFonts w:hint="eastAsia" w:ascii="宋体" w:hAnsi="宋体" w:cs="宋体"/>
                <w:b w:val="0"/>
                <w:bCs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，直接将原料加热到1</w:t>
            </w:r>
            <w:r>
              <w:rPr>
                <w:rFonts w:hint="eastAsia" w:cs="Times New Roman"/>
                <w:b w:val="0"/>
                <w:bCs w:val="0"/>
                <w:color w:val="000000" w:themeColor="text1"/>
                <w:highlight w:val="none"/>
                <w:lang w:val="en-US" w:eastAsia="zh-CN"/>
                <w14:textFill>
                  <w14:solidFill>
                    <w14:schemeClr w14:val="tx1"/>
                  </w14:solidFill>
                </w14:textFill>
              </w:rPr>
              <w:t>8</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。加热完成后，热原料自滚筒的出料区被提起送入储料箱原料出口斜槽卸出。本项目燃烧器采用天然气作为燃料为烘干提供热源。</w:t>
            </w:r>
          </w:p>
          <w:p w14:paraId="4D84A270">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3.热原料提升、筛分</w:t>
            </w:r>
          </w:p>
          <w:p w14:paraId="65C42505">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从干燥筒中卸出的热料连同重力除尘器收集的粉尘，通过热料提升机输送到位于搅拌楼最上部的振动筛里。热原料进入筛分机后被筛分成四种规格（0-3mm、5-10mm、10-15mm、10-25mm），分别通过皮带输送装置进入热原料储存的各仓内待用。</w:t>
            </w:r>
          </w:p>
          <w:p w14:paraId="24FA34EE">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4.粉料输送</w:t>
            </w:r>
          </w:p>
          <w:p w14:paraId="75224F0C">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原料矿粉有散装运输车运至厂内，通过气力输送系统送入筒仓，再由螺旋输送机送至搅拌楼称量，干燥滚筒除尘系统的袋式除尘器收集的回收粉尘回用于生产。</w:t>
            </w:r>
          </w:p>
          <w:p w14:paraId="6BE78E8E">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5.沥青加热：</w:t>
            </w:r>
          </w:p>
          <w:p w14:paraId="1431390F">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沥青原料进厂时为；沥青液体，由专用沥青运输车将沥青通过密闭管道输送入沥青储罐，石油沥青进厂温度为130℃。加热炉将沥青加热至1</w:t>
            </w:r>
            <w:r>
              <w:rPr>
                <w:rFonts w:hint="eastAsia" w:cs="Times New Roman"/>
                <w:b w:val="0"/>
                <w:bCs w:val="0"/>
                <w:color w:val="000000" w:themeColor="text1"/>
                <w:highlight w:val="none"/>
                <w:lang w:val="en-US" w:eastAsia="zh-CN"/>
                <w14:textFill>
                  <w14:solidFill>
                    <w14:schemeClr w14:val="tx1"/>
                  </w14:solidFill>
                </w14:textFill>
              </w:rPr>
              <w:t>9</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0℃，从而使管内加热的沥青保持在</w:t>
            </w:r>
            <w:r>
              <w:rPr>
                <w:rFonts w:hint="eastAsia" w:cs="Times New Roman"/>
                <w:b w:val="0"/>
                <w:bCs w:val="0"/>
                <w:color w:val="000000" w:themeColor="text1"/>
                <w:highlight w:val="none"/>
                <w:lang w:val="en-US" w:eastAsia="zh-CN"/>
                <w14:textFill>
                  <w14:solidFill>
                    <w14:schemeClr w14:val="tx1"/>
                  </w14:solidFill>
                </w14:textFill>
              </w:rPr>
              <w:t>18</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0℃以上，传热介质导热油在密闭的循环系统中，高温的导热油通过循环泵、循环管道加热沥青罐、沥青管道。</w:t>
            </w:r>
          </w:p>
          <w:p w14:paraId="64D15ABF">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6.计量、搅拌</w:t>
            </w:r>
          </w:p>
          <w:p w14:paraId="6DE3F911">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热原料、热沥青、粉料分别进行计量，计量完毕后，按设定顺序原料、热沥青及粉料分别从各自的卸料阀卸入位于搅拌楼的搅拌机内，混和搅拌，制成沥青混凝土。</w:t>
            </w:r>
          </w:p>
          <w:p w14:paraId="30867573">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7.出料</w:t>
            </w:r>
          </w:p>
          <w:p w14:paraId="476DE324">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成品料从搅拌器底部的卸料口卸出，自卸料口直接卸到运输车内外运。</w:t>
            </w:r>
          </w:p>
          <w:p w14:paraId="4C31C03D">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项目工艺流程图详见下图所示：</w:t>
            </w:r>
          </w:p>
          <w:p w14:paraId="423B80CA">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69ADE1A7">
            <w:pPr>
              <w:pStyle w:val="29"/>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24361707">
            <w:pP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568A7EEB">
            <w:pPr>
              <w:pStyle w:val="2"/>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65CA5EA0">
            <w:pPr>
              <w:pStyle w:val="2"/>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6A2BD591">
            <w:pPr>
              <w:pStyle w:val="2"/>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0CC9703A">
            <w:pPr>
              <w:pStyle w:val="2"/>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752CC0F1">
            <w:pP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0432ACD3">
            <w:pP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7E19A922">
            <w:pP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698B574A">
            <w:pP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33A16B46">
            <w:pP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4F88AC69">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p>
          <w:p w14:paraId="7E4340F7">
            <w:pPr>
              <w:pStyle w:val="28"/>
              <w:keepNext w:val="0"/>
              <w:keepLines w:val="0"/>
              <w:pageBreakBefore w:val="0"/>
              <w:widowControl w:val="0"/>
              <w:kinsoku/>
              <w:wordWrap w:val="0"/>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drawing>
                <wp:inline distT="0" distB="0" distL="114300" distR="114300">
                  <wp:extent cx="4592955" cy="4557395"/>
                  <wp:effectExtent l="0" t="0" r="17145" b="14605"/>
                  <wp:docPr id="72" name="图片 72" descr="原有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原有工艺流程图"/>
                          <pic:cNvPicPr>
                            <a:picLocks noChangeAspect="1"/>
                          </pic:cNvPicPr>
                        </pic:nvPicPr>
                        <pic:blipFill>
                          <a:blip r:embed="rId17"/>
                          <a:stretch>
                            <a:fillRect/>
                          </a:stretch>
                        </pic:blipFill>
                        <pic:spPr>
                          <a:xfrm>
                            <a:off x="0" y="0"/>
                            <a:ext cx="4592955" cy="4557395"/>
                          </a:xfrm>
                          <a:prstGeom prst="rect">
                            <a:avLst/>
                          </a:prstGeom>
                        </pic:spPr>
                      </pic:pic>
                    </a:graphicData>
                  </a:graphic>
                </wp:inline>
              </w:drawing>
            </w:r>
          </w:p>
          <w:p w14:paraId="07669E67">
            <w:pPr>
              <w:pStyle w:val="28"/>
              <w:keepNext w:val="0"/>
              <w:keepLines w:val="0"/>
              <w:pageBreakBefore w:val="0"/>
              <w:widowControl w:val="0"/>
              <w:kinsoku/>
              <w:wordWrap w:val="0"/>
              <w:overflowPunct/>
              <w:topLinePunct w:val="0"/>
              <w:autoSpaceDE/>
              <w:autoSpaceDN/>
              <w:bidi w:val="0"/>
              <w:adjustRightInd/>
              <w:snapToGrid/>
              <w:spacing w:after="0" w:line="480" w:lineRule="exact"/>
              <w:ind w:left="0" w:leftChars="0" w:firstLine="0" w:firstLineChars="0"/>
              <w:jc w:val="center"/>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b/>
                <w:bCs/>
                <w:color w:val="000000" w:themeColor="text1"/>
                <w:highlight w:val="none"/>
                <w14:textFill>
                  <w14:solidFill>
                    <w14:schemeClr w14:val="tx1"/>
                  </w14:solidFill>
                </w14:textFill>
              </w:rPr>
              <w:t>图</w:t>
            </w:r>
            <w:r>
              <w:rPr>
                <w:rFonts w:hint="eastAsia"/>
                <w:b/>
                <w:bCs/>
                <w:color w:val="000000" w:themeColor="text1"/>
                <w:highlight w:val="none"/>
                <w14:textFill>
                  <w14:solidFill>
                    <w14:schemeClr w14:val="tx1"/>
                  </w14:solidFill>
                </w14:textFill>
              </w:rPr>
              <w:t>2-</w:t>
            </w:r>
            <w:r>
              <w:rPr>
                <w:rFonts w:hint="eastAsia"/>
                <w:b/>
                <w:bCs/>
                <w:color w:val="000000" w:themeColor="text1"/>
                <w:highlight w:val="none"/>
                <w:lang w:val="en-US" w:eastAsia="zh-CN"/>
                <w14:textFill>
                  <w14:solidFill>
                    <w14:schemeClr w14:val="tx1"/>
                  </w14:solidFill>
                </w14:textFill>
              </w:rPr>
              <w:t>3</w:t>
            </w:r>
            <w:r>
              <w:rPr>
                <w:b/>
                <w:bCs/>
                <w:color w:val="000000" w:themeColor="text1"/>
                <w:highlight w:val="none"/>
                <w14:textFill>
                  <w14:solidFill>
                    <w14:schemeClr w14:val="tx1"/>
                  </w14:solidFill>
                </w14:textFill>
              </w:rPr>
              <w:t xml:space="preserve"> </w:t>
            </w:r>
            <w:r>
              <w:rPr>
                <w:rFonts w:hint="eastAsia"/>
                <w:b/>
                <w:bCs/>
                <w:color w:val="000000" w:themeColor="text1"/>
                <w:highlight w:val="none"/>
                <w:lang w:val="en-US" w:eastAsia="zh-CN"/>
                <w14:textFill>
                  <w14:solidFill>
                    <w14:schemeClr w14:val="tx1"/>
                  </w14:solidFill>
                </w14:textFill>
              </w:rPr>
              <w:t>原有项目运营期</w:t>
            </w:r>
            <w:r>
              <w:rPr>
                <w:b/>
                <w:bCs/>
                <w:color w:val="000000" w:themeColor="text1"/>
                <w:highlight w:val="none"/>
                <w14:textFill>
                  <w14:solidFill>
                    <w14:schemeClr w14:val="tx1"/>
                  </w14:solidFill>
                </w14:textFill>
              </w:rPr>
              <w:t>工艺流程</w:t>
            </w:r>
            <w:r>
              <w:rPr>
                <w:rFonts w:hint="eastAsia"/>
                <w:b/>
                <w:bCs/>
                <w:color w:val="000000" w:themeColor="text1"/>
                <w:highlight w:val="none"/>
                <w:lang w:val="en-US" w:eastAsia="zh-CN"/>
                <w14:textFill>
                  <w14:solidFill>
                    <w14:schemeClr w14:val="tx1"/>
                  </w14:solidFill>
                </w14:textFill>
              </w:rPr>
              <w:t>及排污节点</w:t>
            </w:r>
            <w:r>
              <w:rPr>
                <w:b/>
                <w:bCs/>
                <w:color w:val="000000" w:themeColor="text1"/>
                <w:highlight w:val="none"/>
                <w14:textFill>
                  <w14:solidFill>
                    <w14:schemeClr w14:val="tx1"/>
                  </w14:solidFill>
                </w14:textFill>
              </w:rPr>
              <w:t>图</w:t>
            </w:r>
          </w:p>
          <w:p w14:paraId="22741BD7">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项目主要污染因子及排污节点汇总见下表所示：</w:t>
            </w:r>
          </w:p>
          <w:p w14:paraId="5C506F42">
            <w:pPr>
              <w:pStyle w:val="28"/>
              <w:keepNext w:val="0"/>
              <w:keepLines w:val="0"/>
              <w:pageBreakBefore w:val="0"/>
              <w:widowControl w:val="0"/>
              <w:kinsoku/>
              <w:wordWrap w:val="0"/>
              <w:overflowPunct/>
              <w:topLinePunct w:val="0"/>
              <w:autoSpaceDE/>
              <w:autoSpaceDN/>
              <w:bidi w:val="0"/>
              <w:adjustRightInd/>
              <w:snapToGrid/>
              <w:spacing w:after="0" w:line="480" w:lineRule="exact"/>
              <w:ind w:left="0" w:leftChars="0" w:firstLine="0" w:firstLineChars="0"/>
              <w:jc w:val="center"/>
              <w:textAlignment w:val="auto"/>
              <w:rPr>
                <w:color w:val="000000" w:themeColor="text1"/>
                <w:highlight w:val="none"/>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表2-</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10</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污染物排放节点简况</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28"/>
              <w:gridCol w:w="533"/>
              <w:gridCol w:w="915"/>
              <w:gridCol w:w="1320"/>
              <w:gridCol w:w="649"/>
              <w:gridCol w:w="651"/>
              <w:gridCol w:w="3222"/>
            </w:tblGrid>
            <w:tr w14:paraId="3E05C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blHeader/>
              </w:trPr>
              <w:tc>
                <w:tcPr>
                  <w:tcW w:w="928" w:type="dxa"/>
                  <w:noWrap w:val="0"/>
                  <w:vAlign w:val="center"/>
                </w:tcPr>
                <w:p w14:paraId="3A82F1E9">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533" w:type="dxa"/>
                  <w:noWrap w:val="0"/>
                  <w:vAlign w:val="center"/>
                </w:tcPr>
                <w:p w14:paraId="4D4DA01F">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915" w:type="dxa"/>
                  <w:noWrap w:val="0"/>
                  <w:vAlign w:val="center"/>
                </w:tcPr>
                <w:p w14:paraId="76943276">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排污节点</w:t>
                  </w:r>
                </w:p>
              </w:tc>
              <w:tc>
                <w:tcPr>
                  <w:tcW w:w="1320" w:type="dxa"/>
                  <w:noWrap w:val="0"/>
                  <w:vAlign w:val="center"/>
                </w:tcPr>
                <w:p w14:paraId="711A7D03">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w:t>
                  </w:r>
                </w:p>
              </w:tc>
              <w:tc>
                <w:tcPr>
                  <w:tcW w:w="649" w:type="dxa"/>
                  <w:noWrap w:val="0"/>
                  <w:vAlign w:val="center"/>
                </w:tcPr>
                <w:p w14:paraId="78202550">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所在生产单元</w:t>
                  </w:r>
                </w:p>
              </w:tc>
              <w:tc>
                <w:tcPr>
                  <w:tcW w:w="651" w:type="dxa"/>
                  <w:noWrap w:val="0"/>
                  <w:vAlign w:val="center"/>
                </w:tcPr>
                <w:p w14:paraId="654F2DB9">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产生特征</w:t>
                  </w:r>
                </w:p>
              </w:tc>
              <w:tc>
                <w:tcPr>
                  <w:tcW w:w="3222" w:type="dxa"/>
                  <w:noWrap w:val="0"/>
                  <w:vAlign w:val="center"/>
                </w:tcPr>
                <w:p w14:paraId="45C47898">
                  <w:pPr>
                    <w:pageBreakBefore w:val="0"/>
                    <w:kinsoku/>
                    <w:wordWrap w:val="0"/>
                    <w:overflowPunct/>
                    <w:bidi w:val="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措施</w:t>
                  </w:r>
                </w:p>
              </w:tc>
            </w:tr>
            <w:tr w14:paraId="1D478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restart"/>
                  <w:noWrap w:val="0"/>
                  <w:vAlign w:val="center"/>
                </w:tcPr>
                <w:p w14:paraId="4FE3A6A7">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r>
                    <w:rPr>
                      <w:rFonts w:hint="eastAsia" w:ascii="Times New Roman" w:hAnsi="Times New Roman" w:cs="Times New Roman"/>
                      <w:bCs/>
                      <w:color w:val="000000" w:themeColor="text1"/>
                      <w:sz w:val="21"/>
                      <w:szCs w:val="21"/>
                      <w:highlight w:val="none"/>
                      <w14:textFill>
                        <w14:solidFill>
                          <w14:schemeClr w14:val="tx1"/>
                        </w14:solidFill>
                      </w14:textFill>
                    </w:rPr>
                    <w:t>废气</w:t>
                  </w:r>
                </w:p>
              </w:tc>
              <w:tc>
                <w:tcPr>
                  <w:tcW w:w="533" w:type="dxa"/>
                  <w:noWrap w:val="0"/>
                  <w:vAlign w:val="center"/>
                </w:tcPr>
                <w:p w14:paraId="17D08631">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G1</w:t>
                  </w:r>
                </w:p>
              </w:tc>
              <w:tc>
                <w:tcPr>
                  <w:tcW w:w="915" w:type="dxa"/>
                  <w:noWrap w:val="0"/>
                  <w:vAlign w:val="center"/>
                </w:tcPr>
                <w:p w14:paraId="60E5B68D">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Cs w:val="21"/>
                      <w:highlight w:val="none"/>
                      <w14:textFill>
                        <w14:solidFill>
                          <w14:schemeClr w14:val="tx1"/>
                        </w14:solidFill>
                      </w14:textFill>
                    </w:rPr>
                    <w:t>砂</w:t>
                  </w:r>
                  <w:r>
                    <w:rPr>
                      <w:rFonts w:ascii="Times New Roman" w:hAnsi="Times New Roman"/>
                      <w:color w:val="000000" w:themeColor="text1"/>
                      <w:szCs w:val="21"/>
                      <w:highlight w:val="none"/>
                      <w14:textFill>
                        <w14:solidFill>
                          <w14:schemeClr w14:val="tx1"/>
                        </w14:solidFill>
                      </w14:textFill>
                    </w:rPr>
                    <w:t>子、石子储存、装卸</w:t>
                  </w:r>
                  <w:r>
                    <w:rPr>
                      <w:rFonts w:hint="eastAsia" w:ascii="Times New Roman" w:hAnsi="Times New Roman"/>
                      <w:color w:val="000000" w:themeColor="text1"/>
                      <w:szCs w:val="21"/>
                      <w:highlight w:val="none"/>
                      <w:lang w:eastAsia="zh-CN"/>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装载机上料</w:t>
                  </w:r>
                </w:p>
              </w:tc>
              <w:tc>
                <w:tcPr>
                  <w:tcW w:w="1320" w:type="dxa"/>
                  <w:noWrap w:val="0"/>
                  <w:vAlign w:val="center"/>
                </w:tcPr>
                <w:p w14:paraId="45C15350">
                  <w:pPr>
                    <w:pageBreakBefore w:val="0"/>
                    <w:kinsoku/>
                    <w:wordWrap w:val="0"/>
                    <w:overflowPunct/>
                    <w:bidi w:val="0"/>
                    <w:spacing w:line="280" w:lineRule="exact"/>
                    <w:jc w:val="center"/>
                    <w:rPr>
                      <w:rFonts w:hint="default"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w:t>
                  </w:r>
                </w:p>
              </w:tc>
              <w:tc>
                <w:tcPr>
                  <w:tcW w:w="649" w:type="dxa"/>
                  <w:vMerge w:val="restart"/>
                  <w:noWrap w:val="0"/>
                  <w:vAlign w:val="center"/>
                </w:tcPr>
                <w:p w14:paraId="25852D7B">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沥青混凝土生产单元</w:t>
                  </w:r>
                </w:p>
              </w:tc>
              <w:tc>
                <w:tcPr>
                  <w:tcW w:w="651" w:type="dxa"/>
                  <w:noWrap w:val="0"/>
                  <w:vAlign w:val="center"/>
                </w:tcPr>
                <w:p w14:paraId="06A17699">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222" w:type="dxa"/>
                  <w:noWrap w:val="0"/>
                  <w:vAlign w:val="center"/>
                </w:tcPr>
                <w:p w14:paraId="026C4493">
                  <w:pPr>
                    <w:pageBreakBefore w:val="0"/>
                    <w:kinsoku/>
                    <w:wordWrap w:val="0"/>
                    <w:overflowPunct/>
                    <w:bidi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pacing w:val="9"/>
                      <w:sz w:val="21"/>
                      <w:szCs w:val="21"/>
                      <w:highlight w:val="none"/>
                      <w:lang w:val="en-US" w:eastAsia="zh-CN"/>
                      <w14:textFill>
                        <w14:solidFill>
                          <w14:schemeClr w14:val="tx1"/>
                        </w14:solidFill>
                      </w14:textFill>
                    </w:rPr>
                    <w:t>封闭车间，洒水降尘</w:t>
                  </w:r>
                </w:p>
              </w:tc>
            </w:tr>
            <w:tr w14:paraId="1897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671457D4">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51B3D161">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G2</w:t>
                  </w:r>
                </w:p>
              </w:tc>
              <w:tc>
                <w:tcPr>
                  <w:tcW w:w="915" w:type="dxa"/>
                  <w:noWrap w:val="0"/>
                  <w:vAlign w:val="center"/>
                </w:tcPr>
                <w:p w14:paraId="5E397DF7">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干燥滚筒</w:t>
                  </w:r>
                </w:p>
              </w:tc>
              <w:tc>
                <w:tcPr>
                  <w:tcW w:w="1320" w:type="dxa"/>
                  <w:noWrap w:val="0"/>
                  <w:vAlign w:val="center"/>
                </w:tcPr>
                <w:p w14:paraId="5E5B6A36">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颗粒物、二氧化硫、氮氧化物</w:t>
                  </w:r>
                </w:p>
              </w:tc>
              <w:tc>
                <w:tcPr>
                  <w:tcW w:w="649" w:type="dxa"/>
                  <w:vMerge w:val="continue"/>
                  <w:noWrap w:val="0"/>
                  <w:vAlign w:val="center"/>
                </w:tcPr>
                <w:p w14:paraId="5C4E63D0">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651" w:type="dxa"/>
                  <w:noWrap w:val="0"/>
                  <w:vAlign w:val="center"/>
                </w:tcPr>
                <w:p w14:paraId="3F193B7E">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连续</w:t>
                  </w:r>
                </w:p>
              </w:tc>
              <w:tc>
                <w:tcPr>
                  <w:tcW w:w="3222" w:type="dxa"/>
                  <w:noWrap w:val="0"/>
                  <w:vAlign w:val="center"/>
                </w:tcPr>
                <w:p w14:paraId="5B54FDB0">
                  <w:pPr>
                    <w:pageBreakBefore w:val="0"/>
                    <w:kinsoku/>
                    <w:wordWrap w:val="0"/>
                    <w:overflowPunct/>
                    <w:bidi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为干燥滚筒加热的天然气燃烧器采用低氮燃烧器，产生的废气进入布袋除尘器处理，</w:t>
                  </w:r>
                  <w:r>
                    <w:rPr>
                      <w:rFonts w:hint="default" w:eastAsia="宋体" w:cs="Times New Roman"/>
                      <w:color w:val="000000" w:themeColor="text1"/>
                      <w:sz w:val="21"/>
                      <w:szCs w:val="21"/>
                      <w:highlight w:val="none"/>
                      <w:lang w:val="en-US" w:eastAsia="zh-CN"/>
                      <w14:textFill>
                        <w14:solidFill>
                          <w14:schemeClr w14:val="tx1"/>
                        </w14:solidFill>
                      </w14:textFill>
                    </w:rPr>
                    <w:t>通过一根15m高的排气筒排放（DA001）</w:t>
                  </w:r>
                </w:p>
              </w:tc>
            </w:tr>
            <w:tr w14:paraId="6FD3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20" w:hRule="atLeast"/>
              </w:trPr>
              <w:tc>
                <w:tcPr>
                  <w:tcW w:w="928" w:type="dxa"/>
                  <w:vMerge w:val="continue"/>
                  <w:noWrap w:val="0"/>
                  <w:vAlign w:val="center"/>
                </w:tcPr>
                <w:p w14:paraId="6291B05B">
                  <w:pPr>
                    <w:pageBreakBefore w:val="0"/>
                    <w:kinsoku/>
                    <w:wordWrap w:val="0"/>
                    <w:overflowPunct/>
                    <w:bidi w:val="0"/>
                    <w:spacing w:line="280" w:lineRule="exact"/>
                    <w:jc w:val="center"/>
                    <w:rPr>
                      <w:rFonts w:hint="eastAsia" w:ascii="Times New Roman" w:hAnsi="Times New Roman" w:cs="Times New Roman"/>
                      <w:bCs/>
                      <w:color w:val="000000" w:themeColor="text1"/>
                      <w:sz w:val="21"/>
                      <w:szCs w:val="21"/>
                      <w:highlight w:val="none"/>
                      <w14:textFill>
                        <w14:solidFill>
                          <w14:schemeClr w14:val="tx1"/>
                        </w14:solidFill>
                      </w14:textFill>
                    </w:rPr>
                  </w:pPr>
                </w:p>
              </w:tc>
              <w:tc>
                <w:tcPr>
                  <w:tcW w:w="533" w:type="dxa"/>
                  <w:vMerge w:val="restart"/>
                  <w:noWrap w:val="0"/>
                  <w:vAlign w:val="center"/>
                </w:tcPr>
                <w:p w14:paraId="368AA699">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G3</w:t>
                  </w:r>
                </w:p>
              </w:tc>
              <w:tc>
                <w:tcPr>
                  <w:tcW w:w="915" w:type="dxa"/>
                  <w:vMerge w:val="restart"/>
                  <w:noWrap w:val="0"/>
                  <w:vAlign w:val="center"/>
                </w:tcPr>
                <w:p w14:paraId="01246C7E">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沥青罐</w:t>
                  </w:r>
                </w:p>
              </w:tc>
              <w:tc>
                <w:tcPr>
                  <w:tcW w:w="1320" w:type="dxa"/>
                  <w:noWrap w:val="0"/>
                  <w:vAlign w:val="center"/>
                </w:tcPr>
                <w:p w14:paraId="260FD844">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颗粒物、二氧化硫、氮氧化物</w:t>
                  </w:r>
                </w:p>
              </w:tc>
              <w:tc>
                <w:tcPr>
                  <w:tcW w:w="649" w:type="dxa"/>
                  <w:vMerge w:val="continue"/>
                  <w:noWrap w:val="0"/>
                  <w:vAlign w:val="center"/>
                </w:tcPr>
                <w:p w14:paraId="7DF5B2BD">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651" w:type="dxa"/>
                  <w:vMerge w:val="restart"/>
                  <w:noWrap w:val="0"/>
                  <w:vAlign w:val="center"/>
                </w:tcPr>
                <w:p w14:paraId="4C6A5C6B">
                  <w:pPr>
                    <w:pageBreakBefore w:val="0"/>
                    <w:kinsoku/>
                    <w:wordWrap w:val="0"/>
                    <w:overflowPunct/>
                    <w:bidi w:val="0"/>
                    <w:spacing w:line="280" w:lineRule="exact"/>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连续</w:t>
                  </w:r>
                </w:p>
              </w:tc>
              <w:tc>
                <w:tcPr>
                  <w:tcW w:w="3222" w:type="dxa"/>
                  <w:noWrap w:val="0"/>
                  <w:vAlign w:val="center"/>
                </w:tcPr>
                <w:p w14:paraId="1E1508FC">
                  <w:pPr>
                    <w:pageBreakBefore w:val="0"/>
                    <w:kinsoku/>
                    <w:wordWrap w:val="0"/>
                    <w:overflowPunct/>
                    <w:bidi w:val="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导热油炉加热采用低氮燃烧器，产生的废气进入布袋除尘器处理，处理后的废气经16m高的排气筒排出（DA002）</w:t>
                  </w:r>
                </w:p>
              </w:tc>
            </w:tr>
            <w:tr w14:paraId="4AFF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20" w:hRule="atLeast"/>
              </w:trPr>
              <w:tc>
                <w:tcPr>
                  <w:tcW w:w="928" w:type="dxa"/>
                  <w:vMerge w:val="continue"/>
                  <w:noWrap w:val="0"/>
                  <w:vAlign w:val="center"/>
                </w:tcPr>
                <w:p w14:paraId="3288C45E">
                  <w:pPr>
                    <w:pageBreakBefore w:val="0"/>
                    <w:kinsoku/>
                    <w:wordWrap w:val="0"/>
                    <w:overflowPunct/>
                    <w:bidi w:val="0"/>
                    <w:spacing w:line="280" w:lineRule="exact"/>
                    <w:jc w:val="center"/>
                    <w:rPr>
                      <w:color w:val="000000" w:themeColor="text1"/>
                      <w:highlight w:val="none"/>
                      <w14:textFill>
                        <w14:solidFill>
                          <w14:schemeClr w14:val="tx1"/>
                        </w14:solidFill>
                      </w14:textFill>
                    </w:rPr>
                  </w:pPr>
                </w:p>
              </w:tc>
              <w:tc>
                <w:tcPr>
                  <w:tcW w:w="533" w:type="dxa"/>
                  <w:vMerge w:val="continue"/>
                  <w:noWrap w:val="0"/>
                  <w:vAlign w:val="center"/>
                </w:tcPr>
                <w:p w14:paraId="5597DFAA">
                  <w:pPr>
                    <w:pageBreakBefore w:val="0"/>
                    <w:kinsoku/>
                    <w:wordWrap w:val="0"/>
                    <w:overflowPunct/>
                    <w:bidi w:val="0"/>
                    <w:spacing w:line="280" w:lineRule="exact"/>
                    <w:jc w:val="center"/>
                    <w:rPr>
                      <w:color w:val="000000" w:themeColor="text1"/>
                      <w:highlight w:val="none"/>
                      <w14:textFill>
                        <w14:solidFill>
                          <w14:schemeClr w14:val="tx1"/>
                        </w14:solidFill>
                      </w14:textFill>
                    </w:rPr>
                  </w:pPr>
                </w:p>
              </w:tc>
              <w:tc>
                <w:tcPr>
                  <w:tcW w:w="915" w:type="dxa"/>
                  <w:vMerge w:val="continue"/>
                  <w:noWrap w:val="0"/>
                  <w:vAlign w:val="center"/>
                </w:tcPr>
                <w:p w14:paraId="52274720">
                  <w:pPr>
                    <w:pageBreakBefore w:val="0"/>
                    <w:kinsoku/>
                    <w:wordWrap w:val="0"/>
                    <w:overflowPunct/>
                    <w:bidi w:val="0"/>
                    <w:spacing w:line="280" w:lineRule="exact"/>
                    <w:jc w:val="center"/>
                    <w:rPr>
                      <w:color w:val="000000" w:themeColor="text1"/>
                      <w:highlight w:val="none"/>
                      <w14:textFill>
                        <w14:solidFill>
                          <w14:schemeClr w14:val="tx1"/>
                        </w14:solidFill>
                      </w14:textFill>
                    </w:rPr>
                  </w:pPr>
                </w:p>
              </w:tc>
              <w:tc>
                <w:tcPr>
                  <w:tcW w:w="1320" w:type="dxa"/>
                  <w:noWrap w:val="0"/>
                  <w:vAlign w:val="center"/>
                </w:tcPr>
                <w:p w14:paraId="504C8086">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沥青烟、非甲烷总烃、苯并[a]芘</w:t>
                  </w:r>
                </w:p>
              </w:tc>
              <w:tc>
                <w:tcPr>
                  <w:tcW w:w="649" w:type="dxa"/>
                  <w:vMerge w:val="continue"/>
                  <w:noWrap w:val="0"/>
                  <w:vAlign w:val="center"/>
                </w:tcPr>
                <w:p w14:paraId="53B8FF6F">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651" w:type="dxa"/>
                  <w:vMerge w:val="continue"/>
                  <w:noWrap w:val="0"/>
                  <w:vAlign w:val="center"/>
                </w:tcPr>
                <w:p w14:paraId="6EFE3449">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p>
              </w:tc>
              <w:tc>
                <w:tcPr>
                  <w:tcW w:w="3222" w:type="dxa"/>
                  <w:noWrap w:val="0"/>
                  <w:vAlign w:val="center"/>
                </w:tcPr>
                <w:p w14:paraId="01DFCC51">
                  <w:pPr>
                    <w:pageBreakBefore w:val="0"/>
                    <w:kinsoku/>
                    <w:wordWrap w:val="0"/>
                    <w:overflowPunct/>
                    <w:bidi w:val="0"/>
                    <w:spacing w:line="280" w:lineRule="exact"/>
                    <w:jc w:val="center"/>
                    <w:rPr>
                      <w:rFonts w:hint="eastAsia" w:cs="Times New Roman"/>
                      <w:bCs/>
                      <w:color w:val="000000" w:themeColor="text1"/>
                      <w:sz w:val="21"/>
                      <w:szCs w:val="21"/>
                      <w:highlight w:val="none"/>
                      <w:lang w:val="en-US" w:eastAsia="zh-CN"/>
                      <w14:textFill>
                        <w14:solidFill>
                          <w14:schemeClr w14:val="tx1"/>
                        </w14:solidFill>
                      </w14:textFill>
                    </w:rPr>
                  </w:pPr>
                  <w:r>
                    <w:rPr>
                      <w:rFonts w:hint="default" w:eastAsia="宋体" w:cs="Times New Roman"/>
                      <w:color w:val="000000" w:themeColor="text1"/>
                      <w:sz w:val="21"/>
                      <w:szCs w:val="21"/>
                      <w:highlight w:val="none"/>
                      <w:lang w:val="en-US" w:eastAsia="zh-CN"/>
                      <w14:textFill>
                        <w14:solidFill>
                          <w14:schemeClr w14:val="tx1"/>
                        </w14:solidFill>
                      </w14:textFill>
                    </w:rPr>
                    <w:t>沥青加热产生的沥青烟、非甲烷总烃、苯并[a]芘经管道收集后，通过“电捕焦油器+活性炭吸附”处理装置处理后，通过一根15m高的排气筒外排（DA001）</w:t>
                  </w:r>
                </w:p>
              </w:tc>
            </w:tr>
            <w:tr w14:paraId="70EF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noWrap w:val="0"/>
                  <w:vAlign w:val="center"/>
                </w:tcPr>
                <w:p w14:paraId="4914A9BA">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废水</w:t>
                  </w:r>
                </w:p>
              </w:tc>
              <w:tc>
                <w:tcPr>
                  <w:tcW w:w="533" w:type="dxa"/>
                  <w:noWrap w:val="0"/>
                  <w:vAlign w:val="center"/>
                </w:tcPr>
                <w:p w14:paraId="67049DEB">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915" w:type="dxa"/>
                  <w:noWrap w:val="0"/>
                  <w:vAlign w:val="center"/>
                </w:tcPr>
                <w:p w14:paraId="09626D63">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1320" w:type="dxa"/>
                  <w:noWrap w:val="0"/>
                  <w:vAlign w:val="center"/>
                </w:tcPr>
                <w:p w14:paraId="634553A9">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649" w:type="dxa"/>
                  <w:noWrap w:val="0"/>
                  <w:vAlign w:val="center"/>
                </w:tcPr>
                <w:p w14:paraId="0CBA7E2D">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651" w:type="dxa"/>
                  <w:noWrap w:val="0"/>
                  <w:vAlign w:val="center"/>
                </w:tcPr>
                <w:p w14:paraId="33797B11">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3222" w:type="dxa"/>
                  <w:noWrap w:val="0"/>
                  <w:vAlign w:val="center"/>
                </w:tcPr>
                <w:p w14:paraId="579D8AB7">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r>
            <w:tr w14:paraId="36FC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noWrap w:val="0"/>
                  <w:vAlign w:val="center"/>
                </w:tcPr>
                <w:p w14:paraId="65DAB23C">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噪声</w:t>
                  </w:r>
                </w:p>
              </w:tc>
              <w:tc>
                <w:tcPr>
                  <w:tcW w:w="533" w:type="dxa"/>
                  <w:noWrap w:val="0"/>
                  <w:vAlign w:val="center"/>
                </w:tcPr>
                <w:p w14:paraId="65846B03">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N</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1</w:t>
                  </w:r>
                  <w:r>
                    <w:rPr>
                      <w:rFonts w:hint="eastAsia" w:cs="Times New Roman"/>
                      <w:bCs/>
                      <w:color w:val="000000" w:themeColor="text1"/>
                      <w:sz w:val="21"/>
                      <w:szCs w:val="21"/>
                      <w:highlight w:val="none"/>
                      <w:lang w:val="en-US" w:eastAsia="zh-CN"/>
                      <w14:textFill>
                        <w14:solidFill>
                          <w14:schemeClr w14:val="tx1"/>
                        </w14:solidFill>
                      </w14:textFill>
                    </w:rPr>
                    <w:t>~N3</w:t>
                  </w:r>
                </w:p>
              </w:tc>
              <w:tc>
                <w:tcPr>
                  <w:tcW w:w="915" w:type="dxa"/>
                  <w:noWrap w:val="0"/>
                  <w:vAlign w:val="center"/>
                </w:tcPr>
                <w:p w14:paraId="3BB614FB">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生产设备</w:t>
                  </w:r>
                </w:p>
              </w:tc>
              <w:tc>
                <w:tcPr>
                  <w:tcW w:w="1320" w:type="dxa"/>
                  <w:noWrap w:val="0"/>
                  <w:vAlign w:val="center"/>
                </w:tcPr>
                <w:p w14:paraId="3C5EF535">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lang w:bidi="ar"/>
                      <w14:textFill>
                        <w14:solidFill>
                          <w14:schemeClr w14:val="tx1"/>
                        </w14:solidFill>
                      </w14:textFill>
                    </w:rPr>
                    <w:t>等效连续A声级</w:t>
                  </w:r>
                </w:p>
              </w:tc>
              <w:tc>
                <w:tcPr>
                  <w:tcW w:w="649" w:type="dxa"/>
                  <w:noWrap w:val="0"/>
                  <w:vAlign w:val="center"/>
                </w:tcPr>
                <w:p w14:paraId="44158A70">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生产车间</w:t>
                  </w:r>
                </w:p>
              </w:tc>
              <w:tc>
                <w:tcPr>
                  <w:tcW w:w="651" w:type="dxa"/>
                  <w:noWrap w:val="0"/>
                  <w:vAlign w:val="center"/>
                </w:tcPr>
                <w:p w14:paraId="00F63FF8">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lang w:bidi="ar"/>
                      <w14:textFill>
                        <w14:solidFill>
                          <w14:schemeClr w14:val="tx1"/>
                        </w14:solidFill>
                      </w14:textFill>
                    </w:rPr>
                    <w:t>间断</w:t>
                  </w:r>
                </w:p>
              </w:tc>
              <w:tc>
                <w:tcPr>
                  <w:tcW w:w="3222" w:type="dxa"/>
                  <w:noWrap w:val="0"/>
                  <w:vAlign w:val="center"/>
                </w:tcPr>
                <w:p w14:paraId="7C1990A7">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选用低噪声设备，</w:t>
                  </w:r>
                  <w:r>
                    <w:rPr>
                      <w:color w:val="000000" w:themeColor="text1"/>
                      <w:sz w:val="21"/>
                      <w:szCs w:val="21"/>
                      <w:highlight w:val="none"/>
                      <w14:textFill>
                        <w14:solidFill>
                          <w14:schemeClr w14:val="tx1"/>
                        </w14:solidFill>
                      </w14:textFill>
                    </w:rPr>
                    <w:t>设备基础减振</w:t>
                  </w:r>
                </w:p>
              </w:tc>
            </w:tr>
            <w:tr w14:paraId="5BC2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restart"/>
                  <w:noWrap w:val="0"/>
                  <w:vAlign w:val="center"/>
                </w:tcPr>
                <w:p w14:paraId="7BE672E9">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固废</w:t>
                  </w:r>
                </w:p>
              </w:tc>
              <w:tc>
                <w:tcPr>
                  <w:tcW w:w="533" w:type="dxa"/>
                  <w:noWrap w:val="0"/>
                  <w:vAlign w:val="center"/>
                </w:tcPr>
                <w:p w14:paraId="743A848F">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S1</w:t>
                  </w:r>
                </w:p>
              </w:tc>
              <w:tc>
                <w:tcPr>
                  <w:tcW w:w="915" w:type="dxa"/>
                  <w:noWrap w:val="0"/>
                  <w:vAlign w:val="center"/>
                </w:tcPr>
                <w:p w14:paraId="00D4F546">
                  <w:pPr>
                    <w:pageBreakBefore w:val="0"/>
                    <w:kinsoku/>
                    <w:wordWrap w:val="0"/>
                    <w:overflowPunct/>
                    <w:bidi w:val="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干燥滚筒</w:t>
                  </w:r>
                </w:p>
              </w:tc>
              <w:tc>
                <w:tcPr>
                  <w:tcW w:w="1320" w:type="dxa"/>
                  <w:noWrap w:val="0"/>
                  <w:vAlign w:val="center"/>
                </w:tcPr>
                <w:p w14:paraId="321A4140">
                  <w:pPr>
                    <w:pageBreakBefore w:val="0"/>
                    <w:kinsoku/>
                    <w:wordWrap w:val="0"/>
                    <w:overflowPunct/>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除尘灰、废活性炭</w:t>
                  </w:r>
                </w:p>
              </w:tc>
              <w:tc>
                <w:tcPr>
                  <w:tcW w:w="649" w:type="dxa"/>
                  <w:noWrap w:val="0"/>
                  <w:vAlign w:val="center"/>
                </w:tcPr>
                <w:p w14:paraId="2EC16D02">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环保设施</w:t>
                  </w:r>
                </w:p>
              </w:tc>
              <w:tc>
                <w:tcPr>
                  <w:tcW w:w="651" w:type="dxa"/>
                  <w:noWrap w:val="0"/>
                  <w:vAlign w:val="center"/>
                </w:tcPr>
                <w:p w14:paraId="6C0CE38D">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222" w:type="dxa"/>
                  <w:noWrap w:val="0"/>
                  <w:vAlign w:val="center"/>
                </w:tcPr>
                <w:p w14:paraId="2FF9C4DA">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除尘灰集中收集后回用于生产，废活性炭暂存于危险废物暂存间内，交由有资质单位处理</w:t>
                  </w:r>
                </w:p>
              </w:tc>
            </w:tr>
            <w:tr w14:paraId="3DA9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2E191E33">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533" w:type="dxa"/>
                  <w:noWrap w:val="0"/>
                  <w:vAlign w:val="center"/>
                </w:tcPr>
                <w:p w14:paraId="14B0CF09">
                  <w:pPr>
                    <w:pageBreakBefore w:val="0"/>
                    <w:kinsoku/>
                    <w:wordWrap w:val="0"/>
                    <w:overflowPunct/>
                    <w:bidi w:val="0"/>
                    <w:spacing w:line="280" w:lineRule="exact"/>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915" w:type="dxa"/>
                  <w:noWrap w:val="0"/>
                  <w:vAlign w:val="center"/>
                </w:tcPr>
                <w:p w14:paraId="654596C1">
                  <w:pPr>
                    <w:pageBreakBefore w:val="0"/>
                    <w:kinsoku/>
                    <w:wordWrap w:val="0"/>
                    <w:overflowPunct/>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设备检修</w:t>
                  </w:r>
                </w:p>
              </w:tc>
              <w:tc>
                <w:tcPr>
                  <w:tcW w:w="1320" w:type="dxa"/>
                  <w:noWrap w:val="0"/>
                  <w:vAlign w:val="center"/>
                </w:tcPr>
                <w:p w14:paraId="2C1B0AA5">
                  <w:pPr>
                    <w:pageBreakBefore w:val="0"/>
                    <w:kinsoku/>
                    <w:wordWrap w:val="0"/>
                    <w:overflowPunct/>
                    <w:bidi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废润滑油、废润滑油桶</w:t>
                  </w:r>
                </w:p>
              </w:tc>
              <w:tc>
                <w:tcPr>
                  <w:tcW w:w="649" w:type="dxa"/>
                  <w:noWrap w:val="0"/>
                  <w:vAlign w:val="center"/>
                </w:tcPr>
                <w:p w14:paraId="3954A189">
                  <w:pPr>
                    <w:pageBreakBefore w:val="0"/>
                    <w:kinsoku/>
                    <w:wordWrap w:val="0"/>
                    <w:overflowPunct/>
                    <w:bidi w:val="0"/>
                    <w:spacing w:line="28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设备检修</w:t>
                  </w:r>
                </w:p>
              </w:tc>
              <w:tc>
                <w:tcPr>
                  <w:tcW w:w="651" w:type="dxa"/>
                  <w:noWrap w:val="0"/>
                  <w:vAlign w:val="center"/>
                </w:tcPr>
                <w:p w14:paraId="30A704BA">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r>
                    <w:rPr>
                      <w:rFonts w:ascii="Times New Roman" w:hAnsi="Times New Roman" w:cs="Times New Roman"/>
                      <w:bCs/>
                      <w:color w:val="000000" w:themeColor="text1"/>
                      <w:sz w:val="21"/>
                      <w:szCs w:val="21"/>
                      <w:highlight w:val="none"/>
                      <w14:textFill>
                        <w14:solidFill>
                          <w14:schemeClr w14:val="tx1"/>
                        </w14:solidFill>
                      </w14:textFill>
                    </w:rPr>
                    <w:t>间断</w:t>
                  </w:r>
                </w:p>
              </w:tc>
              <w:tc>
                <w:tcPr>
                  <w:tcW w:w="3222" w:type="dxa"/>
                  <w:vMerge w:val="restart"/>
                  <w:noWrap w:val="0"/>
                  <w:vAlign w:val="center"/>
                </w:tcPr>
                <w:p w14:paraId="616EF116">
                  <w:pPr>
                    <w:pageBreakBefore w:val="0"/>
                    <w:kinsoku/>
                    <w:wordWrap w:val="0"/>
                    <w:overflowPunct/>
                    <w:bidi w:val="0"/>
                    <w:spacing w:line="28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暂存于危险废物暂存间内，定期交由有资质单位处理</w:t>
                  </w:r>
                </w:p>
              </w:tc>
            </w:tr>
            <w:tr w14:paraId="5BC4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rPr>
              <w:tc>
                <w:tcPr>
                  <w:tcW w:w="928" w:type="dxa"/>
                  <w:vMerge w:val="continue"/>
                  <w:noWrap w:val="0"/>
                  <w:vAlign w:val="center"/>
                </w:tcPr>
                <w:p w14:paraId="3DC77AFE">
                  <w:pPr>
                    <w:pageBreakBefore w:val="0"/>
                    <w:kinsoku/>
                    <w:wordWrap w:val="0"/>
                    <w:overflowPunct/>
                    <w:bidi w:val="0"/>
                    <w:spacing w:line="280" w:lineRule="exact"/>
                    <w:jc w:val="center"/>
                    <w:rPr>
                      <w:rFonts w:ascii="Times New Roman" w:hAnsi="Times New Roman" w:cs="Times New Roman"/>
                      <w:bCs/>
                      <w:color w:val="000000" w:themeColor="text1"/>
                      <w:sz w:val="21"/>
                      <w:szCs w:val="21"/>
                      <w:highlight w:val="none"/>
                      <w14:textFill>
                        <w14:solidFill>
                          <w14:schemeClr w14:val="tx1"/>
                        </w14:solidFill>
                      </w14:textFill>
                    </w:rPr>
                  </w:pPr>
                </w:p>
              </w:tc>
              <w:tc>
                <w:tcPr>
                  <w:tcW w:w="533" w:type="dxa"/>
                  <w:shd w:val="clear" w:color="auto" w:fill="auto"/>
                  <w:noWrap w:val="0"/>
                  <w:vAlign w:val="center"/>
                </w:tcPr>
                <w:p w14:paraId="35E19684">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w:t>
                  </w:r>
                </w:p>
              </w:tc>
              <w:tc>
                <w:tcPr>
                  <w:tcW w:w="915" w:type="dxa"/>
                  <w:shd w:val="clear" w:color="auto" w:fill="auto"/>
                  <w:noWrap w:val="0"/>
                  <w:vAlign w:val="center"/>
                </w:tcPr>
                <w:p w14:paraId="66FFB1E5">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环保设施</w:t>
                  </w:r>
                </w:p>
              </w:tc>
              <w:tc>
                <w:tcPr>
                  <w:tcW w:w="1320" w:type="dxa"/>
                  <w:shd w:val="clear" w:color="auto" w:fill="auto"/>
                  <w:noWrap w:val="0"/>
                  <w:vAlign w:val="center"/>
                </w:tcPr>
                <w:p w14:paraId="3613E70F">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废焦油</w:t>
                  </w:r>
                </w:p>
              </w:tc>
              <w:tc>
                <w:tcPr>
                  <w:tcW w:w="649" w:type="dxa"/>
                  <w:shd w:val="clear" w:color="auto" w:fill="auto"/>
                  <w:noWrap w:val="0"/>
                  <w:vAlign w:val="center"/>
                </w:tcPr>
                <w:p w14:paraId="7B1A891C">
                  <w:pPr>
                    <w:pageBreakBefore w:val="0"/>
                    <w:kinsoku/>
                    <w:wordWrap w:val="0"/>
                    <w:overflowPunct/>
                    <w:bidi w:val="0"/>
                    <w:spacing w:line="280" w:lineRule="exact"/>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环保设施</w:t>
                  </w:r>
                </w:p>
              </w:tc>
              <w:tc>
                <w:tcPr>
                  <w:tcW w:w="651" w:type="dxa"/>
                  <w:shd w:val="clear" w:color="auto" w:fill="auto"/>
                  <w:noWrap w:val="0"/>
                  <w:vAlign w:val="center"/>
                </w:tcPr>
                <w:p w14:paraId="6C0FE38A">
                  <w:pPr>
                    <w:pageBreakBefore w:val="0"/>
                    <w:kinsoku/>
                    <w:wordWrap w:val="0"/>
                    <w:overflowPunct/>
                    <w:bidi w:val="0"/>
                    <w:spacing w:line="280" w:lineRule="exact"/>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间断</w:t>
                  </w:r>
                </w:p>
              </w:tc>
              <w:tc>
                <w:tcPr>
                  <w:tcW w:w="3222" w:type="dxa"/>
                  <w:vMerge w:val="continue"/>
                  <w:noWrap w:val="0"/>
                  <w:vAlign w:val="center"/>
                </w:tcPr>
                <w:p w14:paraId="3E590829">
                  <w:pPr>
                    <w:pageBreakBefore w:val="0"/>
                    <w:kinsoku/>
                    <w:wordWrap w:val="0"/>
                    <w:overflowPunct/>
                    <w:bidi w:val="0"/>
                    <w:spacing w:line="280" w:lineRule="exact"/>
                    <w:jc w:val="center"/>
                    <w:rPr>
                      <w:rFonts w:hint="eastAsia" w:cs="Times New Roman"/>
                      <w:color w:val="000000" w:themeColor="text1"/>
                      <w:sz w:val="21"/>
                      <w:szCs w:val="21"/>
                      <w:highlight w:val="none"/>
                      <w:lang w:val="en-US" w:eastAsia="zh-CN"/>
                      <w14:textFill>
                        <w14:solidFill>
                          <w14:schemeClr w14:val="tx1"/>
                        </w14:solidFill>
                      </w14:textFill>
                    </w:rPr>
                  </w:pPr>
                </w:p>
              </w:tc>
            </w:tr>
          </w:tbl>
          <w:p w14:paraId="0E9DB158">
            <w:pPr>
              <w:pStyle w:val="9"/>
              <w:keepNext w:val="0"/>
              <w:keepLines w:val="0"/>
              <w:pageBreakBefore w:val="0"/>
              <w:widowControl w:val="0"/>
              <w:kinsoku/>
              <w:wordWrap w:val="0"/>
              <w:overflowPunct/>
              <w:topLinePunct w:val="0"/>
              <w:autoSpaceDE/>
              <w:autoSpaceDN/>
              <w:bidi w:val="0"/>
              <w:adjustRightInd w:val="0"/>
              <w:snapToGrid/>
              <w:spacing w:line="480" w:lineRule="exact"/>
              <w:ind w:firstLine="422" w:firstLine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eastAsia"/>
                <w:b/>
                <w:bCs/>
                <w:color w:val="000000" w:themeColor="text1"/>
                <w:highlight w:val="none"/>
                <w:lang w:val="en-US" w:eastAsia="zh-CN"/>
                <w14:textFill>
                  <w14:solidFill>
                    <w14:schemeClr w14:val="tx1"/>
                  </w14:solidFill>
                </w14:textFill>
              </w:rPr>
              <w:t>原有项目产排污情况核算</w:t>
            </w:r>
          </w:p>
          <w:p w14:paraId="7F7C204B">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（1）废气</w:t>
            </w:r>
          </w:p>
          <w:p w14:paraId="6CAD652E">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①原料堆场产生的扬尘</w:t>
            </w:r>
          </w:p>
          <w:p w14:paraId="1D83B0A4">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原料堆存产生的扬尘采取的措施为封闭车间定期洒水降尘，采取上述措施后，经监测现有工程</w:t>
            </w:r>
            <w:r>
              <w:rPr>
                <w:rFonts w:hint="eastAsia"/>
                <w:color w:val="000000" w:themeColor="text1"/>
                <w:highlight w:val="none"/>
                <w:lang w:val="en-US" w:eastAsia="zh-CN"/>
                <w14:textFill>
                  <w14:solidFill>
                    <w14:schemeClr w14:val="tx1"/>
                  </w14:solidFill>
                </w14:textFill>
              </w:rPr>
              <w:t>厂区</w:t>
            </w:r>
            <w:r>
              <w:rPr>
                <w:rFonts w:hint="eastAsia" w:cs="Times New Roman"/>
                <w:b w:val="0"/>
                <w:bCs w:val="0"/>
                <w:color w:val="000000" w:themeColor="text1"/>
                <w:highlight w:val="none"/>
                <w:lang w:val="en-US" w:eastAsia="zh-CN"/>
                <w14:textFill>
                  <w14:solidFill>
                    <w14:schemeClr w14:val="tx1"/>
                  </w14:solidFill>
                </w14:textFill>
              </w:rPr>
              <w:t>颗粒物最大浓度值为0.406mg/m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，满足《大气污染物综合排放标准》（GB16297-1996）表2中无组织排放监控浓度限值（1mg/m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）要求。</w:t>
            </w:r>
          </w:p>
          <w:p w14:paraId="53E8C5A8">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②天然气锅炉</w:t>
            </w:r>
          </w:p>
          <w:p w14:paraId="03D2B073">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本项目沥青加热采用天然气锅炉，锅炉燃烧天然气燃烧器采用低氮燃烧器，产生的废气进入布袋除尘器处理后通过一根16m高的排气筒外排，通过参考河北承普环境检测有限公司为其出具的排污单位自行检测报告（承普检字[2023]第328号）可知，其颗粒物的折算浓度为3.5mg/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，二氧化硫的折算浓度为3mg/m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，氮氧化物的折算浓度为26mg/m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，满足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《锅炉大气污染物排放标准》（DB13/5161-2020）中相关限值要求</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已知企业去年年生产208h，天然气锅炉排气筒的标杆流量为1327m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/h，故</w:t>
            </w:r>
            <w:r>
              <w:rPr>
                <w:rFonts w:hint="eastAsia" w:eastAsia="宋体" w:cs="Times New Roman"/>
                <w:color w:val="000000" w:themeColor="text1"/>
                <w:sz w:val="21"/>
                <w:szCs w:val="21"/>
                <w:highlight w:val="none"/>
                <w:lang w:val="en-US" w:eastAsia="zh-CN"/>
                <w14:textFill>
                  <w14:solidFill>
                    <w14:schemeClr w14:val="tx1"/>
                  </w14:solidFill>
                </w14:textFill>
              </w:rPr>
              <w:t>颗粒物</w:t>
            </w:r>
            <w:r>
              <w:rPr>
                <w:rFonts w:hint="eastAsia" w:cs="Times New Roman"/>
                <w:color w:val="000000" w:themeColor="text1"/>
                <w:sz w:val="21"/>
                <w:szCs w:val="21"/>
                <w:highlight w:val="none"/>
                <w:lang w:val="en-US" w:eastAsia="zh-CN"/>
                <w14:textFill>
                  <w14:solidFill>
                    <w14:schemeClr w14:val="tx1"/>
                  </w14:solidFill>
                </w14:textFill>
              </w:rPr>
              <w:t xml:space="preserve"> </w:t>
            </w:r>
            <w:r>
              <w:rPr>
                <w:rFonts w:hint="eastAsia" w:eastAsia="宋体" w:cs="Times New Roman"/>
                <w:color w:val="000000" w:themeColor="text1"/>
                <w:sz w:val="21"/>
                <w:szCs w:val="21"/>
                <w:highlight w:val="none"/>
                <w:lang w:val="en-US" w:eastAsia="zh-CN"/>
                <w14:textFill>
                  <w14:solidFill>
                    <w14:schemeClr w14:val="tx1"/>
                  </w14:solidFill>
                </w14:textFill>
              </w:rPr>
              <w:t>的年排放量为</w:t>
            </w:r>
            <w:r>
              <w:rPr>
                <w:rFonts w:hint="eastAsia" w:cs="Times New Roman"/>
                <w:color w:val="000000" w:themeColor="text1"/>
                <w:sz w:val="21"/>
                <w:szCs w:val="21"/>
                <w:highlight w:val="none"/>
                <w:lang w:val="en-US" w:eastAsia="zh-CN"/>
                <w14:textFill>
                  <w14:solidFill>
                    <w14:schemeClr w14:val="tx1"/>
                  </w14:solidFill>
                </w14:textFill>
              </w:rPr>
              <w:t>0.0009</w:t>
            </w:r>
            <w:r>
              <w:rPr>
                <w:rFonts w:hint="eastAsia" w:eastAsia="宋体" w:cs="Times New Roman"/>
                <w:color w:val="000000" w:themeColor="text1"/>
                <w:sz w:val="21"/>
                <w:szCs w:val="21"/>
                <w:highlight w:val="none"/>
                <w:lang w:val="en-US" w:eastAsia="zh-CN"/>
                <w14:textFill>
                  <w14:solidFill>
                    <w14:schemeClr w14:val="tx1"/>
                  </w14:solidFill>
                </w14:textFill>
              </w:rPr>
              <w:t>t/a，二氧化硫年排放量为</w:t>
            </w:r>
            <w:r>
              <w:rPr>
                <w:rFonts w:hint="eastAsia" w:cs="Times New Roman"/>
                <w:color w:val="000000" w:themeColor="text1"/>
                <w:sz w:val="21"/>
                <w:szCs w:val="21"/>
                <w:highlight w:val="none"/>
                <w:lang w:val="en-US" w:eastAsia="zh-CN"/>
                <w14:textFill>
                  <w14:solidFill>
                    <w14:schemeClr w14:val="tx1"/>
                  </w14:solidFill>
                </w14:textFill>
              </w:rPr>
              <w:t>0.0008</w:t>
            </w:r>
            <w:r>
              <w:rPr>
                <w:rFonts w:hint="eastAsia" w:eastAsia="宋体" w:cs="Times New Roman"/>
                <w:color w:val="000000" w:themeColor="text1"/>
                <w:sz w:val="21"/>
                <w:szCs w:val="21"/>
                <w:highlight w:val="none"/>
                <w:lang w:val="en-US" w:eastAsia="zh-CN"/>
                <w14:textFill>
                  <w14:solidFill>
                    <w14:schemeClr w14:val="tx1"/>
                  </w14:solidFill>
                </w14:textFill>
              </w:rPr>
              <w:t>t/a，氮氧化物年排放量为</w:t>
            </w:r>
            <w:r>
              <w:rPr>
                <w:rFonts w:hint="eastAsia" w:cs="Times New Roman"/>
                <w:color w:val="000000" w:themeColor="text1"/>
                <w:sz w:val="21"/>
                <w:szCs w:val="21"/>
                <w:highlight w:val="none"/>
                <w:lang w:val="en-US" w:eastAsia="zh-CN"/>
                <w14:textFill>
                  <w14:solidFill>
                    <w14:schemeClr w14:val="tx1"/>
                  </w14:solidFill>
                </w14:textFill>
              </w:rPr>
              <w:t>0.007</w:t>
            </w:r>
            <w:r>
              <w:rPr>
                <w:rFonts w:hint="eastAsia" w:eastAsia="宋体" w:cs="Times New Roman"/>
                <w:color w:val="000000" w:themeColor="text1"/>
                <w:sz w:val="21"/>
                <w:szCs w:val="21"/>
                <w:highlight w:val="none"/>
                <w:lang w:val="en-US" w:eastAsia="zh-CN"/>
                <w14:textFill>
                  <w14:solidFill>
                    <w14:schemeClr w14:val="tx1"/>
                  </w14:solidFill>
                </w14:textFill>
              </w:rPr>
              <w:t>t/a。</w:t>
            </w:r>
          </w:p>
          <w:p w14:paraId="3A81BE6D">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③生产废气排气筒</w:t>
            </w:r>
          </w:p>
          <w:p w14:paraId="37DAAE91">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本项目砂石骨料烘干和加热沥青采用低氮燃烧器产生的颗粒物、二氧化硫、氮氧化物、苯并[a]芘和沥青烟经管道收集后经布袋除尘器处理后进入“</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b w:val="0"/>
                <w:bCs w:val="0"/>
                <w:color w:val="000000" w:themeColor="text1"/>
                <w:highlight w:val="none"/>
                <w:lang w:val="en-US" w:eastAsia="zh-CN"/>
                <w14:textFill>
                  <w14:solidFill>
                    <w14:schemeClr w14:val="tx1"/>
                  </w14:solidFill>
                </w14:textFill>
              </w:rPr>
              <w:t>”装置，通过一根15m高的排气筒外排，经检测颗粒物的实测浓度为7.6mg/m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，二氧化硫的实浓度为3mg/m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，氮氧化物的实测浓度为20mg/m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，苯并[a]芘的实测浓度未检出，沥青烟的实测浓度为5.3mg/m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vertAlign w:val="baseline"/>
                <w:lang w:val="en-US" w:eastAsia="zh-CN"/>
                <w14:textFill>
                  <w14:solidFill>
                    <w14:schemeClr w14:val="tx1"/>
                  </w14:solidFill>
                </w14:textFill>
              </w:rPr>
              <w:t>，颗粒物、二氧化硫、氮氧化物的排放浓度满足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《大气污染物综合排放标准》（GB16297-1996）表2中二级标准相关限值中的相关</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要求，</w:t>
            </w:r>
            <w:r>
              <w:rPr>
                <w:rFonts w:hint="eastAsia" w:cs="Times New Roman"/>
                <w:b w:val="0"/>
                <w:bCs w:val="0"/>
                <w:color w:val="000000" w:themeColor="text1"/>
                <w:highlight w:val="none"/>
                <w:lang w:val="en-US" w:eastAsia="zh-CN"/>
                <w14:textFill>
                  <w14:solidFill>
                    <w14:schemeClr w14:val="tx1"/>
                  </w14:solidFill>
                </w14:textFill>
              </w:rPr>
              <w:t>苯并[a]芘和沥青烟的排放浓度满足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生产废气排放口标杆流量为33234m</w:t>
            </w:r>
            <w:r>
              <w:rPr>
                <w:rFonts w:hint="eastAsia" w:cs="Times New Roman"/>
                <w:b w:val="0"/>
                <w:bCs w:val="0"/>
                <w:color w:val="000000" w:themeColor="text1"/>
                <w:highlight w:val="none"/>
                <w:vertAlign w:val="superscript"/>
                <w:lang w:val="en-US" w:eastAsia="zh-CN"/>
                <w14:textFill>
                  <w14:solidFill>
                    <w14:schemeClr w14:val="tx1"/>
                  </w14:solidFill>
                </w14:textFill>
              </w:rPr>
              <w:t>3</w:t>
            </w:r>
            <w:r>
              <w:rPr>
                <w:rFonts w:hint="eastAsia" w:cs="Times New Roman"/>
                <w:b w:val="0"/>
                <w:bCs w:val="0"/>
                <w:color w:val="000000" w:themeColor="text1"/>
                <w:highlight w:val="none"/>
                <w:lang w:val="en-US" w:eastAsia="zh-CN"/>
                <w14:textFill>
                  <w14:solidFill>
                    <w14:schemeClr w14:val="tx1"/>
                  </w14:solidFill>
                </w14:textFill>
              </w:rPr>
              <w:t>/h，</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经核算，</w:t>
            </w:r>
            <w:r>
              <w:rPr>
                <w:rFonts w:hint="eastAsia" w:cs="Times New Roman"/>
                <w:b w:val="0"/>
                <w:bCs w:val="0"/>
                <w:color w:val="000000" w:themeColor="text1"/>
                <w:highlight w:val="none"/>
                <w:lang w:val="en-US" w:eastAsia="zh-CN"/>
                <w14:textFill>
                  <w14:solidFill>
                    <w14:schemeClr w14:val="tx1"/>
                  </w14:solidFill>
                </w14:textFill>
              </w:rPr>
              <w:t>颗粒物的排放量为0.053t/a，二氧化硫的排放量为0.021t/a，氮氧化物的排放量为0.139t/a，沥青烟的排放量为0.037t/a。</w:t>
            </w:r>
          </w:p>
          <w:p w14:paraId="54C797F2">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（2）噪声</w:t>
            </w:r>
          </w:p>
          <w:p w14:paraId="70AF9C54">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项目运营期噪声主要为厂区生产设备噪声和车辆运输噪声。项目运行阶段通过选用低噪声设备，设置隔声减振措施，产噪设备均设在全封闭的生产厂房内，车辆运输过程，采取减速慢行，禁止鸣笛等措施以降低噪声影响，采取上述措施后，经监测</w:t>
            </w:r>
            <w:r>
              <w:rPr>
                <w:rFonts w:hint="eastAsia" w:cs="Times New Roman"/>
                <w:b w:val="0"/>
                <w:bCs w:val="0"/>
                <w:color w:val="000000" w:themeColor="text1"/>
                <w:highlight w:val="none"/>
                <w:lang w:val="en-US" w:eastAsia="zh-CN"/>
                <w14:textFill>
                  <w14:solidFill>
                    <w14:schemeClr w14:val="tx1"/>
                  </w14:solidFill>
                </w14:textFill>
              </w:rPr>
              <w:t>东、西、北厂界昼间的检测结果为53.6~55.3dB（A）之间，夜间的噪声值在41.3~45.8dB（A）之间，满足《工业企业厂界环境噪声排放标准》（GB12348-2008）表1中2类标准；南厂界昼间的检测结果为54.7dB（A），夜间的噪声值为44.9dB（A），满足《工业企业厂界环境噪声排放标准》（GB12348-2008）表1中4类标准。</w:t>
            </w:r>
          </w:p>
          <w:p w14:paraId="691BBA27">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（3）固体废物</w:t>
            </w:r>
          </w:p>
          <w:p w14:paraId="6B46C82F">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生活垃圾：集中收集后，交由当地环卫部门处理。</w:t>
            </w:r>
          </w:p>
          <w:p w14:paraId="052FC1E7">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除尘灰：产生后回用于生产，厂区内不做贮存。</w:t>
            </w:r>
          </w:p>
          <w:p w14:paraId="3DCFF369">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（4）危险废物</w:t>
            </w:r>
          </w:p>
          <w:p w14:paraId="0522901D">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废润滑油、废润滑油桶、废活性炭、废焦油：暂存于厂区内危险废物暂存间内，定期交由唐山浩昌杰环保科技发展有限公司处置。</w:t>
            </w:r>
          </w:p>
          <w:p w14:paraId="6A8F43B1">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（5）现有污染物排放情况</w:t>
            </w:r>
          </w:p>
          <w:p w14:paraId="016F6678">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根据原有报告表和现有的排污许可证可知，</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现有工程污染物实际排放量见下表。</w:t>
            </w:r>
          </w:p>
          <w:p w14:paraId="246369D6">
            <w:pPr>
              <w:pStyle w:val="28"/>
              <w:keepNext w:val="0"/>
              <w:keepLines w:val="0"/>
              <w:pageBreakBefore w:val="0"/>
              <w:widowControl w:val="0"/>
              <w:kinsoku/>
              <w:wordWrap w:val="0"/>
              <w:overflowPunct/>
              <w:topLinePunct w:val="0"/>
              <w:autoSpaceDE/>
              <w:autoSpaceDN/>
              <w:bidi w:val="0"/>
              <w:adjustRightInd/>
              <w:snapToGrid/>
              <w:spacing w:after="0" w:line="480" w:lineRule="exact"/>
              <w:ind w:left="0" w:leftChars="0" w:firstLine="0" w:firstLineChars="0"/>
              <w:jc w:val="center"/>
              <w:textAlignment w:val="auto"/>
              <w:rPr>
                <w:rFonts w:hint="eastAsia" w:cs="Times New Roman"/>
                <w:b w:val="0"/>
                <w:bCs w:val="0"/>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表2-</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11</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厂区现有工程污染物排放情况</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1"/>
              <w:gridCol w:w="2820"/>
              <w:gridCol w:w="3532"/>
            </w:tblGrid>
            <w:tr w14:paraId="42FB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Align w:val="center"/>
                </w:tcPr>
                <w:p w14:paraId="4FF8A264">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eastAsia" w:cs="Times New Roman"/>
                      <w:b/>
                      <w:bCs/>
                      <w:color w:val="000000" w:themeColor="text1"/>
                      <w:highlight w:val="none"/>
                      <w:vertAlign w:val="baseline"/>
                      <w:lang w:val="en-US" w:eastAsia="zh-CN"/>
                      <w14:textFill>
                        <w14:solidFill>
                          <w14:schemeClr w14:val="tx1"/>
                        </w14:solidFill>
                      </w14:textFill>
                    </w:rPr>
                    <w:t>项目</w:t>
                  </w:r>
                </w:p>
              </w:tc>
              <w:tc>
                <w:tcPr>
                  <w:tcW w:w="2820" w:type="dxa"/>
                  <w:vAlign w:val="center"/>
                </w:tcPr>
                <w:p w14:paraId="4F4995E3">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eastAsia" w:cs="Times New Roman"/>
                      <w:b/>
                      <w:bCs/>
                      <w:color w:val="000000" w:themeColor="text1"/>
                      <w:highlight w:val="none"/>
                      <w:vertAlign w:val="baseline"/>
                      <w:lang w:val="en-US" w:eastAsia="zh-CN"/>
                      <w14:textFill>
                        <w14:solidFill>
                          <w14:schemeClr w14:val="tx1"/>
                        </w14:solidFill>
                      </w14:textFill>
                    </w:rPr>
                    <w:t>污染物名称</w:t>
                  </w:r>
                </w:p>
              </w:tc>
              <w:tc>
                <w:tcPr>
                  <w:tcW w:w="3532" w:type="dxa"/>
                  <w:vAlign w:val="center"/>
                </w:tcPr>
                <w:p w14:paraId="4310264C">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bCs/>
                      <w:color w:val="000000" w:themeColor="text1"/>
                      <w:highlight w:val="none"/>
                      <w:vertAlign w:val="baseline"/>
                      <w:lang w:val="en-US" w:eastAsia="zh-CN"/>
                      <w14:textFill>
                        <w14:solidFill>
                          <w14:schemeClr w14:val="tx1"/>
                        </w14:solidFill>
                      </w14:textFill>
                    </w:rPr>
                  </w:pPr>
                  <w:r>
                    <w:rPr>
                      <w:rFonts w:hint="eastAsia" w:cs="Times New Roman"/>
                      <w:b/>
                      <w:bCs/>
                      <w:color w:val="000000" w:themeColor="text1"/>
                      <w:highlight w:val="none"/>
                      <w:vertAlign w:val="baseline"/>
                      <w:lang w:val="en-US" w:eastAsia="zh-CN"/>
                      <w14:textFill>
                        <w14:solidFill>
                          <w14:schemeClr w14:val="tx1"/>
                        </w14:solidFill>
                      </w14:textFill>
                    </w:rPr>
                    <w:t>排放量（固体废物产生量）</w:t>
                  </w:r>
                </w:p>
              </w:tc>
            </w:tr>
            <w:tr w14:paraId="6242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restart"/>
                  <w:vAlign w:val="center"/>
                </w:tcPr>
                <w:p w14:paraId="4DB30CEA">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废气</w:t>
                  </w:r>
                </w:p>
              </w:tc>
              <w:tc>
                <w:tcPr>
                  <w:tcW w:w="2820" w:type="dxa"/>
                  <w:vAlign w:val="center"/>
                </w:tcPr>
                <w:p w14:paraId="0118B33D">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颗粒物</w:t>
                  </w:r>
                </w:p>
              </w:tc>
              <w:tc>
                <w:tcPr>
                  <w:tcW w:w="3532" w:type="dxa"/>
                  <w:vAlign w:val="center"/>
                </w:tcPr>
                <w:p w14:paraId="1E5D9612">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0.054t/a</w:t>
                  </w:r>
                </w:p>
              </w:tc>
            </w:tr>
            <w:tr w14:paraId="01EA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569F6BA7">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37487071">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二氧化硫</w:t>
                  </w:r>
                </w:p>
              </w:tc>
              <w:tc>
                <w:tcPr>
                  <w:tcW w:w="3532" w:type="dxa"/>
                  <w:vAlign w:val="center"/>
                </w:tcPr>
                <w:p w14:paraId="63FAD168">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0.022t/a</w:t>
                  </w:r>
                </w:p>
              </w:tc>
            </w:tr>
            <w:tr w14:paraId="5898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6EA3C564">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53AA0FCA">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氮氧化物</w:t>
                  </w:r>
                </w:p>
              </w:tc>
              <w:tc>
                <w:tcPr>
                  <w:tcW w:w="3532" w:type="dxa"/>
                  <w:vAlign w:val="center"/>
                </w:tcPr>
                <w:p w14:paraId="13260630">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0.146t/a</w:t>
                  </w:r>
                </w:p>
              </w:tc>
            </w:tr>
            <w:tr w14:paraId="566E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08D432A8">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7FDBC312">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沥青烟</w:t>
                  </w:r>
                </w:p>
              </w:tc>
              <w:tc>
                <w:tcPr>
                  <w:tcW w:w="3532" w:type="dxa"/>
                  <w:vAlign w:val="center"/>
                </w:tcPr>
                <w:p w14:paraId="0ABBFD4D">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0.037t/a</w:t>
                  </w:r>
                </w:p>
              </w:tc>
            </w:tr>
            <w:tr w14:paraId="0D81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226E3400">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648551B2">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苯并[a]芘</w:t>
                  </w:r>
                </w:p>
              </w:tc>
              <w:tc>
                <w:tcPr>
                  <w:tcW w:w="3532" w:type="dxa"/>
                  <w:vAlign w:val="center"/>
                </w:tcPr>
                <w:p w14:paraId="1B221F60">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w:t>
                  </w:r>
                </w:p>
              </w:tc>
            </w:tr>
            <w:tr w14:paraId="5035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restart"/>
                  <w:vAlign w:val="center"/>
                </w:tcPr>
                <w:p w14:paraId="67DC68B1">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废水</w:t>
                  </w:r>
                </w:p>
              </w:tc>
              <w:tc>
                <w:tcPr>
                  <w:tcW w:w="2820" w:type="dxa"/>
                  <w:vAlign w:val="center"/>
                </w:tcPr>
                <w:p w14:paraId="2E44C644">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BOD</w:t>
                  </w:r>
                  <w:r>
                    <w:rPr>
                      <w:rFonts w:hint="eastAsia" w:cs="Times New Roman"/>
                      <w:b w:val="0"/>
                      <w:bCs w:val="0"/>
                      <w:color w:val="000000" w:themeColor="text1"/>
                      <w:highlight w:val="none"/>
                      <w:vertAlign w:val="subscript"/>
                      <w:lang w:val="en-US" w:eastAsia="zh-CN"/>
                      <w14:textFill>
                        <w14:solidFill>
                          <w14:schemeClr w14:val="tx1"/>
                        </w14:solidFill>
                      </w14:textFill>
                    </w:rPr>
                    <w:t>5</w:t>
                  </w:r>
                </w:p>
              </w:tc>
              <w:tc>
                <w:tcPr>
                  <w:tcW w:w="3532" w:type="dxa"/>
                  <w:vAlign w:val="center"/>
                </w:tcPr>
                <w:p w14:paraId="31CBE947">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w:t>
                  </w:r>
                </w:p>
              </w:tc>
            </w:tr>
            <w:tr w14:paraId="1F28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00DC2D9D">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0520576C">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COD</w:t>
                  </w:r>
                </w:p>
              </w:tc>
              <w:tc>
                <w:tcPr>
                  <w:tcW w:w="3532" w:type="dxa"/>
                  <w:vAlign w:val="center"/>
                </w:tcPr>
                <w:p w14:paraId="15D47AB2">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w:t>
                  </w:r>
                </w:p>
              </w:tc>
            </w:tr>
            <w:tr w14:paraId="094D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03EC57FD">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1CECBBFB">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SS</w:t>
                  </w:r>
                </w:p>
              </w:tc>
              <w:tc>
                <w:tcPr>
                  <w:tcW w:w="3532" w:type="dxa"/>
                  <w:vAlign w:val="center"/>
                </w:tcPr>
                <w:p w14:paraId="05E7C763">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w:t>
                  </w:r>
                </w:p>
              </w:tc>
            </w:tr>
            <w:tr w14:paraId="0E86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133D06C8">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3009FFFA">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氨氮</w:t>
                  </w:r>
                </w:p>
              </w:tc>
              <w:tc>
                <w:tcPr>
                  <w:tcW w:w="3532" w:type="dxa"/>
                  <w:vAlign w:val="center"/>
                </w:tcPr>
                <w:p w14:paraId="74A01CB5">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w:t>
                  </w:r>
                </w:p>
              </w:tc>
            </w:tr>
            <w:tr w14:paraId="7632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restart"/>
                  <w:vAlign w:val="center"/>
                </w:tcPr>
                <w:p w14:paraId="2C6AD727">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一般固体废物</w:t>
                  </w:r>
                </w:p>
              </w:tc>
              <w:tc>
                <w:tcPr>
                  <w:tcW w:w="2820" w:type="dxa"/>
                  <w:vAlign w:val="center"/>
                </w:tcPr>
                <w:p w14:paraId="634C1CD2">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生活垃圾</w:t>
                  </w:r>
                </w:p>
              </w:tc>
              <w:tc>
                <w:tcPr>
                  <w:tcW w:w="3532" w:type="dxa"/>
                  <w:vAlign w:val="center"/>
                </w:tcPr>
                <w:p w14:paraId="5CE0E637">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0.44t/a</w:t>
                  </w:r>
                </w:p>
              </w:tc>
            </w:tr>
            <w:tr w14:paraId="7768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0E85A0FE">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3B071F23">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除尘灰</w:t>
                  </w:r>
                </w:p>
              </w:tc>
              <w:tc>
                <w:tcPr>
                  <w:tcW w:w="3532" w:type="dxa"/>
                  <w:vAlign w:val="center"/>
                </w:tcPr>
                <w:p w14:paraId="7D2A0D3A">
                  <w:pPr>
                    <w:pStyle w:val="28"/>
                    <w:keepNext w:val="0"/>
                    <w:keepLines w:val="0"/>
                    <w:pageBreakBefore w:val="0"/>
                    <w:widowControl w:val="0"/>
                    <w:kinsoku/>
                    <w:wordWrap w:val="0"/>
                    <w:overflowPunct/>
                    <w:topLinePunct w:val="0"/>
                    <w:autoSpaceDE/>
                    <w:autoSpaceDN/>
                    <w:bidi w:val="0"/>
                    <w:adjustRightInd/>
                    <w:snapToGrid/>
                    <w:spacing w:after="0" w:line="320" w:lineRule="exact"/>
                    <w:ind w:right="0" w:rightChars="0" w:firstLine="0" w:firstLineChars="0"/>
                    <w:jc w:val="center"/>
                    <w:textAlignment w:val="auto"/>
                    <w:rPr>
                      <w:rFonts w:hint="default" w:ascii="Times New Roman" w:hAnsi="Times New Roman" w:eastAsia="宋体" w:cs="Times New Roman"/>
                      <w:b w:val="0"/>
                      <w:bCs w:val="0"/>
                      <w:color w:val="000000" w:themeColor="text1"/>
                      <w:kern w:val="2"/>
                      <w:sz w:val="21"/>
                      <w:szCs w:val="24"/>
                      <w:highlight w:val="none"/>
                      <w:vertAlign w:val="baseline"/>
                      <w:lang w:val="en-US" w:eastAsia="zh-CN" w:bidi="ar-SA"/>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15.13t/a</w:t>
                  </w:r>
                </w:p>
              </w:tc>
            </w:tr>
            <w:tr w14:paraId="2134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restart"/>
                  <w:vAlign w:val="center"/>
                </w:tcPr>
                <w:p w14:paraId="1BD99F67">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ascii="Times New Roman" w:hAnsi="Times New Roman" w:eastAsia="宋体"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危险废物</w:t>
                  </w:r>
                </w:p>
              </w:tc>
              <w:tc>
                <w:tcPr>
                  <w:tcW w:w="2820" w:type="dxa"/>
                  <w:vAlign w:val="center"/>
                </w:tcPr>
                <w:p w14:paraId="2A7F1B92">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废润滑油</w:t>
                  </w:r>
                </w:p>
              </w:tc>
              <w:tc>
                <w:tcPr>
                  <w:tcW w:w="3532" w:type="dxa"/>
                  <w:vAlign w:val="center"/>
                </w:tcPr>
                <w:p w14:paraId="3A33B0C3">
                  <w:pPr>
                    <w:pStyle w:val="28"/>
                    <w:keepNext w:val="0"/>
                    <w:keepLines w:val="0"/>
                    <w:pageBreakBefore w:val="0"/>
                    <w:widowControl w:val="0"/>
                    <w:kinsoku/>
                    <w:wordWrap w:val="0"/>
                    <w:overflowPunct/>
                    <w:topLinePunct w:val="0"/>
                    <w:autoSpaceDE/>
                    <w:autoSpaceDN/>
                    <w:bidi w:val="0"/>
                    <w:adjustRightInd/>
                    <w:snapToGrid/>
                    <w:spacing w:after="0" w:line="320" w:lineRule="exact"/>
                    <w:ind w:right="0" w:rightChars="0" w:firstLine="0" w:firstLineChars="0"/>
                    <w:jc w:val="center"/>
                    <w:textAlignment w:val="auto"/>
                    <w:rPr>
                      <w:rFonts w:hint="default"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0.2t/a</w:t>
                  </w:r>
                </w:p>
              </w:tc>
            </w:tr>
            <w:tr w14:paraId="02BC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5C1B0E63">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0AADD0B5">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废润滑油桶</w:t>
                  </w:r>
                </w:p>
              </w:tc>
              <w:tc>
                <w:tcPr>
                  <w:tcW w:w="3532" w:type="dxa"/>
                  <w:vAlign w:val="center"/>
                </w:tcPr>
                <w:p w14:paraId="7A45F925">
                  <w:pPr>
                    <w:pStyle w:val="28"/>
                    <w:keepNext w:val="0"/>
                    <w:keepLines w:val="0"/>
                    <w:pageBreakBefore w:val="0"/>
                    <w:widowControl w:val="0"/>
                    <w:kinsoku/>
                    <w:wordWrap w:val="0"/>
                    <w:overflowPunct/>
                    <w:topLinePunct w:val="0"/>
                    <w:autoSpaceDE/>
                    <w:autoSpaceDN/>
                    <w:bidi w:val="0"/>
                    <w:adjustRightInd/>
                    <w:snapToGrid/>
                    <w:spacing w:after="0" w:line="320" w:lineRule="exact"/>
                    <w:ind w:right="0" w:rightChars="0" w:firstLine="0" w:firstLineChars="0"/>
                    <w:jc w:val="center"/>
                    <w:textAlignment w:val="auto"/>
                    <w:rPr>
                      <w:rFonts w:hint="default"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0.06t/a</w:t>
                  </w:r>
                </w:p>
              </w:tc>
            </w:tr>
            <w:tr w14:paraId="4D88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21" w:type="dxa"/>
                  <w:vMerge w:val="continue"/>
                  <w:vAlign w:val="center"/>
                </w:tcPr>
                <w:p w14:paraId="78ECC85B">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eastAsia" w:cs="Times New Roman"/>
                      <w:b w:val="0"/>
                      <w:bCs w:val="0"/>
                      <w:color w:val="000000" w:themeColor="text1"/>
                      <w:highlight w:val="none"/>
                      <w:vertAlign w:val="baseline"/>
                      <w:lang w:val="en-US" w:eastAsia="zh-CN"/>
                      <w14:textFill>
                        <w14:solidFill>
                          <w14:schemeClr w14:val="tx1"/>
                        </w14:solidFill>
                      </w14:textFill>
                    </w:rPr>
                  </w:pPr>
                </w:p>
              </w:tc>
              <w:tc>
                <w:tcPr>
                  <w:tcW w:w="2820" w:type="dxa"/>
                  <w:vAlign w:val="center"/>
                </w:tcPr>
                <w:p w14:paraId="216A9E42">
                  <w:pPr>
                    <w:pStyle w:val="28"/>
                    <w:keepNext w:val="0"/>
                    <w:keepLines w:val="0"/>
                    <w:pageBreakBefore w:val="0"/>
                    <w:widowControl w:val="0"/>
                    <w:kinsoku/>
                    <w:wordWrap w:val="0"/>
                    <w:overflowPunct/>
                    <w:topLinePunct w:val="0"/>
                    <w:autoSpaceDE/>
                    <w:autoSpaceDN/>
                    <w:bidi w:val="0"/>
                    <w:adjustRightInd/>
                    <w:snapToGrid/>
                    <w:spacing w:after="0" w:line="320" w:lineRule="exact"/>
                    <w:ind w:firstLine="0" w:firstLineChars="0"/>
                    <w:jc w:val="center"/>
                    <w:textAlignment w:val="auto"/>
                    <w:rPr>
                      <w:rFonts w:hint="default"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废活性炭</w:t>
                  </w:r>
                </w:p>
              </w:tc>
              <w:tc>
                <w:tcPr>
                  <w:tcW w:w="3532" w:type="dxa"/>
                  <w:vAlign w:val="center"/>
                </w:tcPr>
                <w:p w14:paraId="669B9B95">
                  <w:pPr>
                    <w:pStyle w:val="28"/>
                    <w:keepNext w:val="0"/>
                    <w:keepLines w:val="0"/>
                    <w:pageBreakBefore w:val="0"/>
                    <w:widowControl w:val="0"/>
                    <w:kinsoku/>
                    <w:wordWrap w:val="0"/>
                    <w:overflowPunct/>
                    <w:topLinePunct w:val="0"/>
                    <w:autoSpaceDE/>
                    <w:autoSpaceDN/>
                    <w:bidi w:val="0"/>
                    <w:adjustRightInd/>
                    <w:snapToGrid/>
                    <w:spacing w:after="0" w:line="320" w:lineRule="exact"/>
                    <w:ind w:right="0" w:rightChars="0" w:firstLine="0" w:firstLineChars="0"/>
                    <w:jc w:val="center"/>
                    <w:textAlignment w:val="auto"/>
                    <w:rPr>
                      <w:rFonts w:hint="default" w:cs="Times New Roman"/>
                      <w:b w:val="0"/>
                      <w:bCs w:val="0"/>
                      <w:color w:val="000000" w:themeColor="text1"/>
                      <w:highlight w:val="none"/>
                      <w:vertAlign w:val="baseline"/>
                      <w:lang w:val="en-US" w:eastAsia="zh-CN"/>
                      <w14:textFill>
                        <w14:solidFill>
                          <w14:schemeClr w14:val="tx1"/>
                        </w14:solidFill>
                      </w14:textFill>
                    </w:rPr>
                  </w:pPr>
                  <w:r>
                    <w:rPr>
                      <w:rFonts w:hint="eastAsia" w:cs="Times New Roman"/>
                      <w:b w:val="0"/>
                      <w:bCs w:val="0"/>
                      <w:color w:val="000000" w:themeColor="text1"/>
                      <w:highlight w:val="none"/>
                      <w:vertAlign w:val="baseline"/>
                      <w:lang w:val="en-US" w:eastAsia="zh-CN"/>
                      <w14:textFill>
                        <w14:solidFill>
                          <w14:schemeClr w14:val="tx1"/>
                        </w14:solidFill>
                      </w14:textFill>
                    </w:rPr>
                    <w:t>0.5t/a</w:t>
                  </w:r>
                </w:p>
              </w:tc>
            </w:tr>
          </w:tbl>
          <w:p w14:paraId="21180159">
            <w:pPr>
              <w:pStyle w:val="9"/>
              <w:keepNext w:val="0"/>
              <w:keepLines w:val="0"/>
              <w:pageBreakBefore w:val="0"/>
              <w:widowControl w:val="0"/>
              <w:kinsoku/>
              <w:wordWrap w:val="0"/>
              <w:overflowPunct/>
              <w:topLinePunct w:val="0"/>
              <w:autoSpaceDE/>
              <w:autoSpaceDN/>
              <w:bidi w:val="0"/>
              <w:adjustRightInd w:val="0"/>
              <w:snapToGrid/>
              <w:spacing w:line="480" w:lineRule="exact"/>
              <w:ind w:firstLine="420" w:firstLineChars="200"/>
              <w:textAlignment w:val="auto"/>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根据企业围环评[2018]12号文件，企业二氧化硫和氮氧化物的指标分别为0.045t/a、0.44t/a，故本项目二氧化硫和氮氧化物的排放量</w:t>
            </w:r>
            <w:r>
              <w:rPr>
                <w:rFonts w:hint="eastAsia" w:cs="Times New Roman"/>
                <w:color w:val="000000" w:themeColor="text1"/>
                <w:highlight w:val="none"/>
                <w:lang w:val="en-US" w:eastAsia="zh-CN"/>
                <w14:textFill>
                  <w14:solidFill>
                    <w14:schemeClr w14:val="tx1"/>
                  </w14:solidFill>
                </w14:textFill>
              </w:rPr>
              <w:t>满足且小于环评及批复给出的本项目总量控制指标。</w:t>
            </w:r>
          </w:p>
          <w:p w14:paraId="408D0364">
            <w:pPr>
              <w:pStyle w:val="9"/>
              <w:keepNext w:val="0"/>
              <w:keepLines w:val="0"/>
              <w:pageBreakBefore w:val="0"/>
              <w:widowControl w:val="0"/>
              <w:kinsoku/>
              <w:wordWrap w:val="0"/>
              <w:overflowPunct/>
              <w:topLinePunct w:val="0"/>
              <w:autoSpaceDE/>
              <w:autoSpaceDN/>
              <w:bidi w:val="0"/>
              <w:adjustRightInd w:val="0"/>
              <w:snapToGrid/>
              <w:spacing w:line="480" w:lineRule="exact"/>
              <w:ind w:firstLine="422" w:firstLineChars="200"/>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4、与项目有关的原有污染情况</w:t>
            </w:r>
          </w:p>
          <w:p w14:paraId="50D5020C">
            <w:pPr>
              <w:pStyle w:val="28"/>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根据2018年10月27日企业进行自主验收专家所提出的意见，本项目需进行低氮燃烧改造。</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本次环评编制已对以上问题进行核实：</w:t>
            </w:r>
            <w:r>
              <w:rPr>
                <w:rFonts w:hint="eastAsia" w:cs="Times New Roman"/>
                <w:color w:val="000000" w:themeColor="text1"/>
                <w:highlight w:val="none"/>
                <w:lang w:val="en-US" w:eastAsia="zh-CN"/>
                <w14:textFill>
                  <w14:solidFill>
                    <w14:schemeClr w14:val="tx1"/>
                  </w14:solidFill>
                </w14:textFill>
              </w:rPr>
              <w:t>企业目前存在的环保设施，</w:t>
            </w:r>
            <w:r>
              <w:rPr>
                <w:rFonts w:hint="eastAsia"/>
                <w:color w:val="000000" w:themeColor="text1"/>
                <w:highlight w:val="none"/>
                <w:lang w:val="en-US" w:eastAsia="zh-CN"/>
                <w14:textFill>
                  <w14:solidFill>
                    <w14:schemeClr w14:val="tx1"/>
                  </w14:solidFill>
                </w14:textFill>
              </w:rPr>
              <w:t>干燥滚筒及导热油炉</w:t>
            </w:r>
            <w:r>
              <w:rPr>
                <w:rFonts w:hint="eastAsia" w:cs="Times New Roman"/>
                <w:color w:val="000000" w:themeColor="text1"/>
                <w:highlight w:val="none"/>
                <w:lang w:val="en-US" w:eastAsia="zh-CN"/>
                <w14:textFill>
                  <w14:solidFill>
                    <w14:schemeClr w14:val="tx1"/>
                  </w14:solidFill>
                </w14:textFill>
              </w:rPr>
              <w:t>安装低氮燃烧器。根据现场核实，本项目不存在原有环境问题。</w:t>
            </w:r>
          </w:p>
          <w:p w14:paraId="06FD4EBF">
            <w:pPr>
              <w:pStyle w:val="29"/>
              <w:rPr>
                <w:rFonts w:hint="eastAsia" w:cs="Times New Roman"/>
                <w:color w:val="000000" w:themeColor="text1"/>
                <w:highlight w:val="none"/>
                <w:lang w:val="en-US" w:eastAsia="zh-CN"/>
                <w14:textFill>
                  <w14:solidFill>
                    <w14:schemeClr w14:val="tx1"/>
                  </w14:solidFill>
                </w14:textFill>
              </w:rPr>
            </w:pPr>
          </w:p>
          <w:p w14:paraId="755F2242">
            <w:pPr>
              <w:rPr>
                <w:rFonts w:hint="eastAsia" w:cs="Times New Roman"/>
                <w:color w:val="000000" w:themeColor="text1"/>
                <w:highlight w:val="none"/>
                <w:lang w:val="en-US" w:eastAsia="zh-CN"/>
                <w14:textFill>
                  <w14:solidFill>
                    <w14:schemeClr w14:val="tx1"/>
                  </w14:solidFill>
                </w14:textFill>
              </w:rPr>
            </w:pPr>
          </w:p>
          <w:p w14:paraId="7E8C23AC">
            <w:pPr>
              <w:pStyle w:val="2"/>
              <w:rPr>
                <w:rFonts w:hint="eastAsia" w:cs="Times New Roman"/>
                <w:color w:val="000000" w:themeColor="text1"/>
                <w:highlight w:val="none"/>
                <w:lang w:val="en-US" w:eastAsia="zh-CN"/>
                <w14:textFill>
                  <w14:solidFill>
                    <w14:schemeClr w14:val="tx1"/>
                  </w14:solidFill>
                </w14:textFill>
              </w:rPr>
            </w:pPr>
          </w:p>
          <w:p w14:paraId="66FB719C">
            <w:pPr>
              <w:pStyle w:val="2"/>
              <w:rPr>
                <w:rFonts w:hint="eastAsia" w:cs="Times New Roman"/>
                <w:color w:val="000000" w:themeColor="text1"/>
                <w:highlight w:val="none"/>
                <w:lang w:val="en-US" w:eastAsia="zh-CN"/>
                <w14:textFill>
                  <w14:solidFill>
                    <w14:schemeClr w14:val="tx1"/>
                  </w14:solidFill>
                </w14:textFill>
              </w:rPr>
            </w:pPr>
          </w:p>
          <w:p w14:paraId="430CBCB2">
            <w:pPr>
              <w:pStyle w:val="2"/>
              <w:rPr>
                <w:rFonts w:hint="eastAsia" w:cs="Times New Roman"/>
                <w:color w:val="000000" w:themeColor="text1"/>
                <w:highlight w:val="none"/>
                <w:lang w:val="en-US" w:eastAsia="zh-CN"/>
                <w14:textFill>
                  <w14:solidFill>
                    <w14:schemeClr w14:val="tx1"/>
                  </w14:solidFill>
                </w14:textFill>
              </w:rPr>
            </w:pPr>
          </w:p>
          <w:p w14:paraId="4EC57678">
            <w:pPr>
              <w:pStyle w:val="2"/>
              <w:rPr>
                <w:rFonts w:hint="eastAsia" w:cs="Times New Roman"/>
                <w:color w:val="000000" w:themeColor="text1"/>
                <w:highlight w:val="none"/>
                <w:lang w:val="en-US" w:eastAsia="zh-CN"/>
                <w14:textFill>
                  <w14:solidFill>
                    <w14:schemeClr w14:val="tx1"/>
                  </w14:solidFill>
                </w14:textFill>
              </w:rPr>
            </w:pPr>
          </w:p>
          <w:p w14:paraId="0AF21762">
            <w:pPr>
              <w:pStyle w:val="2"/>
              <w:rPr>
                <w:rFonts w:hint="default" w:cs="Times New Roman"/>
                <w:color w:val="000000" w:themeColor="text1"/>
                <w:highlight w:val="none"/>
                <w:lang w:val="en-US" w:eastAsia="zh-CN"/>
                <w14:textFill>
                  <w14:solidFill>
                    <w14:schemeClr w14:val="tx1"/>
                  </w14:solidFill>
                </w14:textFill>
              </w:rPr>
            </w:pPr>
          </w:p>
        </w:tc>
      </w:tr>
    </w:tbl>
    <w:p w14:paraId="697895B2">
      <w:pPr>
        <w:pStyle w:val="26"/>
        <w:pageBreakBefore w:val="0"/>
        <w:kinsoku/>
        <w:wordWrap w:val="0"/>
        <w:overflowPunct/>
        <w:bidi w:val="0"/>
        <w:jc w:val="center"/>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5F11E02">
      <w:pPr>
        <w:pStyle w:val="26"/>
        <w:pageBreakBefore w:val="0"/>
        <w:kinsoku/>
        <w:wordWrap w:val="0"/>
        <w:overflowPunct/>
        <w:bidi w:val="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黑体" w:hAnsi="黑体" w:eastAsia="黑体" w:cs="Times New Roman"/>
          <w:snapToGrid w:val="0"/>
          <w:color w:val="000000" w:themeColor="text1"/>
          <w:sz w:val="30"/>
          <w:szCs w:val="30"/>
          <w:highlight w:val="none"/>
          <w14:textFill>
            <w14:solidFill>
              <w14:schemeClr w14:val="tx1"/>
            </w14:solidFill>
          </w14:textFill>
        </w:rPr>
        <w:t>三、区域环境质量现状、环境保护目标及评价标准</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8503"/>
      </w:tblGrid>
      <w:tr w14:paraId="69E5D2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72" w:type="dxa"/>
            <w:vAlign w:val="center"/>
          </w:tcPr>
          <w:p w14:paraId="064F73AF">
            <w:pPr>
              <w:pageBreakBefore w:val="0"/>
              <w:kinsoku/>
              <w:wordWrap w:val="0"/>
              <w:overflowPunct/>
              <w:bidi w:val="0"/>
              <w:adjustRightInd w:val="0"/>
              <w:snapToGrid w:val="0"/>
              <w:jc w:val="center"/>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区域环境质量现状</w:t>
            </w:r>
          </w:p>
        </w:tc>
        <w:tc>
          <w:tcPr>
            <w:tcW w:w="8489" w:type="dxa"/>
            <w:vAlign w:val="center"/>
          </w:tcPr>
          <w:p w14:paraId="5830564B">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left"/>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（1）项目所在区域环境空气质量达标情况</w:t>
            </w:r>
          </w:p>
          <w:p w14:paraId="7E00B320">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left"/>
              <w:textAlignment w:val="auto"/>
              <w:rPr>
                <w:rFonts w:hint="eastAsia" w:ascii="Times New Roman" w:hAnsi="Times New Roman" w:eastAsia="宋体" w:cs="Times New Roman"/>
                <w:color w:val="000000" w:themeColor="text1"/>
                <w:spacing w:val="0"/>
                <w:kern w:val="2"/>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项目所在区域环境空气质量执行</w:t>
            </w:r>
            <w:r>
              <w:rPr>
                <w:rFonts w:hint="default" w:ascii="Times New Roman" w:hAnsi="Times New Roman" w:eastAsia="宋体" w:cs="Times New Roman"/>
                <w:color w:val="000000" w:themeColor="text1"/>
                <w:spacing w:val="0"/>
                <w:kern w:val="2"/>
                <w:sz w:val="21"/>
                <w:szCs w:val="21"/>
                <w:highlight w:val="none"/>
                <w:lang w:val="en-US" w:eastAsia="zh-CN" w:bidi="ar"/>
                <w14:textFill>
                  <w14:solidFill>
                    <w14:schemeClr w14:val="tx1"/>
                  </w14:solidFill>
                </w14:textFill>
              </w:rPr>
              <w:t>《环境空气质量标准》（GB3095-2012）及其修改单中二级标准要求。</w:t>
            </w:r>
            <w:r>
              <w:rPr>
                <w:rFonts w:hint="eastAsia" w:ascii="Times New Roman" w:hAnsi="Times New Roman" w:eastAsia="宋体" w:cs="Times New Roman"/>
                <w:color w:val="000000" w:themeColor="text1"/>
                <w:spacing w:val="0"/>
                <w:kern w:val="2"/>
                <w:sz w:val="21"/>
                <w:szCs w:val="21"/>
                <w:highlight w:val="none"/>
                <w:lang w:val="en-US" w:eastAsia="zh-CN" w:bidi="ar"/>
                <w14:textFill>
                  <w14:solidFill>
                    <w14:schemeClr w14:val="tx1"/>
                  </w14:solidFill>
                </w14:textFill>
              </w:rPr>
              <w:t>本评价引用</w:t>
            </w:r>
            <w:r>
              <w:rPr>
                <w:rFonts w:hint="eastAsia"/>
                <w:color w:val="000000" w:themeColor="text1"/>
                <w:kern w:val="0"/>
                <w:highlight w:val="none"/>
                <w:lang w:val="en-US" w:eastAsia="zh-CN" w:bidi="ar"/>
                <w14:textFill>
                  <w14:solidFill>
                    <w14:schemeClr w14:val="tx1"/>
                  </w14:solidFill>
                </w14:textFill>
              </w:rPr>
              <w:t>《2023年承德市生态环境状况公报》和</w:t>
            </w:r>
            <w:r>
              <w:rPr>
                <w:rFonts w:hint="eastAsia"/>
                <w:color w:val="000000" w:themeColor="text1"/>
                <w:highlight w:val="none"/>
                <w:lang w:val="en-US" w:eastAsia="zh-CN"/>
                <w14:textFill>
                  <w14:solidFill>
                    <w14:schemeClr w14:val="tx1"/>
                  </w14:solidFill>
                </w14:textFill>
              </w:rPr>
              <w:t>承德市大气污染防治工作领导小组办公室发布的《关于2023年12月份全市空气质量预警监测结果的通报》（承气领办﹝2024〕12号）中的附件2</w:t>
            </w:r>
            <w:r>
              <w:rPr>
                <w:rFonts w:hint="eastAsia" w:ascii="Times New Roman" w:hAnsi="Times New Roman" w:eastAsia="宋体" w:cs="Times New Roman"/>
                <w:color w:val="000000" w:themeColor="text1"/>
                <w:spacing w:val="0"/>
                <w:kern w:val="2"/>
                <w:sz w:val="21"/>
                <w:szCs w:val="21"/>
                <w:highlight w:val="none"/>
                <w:lang w:val="en-US" w:eastAsia="zh-CN" w:bidi="ar"/>
                <w14:textFill>
                  <w14:solidFill>
                    <w14:schemeClr w14:val="tx1"/>
                  </w14:solidFill>
                </w14:textFill>
              </w:rPr>
              <w:t>，来说明拟建地区的环境空气质量，监测结果如下表。</w:t>
            </w:r>
          </w:p>
          <w:p w14:paraId="6FF9BDD6">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表3-1 202</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3</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年</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围场满族蒙古族自治县</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环境空气质量监测结果</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598"/>
              <w:gridCol w:w="1202"/>
              <w:gridCol w:w="1126"/>
              <w:gridCol w:w="942"/>
              <w:gridCol w:w="1379"/>
            </w:tblGrid>
            <w:tr w14:paraId="60A8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2388F18C">
                  <w:pPr>
                    <w:pStyle w:val="24"/>
                    <w:keepNext w:val="0"/>
                    <w:keepLines w:val="0"/>
                    <w:pageBreakBefore w:val="0"/>
                    <w:widowControl w:val="0"/>
                    <w:kinsoku/>
                    <w:wordWrap w:val="0"/>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污染物</w:t>
                  </w:r>
                </w:p>
              </w:tc>
              <w:tc>
                <w:tcPr>
                  <w:tcW w:w="1569" w:type="pct"/>
                  <w:noWrap w:val="0"/>
                  <w:vAlign w:val="center"/>
                </w:tcPr>
                <w:p w14:paraId="261D69E0">
                  <w:pPr>
                    <w:pStyle w:val="24"/>
                    <w:keepNext w:val="0"/>
                    <w:keepLines w:val="0"/>
                    <w:pageBreakBefore w:val="0"/>
                    <w:widowControl w:val="0"/>
                    <w:kinsoku/>
                    <w:wordWrap w:val="0"/>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年评价指标</w:t>
                  </w:r>
                </w:p>
              </w:tc>
              <w:tc>
                <w:tcPr>
                  <w:tcW w:w="726" w:type="pct"/>
                  <w:noWrap w:val="0"/>
                  <w:vAlign w:val="center"/>
                </w:tcPr>
                <w:p w14:paraId="1FF9059D">
                  <w:pPr>
                    <w:pStyle w:val="24"/>
                    <w:keepNext w:val="0"/>
                    <w:keepLines w:val="0"/>
                    <w:pageBreakBefore w:val="0"/>
                    <w:widowControl w:val="0"/>
                    <w:kinsoku/>
                    <w:wordWrap w:val="0"/>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现状浓度/</w:t>
                  </w:r>
                </w:p>
              </w:tc>
              <w:tc>
                <w:tcPr>
                  <w:tcW w:w="680" w:type="pct"/>
                  <w:noWrap w:val="0"/>
                  <w:vAlign w:val="center"/>
                </w:tcPr>
                <w:p w14:paraId="1AD7EF4F">
                  <w:pPr>
                    <w:pStyle w:val="24"/>
                    <w:keepNext w:val="0"/>
                    <w:keepLines w:val="0"/>
                    <w:pageBreakBefore w:val="0"/>
                    <w:widowControl w:val="0"/>
                    <w:kinsoku/>
                    <w:wordWrap w:val="0"/>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标准值/</w:t>
                  </w:r>
                </w:p>
              </w:tc>
              <w:tc>
                <w:tcPr>
                  <w:tcW w:w="569" w:type="pct"/>
                  <w:noWrap w:val="0"/>
                  <w:vAlign w:val="center"/>
                </w:tcPr>
                <w:p w14:paraId="7D3AFF5A">
                  <w:pPr>
                    <w:pStyle w:val="24"/>
                    <w:keepNext w:val="0"/>
                    <w:keepLines w:val="0"/>
                    <w:pageBreakBefore w:val="0"/>
                    <w:widowControl w:val="0"/>
                    <w:kinsoku/>
                    <w:wordWrap w:val="0"/>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占标率%</w:t>
                  </w:r>
                </w:p>
              </w:tc>
              <w:tc>
                <w:tcPr>
                  <w:tcW w:w="833" w:type="pct"/>
                  <w:noWrap w:val="0"/>
                  <w:vAlign w:val="center"/>
                </w:tcPr>
                <w:p w14:paraId="0EDF652A">
                  <w:pPr>
                    <w:pStyle w:val="24"/>
                    <w:keepNext w:val="0"/>
                    <w:keepLines w:val="0"/>
                    <w:pageBreakBefore w:val="0"/>
                    <w:widowControl w:val="0"/>
                    <w:kinsoku/>
                    <w:wordWrap w:val="0"/>
                    <w:overflowPunct/>
                    <w:topLinePunct w:val="0"/>
                    <w:autoSpaceDE/>
                    <w:autoSpaceDN/>
                    <w:bidi w:val="0"/>
                    <w:adjustRightInd/>
                    <w:snapToGrid/>
                    <w:spacing w:line="320" w:lineRule="exact"/>
                    <w:ind w:left="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达标情况</w:t>
                  </w:r>
                </w:p>
              </w:tc>
            </w:tr>
            <w:tr w14:paraId="7029F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7CD5FEA2">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PM</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10</w:t>
                  </w:r>
                </w:p>
              </w:tc>
              <w:tc>
                <w:tcPr>
                  <w:tcW w:w="1569" w:type="pct"/>
                  <w:noWrap w:val="0"/>
                  <w:vAlign w:val="center"/>
                </w:tcPr>
                <w:p w14:paraId="00B22C63">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年平均质量浓度</w:t>
                  </w:r>
                </w:p>
              </w:tc>
              <w:tc>
                <w:tcPr>
                  <w:tcW w:w="726" w:type="pct"/>
                  <w:noWrap w:val="0"/>
                  <w:vAlign w:val="center"/>
                </w:tcPr>
                <w:p w14:paraId="436980BE">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41</w:t>
                  </w:r>
                </w:p>
              </w:tc>
              <w:tc>
                <w:tcPr>
                  <w:tcW w:w="680" w:type="pct"/>
                  <w:noWrap w:val="0"/>
                  <w:vAlign w:val="center"/>
                </w:tcPr>
                <w:p w14:paraId="25ED9598">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70</w:t>
                  </w:r>
                </w:p>
              </w:tc>
              <w:tc>
                <w:tcPr>
                  <w:tcW w:w="569" w:type="pct"/>
                  <w:noWrap w:val="0"/>
                  <w:vAlign w:val="center"/>
                </w:tcPr>
                <w:p w14:paraId="346C7FAC">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58.57</w:t>
                  </w:r>
                </w:p>
              </w:tc>
              <w:tc>
                <w:tcPr>
                  <w:tcW w:w="833" w:type="pct"/>
                  <w:noWrap w:val="0"/>
                  <w:vAlign w:val="center"/>
                </w:tcPr>
                <w:p w14:paraId="09BBDBBD">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达标</w:t>
                  </w:r>
                </w:p>
              </w:tc>
            </w:tr>
            <w:tr w14:paraId="0864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16E68829">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PM</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2.5</w:t>
                  </w:r>
                </w:p>
              </w:tc>
              <w:tc>
                <w:tcPr>
                  <w:tcW w:w="1569" w:type="pct"/>
                  <w:noWrap w:val="0"/>
                  <w:vAlign w:val="center"/>
                </w:tcPr>
                <w:p w14:paraId="5C902C24">
                  <w:pPr>
                    <w:keepNext w:val="0"/>
                    <w:keepLines w:val="0"/>
                    <w:pageBreakBefore w:val="0"/>
                    <w:widowControl/>
                    <w:kinsoku/>
                    <w:wordWrap w:val="0"/>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年平均质量浓度</w:t>
                  </w:r>
                </w:p>
              </w:tc>
              <w:tc>
                <w:tcPr>
                  <w:tcW w:w="726" w:type="pct"/>
                  <w:noWrap w:val="0"/>
                  <w:vAlign w:val="center"/>
                </w:tcPr>
                <w:p w14:paraId="78C366D8">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18</w:t>
                  </w:r>
                </w:p>
              </w:tc>
              <w:tc>
                <w:tcPr>
                  <w:tcW w:w="680" w:type="pct"/>
                  <w:noWrap w:val="0"/>
                  <w:vAlign w:val="center"/>
                </w:tcPr>
                <w:p w14:paraId="7DD8D935">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35</w:t>
                  </w:r>
                </w:p>
              </w:tc>
              <w:tc>
                <w:tcPr>
                  <w:tcW w:w="569" w:type="pct"/>
                  <w:noWrap w:val="0"/>
                  <w:vAlign w:val="center"/>
                </w:tcPr>
                <w:p w14:paraId="3987CEB0">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51.42</w:t>
                  </w:r>
                </w:p>
              </w:tc>
              <w:tc>
                <w:tcPr>
                  <w:tcW w:w="833" w:type="pct"/>
                  <w:noWrap w:val="0"/>
                  <w:vAlign w:val="center"/>
                </w:tcPr>
                <w:p w14:paraId="2B01F817">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达标</w:t>
                  </w:r>
                </w:p>
              </w:tc>
            </w:tr>
            <w:tr w14:paraId="2F22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286D9B1E">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SO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p>
              </w:tc>
              <w:tc>
                <w:tcPr>
                  <w:tcW w:w="1569" w:type="pct"/>
                  <w:noWrap w:val="0"/>
                  <w:vAlign w:val="center"/>
                </w:tcPr>
                <w:p w14:paraId="27B4F22B">
                  <w:pPr>
                    <w:keepNext w:val="0"/>
                    <w:keepLines w:val="0"/>
                    <w:pageBreakBefore w:val="0"/>
                    <w:widowControl/>
                    <w:kinsoku/>
                    <w:wordWrap w:val="0"/>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年平均质量浓度</w:t>
                  </w:r>
                </w:p>
              </w:tc>
              <w:tc>
                <w:tcPr>
                  <w:tcW w:w="726" w:type="pct"/>
                  <w:noWrap w:val="0"/>
                  <w:vAlign w:val="center"/>
                </w:tcPr>
                <w:p w14:paraId="6E474C71">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8</w:t>
                  </w:r>
                </w:p>
              </w:tc>
              <w:tc>
                <w:tcPr>
                  <w:tcW w:w="680" w:type="pct"/>
                  <w:noWrap w:val="0"/>
                  <w:vAlign w:val="center"/>
                </w:tcPr>
                <w:p w14:paraId="093FD64A">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60</w:t>
                  </w:r>
                </w:p>
              </w:tc>
              <w:tc>
                <w:tcPr>
                  <w:tcW w:w="569" w:type="pct"/>
                  <w:noWrap w:val="0"/>
                  <w:vAlign w:val="center"/>
                </w:tcPr>
                <w:p w14:paraId="7B613814">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13.33</w:t>
                  </w:r>
                </w:p>
              </w:tc>
              <w:tc>
                <w:tcPr>
                  <w:tcW w:w="833" w:type="pct"/>
                  <w:noWrap w:val="0"/>
                  <w:vAlign w:val="center"/>
                </w:tcPr>
                <w:p w14:paraId="53D57567">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达标</w:t>
                  </w:r>
                </w:p>
              </w:tc>
            </w:tr>
            <w:tr w14:paraId="6324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08992471">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NO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p>
              </w:tc>
              <w:tc>
                <w:tcPr>
                  <w:tcW w:w="1569" w:type="pct"/>
                  <w:noWrap w:val="0"/>
                  <w:vAlign w:val="center"/>
                </w:tcPr>
                <w:p w14:paraId="7E19F410">
                  <w:pPr>
                    <w:keepNext w:val="0"/>
                    <w:keepLines w:val="0"/>
                    <w:pageBreakBefore w:val="0"/>
                    <w:widowControl/>
                    <w:kinsoku/>
                    <w:wordWrap w:val="0"/>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年平均质量浓度</w:t>
                  </w:r>
                </w:p>
              </w:tc>
              <w:tc>
                <w:tcPr>
                  <w:tcW w:w="726" w:type="pct"/>
                  <w:noWrap w:val="0"/>
                  <w:vAlign w:val="center"/>
                </w:tcPr>
                <w:p w14:paraId="00E4CE84">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19</w:t>
                  </w:r>
                </w:p>
              </w:tc>
              <w:tc>
                <w:tcPr>
                  <w:tcW w:w="680" w:type="pct"/>
                  <w:noWrap w:val="0"/>
                  <w:vAlign w:val="center"/>
                </w:tcPr>
                <w:p w14:paraId="2D7965E6">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40</w:t>
                  </w:r>
                </w:p>
              </w:tc>
              <w:tc>
                <w:tcPr>
                  <w:tcW w:w="569" w:type="pct"/>
                  <w:noWrap w:val="0"/>
                  <w:vAlign w:val="center"/>
                </w:tcPr>
                <w:p w14:paraId="0DDF4562">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47.50</w:t>
                  </w:r>
                </w:p>
              </w:tc>
              <w:tc>
                <w:tcPr>
                  <w:tcW w:w="833" w:type="pct"/>
                  <w:noWrap w:val="0"/>
                  <w:vAlign w:val="center"/>
                </w:tcPr>
                <w:p w14:paraId="29A50230">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达标</w:t>
                  </w:r>
                </w:p>
              </w:tc>
            </w:tr>
            <w:tr w14:paraId="3221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544CD9C1">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CO</w:t>
                  </w:r>
                </w:p>
              </w:tc>
              <w:tc>
                <w:tcPr>
                  <w:tcW w:w="1569" w:type="pct"/>
                  <w:noWrap w:val="0"/>
                  <w:vAlign w:val="center"/>
                </w:tcPr>
                <w:p w14:paraId="355D0EBB">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第95百分位数24h平均浓度</w:t>
                  </w:r>
                </w:p>
              </w:tc>
              <w:tc>
                <w:tcPr>
                  <w:tcW w:w="726" w:type="pct"/>
                  <w:noWrap w:val="0"/>
                  <w:vAlign w:val="center"/>
                </w:tcPr>
                <w:p w14:paraId="5BD05B78">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0.8</w:t>
                  </w:r>
                </w:p>
              </w:tc>
              <w:tc>
                <w:tcPr>
                  <w:tcW w:w="680" w:type="pct"/>
                  <w:noWrap w:val="0"/>
                  <w:vAlign w:val="center"/>
                </w:tcPr>
                <w:p w14:paraId="212093C7">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4.0</w:t>
                  </w:r>
                </w:p>
              </w:tc>
              <w:tc>
                <w:tcPr>
                  <w:tcW w:w="569" w:type="pct"/>
                  <w:noWrap w:val="0"/>
                  <w:vAlign w:val="center"/>
                </w:tcPr>
                <w:p w14:paraId="58644773">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20.00</w:t>
                  </w:r>
                </w:p>
              </w:tc>
              <w:tc>
                <w:tcPr>
                  <w:tcW w:w="833" w:type="pct"/>
                  <w:noWrap w:val="0"/>
                  <w:vAlign w:val="center"/>
                </w:tcPr>
                <w:p w14:paraId="6251D080">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达标</w:t>
                  </w:r>
                </w:p>
              </w:tc>
            </w:tr>
            <w:tr w14:paraId="087B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0" w:type="pct"/>
                  <w:noWrap w:val="0"/>
                  <w:vAlign w:val="center"/>
                </w:tcPr>
                <w:p w14:paraId="5761884A">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3</w:t>
                  </w:r>
                </w:p>
              </w:tc>
              <w:tc>
                <w:tcPr>
                  <w:tcW w:w="1569" w:type="pct"/>
                  <w:noWrap w:val="0"/>
                  <w:vAlign w:val="center"/>
                </w:tcPr>
                <w:p w14:paraId="014899C0">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第90百分位数8h平均浓度</w:t>
                  </w:r>
                </w:p>
              </w:tc>
              <w:tc>
                <w:tcPr>
                  <w:tcW w:w="726" w:type="pct"/>
                  <w:noWrap w:val="0"/>
                  <w:vAlign w:val="center"/>
                </w:tcPr>
                <w:p w14:paraId="56D2989E">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146</w:t>
                  </w:r>
                </w:p>
              </w:tc>
              <w:tc>
                <w:tcPr>
                  <w:tcW w:w="680" w:type="pct"/>
                  <w:noWrap w:val="0"/>
                  <w:vAlign w:val="center"/>
                </w:tcPr>
                <w:p w14:paraId="7D2CA591">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160</w:t>
                  </w:r>
                </w:p>
              </w:tc>
              <w:tc>
                <w:tcPr>
                  <w:tcW w:w="569" w:type="pct"/>
                  <w:noWrap w:val="0"/>
                  <w:vAlign w:val="center"/>
                </w:tcPr>
                <w:p w14:paraId="4A81E484">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91.25</w:t>
                  </w:r>
                </w:p>
              </w:tc>
              <w:tc>
                <w:tcPr>
                  <w:tcW w:w="833" w:type="pct"/>
                  <w:noWrap w:val="0"/>
                  <w:vAlign w:val="center"/>
                </w:tcPr>
                <w:p w14:paraId="1FA400CC">
                  <w:pPr>
                    <w:keepNext w:val="0"/>
                    <w:keepLines w:val="0"/>
                    <w:pageBreakBefore w:val="0"/>
                    <w:widowControl/>
                    <w:kinsoku/>
                    <w:wordWrap w:val="0"/>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达标</w:t>
                  </w:r>
                </w:p>
              </w:tc>
            </w:tr>
          </w:tbl>
          <w:p w14:paraId="4D66154C">
            <w:pPr>
              <w:pStyle w:val="24"/>
              <w:keepNext w:val="0"/>
              <w:keepLines w:val="0"/>
              <w:pageBreakBefore w:val="0"/>
              <w:widowControl w:val="0"/>
              <w:kinsoku/>
              <w:wordWrap w:val="0"/>
              <w:overflowPunct/>
              <w:topLinePunct w:val="0"/>
              <w:autoSpaceDE/>
              <w:autoSpaceDN/>
              <w:bidi w:val="0"/>
              <w:adjustRightInd/>
              <w:snapToGrid/>
              <w:spacing w:line="480" w:lineRule="exact"/>
              <w:ind w:left="422" w:leftChars="0"/>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注：1.CO的浓度单位是mg/m</w:t>
            </w:r>
            <w:r>
              <w:rPr>
                <w:rFonts w:hint="default" w:ascii="Times New Roman" w:hAnsi="Times New Roman" w:eastAsia="宋体" w:cs="Times New Roman"/>
                <w:b/>
                <w:bCs/>
                <w:color w:val="000000" w:themeColor="text1"/>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，PM</w:t>
            </w:r>
            <w:r>
              <w:rPr>
                <w:rFonts w:hint="default" w:ascii="Times New Roman" w:hAnsi="Times New Roman" w:eastAsia="宋体" w:cs="Times New Roman"/>
                <w:b/>
                <w:bCs/>
                <w:color w:val="000000" w:themeColor="text1"/>
                <w:kern w:val="0"/>
                <w:sz w:val="21"/>
                <w:szCs w:val="21"/>
                <w:highlight w:val="none"/>
                <w:vertAlign w:val="subscript"/>
                <w:lang w:val="en-US" w:eastAsia="zh-CN" w:bidi="ar-SA"/>
                <w14:textFill>
                  <w14:solidFill>
                    <w14:schemeClr w14:val="tx1"/>
                  </w14:solidFill>
                </w14:textFill>
              </w:rPr>
              <w:t>2.5</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、PM</w:t>
            </w:r>
            <w:r>
              <w:rPr>
                <w:rFonts w:hint="default" w:ascii="Times New Roman" w:hAnsi="Times New Roman" w:eastAsia="宋体" w:cs="Times New Roman"/>
                <w:b/>
                <w:bCs/>
                <w:color w:val="000000" w:themeColor="text1"/>
                <w:kern w:val="0"/>
                <w:sz w:val="21"/>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、NO</w:t>
            </w:r>
            <w:r>
              <w:rPr>
                <w:rFonts w:hint="default" w:ascii="Times New Roman" w:hAnsi="Times New Roman" w:eastAsia="宋体" w:cs="Times New Roman"/>
                <w:b/>
                <w:bCs/>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、SO</w:t>
            </w:r>
            <w:r>
              <w:rPr>
                <w:rFonts w:hint="default" w:ascii="Times New Roman" w:hAnsi="Times New Roman" w:eastAsia="宋体" w:cs="Times New Roman"/>
                <w:b/>
                <w:bCs/>
                <w:color w:val="000000" w:themeColor="text1"/>
                <w:kern w:val="0"/>
                <w:sz w:val="21"/>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、O</w:t>
            </w:r>
            <w:r>
              <w:rPr>
                <w:rFonts w:hint="default" w:ascii="Times New Roman" w:hAnsi="Times New Roman" w:eastAsia="宋体" w:cs="Times New Roman"/>
                <w:b/>
                <w:bCs/>
                <w:color w:val="000000" w:themeColor="text1"/>
                <w:kern w:val="0"/>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的浓度单位是μg/m</w:t>
            </w:r>
            <w:r>
              <w:rPr>
                <w:rFonts w:hint="default" w:ascii="Times New Roman" w:hAnsi="Times New Roman" w:eastAsia="宋体" w:cs="Times New Roman"/>
                <w:b/>
                <w:bCs/>
                <w:color w:val="000000" w:themeColor="text1"/>
                <w:kern w:val="0"/>
                <w:sz w:val="21"/>
                <w:szCs w:val="21"/>
                <w:highlight w:val="none"/>
                <w:vertAlign w:val="superscript"/>
                <w:lang w:val="en-US" w:eastAsia="zh-CN" w:bidi="ar-SA"/>
                <w14:textFill>
                  <w14:solidFill>
                    <w14:schemeClr w14:val="tx1"/>
                  </w14:solidFill>
                </w14:textFill>
              </w:rPr>
              <w:t>3</w:t>
            </w:r>
          </w:p>
          <w:p w14:paraId="5363EAC1">
            <w:pPr>
              <w:pStyle w:val="24"/>
              <w:keepNext w:val="0"/>
              <w:keepLines w:val="0"/>
              <w:pageBreakBefore w:val="0"/>
              <w:widowControl w:val="0"/>
              <w:kinsoku/>
              <w:wordWrap w:val="0"/>
              <w:overflowPunct/>
              <w:topLinePunct w:val="0"/>
              <w:autoSpaceDE/>
              <w:autoSpaceDN/>
              <w:bidi w:val="0"/>
              <w:adjustRightInd/>
              <w:snapToGrid/>
              <w:spacing w:line="480" w:lineRule="exact"/>
              <w:ind w:left="422" w:leftChars="0" w:hanging="422" w:hangingChars="200"/>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2.CO为24小时平均第95百分位数，O</w:t>
            </w:r>
            <w:r>
              <w:rPr>
                <w:rFonts w:hint="default" w:ascii="Times New Roman" w:hAnsi="Times New Roman" w:eastAsia="宋体" w:cs="Times New Roman"/>
                <w:b/>
                <w:bCs/>
                <w:color w:val="000000" w:themeColor="text1"/>
                <w:kern w:val="0"/>
                <w:sz w:val="21"/>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为日最大8小时平均第90百分位数。</w:t>
            </w:r>
          </w:p>
          <w:p w14:paraId="233A3B55">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color w:val="000000" w:themeColor="text1"/>
                <w:highlight w:val="none"/>
                <w:lang w:bidi="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综上所述</w:t>
            </w:r>
            <w:r>
              <w:rPr>
                <w:rFonts w:ascii="宋体" w:hAnsi="宋体" w:cs="宋体"/>
                <w:color w:val="000000" w:themeColor="text1"/>
                <w:spacing w:val="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六项基本污染物全部满足《环境空气质量标准》（GB3095-2012）中二级标准</w:t>
            </w: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项目所在区域为环境空气质量达标区</w:t>
            </w:r>
            <w:r>
              <w:rPr>
                <w:rFonts w:ascii="宋体" w:hAnsi="宋体" w:eastAsia="宋体" w:cs="宋体"/>
                <w:color w:val="000000" w:themeColor="text1"/>
                <w:spacing w:val="1"/>
                <w:highlight w:val="none"/>
                <w14:textFill>
                  <w14:solidFill>
                    <w14:schemeClr w14:val="tx1"/>
                  </w14:solidFill>
                </w14:textFill>
              </w:rPr>
              <w:t>。</w:t>
            </w:r>
          </w:p>
          <w:p w14:paraId="1F6E72BA">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（2）其他大气污染物环境质量现状</w:t>
            </w:r>
          </w:p>
          <w:p w14:paraId="35E890AE">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为进一步了解项目区环境空气质量现状，本项目引用</w:t>
            </w:r>
            <w:r>
              <w:rPr>
                <w:rFonts w:hint="eastAsia" w:cs="Times New Roman"/>
                <w:color w:val="000000" w:themeColor="text1"/>
                <w:kern w:val="0"/>
                <w:sz w:val="21"/>
                <w:szCs w:val="21"/>
                <w:highlight w:val="none"/>
                <w:lang w:val="en-US" w:eastAsia="zh-CN" w:bidi="ar-SA"/>
                <w14:textFill>
                  <w14:solidFill>
                    <w14:schemeClr w14:val="tx1"/>
                  </w14:solidFill>
                </w14:textFill>
              </w:rPr>
              <w:t>《承德泓辉双合酒业有限公司粉条白酒、粉渣饲料和变性淀粉建设项目环境质量现状检测》（辽鹏环测字PY2211294-001号）中环境空气的监测数据，承德泓辉双合酒业有限公司粉条白酒、粉渣饲料和变性淀粉建设项目距本项目900m，检测时间为：2022.11.07~2022.11.13，符合大气环境现状的引用条件，引用监测因子为：总悬浮颗粒物、非甲烷总烃。</w:t>
            </w:r>
          </w:p>
          <w:p w14:paraId="1613081F">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①监测点位、检测项目及检测频次：</w:t>
            </w:r>
          </w:p>
          <w:p w14:paraId="05DA1F85">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表3-2 监测点位、项目及频次一览表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1290"/>
              <w:gridCol w:w="5123"/>
            </w:tblGrid>
            <w:tr w14:paraId="6C3E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pct"/>
                  <w:noWrap w:val="0"/>
                  <w:vAlign w:val="center"/>
                </w:tcPr>
                <w:p w14:paraId="03C82A0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采样点位</w:t>
                  </w:r>
                </w:p>
              </w:tc>
              <w:tc>
                <w:tcPr>
                  <w:tcW w:w="779" w:type="pct"/>
                  <w:noWrap w:val="0"/>
                  <w:vAlign w:val="center"/>
                </w:tcPr>
                <w:p w14:paraId="2C07535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检测项目</w:t>
                  </w:r>
                </w:p>
              </w:tc>
              <w:tc>
                <w:tcPr>
                  <w:tcW w:w="3095" w:type="pct"/>
                  <w:noWrap w:val="0"/>
                  <w:vAlign w:val="center"/>
                </w:tcPr>
                <w:p w14:paraId="2E59C20F">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检测频次</w:t>
                  </w:r>
                </w:p>
              </w:tc>
            </w:tr>
            <w:tr w14:paraId="376C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pct"/>
                  <w:noWrap w:val="0"/>
                  <w:vAlign w:val="center"/>
                </w:tcPr>
                <w:p w14:paraId="6DE48FE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DQ1#--项目区内</w:t>
                  </w:r>
                </w:p>
              </w:tc>
              <w:tc>
                <w:tcPr>
                  <w:tcW w:w="779" w:type="pct"/>
                  <w:noWrap w:val="0"/>
                  <w:vAlign w:val="center"/>
                </w:tcPr>
                <w:p w14:paraId="3A5DB9EE">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总悬浮颗粒物、非甲烷总烃</w:t>
                  </w:r>
                </w:p>
              </w:tc>
              <w:tc>
                <w:tcPr>
                  <w:tcW w:w="3095" w:type="pct"/>
                  <w:noWrap w:val="0"/>
                  <w:vAlign w:val="center"/>
                </w:tcPr>
                <w:p w14:paraId="123BC216">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连续监测7天，总悬浮颗粒物检测24小时平均值；非甲烷总烃检测1小时平均值，检测4次</w:t>
                  </w:r>
                </w:p>
              </w:tc>
            </w:tr>
          </w:tbl>
          <w:p w14:paraId="6791E38F">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②检测分析方法及所用仪器</w:t>
            </w:r>
          </w:p>
          <w:p w14:paraId="7E6CF497">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表3-3 检测方法及仪器设备一览表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2355"/>
              <w:gridCol w:w="3705"/>
              <w:gridCol w:w="1263"/>
            </w:tblGrid>
            <w:tr w14:paraId="6A71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0" w:type="dxa"/>
                  <w:noWrap w:val="0"/>
                  <w:vAlign w:val="center"/>
                </w:tcPr>
                <w:p w14:paraId="02EF7C7D">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检测项目</w:t>
                  </w:r>
                </w:p>
              </w:tc>
              <w:tc>
                <w:tcPr>
                  <w:tcW w:w="2355" w:type="dxa"/>
                  <w:noWrap w:val="0"/>
                  <w:vAlign w:val="center"/>
                </w:tcPr>
                <w:p w14:paraId="35CFB88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分析方法</w:t>
                  </w:r>
                </w:p>
              </w:tc>
              <w:tc>
                <w:tcPr>
                  <w:tcW w:w="3705" w:type="dxa"/>
                  <w:noWrap w:val="0"/>
                  <w:vAlign w:val="center"/>
                </w:tcPr>
                <w:p w14:paraId="249A9C3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仪器名称/型号/编号</w:t>
                  </w:r>
                </w:p>
              </w:tc>
              <w:tc>
                <w:tcPr>
                  <w:tcW w:w="1263" w:type="dxa"/>
                  <w:noWrap w:val="0"/>
                  <w:vAlign w:val="center"/>
                </w:tcPr>
                <w:p w14:paraId="1F05D0F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检出限/范围</w:t>
                  </w:r>
                </w:p>
              </w:tc>
            </w:tr>
            <w:tr w14:paraId="26C7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0" w:type="dxa"/>
                  <w:noWrap w:val="0"/>
                  <w:vAlign w:val="center"/>
                </w:tcPr>
                <w:p w14:paraId="4B66903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总悬浮颗粒物</w:t>
                  </w:r>
                </w:p>
              </w:tc>
              <w:tc>
                <w:tcPr>
                  <w:tcW w:w="2355" w:type="dxa"/>
                  <w:noWrap w:val="0"/>
                  <w:vAlign w:val="center"/>
                </w:tcPr>
                <w:p w14:paraId="58B3242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环境空气 总悬浮颗粒物的测定重量法GB/T 15432-1995及其修改单</w:t>
                  </w:r>
                </w:p>
              </w:tc>
              <w:tc>
                <w:tcPr>
                  <w:tcW w:w="3705" w:type="dxa"/>
                  <w:noWrap w:val="0"/>
                  <w:vAlign w:val="center"/>
                </w:tcPr>
                <w:p w14:paraId="2EBB668E">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SQP/QUINTIX35-1CN电子天平仪器编号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PY/G-3313使用仪器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ZR-3922环境空气颗粒物综合采样器仪器编号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PY/G-5021</w:t>
                  </w:r>
                </w:p>
              </w:tc>
              <w:tc>
                <w:tcPr>
                  <w:tcW w:w="1263" w:type="dxa"/>
                  <w:noWrap w:val="0"/>
                  <w:vAlign w:val="center"/>
                </w:tcPr>
                <w:p w14:paraId="13C0C14E">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0.001m</w:t>
                  </w:r>
                  <w:r>
                    <w:rPr>
                      <w:color w:val="000000" w:themeColor="text1"/>
                      <w:highlight w:val="none"/>
                      <w14:textFill>
                        <w14:solidFill>
                          <w14:schemeClr w14:val="tx1"/>
                        </w14:solidFill>
                      </w14:textFill>
                    </w:rPr>
                    <w:t>g/m</w:t>
                  </w:r>
                  <w:r>
                    <w:rPr>
                      <w:color w:val="000000" w:themeColor="text1"/>
                      <w:highlight w:val="none"/>
                      <w:vertAlign w:val="superscript"/>
                      <w14:textFill>
                        <w14:solidFill>
                          <w14:schemeClr w14:val="tx1"/>
                        </w14:solidFill>
                      </w14:textFill>
                    </w:rPr>
                    <w:t>3</w:t>
                  </w:r>
                </w:p>
              </w:tc>
            </w:tr>
            <w:tr w14:paraId="7E59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0" w:type="dxa"/>
                  <w:noWrap w:val="0"/>
                  <w:vAlign w:val="center"/>
                </w:tcPr>
                <w:p w14:paraId="131A06CF">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非甲烷总烃</w:t>
                  </w:r>
                </w:p>
              </w:tc>
              <w:tc>
                <w:tcPr>
                  <w:tcW w:w="2355" w:type="dxa"/>
                  <w:noWrap w:val="0"/>
                  <w:vAlign w:val="center"/>
                </w:tcPr>
                <w:p w14:paraId="31D7C8B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环境空气 总烃、甲烷、非甲烷总烃的测定 直接进样-气相色谱法</w:t>
                  </w:r>
                  <w:r>
                    <w:rPr>
                      <w:rFonts w:hint="eastAsia" w:cs="Times New Roman"/>
                      <w:color w:val="000000" w:themeColor="text1"/>
                      <w:sz w:val="21"/>
                      <w:szCs w:val="21"/>
                      <w:highlight w:val="none"/>
                      <w:vertAlign w:val="baseline"/>
                      <w:lang w:val="en-US" w:eastAsia="zh-CN"/>
                      <w14:textFill>
                        <w14:solidFill>
                          <w14:schemeClr w14:val="tx1"/>
                        </w14:solidFill>
                      </w14:textFill>
                    </w:rPr>
                    <w:t>HJ 604-2017</w:t>
                  </w:r>
                </w:p>
              </w:tc>
              <w:tc>
                <w:tcPr>
                  <w:tcW w:w="3705" w:type="dxa"/>
                  <w:noWrap w:val="0"/>
                  <w:vAlign w:val="center"/>
                </w:tcPr>
                <w:p w14:paraId="498C14F4">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GC-9600气相色谱仪</w:t>
                  </w:r>
                </w:p>
                <w:p w14:paraId="78C7E414">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仪器编号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PY/G-1102</w:t>
                  </w:r>
                </w:p>
              </w:tc>
              <w:tc>
                <w:tcPr>
                  <w:tcW w:w="1263" w:type="dxa"/>
                  <w:noWrap w:val="0"/>
                  <w:vAlign w:val="center"/>
                </w:tcPr>
                <w:p w14:paraId="0A50D0E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0.07m</w:t>
                  </w:r>
                  <w:r>
                    <w:rPr>
                      <w:color w:val="000000" w:themeColor="text1"/>
                      <w:highlight w:val="none"/>
                      <w14:textFill>
                        <w14:solidFill>
                          <w14:schemeClr w14:val="tx1"/>
                        </w14:solidFill>
                      </w14:textFill>
                    </w:rPr>
                    <w:t>g/m</w:t>
                  </w:r>
                  <w:r>
                    <w:rPr>
                      <w:color w:val="000000" w:themeColor="text1"/>
                      <w:highlight w:val="none"/>
                      <w:vertAlign w:val="superscript"/>
                      <w14:textFill>
                        <w14:solidFill>
                          <w14:schemeClr w14:val="tx1"/>
                        </w14:solidFill>
                      </w14:textFill>
                    </w:rPr>
                    <w:t>3</w:t>
                  </w:r>
                </w:p>
              </w:tc>
            </w:tr>
          </w:tbl>
          <w:p w14:paraId="519C6B0A">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③检测结果</w:t>
            </w:r>
          </w:p>
          <w:p w14:paraId="2278DC1B">
            <w:pPr>
              <w:keepNext w:val="0"/>
              <w:keepLines w:val="0"/>
              <w:pageBreakBefore w:val="0"/>
              <w:widowControl w:val="0"/>
              <w:kinsoku/>
              <w:wordWrap w:val="0"/>
              <w:overflowPunct/>
              <w:topLinePunct w:val="0"/>
              <w:autoSpaceDE/>
              <w:autoSpaceDN/>
              <w:bidi w:val="0"/>
              <w:spacing w:line="4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表3-4 检测结果统计及达标分析一览表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0"/>
              <w:gridCol w:w="920"/>
              <w:gridCol w:w="1713"/>
              <w:gridCol w:w="855"/>
              <w:gridCol w:w="1275"/>
              <w:gridCol w:w="704"/>
              <w:gridCol w:w="734"/>
              <w:gridCol w:w="1182"/>
            </w:tblGrid>
            <w:tr w14:paraId="2E342E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870" w:type="dxa"/>
                  <w:vMerge w:val="restart"/>
                  <w:noWrap w:val="0"/>
                  <w:vAlign w:val="center"/>
                </w:tcPr>
                <w:p w14:paraId="47867033">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监测点位</w:t>
                  </w:r>
                </w:p>
              </w:tc>
              <w:tc>
                <w:tcPr>
                  <w:tcW w:w="920" w:type="dxa"/>
                  <w:vMerge w:val="restart"/>
                  <w:noWrap w:val="0"/>
                  <w:vAlign w:val="center"/>
                </w:tcPr>
                <w:p w14:paraId="4CFC9E77">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监测因子</w:t>
                  </w:r>
                </w:p>
              </w:tc>
              <w:tc>
                <w:tcPr>
                  <w:tcW w:w="1713" w:type="dxa"/>
                  <w:vMerge w:val="restart"/>
                  <w:noWrap w:val="0"/>
                  <w:vAlign w:val="center"/>
                </w:tcPr>
                <w:p w14:paraId="201ABC69">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监测时段</w:t>
                  </w:r>
                </w:p>
              </w:tc>
              <w:tc>
                <w:tcPr>
                  <w:tcW w:w="855" w:type="dxa"/>
                  <w:noWrap w:val="0"/>
                  <w:vAlign w:val="center"/>
                </w:tcPr>
                <w:p w14:paraId="7BB1762B">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标准值</w:t>
                  </w:r>
                </w:p>
              </w:tc>
              <w:tc>
                <w:tcPr>
                  <w:tcW w:w="1275" w:type="dxa"/>
                  <w:vMerge w:val="restart"/>
                  <w:noWrap w:val="0"/>
                  <w:vAlign w:val="center"/>
                </w:tcPr>
                <w:p w14:paraId="33C8AD9E">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浓度范围</w:t>
                  </w:r>
                </w:p>
                <w:p w14:paraId="45E2C0D3">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mg/m</w:t>
                  </w:r>
                  <w:r>
                    <w:rPr>
                      <w:b/>
                      <w:bCs/>
                      <w:color w:val="000000" w:themeColor="text1"/>
                      <w:highlight w:val="none"/>
                      <w:vertAlign w:val="superscript"/>
                      <w14:textFill>
                        <w14:solidFill>
                          <w14:schemeClr w14:val="tx1"/>
                        </w14:solidFill>
                      </w14:textFill>
                    </w:rPr>
                    <w:t>3</w:t>
                  </w:r>
                </w:p>
              </w:tc>
              <w:tc>
                <w:tcPr>
                  <w:tcW w:w="704" w:type="dxa"/>
                  <w:vMerge w:val="restart"/>
                  <w:noWrap w:val="0"/>
                  <w:vAlign w:val="center"/>
                </w:tcPr>
                <w:p w14:paraId="050240A9">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超标率%</w:t>
                  </w:r>
                </w:p>
              </w:tc>
              <w:tc>
                <w:tcPr>
                  <w:tcW w:w="734" w:type="dxa"/>
                  <w:vMerge w:val="restart"/>
                  <w:noWrap w:val="0"/>
                  <w:vAlign w:val="center"/>
                </w:tcPr>
                <w:p w14:paraId="3EBF93B7">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最大超标倍数</w:t>
                  </w:r>
                </w:p>
              </w:tc>
              <w:tc>
                <w:tcPr>
                  <w:tcW w:w="1182" w:type="dxa"/>
                  <w:vMerge w:val="restart"/>
                  <w:noWrap w:val="0"/>
                  <w:vAlign w:val="center"/>
                </w:tcPr>
                <w:p w14:paraId="2E3641A9">
                  <w:pPr>
                    <w:pStyle w:val="92"/>
                    <w:pageBreakBefore w:val="0"/>
                    <w:kinsoku/>
                    <w:wordWrap w:val="0"/>
                    <w:overflowPunct/>
                    <w:bidi w:val="0"/>
                    <w:rPr>
                      <w:rFonts w:hint="eastAsia" w:eastAsia="宋体"/>
                      <w:b/>
                      <w:bCs/>
                      <w:color w:val="000000" w:themeColor="text1"/>
                      <w:highlight w:val="none"/>
                      <w:lang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占标率（%）</w:t>
                  </w:r>
                </w:p>
              </w:tc>
            </w:tr>
            <w:tr w14:paraId="0AADEE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1A081BCD">
                  <w:pPr>
                    <w:pStyle w:val="92"/>
                    <w:pageBreakBefore w:val="0"/>
                    <w:kinsoku/>
                    <w:wordWrap w:val="0"/>
                    <w:overflowPunct/>
                    <w:bidi w:val="0"/>
                    <w:rPr>
                      <w:color w:val="000000" w:themeColor="text1"/>
                      <w:highlight w:val="none"/>
                      <w14:textFill>
                        <w14:solidFill>
                          <w14:schemeClr w14:val="tx1"/>
                        </w14:solidFill>
                      </w14:textFill>
                    </w:rPr>
                  </w:pPr>
                </w:p>
              </w:tc>
              <w:tc>
                <w:tcPr>
                  <w:tcW w:w="920" w:type="dxa"/>
                  <w:vMerge w:val="continue"/>
                  <w:noWrap w:val="0"/>
                  <w:vAlign w:val="center"/>
                </w:tcPr>
                <w:p w14:paraId="067E1569">
                  <w:pPr>
                    <w:pStyle w:val="92"/>
                    <w:pageBreakBefore w:val="0"/>
                    <w:kinsoku/>
                    <w:wordWrap w:val="0"/>
                    <w:overflowPunct/>
                    <w:bidi w:val="0"/>
                    <w:rPr>
                      <w:color w:val="000000" w:themeColor="text1"/>
                      <w:highlight w:val="none"/>
                      <w14:textFill>
                        <w14:solidFill>
                          <w14:schemeClr w14:val="tx1"/>
                        </w14:solidFill>
                      </w14:textFill>
                    </w:rPr>
                  </w:pPr>
                </w:p>
              </w:tc>
              <w:tc>
                <w:tcPr>
                  <w:tcW w:w="1713" w:type="dxa"/>
                  <w:vMerge w:val="continue"/>
                  <w:noWrap w:val="0"/>
                  <w:vAlign w:val="center"/>
                </w:tcPr>
                <w:p w14:paraId="45409BFF">
                  <w:pPr>
                    <w:pStyle w:val="92"/>
                    <w:pageBreakBefore w:val="0"/>
                    <w:kinsoku/>
                    <w:wordWrap w:val="0"/>
                    <w:overflowPunct/>
                    <w:bidi w:val="0"/>
                    <w:rPr>
                      <w:color w:val="000000" w:themeColor="text1"/>
                      <w:highlight w:val="none"/>
                      <w14:textFill>
                        <w14:solidFill>
                          <w14:schemeClr w14:val="tx1"/>
                        </w14:solidFill>
                      </w14:textFill>
                    </w:rPr>
                  </w:pPr>
                </w:p>
              </w:tc>
              <w:tc>
                <w:tcPr>
                  <w:tcW w:w="855" w:type="dxa"/>
                  <w:noWrap w:val="0"/>
                  <w:vAlign w:val="center"/>
                </w:tcPr>
                <w:p w14:paraId="41E0E0BD">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mg/m</w:t>
                  </w:r>
                  <w:r>
                    <w:rPr>
                      <w:b/>
                      <w:bCs/>
                      <w:color w:val="000000" w:themeColor="text1"/>
                      <w:highlight w:val="none"/>
                      <w:vertAlign w:val="superscript"/>
                      <w14:textFill>
                        <w14:solidFill>
                          <w14:schemeClr w14:val="tx1"/>
                        </w14:solidFill>
                      </w14:textFill>
                    </w:rPr>
                    <w:t>3</w:t>
                  </w:r>
                </w:p>
              </w:tc>
              <w:tc>
                <w:tcPr>
                  <w:tcW w:w="1275" w:type="dxa"/>
                  <w:vMerge w:val="continue"/>
                  <w:noWrap w:val="0"/>
                  <w:vAlign w:val="center"/>
                </w:tcPr>
                <w:p w14:paraId="7EF06E0F">
                  <w:pPr>
                    <w:pStyle w:val="92"/>
                    <w:pageBreakBefore w:val="0"/>
                    <w:kinsoku/>
                    <w:wordWrap w:val="0"/>
                    <w:overflowPunct/>
                    <w:bidi w:val="0"/>
                    <w:rPr>
                      <w:color w:val="000000" w:themeColor="text1"/>
                      <w:highlight w:val="none"/>
                      <w14:textFill>
                        <w14:solidFill>
                          <w14:schemeClr w14:val="tx1"/>
                        </w14:solidFill>
                      </w14:textFill>
                    </w:rPr>
                  </w:pPr>
                </w:p>
              </w:tc>
              <w:tc>
                <w:tcPr>
                  <w:tcW w:w="704" w:type="dxa"/>
                  <w:vMerge w:val="continue"/>
                  <w:noWrap w:val="0"/>
                  <w:vAlign w:val="center"/>
                </w:tcPr>
                <w:p w14:paraId="5467497E">
                  <w:pPr>
                    <w:pStyle w:val="92"/>
                    <w:pageBreakBefore w:val="0"/>
                    <w:kinsoku/>
                    <w:wordWrap w:val="0"/>
                    <w:overflowPunct/>
                    <w:bidi w:val="0"/>
                    <w:rPr>
                      <w:color w:val="000000" w:themeColor="text1"/>
                      <w:highlight w:val="none"/>
                      <w14:textFill>
                        <w14:solidFill>
                          <w14:schemeClr w14:val="tx1"/>
                        </w14:solidFill>
                      </w14:textFill>
                    </w:rPr>
                  </w:pPr>
                </w:p>
              </w:tc>
              <w:tc>
                <w:tcPr>
                  <w:tcW w:w="734" w:type="dxa"/>
                  <w:vMerge w:val="continue"/>
                  <w:noWrap w:val="0"/>
                  <w:vAlign w:val="center"/>
                </w:tcPr>
                <w:p w14:paraId="63FE2FC4">
                  <w:pPr>
                    <w:pStyle w:val="92"/>
                    <w:pageBreakBefore w:val="0"/>
                    <w:kinsoku/>
                    <w:wordWrap w:val="0"/>
                    <w:overflowPunct/>
                    <w:bidi w:val="0"/>
                    <w:rPr>
                      <w:color w:val="000000" w:themeColor="text1"/>
                      <w:highlight w:val="none"/>
                      <w14:textFill>
                        <w14:solidFill>
                          <w14:schemeClr w14:val="tx1"/>
                        </w14:solidFill>
                      </w14:textFill>
                    </w:rPr>
                  </w:pPr>
                </w:p>
              </w:tc>
              <w:tc>
                <w:tcPr>
                  <w:tcW w:w="1182" w:type="dxa"/>
                  <w:vMerge w:val="continue"/>
                  <w:noWrap w:val="0"/>
                  <w:vAlign w:val="center"/>
                </w:tcPr>
                <w:p w14:paraId="18644C87">
                  <w:pPr>
                    <w:pStyle w:val="92"/>
                    <w:pageBreakBefore w:val="0"/>
                    <w:kinsoku/>
                    <w:wordWrap w:val="0"/>
                    <w:overflowPunct/>
                    <w:bidi w:val="0"/>
                    <w:rPr>
                      <w:color w:val="000000" w:themeColor="text1"/>
                      <w:highlight w:val="none"/>
                      <w14:textFill>
                        <w14:solidFill>
                          <w14:schemeClr w14:val="tx1"/>
                        </w14:solidFill>
                      </w14:textFill>
                    </w:rPr>
                  </w:pPr>
                </w:p>
              </w:tc>
            </w:tr>
            <w:tr w14:paraId="2C5A7E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870" w:type="dxa"/>
                  <w:vMerge w:val="restart"/>
                  <w:noWrap w:val="0"/>
                  <w:vAlign w:val="center"/>
                </w:tcPr>
                <w:p w14:paraId="7F1CF6D3">
                  <w:pPr>
                    <w:pageBreakBefore w:val="0"/>
                    <w:kinsoku/>
                    <w:wordWrap w:val="0"/>
                    <w:overflowPunct/>
                    <w:bidi w:val="0"/>
                    <w:snapToGrid w:val="0"/>
                    <w:spacing w:line="240" w:lineRule="auto"/>
                    <w:ind w:firstLine="0" w:firstLineChars="0"/>
                    <w:jc w:val="center"/>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DQ1#--项目区内</w:t>
                  </w:r>
                </w:p>
              </w:tc>
              <w:tc>
                <w:tcPr>
                  <w:tcW w:w="920" w:type="dxa"/>
                  <w:noWrap w:val="0"/>
                  <w:vAlign w:val="center"/>
                </w:tcPr>
                <w:p w14:paraId="2740E049">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总悬浮颗粒物</w:t>
                  </w:r>
                </w:p>
              </w:tc>
              <w:tc>
                <w:tcPr>
                  <w:tcW w:w="1713" w:type="dxa"/>
                  <w:vMerge w:val="restart"/>
                  <w:noWrap w:val="0"/>
                  <w:vAlign w:val="center"/>
                </w:tcPr>
                <w:p w14:paraId="27A5BAA8">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2022.11.07~2022.11.13</w:t>
                  </w:r>
                </w:p>
              </w:tc>
              <w:tc>
                <w:tcPr>
                  <w:tcW w:w="855" w:type="dxa"/>
                  <w:noWrap w:val="0"/>
                  <w:vAlign w:val="center"/>
                </w:tcPr>
                <w:p w14:paraId="3F8B11CD">
                  <w:pPr>
                    <w:pStyle w:val="92"/>
                    <w:pageBreakBefore w:val="0"/>
                    <w:kinsoku/>
                    <w:wordWrap w:val="0"/>
                    <w:overflowPunct/>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0.3</w:t>
                  </w:r>
                </w:p>
              </w:tc>
              <w:tc>
                <w:tcPr>
                  <w:tcW w:w="1275" w:type="dxa"/>
                  <w:noWrap w:val="0"/>
                  <w:vAlign w:val="center"/>
                </w:tcPr>
                <w:p w14:paraId="340D277C">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078</w:t>
                  </w:r>
                  <w:r>
                    <w:rPr>
                      <w:rFonts w:hint="eastAsia"/>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09</w:t>
                  </w:r>
                </w:p>
              </w:tc>
              <w:tc>
                <w:tcPr>
                  <w:tcW w:w="704" w:type="dxa"/>
                  <w:noWrap w:val="0"/>
                  <w:vAlign w:val="center"/>
                </w:tcPr>
                <w:p w14:paraId="73188FB0">
                  <w:pPr>
                    <w:pStyle w:val="92"/>
                    <w:pageBreakBefore w:val="0"/>
                    <w:kinsoku/>
                    <w:wordWrap w:val="0"/>
                    <w:overflowPunct/>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734" w:type="dxa"/>
                  <w:noWrap w:val="0"/>
                  <w:vAlign w:val="center"/>
                </w:tcPr>
                <w:p w14:paraId="7C039F95">
                  <w:pPr>
                    <w:pStyle w:val="92"/>
                    <w:pageBreakBefore w:val="0"/>
                    <w:kinsoku/>
                    <w:wordWrap w:val="0"/>
                    <w:overflowPunct/>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182" w:type="dxa"/>
                  <w:noWrap w:val="0"/>
                  <w:vAlign w:val="center"/>
                </w:tcPr>
                <w:p w14:paraId="177BE8E0">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26%～30%</w:t>
                  </w:r>
                </w:p>
              </w:tc>
            </w:tr>
            <w:tr w14:paraId="77940B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4EDA9C9E">
                  <w:pPr>
                    <w:pageBreakBefore w:val="0"/>
                    <w:kinsoku/>
                    <w:wordWrap w:val="0"/>
                    <w:overflowPunct/>
                    <w:bidi w:val="0"/>
                    <w:snapToGrid w:val="0"/>
                    <w:spacing w:line="240" w:lineRule="auto"/>
                    <w:ind w:firstLine="0" w:firstLineChars="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920" w:type="dxa"/>
                  <w:noWrap w:val="0"/>
                  <w:vAlign w:val="center"/>
                </w:tcPr>
                <w:p w14:paraId="7C8A1B4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color w:val="000000" w:themeColor="text1"/>
                      <w:highlight w:val="none"/>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非甲烷总烃</w:t>
                  </w:r>
                </w:p>
              </w:tc>
              <w:tc>
                <w:tcPr>
                  <w:tcW w:w="1713" w:type="dxa"/>
                  <w:vMerge w:val="continue"/>
                  <w:noWrap w:val="0"/>
                  <w:vAlign w:val="center"/>
                </w:tcPr>
                <w:p w14:paraId="57F08FF4">
                  <w:pPr>
                    <w:pStyle w:val="92"/>
                    <w:pageBreakBefore w:val="0"/>
                    <w:kinsoku/>
                    <w:wordWrap w:val="0"/>
                    <w:overflowPunct/>
                    <w:bidi w:val="0"/>
                    <w:rPr>
                      <w:color w:val="000000" w:themeColor="text1"/>
                      <w:highlight w:val="none"/>
                      <w14:textFill>
                        <w14:solidFill>
                          <w14:schemeClr w14:val="tx1"/>
                        </w14:solidFill>
                      </w14:textFill>
                    </w:rPr>
                  </w:pPr>
                </w:p>
              </w:tc>
              <w:tc>
                <w:tcPr>
                  <w:tcW w:w="855" w:type="dxa"/>
                  <w:noWrap w:val="0"/>
                  <w:vAlign w:val="center"/>
                </w:tcPr>
                <w:p w14:paraId="2F26299D">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1275" w:type="dxa"/>
                  <w:noWrap w:val="0"/>
                  <w:vAlign w:val="center"/>
                </w:tcPr>
                <w:p w14:paraId="70E87E01">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0.61~1.13</w:t>
                  </w:r>
                </w:p>
              </w:tc>
              <w:tc>
                <w:tcPr>
                  <w:tcW w:w="704" w:type="dxa"/>
                  <w:noWrap w:val="0"/>
                  <w:vAlign w:val="center"/>
                </w:tcPr>
                <w:p w14:paraId="350B10CF">
                  <w:pPr>
                    <w:pStyle w:val="92"/>
                    <w:pageBreakBefore w:val="0"/>
                    <w:kinsoku/>
                    <w:wordWrap w:val="0"/>
                    <w:overflowPunct/>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34" w:type="dxa"/>
                  <w:noWrap w:val="0"/>
                  <w:vAlign w:val="center"/>
                </w:tcPr>
                <w:p w14:paraId="11D56AD2">
                  <w:pPr>
                    <w:pStyle w:val="92"/>
                    <w:pageBreakBefore w:val="0"/>
                    <w:kinsoku/>
                    <w:wordWrap w:val="0"/>
                    <w:overflowPunct/>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182" w:type="dxa"/>
                  <w:noWrap w:val="0"/>
                  <w:vAlign w:val="center"/>
                </w:tcPr>
                <w:p w14:paraId="3807DCE5">
                  <w:pPr>
                    <w:pStyle w:val="92"/>
                    <w:pageBreakBefore w:val="0"/>
                    <w:kinsoku/>
                    <w:wordWrap w:val="0"/>
                    <w:overflowPunct/>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30.5%~56.5%</w:t>
                  </w:r>
                </w:p>
              </w:tc>
            </w:tr>
          </w:tbl>
          <w:p w14:paraId="305E77BE">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由上表可知，项目所在区域</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总悬浮颗粒物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满足《环境空气质量标准》（GB3095-2012）表2二级标准限值，即TSP24小时平均浓度限值≤300</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vertAlign w:val="baseline"/>
                <w:lang w:val="en-US" w:eastAsia="zh-CN"/>
                <w14:textFill>
                  <w14:solidFill>
                    <w14:schemeClr w14:val="tx1"/>
                  </w14:solidFill>
                </w14:textFill>
              </w:rPr>
              <w:t>；非甲烷总烃满足《环境空气质量 非甲烷总烃限值》（DB13/1577-2012）表1二级标准。</w:t>
            </w:r>
          </w:p>
          <w:p w14:paraId="40272D9C">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承德路瑞公路养护工程有限公司</w:t>
            </w:r>
            <w:r>
              <w:rPr>
                <w:rFonts w:hint="eastAsia" w:cs="Times New Roman"/>
                <w:b w:val="0"/>
                <w:bCs w:val="0"/>
                <w:color w:val="000000" w:themeColor="text1"/>
                <w:sz w:val="21"/>
                <w:szCs w:val="21"/>
                <w:highlight w:val="none"/>
                <w:lang w:val="en-US" w:eastAsia="zh-CN"/>
                <w14:textFill>
                  <w14:solidFill>
                    <w14:schemeClr w14:val="tx1"/>
                  </w14:solidFill>
                </w14:textFill>
              </w:rPr>
              <w:t>委托辽宁鹏宇环境监测有限公司进行了苯并[a]芘的环评现状监测，监测报告编号为：（辽鹏环测）字PY2404357-001号，具体监测结果如下所示：</w:t>
            </w:r>
          </w:p>
          <w:p w14:paraId="28B846BD">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①监测点位、检测项目及检测频次：</w:t>
            </w:r>
          </w:p>
          <w:p w14:paraId="63BAEE0D">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表3-5 监测点位、项目及频次一览表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1290"/>
              <w:gridCol w:w="5123"/>
            </w:tblGrid>
            <w:tr w14:paraId="10BB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pct"/>
                  <w:noWrap w:val="0"/>
                  <w:vAlign w:val="center"/>
                </w:tcPr>
                <w:p w14:paraId="10E78BF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采样点位</w:t>
                  </w:r>
                </w:p>
              </w:tc>
              <w:tc>
                <w:tcPr>
                  <w:tcW w:w="779" w:type="pct"/>
                  <w:noWrap w:val="0"/>
                  <w:vAlign w:val="center"/>
                </w:tcPr>
                <w:p w14:paraId="171EF37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检测项目</w:t>
                  </w:r>
                </w:p>
              </w:tc>
              <w:tc>
                <w:tcPr>
                  <w:tcW w:w="3095" w:type="pct"/>
                  <w:noWrap w:val="0"/>
                  <w:vAlign w:val="center"/>
                </w:tcPr>
                <w:p w14:paraId="1B8BF80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检测频次</w:t>
                  </w:r>
                </w:p>
              </w:tc>
            </w:tr>
            <w:tr w14:paraId="74A3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pct"/>
                  <w:noWrap w:val="0"/>
                  <w:vAlign w:val="center"/>
                </w:tcPr>
                <w:p w14:paraId="79DB78C9">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厂界下风向</w:t>
                  </w:r>
                </w:p>
              </w:tc>
              <w:tc>
                <w:tcPr>
                  <w:tcW w:w="779" w:type="pct"/>
                  <w:noWrap w:val="0"/>
                  <w:vAlign w:val="center"/>
                </w:tcPr>
                <w:p w14:paraId="5FABA93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苯并[a]芘</w:t>
                  </w:r>
                </w:p>
              </w:tc>
              <w:tc>
                <w:tcPr>
                  <w:tcW w:w="3095" w:type="pct"/>
                  <w:noWrap w:val="0"/>
                  <w:vAlign w:val="center"/>
                </w:tcPr>
                <w:p w14:paraId="311671C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连续监测3天，检测24小时平均值</w:t>
                  </w:r>
                </w:p>
              </w:tc>
            </w:tr>
          </w:tbl>
          <w:p w14:paraId="4781C6F3">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②检测分析方法及所用仪器</w:t>
            </w:r>
          </w:p>
          <w:p w14:paraId="2AB20259">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表3-6 检测方法及仪器设备一览表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2355"/>
              <w:gridCol w:w="3705"/>
              <w:gridCol w:w="1263"/>
            </w:tblGrid>
            <w:tr w14:paraId="14B8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0" w:type="dxa"/>
                  <w:noWrap w:val="0"/>
                  <w:vAlign w:val="center"/>
                </w:tcPr>
                <w:p w14:paraId="2DE5389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检测项目</w:t>
                  </w:r>
                </w:p>
              </w:tc>
              <w:tc>
                <w:tcPr>
                  <w:tcW w:w="2355" w:type="dxa"/>
                  <w:noWrap w:val="0"/>
                  <w:vAlign w:val="center"/>
                </w:tcPr>
                <w:p w14:paraId="077F2763">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分析方法</w:t>
                  </w:r>
                </w:p>
              </w:tc>
              <w:tc>
                <w:tcPr>
                  <w:tcW w:w="3705" w:type="dxa"/>
                  <w:noWrap w:val="0"/>
                  <w:vAlign w:val="center"/>
                </w:tcPr>
                <w:p w14:paraId="18F510C3">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仪器名称/型号/编号</w:t>
                  </w:r>
                </w:p>
              </w:tc>
              <w:tc>
                <w:tcPr>
                  <w:tcW w:w="1263" w:type="dxa"/>
                  <w:noWrap w:val="0"/>
                  <w:vAlign w:val="center"/>
                </w:tcPr>
                <w:p w14:paraId="5DF53E66">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检出限/范围</w:t>
                  </w:r>
                </w:p>
              </w:tc>
            </w:tr>
            <w:tr w14:paraId="4E8B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0" w:type="dxa"/>
                  <w:noWrap w:val="0"/>
                  <w:vAlign w:val="center"/>
                </w:tcPr>
                <w:p w14:paraId="35158EA7">
                  <w:pPr>
                    <w:keepNext w:val="0"/>
                    <w:keepLines w:val="0"/>
                    <w:pageBreakBefore w:val="0"/>
                    <w:kinsoku/>
                    <w:wordWrap w:val="0"/>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苯并[a]芘</w:t>
                  </w:r>
                </w:p>
              </w:tc>
              <w:tc>
                <w:tcPr>
                  <w:tcW w:w="2355" w:type="dxa"/>
                  <w:noWrap w:val="0"/>
                  <w:vAlign w:val="center"/>
                </w:tcPr>
                <w:p w14:paraId="2892EA0D">
                  <w:pPr>
                    <w:keepNext w:val="0"/>
                    <w:keepLines w:val="0"/>
                    <w:pageBreakBefore w:val="0"/>
                    <w:kinsoku/>
                    <w:wordWrap w:val="0"/>
                    <w:overflowPunct/>
                    <w:topLinePunct w:val="0"/>
                    <w:autoSpaceDE/>
                    <w:autoSpaceDN/>
                    <w:bidi w:val="0"/>
                    <w:adjustRightInd/>
                    <w:spacing w:line="240" w:lineRule="atLeas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 xml:space="preserve">环境空气 苯并[a]芘的测定 高效液相色谱法 </w:t>
                  </w:r>
                </w:p>
                <w:p w14:paraId="6465C849">
                  <w:pPr>
                    <w:keepNext w:val="0"/>
                    <w:keepLines w:val="0"/>
                    <w:pageBreakBefore w:val="0"/>
                    <w:kinsoku/>
                    <w:wordWrap w:val="0"/>
                    <w:overflowPunct/>
                    <w:topLinePunct w:val="0"/>
                    <w:autoSpaceDE/>
                    <w:autoSpaceDN/>
                    <w:bidi w:val="0"/>
                    <w:adjustRightInd/>
                    <w:spacing w:line="240" w:lineRule="atLeas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HJ956-2018</w:t>
                  </w:r>
                </w:p>
              </w:tc>
              <w:tc>
                <w:tcPr>
                  <w:tcW w:w="3705" w:type="dxa"/>
                  <w:noWrap w:val="0"/>
                  <w:vAlign w:val="center"/>
                </w:tcPr>
                <w:p w14:paraId="210FE7E9">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ZR-3922环境空气颗粒物综合采样器</w:t>
                  </w:r>
                </w:p>
                <w:p w14:paraId="32E7E20C">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仪器编号：PY/G-5013</w:t>
                  </w:r>
                </w:p>
                <w:p w14:paraId="7949B660">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使用仪器：LC-16高效液相色谱仪</w:t>
                  </w:r>
                </w:p>
                <w:p w14:paraId="4015B728">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仪器编号：PY/G-1106</w:t>
                  </w:r>
                </w:p>
              </w:tc>
              <w:tc>
                <w:tcPr>
                  <w:tcW w:w="1263" w:type="dxa"/>
                  <w:noWrap w:val="0"/>
                  <w:vAlign w:val="center"/>
                </w:tcPr>
                <w:p w14:paraId="5EA2782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0.1ng/m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bl>
          <w:p w14:paraId="335B6496">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③检测结果</w:t>
            </w:r>
          </w:p>
          <w:p w14:paraId="205F1943">
            <w:pPr>
              <w:keepNext w:val="0"/>
              <w:keepLines w:val="0"/>
              <w:pageBreakBefore w:val="0"/>
              <w:widowControl w:val="0"/>
              <w:kinsoku/>
              <w:wordWrap w:val="0"/>
              <w:overflowPunct/>
              <w:topLinePunct w:val="0"/>
              <w:autoSpaceDE/>
              <w:autoSpaceDN/>
              <w:bidi w:val="0"/>
              <w:spacing w:line="4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表3-7 检测结果统计及达标分析一览表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70"/>
              <w:gridCol w:w="920"/>
              <w:gridCol w:w="1713"/>
              <w:gridCol w:w="855"/>
              <w:gridCol w:w="1275"/>
              <w:gridCol w:w="704"/>
              <w:gridCol w:w="734"/>
              <w:gridCol w:w="1182"/>
            </w:tblGrid>
            <w:tr w14:paraId="03AD7D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870" w:type="dxa"/>
                  <w:vMerge w:val="restart"/>
                  <w:noWrap w:val="0"/>
                  <w:vAlign w:val="center"/>
                </w:tcPr>
                <w:p w14:paraId="7F7099AF">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监测点位</w:t>
                  </w:r>
                </w:p>
              </w:tc>
              <w:tc>
                <w:tcPr>
                  <w:tcW w:w="920" w:type="dxa"/>
                  <w:vMerge w:val="restart"/>
                  <w:noWrap w:val="0"/>
                  <w:vAlign w:val="center"/>
                </w:tcPr>
                <w:p w14:paraId="4B8BDDCA">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监测因子</w:t>
                  </w:r>
                </w:p>
              </w:tc>
              <w:tc>
                <w:tcPr>
                  <w:tcW w:w="1713" w:type="dxa"/>
                  <w:vMerge w:val="restart"/>
                  <w:noWrap w:val="0"/>
                  <w:vAlign w:val="center"/>
                </w:tcPr>
                <w:p w14:paraId="0F1169B9">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监测时段</w:t>
                  </w:r>
                </w:p>
              </w:tc>
              <w:tc>
                <w:tcPr>
                  <w:tcW w:w="855" w:type="dxa"/>
                  <w:noWrap w:val="0"/>
                  <w:vAlign w:val="center"/>
                </w:tcPr>
                <w:p w14:paraId="51E28D37">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标准值</w:t>
                  </w:r>
                </w:p>
              </w:tc>
              <w:tc>
                <w:tcPr>
                  <w:tcW w:w="1275" w:type="dxa"/>
                  <w:vMerge w:val="restart"/>
                  <w:noWrap w:val="0"/>
                  <w:vAlign w:val="center"/>
                </w:tcPr>
                <w:p w14:paraId="63B115A2">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浓度范围</w:t>
                  </w:r>
                </w:p>
                <w:p w14:paraId="6D4A329C">
                  <w:pPr>
                    <w:pStyle w:val="92"/>
                    <w:pageBreakBefore w:val="0"/>
                    <w:kinsoku/>
                    <w:wordWrap w:val="0"/>
                    <w:overflowPunct/>
                    <w:bidi w:val="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n</w:t>
                  </w:r>
                  <w:r>
                    <w:rPr>
                      <w:b/>
                      <w:bCs/>
                      <w:color w:val="000000" w:themeColor="text1"/>
                      <w:highlight w:val="none"/>
                      <w14:textFill>
                        <w14:solidFill>
                          <w14:schemeClr w14:val="tx1"/>
                        </w14:solidFill>
                      </w14:textFill>
                    </w:rPr>
                    <w:t>g/m</w:t>
                  </w:r>
                  <w:r>
                    <w:rPr>
                      <w:b/>
                      <w:bCs/>
                      <w:color w:val="000000" w:themeColor="text1"/>
                      <w:highlight w:val="none"/>
                      <w:vertAlign w:val="superscript"/>
                      <w14:textFill>
                        <w14:solidFill>
                          <w14:schemeClr w14:val="tx1"/>
                        </w14:solidFill>
                      </w14:textFill>
                    </w:rPr>
                    <w:t>3</w:t>
                  </w:r>
                </w:p>
              </w:tc>
              <w:tc>
                <w:tcPr>
                  <w:tcW w:w="704" w:type="dxa"/>
                  <w:vMerge w:val="restart"/>
                  <w:noWrap w:val="0"/>
                  <w:vAlign w:val="center"/>
                </w:tcPr>
                <w:p w14:paraId="76721C76">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超标率%</w:t>
                  </w:r>
                </w:p>
              </w:tc>
              <w:tc>
                <w:tcPr>
                  <w:tcW w:w="734" w:type="dxa"/>
                  <w:vMerge w:val="restart"/>
                  <w:noWrap w:val="0"/>
                  <w:vAlign w:val="center"/>
                </w:tcPr>
                <w:p w14:paraId="49E44AAB">
                  <w:pPr>
                    <w:pStyle w:val="92"/>
                    <w:pageBreakBefore w:val="0"/>
                    <w:kinsoku/>
                    <w:wordWrap w:val="0"/>
                    <w:overflowPunct/>
                    <w:bidi w:val="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最大超标倍数</w:t>
                  </w:r>
                </w:p>
              </w:tc>
              <w:tc>
                <w:tcPr>
                  <w:tcW w:w="1182" w:type="dxa"/>
                  <w:vMerge w:val="restart"/>
                  <w:noWrap w:val="0"/>
                  <w:vAlign w:val="center"/>
                </w:tcPr>
                <w:p w14:paraId="571438AD">
                  <w:pPr>
                    <w:pStyle w:val="92"/>
                    <w:pageBreakBefore w:val="0"/>
                    <w:kinsoku/>
                    <w:wordWrap w:val="0"/>
                    <w:overflowPunct/>
                    <w:bidi w:val="0"/>
                    <w:rPr>
                      <w:rFonts w:hint="eastAsia" w:eastAsia="宋体"/>
                      <w:b/>
                      <w:bCs/>
                      <w:color w:val="000000" w:themeColor="text1"/>
                      <w:highlight w:val="none"/>
                      <w:lang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占标率（%）</w:t>
                  </w:r>
                </w:p>
              </w:tc>
            </w:tr>
            <w:tr w14:paraId="39EC2E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870" w:type="dxa"/>
                  <w:vMerge w:val="continue"/>
                  <w:noWrap w:val="0"/>
                  <w:vAlign w:val="center"/>
                </w:tcPr>
                <w:p w14:paraId="778909A5">
                  <w:pPr>
                    <w:pStyle w:val="92"/>
                    <w:pageBreakBefore w:val="0"/>
                    <w:kinsoku/>
                    <w:wordWrap w:val="0"/>
                    <w:overflowPunct/>
                    <w:bidi w:val="0"/>
                    <w:rPr>
                      <w:color w:val="000000" w:themeColor="text1"/>
                      <w:highlight w:val="none"/>
                      <w14:textFill>
                        <w14:solidFill>
                          <w14:schemeClr w14:val="tx1"/>
                        </w14:solidFill>
                      </w14:textFill>
                    </w:rPr>
                  </w:pPr>
                </w:p>
              </w:tc>
              <w:tc>
                <w:tcPr>
                  <w:tcW w:w="920" w:type="dxa"/>
                  <w:vMerge w:val="continue"/>
                  <w:noWrap w:val="0"/>
                  <w:vAlign w:val="center"/>
                </w:tcPr>
                <w:p w14:paraId="33DEA325">
                  <w:pPr>
                    <w:pStyle w:val="92"/>
                    <w:pageBreakBefore w:val="0"/>
                    <w:kinsoku/>
                    <w:wordWrap w:val="0"/>
                    <w:overflowPunct/>
                    <w:bidi w:val="0"/>
                    <w:rPr>
                      <w:color w:val="000000" w:themeColor="text1"/>
                      <w:highlight w:val="none"/>
                      <w14:textFill>
                        <w14:solidFill>
                          <w14:schemeClr w14:val="tx1"/>
                        </w14:solidFill>
                      </w14:textFill>
                    </w:rPr>
                  </w:pPr>
                </w:p>
              </w:tc>
              <w:tc>
                <w:tcPr>
                  <w:tcW w:w="1713" w:type="dxa"/>
                  <w:vMerge w:val="continue"/>
                  <w:noWrap w:val="0"/>
                  <w:vAlign w:val="center"/>
                </w:tcPr>
                <w:p w14:paraId="2CDAB140">
                  <w:pPr>
                    <w:pStyle w:val="92"/>
                    <w:pageBreakBefore w:val="0"/>
                    <w:kinsoku/>
                    <w:wordWrap w:val="0"/>
                    <w:overflowPunct/>
                    <w:bidi w:val="0"/>
                    <w:rPr>
                      <w:color w:val="000000" w:themeColor="text1"/>
                      <w:highlight w:val="none"/>
                      <w14:textFill>
                        <w14:solidFill>
                          <w14:schemeClr w14:val="tx1"/>
                        </w14:solidFill>
                      </w14:textFill>
                    </w:rPr>
                  </w:pPr>
                </w:p>
              </w:tc>
              <w:tc>
                <w:tcPr>
                  <w:tcW w:w="855" w:type="dxa"/>
                  <w:noWrap w:val="0"/>
                  <w:vAlign w:val="center"/>
                </w:tcPr>
                <w:p w14:paraId="2FA92A07">
                  <w:pPr>
                    <w:pStyle w:val="92"/>
                    <w:pageBreakBefore w:val="0"/>
                    <w:kinsoku/>
                    <w:wordWrap w:val="0"/>
                    <w:overflowPunct/>
                    <w:bidi w:val="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n</w:t>
                  </w:r>
                  <w:r>
                    <w:rPr>
                      <w:b/>
                      <w:bCs/>
                      <w:color w:val="000000" w:themeColor="text1"/>
                      <w:highlight w:val="none"/>
                      <w14:textFill>
                        <w14:solidFill>
                          <w14:schemeClr w14:val="tx1"/>
                        </w14:solidFill>
                      </w14:textFill>
                    </w:rPr>
                    <w:t>g/m</w:t>
                  </w:r>
                  <w:r>
                    <w:rPr>
                      <w:b/>
                      <w:bCs/>
                      <w:color w:val="000000" w:themeColor="text1"/>
                      <w:highlight w:val="none"/>
                      <w:vertAlign w:val="superscript"/>
                      <w14:textFill>
                        <w14:solidFill>
                          <w14:schemeClr w14:val="tx1"/>
                        </w14:solidFill>
                      </w14:textFill>
                    </w:rPr>
                    <w:t>3</w:t>
                  </w:r>
                </w:p>
              </w:tc>
              <w:tc>
                <w:tcPr>
                  <w:tcW w:w="1275" w:type="dxa"/>
                  <w:vMerge w:val="continue"/>
                  <w:noWrap w:val="0"/>
                  <w:vAlign w:val="center"/>
                </w:tcPr>
                <w:p w14:paraId="0C6C73FA">
                  <w:pPr>
                    <w:pStyle w:val="92"/>
                    <w:pageBreakBefore w:val="0"/>
                    <w:kinsoku/>
                    <w:wordWrap w:val="0"/>
                    <w:overflowPunct/>
                    <w:bidi w:val="0"/>
                    <w:rPr>
                      <w:color w:val="000000" w:themeColor="text1"/>
                      <w:highlight w:val="none"/>
                      <w14:textFill>
                        <w14:solidFill>
                          <w14:schemeClr w14:val="tx1"/>
                        </w14:solidFill>
                      </w14:textFill>
                    </w:rPr>
                  </w:pPr>
                </w:p>
              </w:tc>
              <w:tc>
                <w:tcPr>
                  <w:tcW w:w="704" w:type="dxa"/>
                  <w:vMerge w:val="continue"/>
                  <w:noWrap w:val="0"/>
                  <w:vAlign w:val="center"/>
                </w:tcPr>
                <w:p w14:paraId="6B1BE7FD">
                  <w:pPr>
                    <w:pStyle w:val="92"/>
                    <w:pageBreakBefore w:val="0"/>
                    <w:kinsoku/>
                    <w:wordWrap w:val="0"/>
                    <w:overflowPunct/>
                    <w:bidi w:val="0"/>
                    <w:rPr>
                      <w:color w:val="000000" w:themeColor="text1"/>
                      <w:highlight w:val="none"/>
                      <w14:textFill>
                        <w14:solidFill>
                          <w14:schemeClr w14:val="tx1"/>
                        </w14:solidFill>
                      </w14:textFill>
                    </w:rPr>
                  </w:pPr>
                </w:p>
              </w:tc>
              <w:tc>
                <w:tcPr>
                  <w:tcW w:w="734" w:type="dxa"/>
                  <w:vMerge w:val="continue"/>
                  <w:noWrap w:val="0"/>
                  <w:vAlign w:val="center"/>
                </w:tcPr>
                <w:p w14:paraId="71171092">
                  <w:pPr>
                    <w:pStyle w:val="92"/>
                    <w:pageBreakBefore w:val="0"/>
                    <w:kinsoku/>
                    <w:wordWrap w:val="0"/>
                    <w:overflowPunct/>
                    <w:bidi w:val="0"/>
                    <w:rPr>
                      <w:color w:val="000000" w:themeColor="text1"/>
                      <w:highlight w:val="none"/>
                      <w14:textFill>
                        <w14:solidFill>
                          <w14:schemeClr w14:val="tx1"/>
                        </w14:solidFill>
                      </w14:textFill>
                    </w:rPr>
                  </w:pPr>
                </w:p>
              </w:tc>
              <w:tc>
                <w:tcPr>
                  <w:tcW w:w="1182" w:type="dxa"/>
                  <w:vMerge w:val="continue"/>
                  <w:noWrap w:val="0"/>
                  <w:vAlign w:val="center"/>
                </w:tcPr>
                <w:p w14:paraId="1B120E3C">
                  <w:pPr>
                    <w:pStyle w:val="92"/>
                    <w:pageBreakBefore w:val="0"/>
                    <w:kinsoku/>
                    <w:wordWrap w:val="0"/>
                    <w:overflowPunct/>
                    <w:bidi w:val="0"/>
                    <w:rPr>
                      <w:color w:val="000000" w:themeColor="text1"/>
                      <w:highlight w:val="none"/>
                      <w14:textFill>
                        <w14:solidFill>
                          <w14:schemeClr w14:val="tx1"/>
                        </w14:solidFill>
                      </w14:textFill>
                    </w:rPr>
                  </w:pPr>
                </w:p>
              </w:tc>
            </w:tr>
            <w:tr w14:paraId="6D6451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870" w:type="dxa"/>
                  <w:noWrap w:val="0"/>
                  <w:vAlign w:val="center"/>
                </w:tcPr>
                <w:p w14:paraId="6C5B9F4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厂界下风向</w:t>
                  </w:r>
                </w:p>
              </w:tc>
              <w:tc>
                <w:tcPr>
                  <w:tcW w:w="920" w:type="dxa"/>
                  <w:noWrap w:val="0"/>
                  <w:vAlign w:val="center"/>
                </w:tcPr>
                <w:p w14:paraId="32AB91B4">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苯并[a]芘</w:t>
                  </w:r>
                </w:p>
              </w:tc>
              <w:tc>
                <w:tcPr>
                  <w:tcW w:w="1713" w:type="dxa"/>
                  <w:noWrap w:val="0"/>
                  <w:vAlign w:val="center"/>
                </w:tcPr>
                <w:p w14:paraId="008E716A">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2024.4.20~2024.4.22</w:t>
                  </w:r>
                </w:p>
              </w:tc>
              <w:tc>
                <w:tcPr>
                  <w:tcW w:w="855" w:type="dxa"/>
                  <w:noWrap w:val="0"/>
                  <w:vAlign w:val="center"/>
                </w:tcPr>
                <w:p w14:paraId="34DB7F65">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w:t>
                  </w:r>
                </w:p>
              </w:tc>
              <w:tc>
                <w:tcPr>
                  <w:tcW w:w="1275" w:type="dxa"/>
                  <w:noWrap w:val="0"/>
                  <w:vAlign w:val="center"/>
                </w:tcPr>
                <w:p w14:paraId="24A25B8A">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＜0.1</w:t>
                  </w:r>
                </w:p>
              </w:tc>
              <w:tc>
                <w:tcPr>
                  <w:tcW w:w="704" w:type="dxa"/>
                  <w:noWrap w:val="0"/>
                  <w:vAlign w:val="center"/>
                </w:tcPr>
                <w:p w14:paraId="61C1DD37">
                  <w:pPr>
                    <w:pStyle w:val="92"/>
                    <w:pageBreakBefore w:val="0"/>
                    <w:kinsoku/>
                    <w:wordWrap w:val="0"/>
                    <w:overflowPunct/>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734" w:type="dxa"/>
                  <w:noWrap w:val="0"/>
                  <w:vAlign w:val="center"/>
                </w:tcPr>
                <w:p w14:paraId="09C880E6">
                  <w:pPr>
                    <w:pStyle w:val="92"/>
                    <w:pageBreakBefore w:val="0"/>
                    <w:kinsoku/>
                    <w:wordWrap w:val="0"/>
                    <w:overflowPunct/>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1182" w:type="dxa"/>
                  <w:noWrap w:val="0"/>
                  <w:vAlign w:val="center"/>
                </w:tcPr>
                <w:p w14:paraId="4893E4C5">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w:t>
                  </w:r>
                </w:p>
              </w:tc>
            </w:tr>
          </w:tbl>
          <w:p w14:paraId="18FC47CE">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由上表可知，项目所在区域内苯并[a]芘能满足《环境空气质量标准》（GB3095-2012）表2其他项目二级标准</w:t>
            </w:r>
            <w:r>
              <w:rPr>
                <w:rFonts w:hint="eastAsia" w:cs="Times New Roman"/>
                <w:color w:val="000000" w:themeColor="text1"/>
                <w:sz w:val="21"/>
                <w:szCs w:val="21"/>
                <w:highlight w:val="none"/>
                <w:vertAlign w:val="baseline"/>
                <w:lang w:val="en-US" w:eastAsia="zh-CN"/>
                <w14:textFill>
                  <w14:solidFill>
                    <w14:schemeClr w14:val="tx1"/>
                  </w14:solidFill>
                </w14:textFill>
              </w:rPr>
              <w:t>。</w:t>
            </w:r>
          </w:p>
          <w:p w14:paraId="71285236">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2.地表水环境</w:t>
            </w:r>
          </w:p>
          <w:p w14:paraId="52A9BE40">
            <w:pPr>
              <w:keepNext w:val="0"/>
              <w:keepLines w:val="0"/>
              <w:pageBreakBefore w:val="0"/>
              <w:widowControl/>
              <w:kinsoku/>
              <w:wordWrap w:val="0"/>
              <w:overflowPunct/>
              <w:topLinePunct w:val="0"/>
              <w:autoSpaceDE/>
              <w:autoSpaceDN/>
              <w:bidi w:val="0"/>
              <w:adjustRightInd/>
              <w:snapToGrid/>
              <w:spacing w:line="480" w:lineRule="exact"/>
              <w:ind w:firstLine="480"/>
              <w:textAlignment w:val="auto"/>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bidi="zh-CN"/>
                <w14:textFill>
                  <w14:solidFill>
                    <w14:schemeClr w14:val="tx1"/>
                  </w14:solidFill>
                </w14:textFill>
              </w:rPr>
              <w:t>根据</w:t>
            </w:r>
            <w:r>
              <w:rPr>
                <w:color w:val="000000" w:themeColor="text1"/>
                <w:kern w:val="0"/>
                <w:highlight w:val="none"/>
                <w:lang w:bidi="ar"/>
                <w14:textFill>
                  <w14:solidFill>
                    <w14:schemeClr w14:val="tx1"/>
                  </w14:solidFill>
                </w14:textFill>
              </w:rPr>
              <w:t>《202</w:t>
            </w:r>
            <w:r>
              <w:rPr>
                <w:rFonts w:hint="eastAsia"/>
                <w:color w:val="000000" w:themeColor="text1"/>
                <w:kern w:val="0"/>
                <w:highlight w:val="none"/>
                <w:lang w:val="en-US" w:eastAsia="zh-CN" w:bidi="ar"/>
                <w14:textFill>
                  <w14:solidFill>
                    <w14:schemeClr w14:val="tx1"/>
                  </w14:solidFill>
                </w14:textFill>
              </w:rPr>
              <w:t>3</w:t>
            </w:r>
            <w:r>
              <w:rPr>
                <w:color w:val="000000" w:themeColor="text1"/>
                <w:kern w:val="0"/>
                <w:highlight w:val="none"/>
                <w:lang w:bidi="ar"/>
                <w14:textFill>
                  <w14:solidFill>
                    <w14:schemeClr w14:val="tx1"/>
                  </w14:solidFill>
                </w14:textFill>
              </w:rPr>
              <w:t>年</w:t>
            </w:r>
            <w:r>
              <w:rPr>
                <w:rFonts w:hint="eastAsia"/>
                <w:color w:val="000000" w:themeColor="text1"/>
                <w:highlight w:val="none"/>
                <w14:textFill>
                  <w14:solidFill>
                    <w14:schemeClr w14:val="tx1"/>
                  </w14:solidFill>
                </w14:textFill>
              </w:rPr>
              <w:t>承德市生态环境状况公报</w:t>
            </w:r>
            <w:r>
              <w:rPr>
                <w:color w:val="000000" w:themeColor="text1"/>
                <w:kern w:val="0"/>
                <w:highlight w:val="none"/>
                <w:lang w:bidi="ar"/>
                <w14:textFill>
                  <w14:solidFill>
                    <w14:schemeClr w14:val="tx1"/>
                  </w14:solidFill>
                </w14:textFill>
              </w:rPr>
              <w:t>》，</w:t>
            </w:r>
            <w:r>
              <w:rPr>
                <w:rFonts w:hint="eastAsia"/>
                <w:color w:val="000000" w:themeColor="text1"/>
                <w:kern w:val="0"/>
                <w:highlight w:val="none"/>
                <w:lang w:bidi="ar"/>
                <w14:textFill>
                  <w14:solidFill>
                    <w14:schemeClr w14:val="tx1"/>
                  </w14:solidFill>
                </w14:textFill>
              </w:rPr>
              <w:t>伊逊河是滦河的一级支流，</w:t>
            </w:r>
            <w:r>
              <w:rPr>
                <w:rFonts w:hint="eastAsia"/>
                <w:color w:val="000000" w:themeColor="text1"/>
                <w:kern w:val="0"/>
                <w:highlight w:val="none"/>
                <w:lang w:val="en-US" w:eastAsia="zh-CN" w:bidi="ar"/>
                <w14:textFill>
                  <w14:solidFill>
                    <w14:schemeClr w14:val="tx1"/>
                  </w14:solidFill>
                </w14:textFill>
              </w:rPr>
              <w:t>水质总体为优，与2022年持平，监测的2个断面中，唐三营水质为</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Ⅲ</w:t>
            </w: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类，李台为</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Ⅱ</w:t>
            </w:r>
            <w:r>
              <w:rPr>
                <w:rFonts w:hint="eastAsia" w:ascii="Times New Roman" w:hAnsi="Times New Roman" w:eastAsia="宋体" w:cs="Times New Roman"/>
                <w:color w:val="000000" w:themeColor="text1"/>
                <w:highlight w:val="none"/>
                <w:vertAlign w:val="baseline"/>
                <w:lang w:val="en-US" w:eastAsia="zh-CN"/>
                <w14:textFill>
                  <w14:solidFill>
                    <w14:schemeClr w14:val="tx1"/>
                  </w14:solidFill>
                </w14:textFill>
              </w:rPr>
              <w:t>类。</w:t>
            </w:r>
          </w:p>
          <w:p w14:paraId="2AB80902">
            <w:pPr>
              <w:keepNext w:val="0"/>
              <w:keepLines w:val="0"/>
              <w:pageBreakBefore w:val="0"/>
              <w:widowControl/>
              <w:kinsoku/>
              <w:wordWrap w:val="0"/>
              <w:overflowPunct/>
              <w:topLinePunct w:val="0"/>
              <w:autoSpaceDE/>
              <w:autoSpaceDN/>
              <w:bidi w:val="0"/>
              <w:adjustRightInd/>
              <w:snapToGrid/>
              <w:spacing w:line="480" w:lineRule="exact"/>
              <w:ind w:firstLine="480"/>
              <w:textAlignment w:val="auto"/>
              <w:rPr>
                <w:color w:val="000000" w:themeColor="text1"/>
                <w:highlight w:val="none"/>
                <w:lang w:bidi="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本项目内区域河流为伊玛图河，属于伊逊河支流，距本项目440m，</w:t>
            </w:r>
            <w:r>
              <w:rPr>
                <w:rFonts w:hint="eastAsia"/>
                <w:color w:val="000000" w:themeColor="text1"/>
                <w:highlight w:val="none"/>
                <w:lang w:val="en-US" w:bidi="zh-CN"/>
                <w14:textFill>
                  <w14:solidFill>
                    <w14:schemeClr w14:val="tx1"/>
                  </w14:solidFill>
                </w14:textFill>
              </w:rPr>
              <w:t>根据</w:t>
            </w:r>
            <w:r>
              <w:rPr>
                <w:rFonts w:hint="eastAsia"/>
                <w:color w:val="000000" w:themeColor="text1"/>
                <w:highlight w:val="none"/>
                <w:lang w:bidi="zh-CN"/>
                <w14:textFill>
                  <w14:solidFill>
                    <w14:schemeClr w14:val="tx1"/>
                  </w14:solidFill>
                </w14:textFill>
              </w:rPr>
              <w:t>《河北省水功能区划》（冀水资[2017]127 号），</w:t>
            </w:r>
            <w:r>
              <w:rPr>
                <w:rFonts w:hint="eastAsia"/>
                <w:color w:val="000000" w:themeColor="text1"/>
                <w:highlight w:val="none"/>
                <w:lang w:val="en-US" w:bidi="zh-CN"/>
                <w14:textFill>
                  <w14:solidFill>
                    <w14:schemeClr w14:val="tx1"/>
                  </w14:solidFill>
                </w14:textFill>
              </w:rPr>
              <w:t>项目周边河流范围属于“下河南以上”，根据河北省一级水功能区划登记表该河流范围属于蚁蚂吐河承德保留区，执行</w:t>
            </w:r>
            <w:r>
              <w:rPr>
                <w:rFonts w:hint="eastAsia"/>
                <w:color w:val="000000" w:themeColor="text1"/>
                <w:highlight w:val="none"/>
                <w:lang w:bidi="zh-CN"/>
                <w14:textFill>
                  <w14:solidFill>
                    <w14:schemeClr w14:val="tx1"/>
                  </w14:solidFill>
                </w14:textFill>
              </w:rPr>
              <w:t>《地表水环境质量标准》</w:t>
            </w:r>
            <w:r>
              <w:rPr>
                <w:color w:val="000000" w:themeColor="text1"/>
                <w:highlight w:val="none"/>
                <w:lang w:val="zh-CN" w:bidi="zh-CN"/>
                <w14:textFill>
                  <w14:solidFill>
                    <w14:schemeClr w14:val="tx1"/>
                  </w14:solidFill>
                </w14:textFill>
              </w:rPr>
              <w:t>（GB3838-2002）</w:t>
            </w:r>
            <w:r>
              <w:rPr>
                <w:rFonts w:hint="default"/>
                <w:color w:val="000000" w:themeColor="text1"/>
                <w:highlight w:val="none"/>
                <w:lang w:val="zh-CN" w:bidi="zh-CN"/>
                <w14:textFill>
                  <w14:solidFill>
                    <w14:schemeClr w14:val="tx1"/>
                  </w14:solidFill>
                </w14:textFill>
              </w:rPr>
              <w:t>Ⅲ</w:t>
            </w:r>
            <w:r>
              <w:rPr>
                <w:color w:val="000000" w:themeColor="text1"/>
                <w:highlight w:val="none"/>
                <w:lang w:val="zh-CN" w:bidi="zh-CN"/>
                <w14:textFill>
                  <w14:solidFill>
                    <w14:schemeClr w14:val="tx1"/>
                  </w14:solidFill>
                </w14:textFill>
              </w:rPr>
              <w:t>类标准</w:t>
            </w:r>
            <w:r>
              <w:rPr>
                <w:rFonts w:hint="eastAsia"/>
                <w:color w:val="000000" w:themeColor="text1"/>
                <w:highlight w:val="none"/>
                <w:lang w:val="zh-CN" w:bidi="zh-CN"/>
                <w14:textFill>
                  <w14:solidFill>
                    <w14:schemeClr w14:val="tx1"/>
                  </w14:solidFill>
                </w14:textFill>
              </w:rPr>
              <w:t>。</w:t>
            </w:r>
          </w:p>
          <w:p w14:paraId="66E50F87">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项目所在地区域及可能影响的范围内均无饮用水源保护区和集中式饮用水水源地，地表水环境能够满足《地表水环境质量标准》（GB3838-2002）中</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Ⅲ</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类标准要求。</w:t>
            </w:r>
          </w:p>
          <w:p w14:paraId="5CD103F6">
            <w:pPr>
              <w:pStyle w:val="65"/>
              <w:keepNext w:val="0"/>
              <w:keepLines w:val="0"/>
              <w:pageBreakBefore w:val="0"/>
              <w:widowControl w:val="0"/>
              <w:kinsoku/>
              <w:wordWrap w:val="0"/>
              <w:overflowPunct/>
              <w:topLinePunct w:val="0"/>
              <w:autoSpaceDE/>
              <w:autoSpaceDN/>
              <w:bidi w:val="0"/>
              <w:adjustRightInd/>
              <w:snapToGrid/>
              <w:spacing w:line="480" w:lineRule="exact"/>
              <w:ind w:firstLine="422" w:firstLineChars="200"/>
              <w:jc w:val="left"/>
              <w:textAlignment w:val="auto"/>
              <w:rPr>
                <w:rFonts w:hint="default"/>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3.声环境</w:t>
            </w:r>
          </w:p>
          <w:p w14:paraId="734158CB">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本项目位于承德路瑞公路养护工程有限公司</w:t>
            </w:r>
            <w:r>
              <w:rPr>
                <w:rFonts w:hint="eastAsia" w:cs="Times New Roman"/>
                <w:color w:val="000000" w:themeColor="text1"/>
                <w:sz w:val="21"/>
                <w:szCs w:val="21"/>
                <w:highlight w:val="none"/>
                <w:lang w:val="en-US" w:eastAsia="zh-CN"/>
                <w14:textFill>
                  <w14:solidFill>
                    <w14:schemeClr w14:val="tx1"/>
                  </w14:solidFill>
                </w14:textFill>
              </w:rPr>
              <w:t>院内，项目周边最近且影响最大的声环境保护目标为厂区东侧紧邻的于家湾村。</w:t>
            </w:r>
          </w:p>
          <w:p w14:paraId="4123C364">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left"/>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承德路瑞公路养护工程有限公司</w:t>
            </w:r>
            <w:r>
              <w:rPr>
                <w:rFonts w:hint="eastAsia" w:cs="Times New Roman"/>
                <w:color w:val="000000" w:themeColor="text1"/>
                <w:sz w:val="21"/>
                <w:szCs w:val="21"/>
                <w:highlight w:val="none"/>
                <w:lang w:val="en-US" w:eastAsia="zh-CN"/>
                <w14:textFill>
                  <w14:solidFill>
                    <w14:schemeClr w14:val="tx1"/>
                  </w14:solidFill>
                </w14:textFill>
              </w:rPr>
              <w:t>于2024年4月22日委托河北承普环境检测有限公司对厂区和敏感点进行了声环境质量现状监测，检测报告为：承普检字[2024]第454号，声环境质量现状监测结果如下所示：</w:t>
            </w:r>
          </w:p>
          <w:p w14:paraId="2AC1F805">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监测点位、检测项目及检测频次：</w:t>
            </w:r>
          </w:p>
          <w:p w14:paraId="452A045F">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8</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监测点位、项目及频次一览表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1290"/>
              <w:gridCol w:w="5123"/>
            </w:tblGrid>
            <w:tr w14:paraId="4F2B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pct"/>
                  <w:noWrap w:val="0"/>
                  <w:vAlign w:val="center"/>
                </w:tcPr>
                <w:p w14:paraId="67DED3E8">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采样点位</w:t>
                  </w:r>
                </w:p>
              </w:tc>
              <w:tc>
                <w:tcPr>
                  <w:tcW w:w="779" w:type="pct"/>
                  <w:noWrap w:val="0"/>
                  <w:vAlign w:val="center"/>
                </w:tcPr>
                <w:p w14:paraId="080A311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检测项目</w:t>
                  </w:r>
                </w:p>
              </w:tc>
              <w:tc>
                <w:tcPr>
                  <w:tcW w:w="3095" w:type="pct"/>
                  <w:noWrap w:val="0"/>
                  <w:vAlign w:val="center"/>
                </w:tcPr>
                <w:p w14:paraId="55E7B273">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检测频次</w:t>
                  </w:r>
                </w:p>
              </w:tc>
            </w:tr>
            <w:tr w14:paraId="25BEC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5" w:type="pct"/>
                  <w:noWrap w:val="0"/>
                  <w:vAlign w:val="center"/>
                </w:tcPr>
                <w:p w14:paraId="463864A6">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厂界、敏感点</w:t>
                  </w:r>
                </w:p>
              </w:tc>
              <w:tc>
                <w:tcPr>
                  <w:tcW w:w="779" w:type="pct"/>
                  <w:noWrap w:val="0"/>
                  <w:vAlign w:val="center"/>
                </w:tcPr>
                <w:p w14:paraId="4371C0D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噪声</w:t>
                  </w:r>
                </w:p>
              </w:tc>
              <w:tc>
                <w:tcPr>
                  <w:tcW w:w="3095" w:type="pct"/>
                  <w:noWrap w:val="0"/>
                  <w:vAlign w:val="center"/>
                </w:tcPr>
                <w:p w14:paraId="4D6EAA6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检测一天，昼夜各1次/天</w:t>
                  </w:r>
                </w:p>
              </w:tc>
            </w:tr>
          </w:tbl>
          <w:p w14:paraId="75127972">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②检测分析方法及所用仪器</w:t>
            </w:r>
          </w:p>
          <w:p w14:paraId="355A8809">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9</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检测方法及仪器设备一览表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1907"/>
              <w:gridCol w:w="4078"/>
              <w:gridCol w:w="890"/>
            </w:tblGrid>
            <w:tr w14:paraId="5FE8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8" w:type="dxa"/>
                  <w:noWrap w:val="0"/>
                  <w:vAlign w:val="center"/>
                </w:tcPr>
                <w:p w14:paraId="1C1AB05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检测项目</w:t>
                  </w:r>
                </w:p>
              </w:tc>
              <w:tc>
                <w:tcPr>
                  <w:tcW w:w="1907" w:type="dxa"/>
                  <w:noWrap w:val="0"/>
                  <w:vAlign w:val="center"/>
                </w:tcPr>
                <w:p w14:paraId="61772B8D">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分析方法</w:t>
                  </w:r>
                </w:p>
              </w:tc>
              <w:tc>
                <w:tcPr>
                  <w:tcW w:w="4078" w:type="dxa"/>
                  <w:noWrap w:val="0"/>
                  <w:vAlign w:val="center"/>
                </w:tcPr>
                <w:p w14:paraId="178C61FC">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仪器名称/型号/编号</w:t>
                  </w:r>
                </w:p>
              </w:tc>
              <w:tc>
                <w:tcPr>
                  <w:tcW w:w="890" w:type="dxa"/>
                  <w:noWrap w:val="0"/>
                  <w:vAlign w:val="center"/>
                </w:tcPr>
                <w:p w14:paraId="12AD005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检出限/范围</w:t>
                  </w:r>
                </w:p>
              </w:tc>
            </w:tr>
            <w:tr w14:paraId="76DD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88" w:type="dxa"/>
                  <w:noWrap w:val="0"/>
                  <w:vAlign w:val="center"/>
                </w:tcPr>
                <w:p w14:paraId="2D568506">
                  <w:pPr>
                    <w:keepNext w:val="0"/>
                    <w:keepLines w:val="0"/>
                    <w:pageBreakBefore w:val="0"/>
                    <w:kinsoku/>
                    <w:wordWrap w:val="0"/>
                    <w:overflowPunct/>
                    <w:topLinePunct w:val="0"/>
                    <w:autoSpaceDE/>
                    <w:autoSpaceDN/>
                    <w:bidi w:val="0"/>
                    <w:adjustRightInd/>
                    <w:snapToGrid/>
                    <w:spacing w:line="240" w:lineRule="atLeas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环境噪声（等效连续A声级）</w:t>
                  </w:r>
                </w:p>
              </w:tc>
              <w:tc>
                <w:tcPr>
                  <w:tcW w:w="1907" w:type="dxa"/>
                  <w:noWrap w:val="0"/>
                  <w:vAlign w:val="center"/>
                </w:tcPr>
                <w:p w14:paraId="27F0CC4C">
                  <w:pPr>
                    <w:keepNext w:val="0"/>
                    <w:keepLines w:val="0"/>
                    <w:pageBreakBefore w:val="0"/>
                    <w:kinsoku/>
                    <w:wordWrap w:val="0"/>
                    <w:overflowPunct/>
                    <w:topLinePunct w:val="0"/>
                    <w:autoSpaceDE/>
                    <w:autoSpaceDN/>
                    <w:bidi w:val="0"/>
                    <w:adjustRightInd/>
                    <w:spacing w:line="240" w:lineRule="atLeas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《声环境质量标准》GB3096-2008</w:t>
                  </w:r>
                </w:p>
              </w:tc>
              <w:tc>
                <w:tcPr>
                  <w:tcW w:w="4078" w:type="dxa"/>
                  <w:noWrap w:val="0"/>
                  <w:vAlign w:val="center"/>
                </w:tcPr>
                <w:p w14:paraId="6ABDE441">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多功能声级计</w:t>
                  </w:r>
                </w:p>
                <w:p w14:paraId="115A2877">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AWA5688/CPYQ-173/CPYQ-156</w:t>
                  </w:r>
                </w:p>
                <w:p w14:paraId="7BA2DE48">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声校准器</w:t>
                  </w:r>
                </w:p>
                <w:p w14:paraId="62952E25">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AWA6022A/CPYQ-174/CPYQ-154</w:t>
                  </w:r>
                </w:p>
                <w:p w14:paraId="21E253AC">
                  <w:pPr>
                    <w:pStyle w:val="13"/>
                    <w:keepNext w:val="0"/>
                    <w:keepLines w:val="0"/>
                    <w:pageBreakBefore w:val="0"/>
                    <w:widowControl w:val="0"/>
                    <w:kinsoku/>
                    <w:wordWrap w:val="0"/>
                    <w:overflowPunct/>
                    <w:topLinePunct w:val="0"/>
                    <w:autoSpaceDE/>
                    <w:autoSpaceDN/>
                    <w:bidi w:val="0"/>
                    <w:adjustRightInd/>
                    <w:snapToGrid/>
                    <w:spacing w:after="0" w:line="320" w:lineRule="exact"/>
                    <w:ind w:left="0" w:leftChars="0" w:right="0" w:righ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电接风向风速仪HP-16026/CPYQ-172</w:t>
                  </w:r>
                </w:p>
              </w:tc>
              <w:tc>
                <w:tcPr>
                  <w:tcW w:w="890" w:type="dxa"/>
                  <w:noWrap w:val="0"/>
                  <w:vAlign w:val="center"/>
                </w:tcPr>
                <w:p w14:paraId="010232A8">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r>
          </w:tbl>
          <w:p w14:paraId="2DEED5BE">
            <w:pPr>
              <w:keepNext w:val="0"/>
              <w:keepLines w:val="0"/>
              <w:pageBreakBefore w:val="0"/>
              <w:widowControl w:val="0"/>
              <w:kinsoku/>
              <w:wordWrap w:val="0"/>
              <w:overflowPunct/>
              <w:topLinePunct w:val="0"/>
              <w:autoSpaceDE/>
              <w:autoSpaceDN/>
              <w:bidi w:val="0"/>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③检测结果</w:t>
            </w:r>
          </w:p>
          <w:p w14:paraId="419A1DB1">
            <w:pPr>
              <w:keepNext w:val="0"/>
              <w:keepLines w:val="0"/>
              <w:pageBreakBefore w:val="0"/>
              <w:widowControl w:val="0"/>
              <w:kinsoku/>
              <w:wordWrap w:val="0"/>
              <w:overflowPunct/>
              <w:topLinePunct w:val="0"/>
              <w:autoSpaceDE/>
              <w:autoSpaceDN/>
              <w:bidi w:val="0"/>
              <w:spacing w:line="4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表3-1</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0</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检测结果统计及达标分析一览表</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07"/>
              <w:gridCol w:w="1805"/>
              <w:gridCol w:w="2163"/>
              <w:gridCol w:w="2578"/>
            </w:tblGrid>
            <w:tr w14:paraId="41265E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707" w:type="dxa"/>
                  <w:vMerge w:val="restart"/>
                  <w:noWrap w:val="0"/>
                  <w:vAlign w:val="center"/>
                </w:tcPr>
                <w:p w14:paraId="24918A88">
                  <w:pPr>
                    <w:pStyle w:val="92"/>
                    <w:pageBreakBefore w:val="0"/>
                    <w:kinsoku/>
                    <w:wordWrap w:val="0"/>
                    <w:overflowPunct/>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检测日期</w:t>
                  </w:r>
                </w:p>
              </w:tc>
              <w:tc>
                <w:tcPr>
                  <w:tcW w:w="1805" w:type="dxa"/>
                  <w:vMerge w:val="restart"/>
                  <w:noWrap w:val="0"/>
                  <w:vAlign w:val="center"/>
                </w:tcPr>
                <w:p w14:paraId="7F98759A">
                  <w:pPr>
                    <w:pStyle w:val="92"/>
                    <w:pageBreakBefore w:val="0"/>
                    <w:kinsoku/>
                    <w:wordWrap w:val="0"/>
                    <w:overflowPunct/>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检测点位</w:t>
                  </w:r>
                </w:p>
              </w:tc>
              <w:tc>
                <w:tcPr>
                  <w:tcW w:w="4741" w:type="dxa"/>
                  <w:gridSpan w:val="2"/>
                  <w:noWrap w:val="0"/>
                  <w:vAlign w:val="center"/>
                </w:tcPr>
                <w:p w14:paraId="1847245D">
                  <w:pPr>
                    <w:pStyle w:val="92"/>
                    <w:pageBreakBefore w:val="0"/>
                    <w:kinsoku/>
                    <w:wordWrap w:val="0"/>
                    <w:overflowPunct/>
                    <w:bidi w:val="0"/>
                    <w:rPr>
                      <w:rFonts w:hint="default"/>
                      <w:b/>
                      <w:bCs/>
                      <w:color w:val="000000" w:themeColor="text1"/>
                      <w:highlight w:val="none"/>
                      <w:lang w:val="en-US"/>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检测结果dB（A）</w:t>
                  </w:r>
                </w:p>
              </w:tc>
            </w:tr>
            <w:tr w14:paraId="1DDFF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707" w:type="dxa"/>
                  <w:vMerge w:val="continue"/>
                  <w:noWrap w:val="0"/>
                  <w:vAlign w:val="center"/>
                </w:tcPr>
                <w:p w14:paraId="276D4A42">
                  <w:pPr>
                    <w:pStyle w:val="92"/>
                    <w:pageBreakBefore w:val="0"/>
                    <w:kinsoku/>
                    <w:wordWrap w:val="0"/>
                    <w:overflowPunct/>
                    <w:bidi w:val="0"/>
                    <w:rPr>
                      <w:color w:val="000000" w:themeColor="text1"/>
                      <w:highlight w:val="none"/>
                      <w14:textFill>
                        <w14:solidFill>
                          <w14:schemeClr w14:val="tx1"/>
                        </w14:solidFill>
                      </w14:textFill>
                    </w:rPr>
                  </w:pPr>
                </w:p>
              </w:tc>
              <w:tc>
                <w:tcPr>
                  <w:tcW w:w="1805" w:type="dxa"/>
                  <w:vMerge w:val="continue"/>
                  <w:noWrap w:val="0"/>
                  <w:vAlign w:val="center"/>
                </w:tcPr>
                <w:p w14:paraId="182A3FC8">
                  <w:pPr>
                    <w:pStyle w:val="92"/>
                    <w:pageBreakBefore w:val="0"/>
                    <w:kinsoku/>
                    <w:wordWrap w:val="0"/>
                    <w:overflowPunct/>
                    <w:bidi w:val="0"/>
                    <w:rPr>
                      <w:color w:val="000000" w:themeColor="text1"/>
                      <w:highlight w:val="none"/>
                      <w14:textFill>
                        <w14:solidFill>
                          <w14:schemeClr w14:val="tx1"/>
                        </w14:solidFill>
                      </w14:textFill>
                    </w:rPr>
                  </w:pPr>
                </w:p>
              </w:tc>
              <w:tc>
                <w:tcPr>
                  <w:tcW w:w="2163" w:type="dxa"/>
                  <w:noWrap w:val="0"/>
                  <w:vAlign w:val="center"/>
                </w:tcPr>
                <w:p w14:paraId="3A5F53C3">
                  <w:pPr>
                    <w:pStyle w:val="92"/>
                    <w:pageBreakBefore w:val="0"/>
                    <w:kinsoku/>
                    <w:wordWrap w:val="0"/>
                    <w:overflowPunct/>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昼间</w:t>
                  </w:r>
                </w:p>
              </w:tc>
              <w:tc>
                <w:tcPr>
                  <w:tcW w:w="2578" w:type="dxa"/>
                  <w:noWrap w:val="0"/>
                  <w:vAlign w:val="center"/>
                </w:tcPr>
                <w:p w14:paraId="27EC4431">
                  <w:pPr>
                    <w:pStyle w:val="92"/>
                    <w:pageBreakBefore w:val="0"/>
                    <w:kinsoku/>
                    <w:wordWrap w:val="0"/>
                    <w:overflowPunct/>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夜间</w:t>
                  </w:r>
                </w:p>
              </w:tc>
            </w:tr>
            <w:tr w14:paraId="6D9C64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707" w:type="dxa"/>
                  <w:vMerge w:val="restart"/>
                  <w:noWrap w:val="0"/>
                  <w:vAlign w:val="center"/>
                </w:tcPr>
                <w:p w14:paraId="12F9436D">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2024.4.22~4.23</w:t>
                  </w:r>
                </w:p>
              </w:tc>
              <w:tc>
                <w:tcPr>
                  <w:tcW w:w="1805" w:type="dxa"/>
                  <w:noWrap w:val="0"/>
                  <w:vAlign w:val="center"/>
                </w:tcPr>
                <w:p w14:paraId="17D8AF4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厂界东</w:t>
                  </w:r>
                </w:p>
              </w:tc>
              <w:tc>
                <w:tcPr>
                  <w:tcW w:w="2163" w:type="dxa"/>
                  <w:noWrap w:val="0"/>
                  <w:vAlign w:val="center"/>
                </w:tcPr>
                <w:p w14:paraId="665094CF">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48</w:t>
                  </w:r>
                </w:p>
              </w:tc>
              <w:tc>
                <w:tcPr>
                  <w:tcW w:w="2578" w:type="dxa"/>
                  <w:noWrap w:val="0"/>
                  <w:vAlign w:val="center"/>
                </w:tcPr>
                <w:p w14:paraId="1E779926">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41</w:t>
                  </w:r>
                </w:p>
              </w:tc>
            </w:tr>
            <w:tr w14:paraId="56105A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707" w:type="dxa"/>
                  <w:vMerge w:val="continue"/>
                  <w:noWrap w:val="0"/>
                  <w:vAlign w:val="center"/>
                </w:tcPr>
                <w:p w14:paraId="225E5990">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805" w:type="dxa"/>
                  <w:noWrap w:val="0"/>
                  <w:vAlign w:val="center"/>
                </w:tcPr>
                <w:p w14:paraId="71E0C3AD">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厂界南</w:t>
                  </w:r>
                </w:p>
              </w:tc>
              <w:tc>
                <w:tcPr>
                  <w:tcW w:w="2163" w:type="dxa"/>
                  <w:noWrap w:val="0"/>
                  <w:vAlign w:val="center"/>
                </w:tcPr>
                <w:p w14:paraId="37307C4A">
                  <w:pPr>
                    <w:pStyle w:val="92"/>
                    <w:pageBreakBefore w:val="0"/>
                    <w:kinsoku/>
                    <w:wordWrap w:val="0"/>
                    <w:overflowPunct/>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60</w:t>
                  </w:r>
                </w:p>
              </w:tc>
              <w:tc>
                <w:tcPr>
                  <w:tcW w:w="2578" w:type="dxa"/>
                  <w:noWrap w:val="0"/>
                  <w:vAlign w:val="center"/>
                </w:tcPr>
                <w:p w14:paraId="14CF96AB">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46</w:t>
                  </w:r>
                </w:p>
              </w:tc>
            </w:tr>
            <w:tr w14:paraId="210FB5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707" w:type="dxa"/>
                  <w:vMerge w:val="continue"/>
                  <w:noWrap w:val="0"/>
                  <w:vAlign w:val="center"/>
                </w:tcPr>
                <w:p w14:paraId="7F1884E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805" w:type="dxa"/>
                  <w:noWrap w:val="0"/>
                  <w:vAlign w:val="center"/>
                </w:tcPr>
                <w:p w14:paraId="1E87785C">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厂界西</w:t>
                  </w:r>
                </w:p>
              </w:tc>
              <w:tc>
                <w:tcPr>
                  <w:tcW w:w="2163" w:type="dxa"/>
                  <w:noWrap w:val="0"/>
                  <w:vAlign w:val="center"/>
                </w:tcPr>
                <w:p w14:paraId="40134AE0">
                  <w:pPr>
                    <w:pStyle w:val="92"/>
                    <w:pageBreakBefore w:val="0"/>
                    <w:kinsoku/>
                    <w:wordWrap w:val="0"/>
                    <w:overflowPunct/>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54</w:t>
                  </w:r>
                </w:p>
              </w:tc>
              <w:tc>
                <w:tcPr>
                  <w:tcW w:w="2578" w:type="dxa"/>
                  <w:noWrap w:val="0"/>
                  <w:vAlign w:val="center"/>
                </w:tcPr>
                <w:p w14:paraId="1035E6D2">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38</w:t>
                  </w:r>
                </w:p>
              </w:tc>
            </w:tr>
            <w:tr w14:paraId="4E9140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707" w:type="dxa"/>
                  <w:vMerge w:val="continue"/>
                  <w:noWrap w:val="0"/>
                  <w:vAlign w:val="center"/>
                </w:tcPr>
                <w:p w14:paraId="67A29E6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805" w:type="dxa"/>
                  <w:noWrap w:val="0"/>
                  <w:vAlign w:val="center"/>
                </w:tcPr>
                <w:p w14:paraId="33ACE1FA">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厂界北</w:t>
                  </w:r>
                </w:p>
              </w:tc>
              <w:tc>
                <w:tcPr>
                  <w:tcW w:w="2163" w:type="dxa"/>
                  <w:noWrap w:val="0"/>
                  <w:vAlign w:val="center"/>
                </w:tcPr>
                <w:p w14:paraId="1551E54E">
                  <w:pPr>
                    <w:pStyle w:val="92"/>
                    <w:pageBreakBefore w:val="0"/>
                    <w:kinsoku/>
                    <w:wordWrap w:val="0"/>
                    <w:overflowPunct/>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45</w:t>
                  </w:r>
                </w:p>
              </w:tc>
              <w:tc>
                <w:tcPr>
                  <w:tcW w:w="2578" w:type="dxa"/>
                  <w:noWrap w:val="0"/>
                  <w:vAlign w:val="center"/>
                </w:tcPr>
                <w:p w14:paraId="19BF75D0">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42</w:t>
                  </w:r>
                </w:p>
              </w:tc>
            </w:tr>
            <w:tr w14:paraId="4EA731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707" w:type="dxa"/>
                  <w:vMerge w:val="continue"/>
                  <w:noWrap w:val="0"/>
                  <w:vAlign w:val="center"/>
                </w:tcPr>
                <w:p w14:paraId="2E7D104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805" w:type="dxa"/>
                  <w:noWrap w:val="0"/>
                  <w:vAlign w:val="center"/>
                </w:tcPr>
                <w:p w14:paraId="133F20C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敏感点</w:t>
                  </w:r>
                </w:p>
              </w:tc>
              <w:tc>
                <w:tcPr>
                  <w:tcW w:w="2163" w:type="dxa"/>
                  <w:noWrap w:val="0"/>
                  <w:vAlign w:val="center"/>
                </w:tcPr>
                <w:p w14:paraId="61F34D3E">
                  <w:pPr>
                    <w:pStyle w:val="92"/>
                    <w:pageBreakBefore w:val="0"/>
                    <w:kinsoku/>
                    <w:wordWrap w:val="0"/>
                    <w:overflowPunct/>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48</w:t>
                  </w:r>
                </w:p>
              </w:tc>
              <w:tc>
                <w:tcPr>
                  <w:tcW w:w="2578" w:type="dxa"/>
                  <w:noWrap w:val="0"/>
                  <w:vAlign w:val="center"/>
                </w:tcPr>
                <w:p w14:paraId="704C99F5">
                  <w:pPr>
                    <w:pStyle w:val="92"/>
                    <w:pageBreakBefore w:val="0"/>
                    <w:kinsoku/>
                    <w:wordWrap w:val="0"/>
                    <w:overflowPunct/>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47</w:t>
                  </w:r>
                </w:p>
              </w:tc>
            </w:tr>
          </w:tbl>
          <w:p w14:paraId="14826068">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left"/>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由上表可知，本项目东、西、北厂界和敏感点满足《声环境质量标准》（GB 3096-2008）2类标准；南厂界符合</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《声环境质量标准》（GB 3096-2008）</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4a类标准。</w:t>
            </w:r>
          </w:p>
          <w:p w14:paraId="470127BF">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4.生态环境</w:t>
            </w:r>
          </w:p>
          <w:p w14:paraId="0E7D1730">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通过收集资料以及现场调查，本项目周边的生态环境现状如下所示：</w:t>
            </w:r>
          </w:p>
          <w:p w14:paraId="5C6B413F">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根据《河北植被》的植被区分区系统分类，项目所在区域属于I温带草原地带I</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高原东部森林草原区I</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围场高原白桦、羊草、线叶菊森林草原片。</w:t>
            </w:r>
          </w:p>
          <w:p w14:paraId="3C528E96">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该区域植被主要以较抗寒的植被为主，乔木植被主要有杨树、油松，夹杂有不成片的榆树等，现有的林地面积较大，均匀分布在评价区内的山体上</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灌木植被主要为沙棘、小叶锦鸡儿等</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草本植被主要以猪毛类草丛为主</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主要的农作物为玉米、黄豆等。</w:t>
            </w:r>
          </w:p>
          <w:p w14:paraId="2570807F">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该区域阔叶林主要分布在山体上和道路两侧，主要种为杨树林，零星分布有榆树、火炬树等。针叶林主要分布在山体上，主要物种为油松林。</w:t>
            </w:r>
            <w:r>
              <w:rPr>
                <w:rFonts w:hint="eastAsia" w:cs="Times New Roman"/>
                <w:color w:val="000000" w:themeColor="text1"/>
                <w:sz w:val="21"/>
                <w:szCs w:val="21"/>
                <w:highlight w:val="none"/>
                <w:lang w:val="en-US" w:eastAsia="zh-CN"/>
                <w14:textFill>
                  <w14:solidFill>
                    <w14:schemeClr w14:val="tx1"/>
                  </w14:solidFill>
                </w14:textFill>
              </w:rPr>
              <w:t>草丛</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主要为山地草丛，山地草丛的组成种类主要为猪毛等，分布面积较小，主要分布在荒地或人类干扰后自然恢复地段。</w:t>
            </w:r>
            <w:r>
              <w:rPr>
                <w:rFonts w:hint="eastAsia" w:cs="Times New Roman"/>
                <w:color w:val="000000" w:themeColor="text1"/>
                <w:sz w:val="21"/>
                <w:szCs w:val="21"/>
                <w:highlight w:val="none"/>
                <w:lang w:val="en-US" w:eastAsia="zh-CN"/>
                <w14:textFill>
                  <w14:solidFill>
                    <w14:schemeClr w14:val="tx1"/>
                  </w14:solidFill>
                </w14:textFill>
              </w:rPr>
              <w:t>灌丛</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主要为寒温性</w:t>
            </w:r>
            <w:r>
              <w:rPr>
                <w:rFonts w:hint="eastAsia" w:cs="Times New Roman"/>
                <w:color w:val="000000" w:themeColor="text1"/>
                <w:sz w:val="21"/>
                <w:szCs w:val="21"/>
                <w:highlight w:val="none"/>
                <w:lang w:val="en-US" w:eastAsia="zh-CN"/>
                <w14:textFill>
                  <w14:solidFill>
                    <w14:schemeClr w14:val="tx1"/>
                  </w14:solidFill>
                </w14:textFill>
              </w:rPr>
              <w:t>灌丛和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温性灌丛，寒温性</w:t>
            </w:r>
            <w:r>
              <w:rPr>
                <w:rFonts w:hint="eastAsia" w:cs="Times New Roman"/>
                <w:color w:val="000000" w:themeColor="text1"/>
                <w:sz w:val="21"/>
                <w:szCs w:val="21"/>
                <w:highlight w:val="none"/>
                <w:lang w:val="en-US" w:eastAsia="zh-CN"/>
                <w14:textFill>
                  <w14:solidFill>
                    <w14:schemeClr w14:val="tx1"/>
                  </w14:solidFill>
                </w14:textFill>
              </w:rPr>
              <w:t>灌丛</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主要为小叶锦鸡儿灌丛，分布面积较小，仅零星分布在道路两侧</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温性</w:t>
            </w:r>
            <w:r>
              <w:rPr>
                <w:rFonts w:hint="eastAsia" w:cs="Times New Roman"/>
                <w:color w:val="000000" w:themeColor="text1"/>
                <w:sz w:val="21"/>
                <w:szCs w:val="21"/>
                <w:highlight w:val="none"/>
                <w:lang w:val="en-US" w:eastAsia="zh-CN"/>
                <w14:textFill>
                  <w14:solidFill>
                    <w14:schemeClr w14:val="tx1"/>
                  </w14:solidFill>
                </w14:textFill>
              </w:rPr>
              <w:t>灌丛</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主要为沙棘灌丛，零星分布在山体上。人工植被主要为玉米、白菜、黄豆、苍术等草本植被以及松树苗圃、杨树苗圃、苹果园等木本植被，主要分布在评价区内的平地区域。</w:t>
            </w:r>
          </w:p>
          <w:p w14:paraId="5604CEB2">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野生动物现状调查与评价</w:t>
            </w:r>
          </w:p>
          <w:p w14:paraId="4180C4BB">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中国动物地理区划，本区属于古北界中亚亚界蒙新区东部草原亚区。本区气候特点是冬季寒冷干燥，夏季温暖多雨，无明显盛暑季节，春秋两季天气复杂，气温变化剧烈。该区具有大面积的农耕景观和林地景观，栖息于农田和林地之间的小型兽类得到很大发展。</w:t>
            </w:r>
          </w:p>
          <w:p w14:paraId="44067AE5">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区域内“三有”保护动物包括岩松鼠、花鼠、麻雀、家燕、虎斑颈槽蛇，均为该区域常见的广布种</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广泛生存于燕山山地的森林及灌木、草丛、农田等区域</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行动途径常因季节变化而变化，非</w:t>
            </w:r>
            <w:r>
              <w:rPr>
                <w:rFonts w:hint="eastAsia" w:cs="Times New Roman"/>
                <w:color w:val="000000" w:themeColor="text1"/>
                <w:sz w:val="21"/>
                <w:szCs w:val="21"/>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所在区域独有物种，且区域陆域生境基本一致，且在实地调查过程中未发现评价范围内存在重点保护物种。</w:t>
            </w:r>
          </w:p>
          <w:p w14:paraId="671B9916">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景观生态结构现状</w:t>
            </w:r>
          </w:p>
          <w:p w14:paraId="132C6FED">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在景观生态结构单元中，通常分为三种基本组分，即斑块、廊道和基质。斑块</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或拼块）</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泛指与周围环境在外貌或性质上不同，并具有一定内部均质性的空间单元，斑块可以是植物群落、农田等。廊道是指生态系统中与相邻两边环境不同的线性或条带结构，如河流、道路、峡谷等。基</w:t>
            </w:r>
            <w:r>
              <w:rPr>
                <w:rFonts w:hint="eastAsia" w:ascii="宋体" w:hAnsi="宋体" w:eastAsia="宋体" w:cs="宋体"/>
                <w:color w:val="000000" w:themeColor="text1"/>
                <w:sz w:val="21"/>
                <w:szCs w:val="21"/>
                <w:highlight w:val="none"/>
                <w:lang w:val="en-US" w:eastAsia="zh-CN"/>
                <w14:textFill>
                  <w14:solidFill>
                    <w14:schemeClr w14:val="tx1"/>
                  </w14:solidFill>
                </w14:textFill>
              </w:rPr>
              <w:t>质（模地或基底）则是指生态系统中分布最广、连续性最大的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背景结构，常见如森林基底、草地基底等。基质是生态系统的背景地域类型，是一种重要的生态系统结构单元类型，在很大程度上决定了生态系统的性质，对生态系统的动态起着主导作用。</w:t>
            </w:r>
          </w:p>
          <w:p w14:paraId="57C7E21D">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评价范围内景观类型共分为9种，即林地景观、农田景观、草地景观、</w:t>
            </w:r>
            <w:r>
              <w:rPr>
                <w:rFonts w:hint="eastAsia" w:cs="Times New Roman"/>
                <w:color w:val="000000" w:themeColor="text1"/>
                <w:sz w:val="21"/>
                <w:szCs w:val="21"/>
                <w:highlight w:val="none"/>
                <w:lang w:val="en-US" w:eastAsia="zh-CN"/>
                <w14:textFill>
                  <w14:solidFill>
                    <w14:schemeClr w14:val="tx1"/>
                  </w14:solidFill>
                </w14:textFill>
              </w:rPr>
              <w:t>灌丛</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景观、河流景观、园地景观、裸地景观、道路、建筑景观。</w:t>
            </w:r>
          </w:p>
          <w:p w14:paraId="2DED2384">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廊道对生态系统中生态流的作用至关重要，廊道除了具有流的传输作</w:t>
            </w:r>
            <w:r>
              <w:rPr>
                <w:rFonts w:hint="eastAsia" w:ascii="宋体" w:hAnsi="宋体" w:eastAsia="宋体" w:cs="宋体"/>
                <w:color w:val="000000" w:themeColor="text1"/>
                <w:sz w:val="21"/>
                <w:szCs w:val="21"/>
                <w:highlight w:val="none"/>
                <w:lang w:val="en-US" w:eastAsia="zh-CN"/>
                <w14:textFill>
                  <w14:solidFill>
                    <w14:schemeClr w14:val="tx1"/>
                  </w14:solidFill>
                </w14:textFill>
              </w:rPr>
              <w:t>用（如渠道、道路等）外，还具有阻断与防护的作用，表现为廊道分割生态系统，同时改变自</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然生态系统的原貌。它影响土地利用类型的分布，同时廊道的增加又是促使生态系统破碎化的动因和前提，如道路的开通方便了人类活动，但也加剧了对周围环境及动植物的人为干扰。</w:t>
            </w:r>
          </w:p>
          <w:p w14:paraId="72499780">
            <w:pPr>
              <w:keepNext w:val="0"/>
              <w:keepLines w:val="0"/>
              <w:pageBreakBefore w:val="0"/>
              <w:widowControl w:val="0"/>
              <w:kinsoku/>
              <w:wordWrap w:val="0"/>
              <w:overflowPunct/>
              <w:topLinePunct w:val="0"/>
              <w:autoSpaceDE/>
              <w:autoSpaceDN/>
              <w:bidi w:val="0"/>
              <w:adjustRightInd/>
              <w:snapToGrid/>
              <w:spacing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评价区内廊道主要为道路、河流。道路宽度一般在10-40m以内，为线形廊道，评价区公路景观阻隔已形成。河流为伊逊河与蚂蚁吐河，河道在评价区范围内较直，河道转弯较少，河道两侧分布有草本植被，生长茂盛，对景观的阻隔效应不明显。</w:t>
            </w:r>
          </w:p>
          <w:p w14:paraId="28269EF8">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2" w:firstLineChars="200"/>
              <w:jc w:val="left"/>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5.地下水、土壤环境</w:t>
            </w:r>
          </w:p>
          <w:p w14:paraId="6CDA26FD">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项目不存在地下水、土壤环境污染途径，根据《建设项目环境影响报告表编制技术指南（污染影响类）（试行）》要求，不开展地下水、土壤现状调查。</w:t>
            </w:r>
          </w:p>
          <w:p w14:paraId="29E51D95">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由于本项目厂区内已进行地面硬化，苯并[a]芘大气沉降对厂区内土壤环境影响较小，但考虑到本项目苯并[a]芘对厂区外的土壤影响，需对厂区外周边的土壤环境进行现状监测，因本项目为扩建项目，原有工程已存在，同样产生的废气污染物内含有苯并[a]芘，对周边土壤环境同样产生相应的影响，本项目引用厂区下风向处土壤的现状检测来了解项目周边的土壤环境现状。</w:t>
            </w:r>
          </w:p>
          <w:p w14:paraId="232C064F">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根据现场踏勘可知，《承德泓辉双合酒业有限公司粉条白酒、粉渣饲料和变性淀粉建设项目》在本项目的东南侧750m处，本项目引用其厂区内的土壤现状检测来说明本项目周边的土壤环境现状，引用土壤环境质量现状监测的检测报告为：辽鹏环测字PY2211294-001号，检测结果如下：</w:t>
            </w:r>
          </w:p>
          <w:p w14:paraId="1ECAE295">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（1）检测点位</w:t>
            </w:r>
          </w:p>
          <w:p w14:paraId="2E5B647A">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TR1#（柱状样）-拟建项目场地区域</w:t>
            </w:r>
          </w:p>
          <w:p w14:paraId="27DF71ED">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（2）监测因子</w:t>
            </w:r>
          </w:p>
          <w:p w14:paraId="1F904610">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苯酚、苯并［a］蒽、苯并［a］芘、苯并［b］荧蒽、苯并［k］荧蒽、䓛、二苯并［a，h］蒽、茚并［1，2，3-cd］芘、萘、pH、石油烃（C</w:t>
            </w:r>
            <w:r>
              <w:rPr>
                <w:rFonts w:hint="default"/>
                <w:color w:val="000000" w:themeColor="text1"/>
                <w:sz w:val="21"/>
                <w:szCs w:val="21"/>
                <w:highlight w:val="none"/>
                <w:vertAlign w:val="subscript"/>
                <w:lang w:val="en-US" w:eastAsia="zh-CN"/>
                <w14:textFill>
                  <w14:solidFill>
                    <w14:schemeClr w14:val="tx1"/>
                  </w14:solidFill>
                </w14:textFill>
              </w:rPr>
              <w:t>10</w:t>
            </w:r>
            <w:r>
              <w:rPr>
                <w:rFonts w:hint="default"/>
                <w:color w:val="000000" w:themeColor="text1"/>
                <w:sz w:val="21"/>
                <w:szCs w:val="21"/>
                <w:highlight w:val="none"/>
                <w:lang w:val="en-US" w:eastAsia="zh-CN"/>
                <w14:textFill>
                  <w14:solidFill>
                    <w14:schemeClr w14:val="tx1"/>
                  </w14:solidFill>
                </w14:textFill>
              </w:rPr>
              <w:t>-C</w:t>
            </w:r>
            <w:r>
              <w:rPr>
                <w:rFonts w:hint="default"/>
                <w:color w:val="000000" w:themeColor="text1"/>
                <w:sz w:val="21"/>
                <w:szCs w:val="21"/>
                <w:highlight w:val="none"/>
                <w:vertAlign w:val="subscript"/>
                <w:lang w:val="en-US" w:eastAsia="zh-CN"/>
                <w14:textFill>
                  <w14:solidFill>
                    <w14:schemeClr w14:val="tx1"/>
                  </w14:solidFill>
                </w14:textFill>
              </w:rPr>
              <w:t>40</w:t>
            </w:r>
            <w:r>
              <w:rPr>
                <w:rFonts w:hint="default"/>
                <w:color w:val="000000" w:themeColor="text1"/>
                <w:sz w:val="21"/>
                <w:szCs w:val="21"/>
                <w:highlight w:val="none"/>
                <w:lang w:val="en-US" w:eastAsia="zh-CN"/>
                <w14:textFill>
                  <w14:solidFill>
                    <w14:schemeClr w14:val="tx1"/>
                  </w14:solidFill>
                </w14:textFill>
              </w:rPr>
              <w:t>）、氨氮</w:t>
            </w:r>
            <w:r>
              <w:rPr>
                <w:rFonts w:hint="eastAsia"/>
                <w:color w:val="000000" w:themeColor="text1"/>
                <w:sz w:val="21"/>
                <w:szCs w:val="21"/>
                <w:highlight w:val="none"/>
                <w:lang w:val="en-US" w:eastAsia="zh-CN"/>
                <w14:textFill>
                  <w14:solidFill>
                    <w14:schemeClr w14:val="tx1"/>
                  </w14:solidFill>
                </w14:textFill>
              </w:rPr>
              <w:t>。</w:t>
            </w:r>
          </w:p>
          <w:p w14:paraId="5653B070">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（3）监测时间和频次</w:t>
            </w:r>
          </w:p>
          <w:p w14:paraId="5BA16AE3">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监测时间为2022年11月7日，监测1日，采样1次。</w:t>
            </w:r>
          </w:p>
          <w:p w14:paraId="69856F7E">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（4）评价因子与评价标准</w:t>
            </w:r>
          </w:p>
          <w:p w14:paraId="75983421">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本次评价因子同监测因子，评价标准采用《土壤环境质量建设用地土壤污染风险管控标准（试行）》（GB36600-2018）表</w:t>
            </w:r>
            <w:r>
              <w:rPr>
                <w:rFonts w:hint="eastAsia"/>
                <w:color w:val="000000" w:themeColor="text1"/>
                <w:sz w:val="21"/>
                <w:szCs w:val="21"/>
                <w:highlight w:val="none"/>
                <w:lang w:val="en-US" w:eastAsia="zh-CN"/>
                <w14:textFill>
                  <w14:solidFill>
                    <w14:schemeClr w14:val="tx1"/>
                  </w14:solidFill>
                </w14:textFill>
              </w:rPr>
              <w:t>1</w:t>
            </w:r>
            <w:r>
              <w:rPr>
                <w:rFonts w:hint="default"/>
                <w:color w:val="000000" w:themeColor="text1"/>
                <w:sz w:val="21"/>
                <w:szCs w:val="21"/>
                <w:highlight w:val="none"/>
                <w:lang w:val="en-US" w:eastAsia="zh-CN"/>
                <w14:textFill>
                  <w14:solidFill>
                    <w14:schemeClr w14:val="tx1"/>
                  </w14:solidFill>
                </w14:textFill>
              </w:rPr>
              <w:t>中第二类用地风险筛选值、《建设用地土壤污染风险筛选值》（DB13/T5216-2022）表</w:t>
            </w:r>
            <w:r>
              <w:rPr>
                <w:rFonts w:hint="eastAsia"/>
                <w:color w:val="000000" w:themeColor="text1"/>
                <w:sz w:val="21"/>
                <w:szCs w:val="21"/>
                <w:highlight w:val="none"/>
                <w:lang w:val="en-US" w:eastAsia="zh-CN"/>
                <w14:textFill>
                  <w14:solidFill>
                    <w14:schemeClr w14:val="tx1"/>
                  </w14:solidFill>
                </w14:textFill>
              </w:rPr>
              <w:t>1</w:t>
            </w:r>
            <w:r>
              <w:rPr>
                <w:rFonts w:hint="default"/>
                <w:color w:val="000000" w:themeColor="text1"/>
                <w:sz w:val="21"/>
                <w:szCs w:val="21"/>
                <w:highlight w:val="none"/>
                <w:lang w:val="en-US" w:eastAsia="zh-CN"/>
                <w14:textFill>
                  <w14:solidFill>
                    <w14:schemeClr w14:val="tx1"/>
                  </w14:solidFill>
                </w14:textFill>
              </w:rPr>
              <w:t>中第二类用地风险筛选值</w:t>
            </w:r>
            <w:r>
              <w:rPr>
                <w:rFonts w:hint="eastAsia"/>
                <w:color w:val="000000" w:themeColor="text1"/>
                <w:sz w:val="21"/>
                <w:szCs w:val="21"/>
                <w:highlight w:val="none"/>
                <w:lang w:val="en-US" w:eastAsia="zh-CN"/>
                <w14:textFill>
                  <w14:solidFill>
                    <w14:schemeClr w14:val="tx1"/>
                  </w14:solidFill>
                </w14:textFill>
              </w:rPr>
              <w:t>。</w:t>
            </w:r>
          </w:p>
          <w:p w14:paraId="2889A918">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（5）监测结果统计</w:t>
            </w:r>
          </w:p>
          <w:p w14:paraId="572E97B2">
            <w:pPr>
              <w:keepNext w:val="0"/>
              <w:keepLines w:val="0"/>
              <w:pageBreakBefore w:val="0"/>
              <w:widowControl w:val="0"/>
              <w:kinsoku/>
              <w:wordWrap w:val="0"/>
              <w:overflowPunct/>
              <w:topLinePunct w:val="0"/>
              <w:autoSpaceDE/>
              <w:autoSpaceDN/>
              <w:bidi w:val="0"/>
              <w:spacing w:line="4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表3-1</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1</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土壤现状评价结果</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一览表</w:t>
            </w:r>
          </w:p>
          <w:tbl>
            <w:tblPr>
              <w:tblStyle w:val="30"/>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32"/>
              <w:gridCol w:w="964"/>
              <w:gridCol w:w="762"/>
              <w:gridCol w:w="1032"/>
              <w:gridCol w:w="1277"/>
              <w:gridCol w:w="1032"/>
              <w:gridCol w:w="1278"/>
            </w:tblGrid>
            <w:tr w14:paraId="0A82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66" w:type="pct"/>
                  <w:vMerge w:val="restart"/>
                  <w:shd w:val="clear" w:color="auto" w:fill="auto"/>
                  <w:vAlign w:val="center"/>
                </w:tcPr>
                <w:p w14:paraId="6DCC0B2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监测项目</w:t>
                  </w:r>
                </w:p>
              </w:tc>
              <w:tc>
                <w:tcPr>
                  <w:tcW w:w="582" w:type="pct"/>
                  <w:vMerge w:val="restart"/>
                  <w:shd w:val="clear" w:color="auto" w:fill="auto"/>
                  <w:vAlign w:val="center"/>
                </w:tcPr>
                <w:p w14:paraId="56997F4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标准值</w:t>
                  </w:r>
                </w:p>
              </w:tc>
              <w:tc>
                <w:tcPr>
                  <w:tcW w:w="460" w:type="pct"/>
                  <w:vMerge w:val="restart"/>
                  <w:shd w:val="clear" w:color="auto" w:fill="auto"/>
                  <w:vAlign w:val="center"/>
                </w:tcPr>
                <w:p w14:paraId="4B4ABBC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单位</w:t>
                  </w:r>
                </w:p>
              </w:tc>
              <w:tc>
                <w:tcPr>
                  <w:tcW w:w="1394" w:type="pct"/>
                  <w:gridSpan w:val="2"/>
                  <w:shd w:val="clear" w:color="auto" w:fill="auto"/>
                  <w:vAlign w:val="center"/>
                </w:tcPr>
                <w:p w14:paraId="3068B68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0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Tr1#</w:t>
                  </w: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（柱状样）</w:t>
                  </w:r>
                  <w:r>
                    <w:rPr>
                      <w:rStyle w:val="10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拟建项目场地区域内（</w:t>
                  </w:r>
                  <w:r>
                    <w:rPr>
                      <w:rStyle w:val="10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0.2m</w:t>
                  </w: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2211294TR001</w:t>
                  </w:r>
                </w:p>
              </w:tc>
              <w:tc>
                <w:tcPr>
                  <w:tcW w:w="1394" w:type="pct"/>
                  <w:gridSpan w:val="2"/>
                  <w:shd w:val="clear" w:color="auto" w:fill="auto"/>
                  <w:vAlign w:val="center"/>
                </w:tcPr>
                <w:p w14:paraId="7FF780B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0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Tr1#</w:t>
                  </w: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（柱状样）</w:t>
                  </w:r>
                  <w:r>
                    <w:rPr>
                      <w:rStyle w:val="10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拟建项目场地区域内（</w:t>
                  </w:r>
                  <w:r>
                    <w:rPr>
                      <w:rStyle w:val="10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0.7m</w:t>
                  </w: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1"/>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2211294TR002</w:t>
                  </w:r>
                </w:p>
              </w:tc>
            </w:tr>
            <w:tr w14:paraId="29B5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vMerge w:val="continue"/>
                  <w:shd w:val="clear" w:color="auto" w:fill="auto"/>
                  <w:vAlign w:val="center"/>
                </w:tcPr>
                <w:p w14:paraId="0001DD10">
                  <w:pPr>
                    <w:keepNext w:val="0"/>
                    <w:keepLines w:val="0"/>
                    <w:pageBreakBefore w:val="0"/>
                    <w:widowControl/>
                    <w:kinsoku/>
                    <w:wordWrap/>
                    <w:overflowPunct/>
                    <w:topLinePunct w:val="0"/>
                    <w:autoSpaceDE/>
                    <w:autoSpaceDN/>
                    <w:bidi w:val="0"/>
                    <w:adjustRightInd/>
                    <w:snapToGrid/>
                    <w:spacing w:line="320" w:lineRule="exact"/>
                    <w:ind w:firstLineChar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582" w:type="pct"/>
                  <w:vMerge w:val="continue"/>
                  <w:shd w:val="clear" w:color="auto" w:fill="auto"/>
                  <w:vAlign w:val="center"/>
                </w:tcPr>
                <w:p w14:paraId="1F12E28C">
                  <w:pPr>
                    <w:keepNext w:val="0"/>
                    <w:keepLines w:val="0"/>
                    <w:pageBreakBefore w:val="0"/>
                    <w:widowControl/>
                    <w:kinsoku/>
                    <w:wordWrap/>
                    <w:overflowPunct/>
                    <w:topLinePunct w:val="0"/>
                    <w:autoSpaceDE/>
                    <w:autoSpaceDN/>
                    <w:bidi w:val="0"/>
                    <w:adjustRightInd/>
                    <w:snapToGrid/>
                    <w:spacing w:line="320" w:lineRule="exact"/>
                    <w:ind w:firstLineChar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460" w:type="pct"/>
                  <w:vMerge w:val="continue"/>
                  <w:shd w:val="clear" w:color="auto" w:fill="auto"/>
                  <w:vAlign w:val="center"/>
                </w:tcPr>
                <w:p w14:paraId="19A8E6C6">
                  <w:pPr>
                    <w:keepNext w:val="0"/>
                    <w:keepLines w:val="0"/>
                    <w:pageBreakBefore w:val="0"/>
                    <w:widowControl/>
                    <w:kinsoku/>
                    <w:wordWrap/>
                    <w:overflowPunct/>
                    <w:topLinePunct w:val="0"/>
                    <w:autoSpaceDE/>
                    <w:autoSpaceDN/>
                    <w:bidi w:val="0"/>
                    <w:adjustRightInd/>
                    <w:snapToGrid/>
                    <w:spacing w:line="320" w:lineRule="exact"/>
                    <w:ind w:firstLineChars="0"/>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623" w:type="pct"/>
                  <w:shd w:val="clear" w:color="auto" w:fill="auto"/>
                  <w:vAlign w:val="center"/>
                </w:tcPr>
                <w:p w14:paraId="47BC64D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监测值</w:t>
                  </w:r>
                </w:p>
              </w:tc>
              <w:tc>
                <w:tcPr>
                  <w:tcW w:w="771" w:type="pct"/>
                  <w:shd w:val="clear" w:color="auto" w:fill="auto"/>
                  <w:vAlign w:val="center"/>
                </w:tcPr>
                <w:p w14:paraId="5B831D1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标准指数</w:t>
                  </w:r>
                </w:p>
              </w:tc>
              <w:tc>
                <w:tcPr>
                  <w:tcW w:w="623" w:type="pct"/>
                  <w:shd w:val="clear" w:color="auto" w:fill="auto"/>
                  <w:vAlign w:val="center"/>
                </w:tcPr>
                <w:p w14:paraId="13B70FA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监测值</w:t>
                  </w:r>
                </w:p>
              </w:tc>
              <w:tc>
                <w:tcPr>
                  <w:tcW w:w="771" w:type="pct"/>
                  <w:shd w:val="clear" w:color="auto" w:fill="auto"/>
                  <w:vAlign w:val="center"/>
                </w:tcPr>
                <w:p w14:paraId="1A66D53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Style w:val="100"/>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标准指数</w:t>
                  </w:r>
                </w:p>
              </w:tc>
            </w:tr>
            <w:tr w14:paraId="266F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66" w:type="pct"/>
                  <w:shd w:val="clear" w:color="auto" w:fill="auto"/>
                  <w:vAlign w:val="center"/>
                </w:tcPr>
                <w:p w14:paraId="33C4D44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pH</w:t>
                  </w:r>
                </w:p>
              </w:tc>
              <w:tc>
                <w:tcPr>
                  <w:tcW w:w="582" w:type="pct"/>
                  <w:shd w:val="clear" w:color="auto" w:fill="auto"/>
                  <w:vAlign w:val="center"/>
                </w:tcPr>
                <w:p w14:paraId="7A04FC1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460" w:type="pct"/>
                  <w:shd w:val="clear" w:color="auto" w:fill="auto"/>
                  <w:vAlign w:val="center"/>
                </w:tcPr>
                <w:p w14:paraId="35C5FA1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2CD02B6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8.13</w:t>
                  </w:r>
                </w:p>
              </w:tc>
              <w:tc>
                <w:tcPr>
                  <w:tcW w:w="771" w:type="pct"/>
                  <w:shd w:val="clear" w:color="auto" w:fill="auto"/>
                  <w:vAlign w:val="center"/>
                </w:tcPr>
                <w:p w14:paraId="250B8DA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6D08DF7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8.24</w:t>
                  </w:r>
                </w:p>
              </w:tc>
              <w:tc>
                <w:tcPr>
                  <w:tcW w:w="771" w:type="pct"/>
                  <w:shd w:val="clear" w:color="auto" w:fill="auto"/>
                  <w:vAlign w:val="center"/>
                </w:tcPr>
                <w:p w14:paraId="003D54A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4D81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29CF253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砷</w:t>
                  </w:r>
                </w:p>
              </w:tc>
              <w:tc>
                <w:tcPr>
                  <w:tcW w:w="582" w:type="pct"/>
                  <w:shd w:val="clear" w:color="auto" w:fill="auto"/>
                  <w:vAlign w:val="center"/>
                </w:tcPr>
                <w:p w14:paraId="2E10127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460" w:type="pct"/>
                  <w:shd w:val="clear" w:color="auto" w:fill="auto"/>
                  <w:vAlign w:val="center"/>
                </w:tcPr>
                <w:p w14:paraId="2251CB6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71E9A9C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5.21</w:t>
                  </w:r>
                </w:p>
              </w:tc>
              <w:tc>
                <w:tcPr>
                  <w:tcW w:w="771" w:type="pct"/>
                  <w:shd w:val="clear" w:color="auto" w:fill="auto"/>
                  <w:vAlign w:val="center"/>
                </w:tcPr>
                <w:p w14:paraId="45C4D29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0.087</w:t>
                  </w:r>
                </w:p>
              </w:tc>
              <w:tc>
                <w:tcPr>
                  <w:tcW w:w="623" w:type="pct"/>
                  <w:shd w:val="clear" w:color="auto" w:fill="auto"/>
                  <w:vAlign w:val="center"/>
                </w:tcPr>
                <w:p w14:paraId="1201FE2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6.54</w:t>
                  </w:r>
                </w:p>
              </w:tc>
              <w:tc>
                <w:tcPr>
                  <w:tcW w:w="771" w:type="pct"/>
                  <w:shd w:val="clear" w:color="auto" w:fill="auto"/>
                  <w:vAlign w:val="center"/>
                </w:tcPr>
                <w:p w14:paraId="301C539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0.109</w:t>
                  </w:r>
                </w:p>
              </w:tc>
            </w:tr>
            <w:tr w14:paraId="0859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634B0EF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镉</w:t>
                  </w:r>
                </w:p>
              </w:tc>
              <w:tc>
                <w:tcPr>
                  <w:tcW w:w="582" w:type="pct"/>
                  <w:shd w:val="clear" w:color="auto" w:fill="auto"/>
                  <w:vAlign w:val="center"/>
                </w:tcPr>
                <w:p w14:paraId="59FE672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460" w:type="pct"/>
                  <w:shd w:val="clear" w:color="auto" w:fill="auto"/>
                  <w:vAlign w:val="center"/>
                </w:tcPr>
                <w:p w14:paraId="14C7D68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109D402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w:t>
                  </w:r>
                </w:p>
              </w:tc>
              <w:tc>
                <w:tcPr>
                  <w:tcW w:w="771" w:type="pct"/>
                  <w:shd w:val="clear" w:color="auto" w:fill="auto"/>
                  <w:vAlign w:val="center"/>
                </w:tcPr>
                <w:p w14:paraId="0179F1E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c>
                <w:tcPr>
                  <w:tcW w:w="623" w:type="pct"/>
                  <w:shd w:val="clear" w:color="auto" w:fill="auto"/>
                  <w:vAlign w:val="center"/>
                </w:tcPr>
                <w:p w14:paraId="0B1301C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0.19</w:t>
                  </w:r>
                </w:p>
              </w:tc>
              <w:tc>
                <w:tcPr>
                  <w:tcW w:w="771" w:type="pct"/>
                  <w:shd w:val="clear" w:color="auto" w:fill="auto"/>
                  <w:vAlign w:val="center"/>
                </w:tcPr>
                <w:p w14:paraId="1FD5A59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r>
            <w:tr w14:paraId="1C33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66" w:type="pct"/>
                  <w:shd w:val="clear" w:color="auto" w:fill="auto"/>
                  <w:vAlign w:val="center"/>
                </w:tcPr>
                <w:p w14:paraId="620B4BF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铬（六价）</w:t>
                  </w:r>
                </w:p>
              </w:tc>
              <w:tc>
                <w:tcPr>
                  <w:tcW w:w="582" w:type="pct"/>
                  <w:shd w:val="clear" w:color="auto" w:fill="auto"/>
                  <w:vAlign w:val="center"/>
                </w:tcPr>
                <w:p w14:paraId="2C0886A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w:t>
                  </w:r>
                </w:p>
              </w:tc>
              <w:tc>
                <w:tcPr>
                  <w:tcW w:w="460" w:type="pct"/>
                  <w:shd w:val="clear" w:color="auto" w:fill="auto"/>
                  <w:vAlign w:val="top"/>
                </w:tcPr>
                <w:p w14:paraId="6BE91A8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25D4D01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0.5</w:t>
                  </w:r>
                </w:p>
              </w:tc>
              <w:tc>
                <w:tcPr>
                  <w:tcW w:w="771" w:type="pct"/>
                  <w:shd w:val="clear" w:color="auto" w:fill="auto"/>
                  <w:vAlign w:val="center"/>
                </w:tcPr>
                <w:p w14:paraId="1D1FA5E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707FF1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0.5</w:t>
                  </w:r>
                </w:p>
              </w:tc>
              <w:tc>
                <w:tcPr>
                  <w:tcW w:w="771" w:type="pct"/>
                  <w:shd w:val="clear" w:color="auto" w:fill="auto"/>
                  <w:vAlign w:val="center"/>
                </w:tcPr>
                <w:p w14:paraId="1D8B8BF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51468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66" w:type="pct"/>
                  <w:shd w:val="clear" w:color="auto" w:fill="auto"/>
                  <w:vAlign w:val="center"/>
                </w:tcPr>
                <w:p w14:paraId="2D159B6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铜</w:t>
                  </w:r>
                </w:p>
              </w:tc>
              <w:tc>
                <w:tcPr>
                  <w:tcW w:w="582" w:type="pct"/>
                  <w:shd w:val="clear" w:color="auto" w:fill="auto"/>
                  <w:vAlign w:val="center"/>
                </w:tcPr>
                <w:p w14:paraId="341D3BA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18000</w:t>
                  </w:r>
                </w:p>
              </w:tc>
              <w:tc>
                <w:tcPr>
                  <w:tcW w:w="460" w:type="pct"/>
                  <w:shd w:val="clear" w:color="auto" w:fill="auto"/>
                  <w:vAlign w:val="top"/>
                </w:tcPr>
                <w:p w14:paraId="0449D2D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3971BE5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w:t>
                  </w:r>
                </w:p>
              </w:tc>
              <w:tc>
                <w:tcPr>
                  <w:tcW w:w="771" w:type="pct"/>
                  <w:shd w:val="clear" w:color="auto" w:fill="auto"/>
                  <w:vAlign w:val="center"/>
                </w:tcPr>
                <w:p w14:paraId="4E5C8BF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0.0025</w:t>
                  </w:r>
                </w:p>
              </w:tc>
              <w:tc>
                <w:tcPr>
                  <w:tcW w:w="623" w:type="pct"/>
                  <w:shd w:val="clear" w:color="auto" w:fill="auto"/>
                  <w:vAlign w:val="center"/>
                </w:tcPr>
                <w:p w14:paraId="2B88800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w:t>
                  </w:r>
                </w:p>
              </w:tc>
              <w:tc>
                <w:tcPr>
                  <w:tcW w:w="771" w:type="pct"/>
                  <w:shd w:val="clear" w:color="auto" w:fill="auto"/>
                  <w:vAlign w:val="center"/>
                </w:tcPr>
                <w:p w14:paraId="013E046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r>
            <w:tr w14:paraId="4ADB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73E8AB9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铅</w:t>
                  </w:r>
                </w:p>
              </w:tc>
              <w:tc>
                <w:tcPr>
                  <w:tcW w:w="582" w:type="pct"/>
                  <w:shd w:val="clear" w:color="auto" w:fill="auto"/>
                  <w:vAlign w:val="center"/>
                </w:tcPr>
                <w:p w14:paraId="1076710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800</w:t>
                  </w:r>
                </w:p>
              </w:tc>
              <w:tc>
                <w:tcPr>
                  <w:tcW w:w="460" w:type="pct"/>
                  <w:shd w:val="clear" w:color="auto" w:fill="auto"/>
                  <w:vAlign w:val="center"/>
                </w:tcPr>
                <w:p w14:paraId="19DB95B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2C9569C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w:t>
                  </w:r>
                </w:p>
              </w:tc>
              <w:tc>
                <w:tcPr>
                  <w:tcW w:w="771" w:type="pct"/>
                  <w:shd w:val="clear" w:color="auto" w:fill="auto"/>
                  <w:vAlign w:val="center"/>
                </w:tcPr>
                <w:p w14:paraId="11FDF4D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0.035</w:t>
                  </w:r>
                </w:p>
              </w:tc>
              <w:tc>
                <w:tcPr>
                  <w:tcW w:w="623" w:type="pct"/>
                  <w:shd w:val="clear" w:color="auto" w:fill="auto"/>
                  <w:vAlign w:val="center"/>
                </w:tcPr>
                <w:p w14:paraId="7DBCDEA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771" w:type="pct"/>
                  <w:shd w:val="clear" w:color="auto" w:fill="auto"/>
                  <w:vAlign w:val="center"/>
                </w:tcPr>
                <w:p w14:paraId="0C634CF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0.0375</w:t>
                  </w:r>
                </w:p>
              </w:tc>
            </w:tr>
            <w:tr w14:paraId="0BAA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7EAD6FD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汞</w:t>
                  </w:r>
                </w:p>
              </w:tc>
              <w:tc>
                <w:tcPr>
                  <w:tcW w:w="582" w:type="pct"/>
                  <w:shd w:val="clear" w:color="auto" w:fill="auto"/>
                  <w:vAlign w:val="center"/>
                </w:tcPr>
                <w:p w14:paraId="57F0D93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w:t>
                  </w:r>
                </w:p>
              </w:tc>
              <w:tc>
                <w:tcPr>
                  <w:tcW w:w="460" w:type="pct"/>
                  <w:shd w:val="clear" w:color="auto" w:fill="auto"/>
                  <w:vAlign w:val="center"/>
                </w:tcPr>
                <w:p w14:paraId="7339016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11D3079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0.114</w:t>
                  </w:r>
                </w:p>
              </w:tc>
              <w:tc>
                <w:tcPr>
                  <w:tcW w:w="771" w:type="pct"/>
                  <w:shd w:val="clear" w:color="auto" w:fill="auto"/>
                  <w:vAlign w:val="center"/>
                </w:tcPr>
                <w:p w14:paraId="45FE2C9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w:t>
                  </w:r>
                </w:p>
              </w:tc>
              <w:tc>
                <w:tcPr>
                  <w:tcW w:w="623" w:type="pct"/>
                  <w:shd w:val="clear" w:color="auto" w:fill="auto"/>
                  <w:vAlign w:val="center"/>
                </w:tcPr>
                <w:p w14:paraId="1AE4823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0.086</w:t>
                  </w:r>
                </w:p>
              </w:tc>
              <w:tc>
                <w:tcPr>
                  <w:tcW w:w="771" w:type="pct"/>
                  <w:shd w:val="clear" w:color="auto" w:fill="auto"/>
                  <w:vAlign w:val="center"/>
                </w:tcPr>
                <w:p w14:paraId="657C6F2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p>
              </w:tc>
            </w:tr>
            <w:tr w14:paraId="32B5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0B189B9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镍</w:t>
                  </w:r>
                </w:p>
              </w:tc>
              <w:tc>
                <w:tcPr>
                  <w:tcW w:w="582" w:type="pct"/>
                  <w:shd w:val="clear" w:color="auto" w:fill="auto"/>
                  <w:vAlign w:val="center"/>
                </w:tcPr>
                <w:p w14:paraId="6751809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w:t>
                  </w:r>
                </w:p>
              </w:tc>
              <w:tc>
                <w:tcPr>
                  <w:tcW w:w="460" w:type="pct"/>
                  <w:shd w:val="clear" w:color="auto" w:fill="auto"/>
                  <w:vAlign w:val="center"/>
                </w:tcPr>
                <w:p w14:paraId="6A3A3DE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15944CB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w:t>
                  </w:r>
                </w:p>
              </w:tc>
              <w:tc>
                <w:tcPr>
                  <w:tcW w:w="771" w:type="pct"/>
                  <w:shd w:val="clear" w:color="auto" w:fill="auto"/>
                  <w:vAlign w:val="center"/>
                </w:tcPr>
                <w:p w14:paraId="798C408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0.032</w:t>
                  </w:r>
                </w:p>
              </w:tc>
              <w:tc>
                <w:tcPr>
                  <w:tcW w:w="623" w:type="pct"/>
                  <w:shd w:val="clear" w:color="auto" w:fill="auto"/>
                  <w:vAlign w:val="center"/>
                </w:tcPr>
                <w:p w14:paraId="4365D8F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w:t>
                  </w:r>
                </w:p>
              </w:tc>
              <w:tc>
                <w:tcPr>
                  <w:tcW w:w="771" w:type="pct"/>
                  <w:shd w:val="clear" w:color="auto" w:fill="auto"/>
                  <w:vAlign w:val="center"/>
                </w:tcPr>
                <w:p w14:paraId="617412A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0.032</w:t>
                  </w:r>
                </w:p>
              </w:tc>
            </w:tr>
            <w:tr w14:paraId="2240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15B8263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四氯化碳</w:t>
                  </w:r>
                </w:p>
              </w:tc>
              <w:tc>
                <w:tcPr>
                  <w:tcW w:w="582" w:type="pct"/>
                  <w:shd w:val="clear" w:color="auto" w:fill="auto"/>
                  <w:vAlign w:val="center"/>
                </w:tcPr>
                <w:p w14:paraId="6136668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2800</w:t>
                  </w:r>
                </w:p>
              </w:tc>
              <w:tc>
                <w:tcPr>
                  <w:tcW w:w="460" w:type="pct"/>
                  <w:shd w:val="clear" w:color="auto" w:fill="auto"/>
                  <w:vAlign w:val="center"/>
                </w:tcPr>
                <w:p w14:paraId="0FFD072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485D4B7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5331DBD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6A43BEF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1BD6258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3E90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06CAA0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氯仿</w:t>
                  </w:r>
                </w:p>
              </w:tc>
              <w:tc>
                <w:tcPr>
                  <w:tcW w:w="582" w:type="pct"/>
                  <w:shd w:val="clear" w:color="auto" w:fill="auto"/>
                  <w:vAlign w:val="center"/>
                </w:tcPr>
                <w:p w14:paraId="4122126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w:t>
                  </w:r>
                </w:p>
              </w:tc>
              <w:tc>
                <w:tcPr>
                  <w:tcW w:w="460" w:type="pct"/>
                  <w:shd w:val="clear" w:color="auto" w:fill="auto"/>
                  <w:vAlign w:val="center"/>
                </w:tcPr>
                <w:p w14:paraId="0FC7A1B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13B6F6D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1.1</w:t>
                  </w:r>
                </w:p>
              </w:tc>
              <w:tc>
                <w:tcPr>
                  <w:tcW w:w="771" w:type="pct"/>
                  <w:shd w:val="clear" w:color="auto" w:fill="auto"/>
                  <w:vAlign w:val="center"/>
                </w:tcPr>
                <w:p w14:paraId="0914FA7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2F6F4BA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1.1</w:t>
                  </w:r>
                </w:p>
              </w:tc>
              <w:tc>
                <w:tcPr>
                  <w:tcW w:w="771" w:type="pct"/>
                  <w:shd w:val="clear" w:color="auto" w:fill="auto"/>
                  <w:vAlign w:val="center"/>
                </w:tcPr>
                <w:p w14:paraId="7A3CB63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014B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77D6AE8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氯甲烷</w:t>
                  </w:r>
                </w:p>
              </w:tc>
              <w:tc>
                <w:tcPr>
                  <w:tcW w:w="582" w:type="pct"/>
                  <w:shd w:val="clear" w:color="auto" w:fill="auto"/>
                  <w:vAlign w:val="center"/>
                </w:tcPr>
                <w:p w14:paraId="35F5DE9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37000</w:t>
                  </w:r>
                </w:p>
              </w:tc>
              <w:tc>
                <w:tcPr>
                  <w:tcW w:w="460" w:type="pct"/>
                  <w:shd w:val="clear" w:color="auto" w:fill="auto"/>
                  <w:vAlign w:val="center"/>
                </w:tcPr>
                <w:p w14:paraId="54B82DB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79E3DF4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1.0</w:t>
                  </w:r>
                </w:p>
              </w:tc>
              <w:tc>
                <w:tcPr>
                  <w:tcW w:w="771" w:type="pct"/>
                  <w:shd w:val="clear" w:color="auto" w:fill="auto"/>
                  <w:vAlign w:val="center"/>
                </w:tcPr>
                <w:p w14:paraId="144D70D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1DFF7EB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1.0</w:t>
                  </w:r>
                </w:p>
              </w:tc>
              <w:tc>
                <w:tcPr>
                  <w:tcW w:w="771" w:type="pct"/>
                  <w:shd w:val="clear" w:color="auto" w:fill="auto"/>
                  <w:vAlign w:val="center"/>
                </w:tcPr>
                <w:p w14:paraId="34F92C2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1E3C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4DF6F1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二氯乙烷</w:t>
                  </w:r>
                </w:p>
              </w:tc>
              <w:tc>
                <w:tcPr>
                  <w:tcW w:w="582" w:type="pct"/>
                  <w:shd w:val="clear" w:color="auto" w:fill="auto"/>
                  <w:vAlign w:val="center"/>
                </w:tcPr>
                <w:p w14:paraId="1FA9896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w:t>
                  </w:r>
                </w:p>
              </w:tc>
              <w:tc>
                <w:tcPr>
                  <w:tcW w:w="460" w:type="pct"/>
                  <w:shd w:val="clear" w:color="auto" w:fill="auto"/>
                  <w:vAlign w:val="center"/>
                </w:tcPr>
                <w:p w14:paraId="6F3F350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491F179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41BCF29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184798A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2687A2E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5A43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06FD9D6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二氯乙烷</w:t>
                  </w:r>
                </w:p>
              </w:tc>
              <w:tc>
                <w:tcPr>
                  <w:tcW w:w="582" w:type="pct"/>
                  <w:shd w:val="clear" w:color="auto" w:fill="auto"/>
                  <w:vAlign w:val="center"/>
                </w:tcPr>
                <w:p w14:paraId="617D6B6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5000</w:t>
                  </w:r>
                </w:p>
              </w:tc>
              <w:tc>
                <w:tcPr>
                  <w:tcW w:w="460" w:type="pct"/>
                  <w:shd w:val="clear" w:color="auto" w:fill="auto"/>
                  <w:vAlign w:val="center"/>
                </w:tcPr>
                <w:p w14:paraId="7BC59BB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08B8F55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7522487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54CAAA8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6B56460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281A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31DF087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二氯乙烯</w:t>
                  </w:r>
                </w:p>
              </w:tc>
              <w:tc>
                <w:tcPr>
                  <w:tcW w:w="582" w:type="pct"/>
                  <w:shd w:val="clear" w:color="auto" w:fill="auto"/>
                  <w:vAlign w:val="center"/>
                </w:tcPr>
                <w:p w14:paraId="619AE64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66000</w:t>
                  </w:r>
                </w:p>
              </w:tc>
              <w:tc>
                <w:tcPr>
                  <w:tcW w:w="460" w:type="pct"/>
                  <w:shd w:val="clear" w:color="auto" w:fill="auto"/>
                  <w:vAlign w:val="center"/>
                </w:tcPr>
                <w:p w14:paraId="0421A5A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5D346A3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1.0</w:t>
                  </w:r>
                </w:p>
              </w:tc>
              <w:tc>
                <w:tcPr>
                  <w:tcW w:w="771" w:type="pct"/>
                  <w:shd w:val="clear" w:color="auto" w:fill="auto"/>
                  <w:vAlign w:val="center"/>
                </w:tcPr>
                <w:p w14:paraId="4027F54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BAC2EE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1.0</w:t>
                  </w:r>
                </w:p>
              </w:tc>
              <w:tc>
                <w:tcPr>
                  <w:tcW w:w="771" w:type="pct"/>
                  <w:shd w:val="clear" w:color="auto" w:fill="auto"/>
                  <w:vAlign w:val="center"/>
                </w:tcPr>
                <w:p w14:paraId="15857E6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21EC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31510BD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顺式</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二氯乙烯</w:t>
                  </w:r>
                </w:p>
              </w:tc>
              <w:tc>
                <w:tcPr>
                  <w:tcW w:w="582" w:type="pct"/>
                  <w:shd w:val="clear" w:color="auto" w:fill="auto"/>
                  <w:vAlign w:val="center"/>
                </w:tcPr>
                <w:p w14:paraId="5339165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596000</w:t>
                  </w:r>
                </w:p>
              </w:tc>
              <w:tc>
                <w:tcPr>
                  <w:tcW w:w="460" w:type="pct"/>
                  <w:shd w:val="clear" w:color="auto" w:fill="auto"/>
                  <w:vAlign w:val="center"/>
                </w:tcPr>
                <w:p w14:paraId="1AD4D06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55BBF51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2AD6EDB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1822809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61940CB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55BE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69CC7FE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反式</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二氯乙烯</w:t>
                  </w:r>
                </w:p>
              </w:tc>
              <w:tc>
                <w:tcPr>
                  <w:tcW w:w="582" w:type="pct"/>
                  <w:shd w:val="clear" w:color="auto" w:fill="auto"/>
                  <w:vAlign w:val="center"/>
                </w:tcPr>
                <w:p w14:paraId="38D5470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54000</w:t>
                  </w:r>
                </w:p>
              </w:tc>
              <w:tc>
                <w:tcPr>
                  <w:tcW w:w="460" w:type="pct"/>
                  <w:shd w:val="clear" w:color="auto" w:fill="auto"/>
                  <w:vAlign w:val="center"/>
                </w:tcPr>
                <w:p w14:paraId="2E8E9EC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478144D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1.4</w:t>
                  </w:r>
                </w:p>
              </w:tc>
              <w:tc>
                <w:tcPr>
                  <w:tcW w:w="771" w:type="pct"/>
                  <w:shd w:val="clear" w:color="auto" w:fill="auto"/>
                  <w:vAlign w:val="center"/>
                </w:tcPr>
                <w:p w14:paraId="1D39935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0426D96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1.4</w:t>
                  </w:r>
                </w:p>
              </w:tc>
              <w:tc>
                <w:tcPr>
                  <w:tcW w:w="771" w:type="pct"/>
                  <w:shd w:val="clear" w:color="auto" w:fill="auto"/>
                  <w:vAlign w:val="center"/>
                </w:tcPr>
                <w:p w14:paraId="2EBC93B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1575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35B3AC8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二氯甲烷</w:t>
                  </w:r>
                </w:p>
              </w:tc>
              <w:tc>
                <w:tcPr>
                  <w:tcW w:w="582" w:type="pct"/>
                  <w:shd w:val="clear" w:color="auto" w:fill="auto"/>
                  <w:vAlign w:val="center"/>
                </w:tcPr>
                <w:p w14:paraId="6E9E2BC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616000</w:t>
                  </w:r>
                </w:p>
              </w:tc>
              <w:tc>
                <w:tcPr>
                  <w:tcW w:w="460" w:type="pct"/>
                  <w:shd w:val="clear" w:color="auto" w:fill="auto"/>
                  <w:vAlign w:val="center"/>
                </w:tcPr>
                <w:p w14:paraId="6458788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5DA0157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1.5</w:t>
                  </w:r>
                </w:p>
              </w:tc>
              <w:tc>
                <w:tcPr>
                  <w:tcW w:w="771" w:type="pct"/>
                  <w:shd w:val="clear" w:color="auto" w:fill="auto"/>
                  <w:vAlign w:val="center"/>
                </w:tcPr>
                <w:p w14:paraId="498A411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01EDA0D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1.5</w:t>
                  </w:r>
                </w:p>
              </w:tc>
              <w:tc>
                <w:tcPr>
                  <w:tcW w:w="771" w:type="pct"/>
                  <w:shd w:val="clear" w:color="auto" w:fill="auto"/>
                  <w:vAlign w:val="center"/>
                </w:tcPr>
                <w:p w14:paraId="09635E5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0CC6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28A0024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二氯丙烷</w:t>
                  </w:r>
                </w:p>
              </w:tc>
              <w:tc>
                <w:tcPr>
                  <w:tcW w:w="582" w:type="pct"/>
                  <w:shd w:val="clear" w:color="auto" w:fill="auto"/>
                  <w:vAlign w:val="center"/>
                </w:tcPr>
                <w:p w14:paraId="11AD8F4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5000</w:t>
                  </w:r>
                </w:p>
              </w:tc>
              <w:tc>
                <w:tcPr>
                  <w:tcW w:w="460" w:type="pct"/>
                  <w:shd w:val="clear" w:color="auto" w:fill="auto"/>
                  <w:vAlign w:val="center"/>
                </w:tcPr>
                <w:p w14:paraId="431A030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0727281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1.1</w:t>
                  </w:r>
                </w:p>
              </w:tc>
              <w:tc>
                <w:tcPr>
                  <w:tcW w:w="771" w:type="pct"/>
                  <w:shd w:val="clear" w:color="auto" w:fill="auto"/>
                  <w:vAlign w:val="center"/>
                </w:tcPr>
                <w:p w14:paraId="085E4EA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EB141D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1.1</w:t>
                  </w:r>
                </w:p>
              </w:tc>
              <w:tc>
                <w:tcPr>
                  <w:tcW w:w="771" w:type="pct"/>
                  <w:shd w:val="clear" w:color="auto" w:fill="auto"/>
                  <w:vAlign w:val="center"/>
                </w:tcPr>
                <w:p w14:paraId="4057DE5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39A0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3FFAD6D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四氯乙烷</w:t>
                  </w:r>
                </w:p>
              </w:tc>
              <w:tc>
                <w:tcPr>
                  <w:tcW w:w="582" w:type="pct"/>
                  <w:shd w:val="clear" w:color="auto" w:fill="auto"/>
                  <w:vAlign w:val="center"/>
                </w:tcPr>
                <w:p w14:paraId="0799124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10000</w:t>
                  </w:r>
                </w:p>
              </w:tc>
              <w:tc>
                <w:tcPr>
                  <w:tcW w:w="460" w:type="pct"/>
                  <w:shd w:val="clear" w:color="auto" w:fill="auto"/>
                  <w:vAlign w:val="center"/>
                </w:tcPr>
                <w:p w14:paraId="18C950B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600C518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5C9B4E5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7E93C0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2A84C6C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194E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02C300D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四氯乙烷</w:t>
                  </w:r>
                </w:p>
              </w:tc>
              <w:tc>
                <w:tcPr>
                  <w:tcW w:w="582" w:type="pct"/>
                  <w:shd w:val="clear" w:color="auto" w:fill="auto"/>
                  <w:vAlign w:val="center"/>
                </w:tcPr>
                <w:p w14:paraId="0D4985E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6800</w:t>
                  </w:r>
                </w:p>
              </w:tc>
              <w:tc>
                <w:tcPr>
                  <w:tcW w:w="460" w:type="pct"/>
                  <w:shd w:val="clear" w:color="auto" w:fill="auto"/>
                  <w:vAlign w:val="center"/>
                </w:tcPr>
                <w:p w14:paraId="5E7C08E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6B77ACF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65888AB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328B66A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3D82D2C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05EC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60A8424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四氯乙烯</w:t>
                  </w:r>
                </w:p>
              </w:tc>
              <w:tc>
                <w:tcPr>
                  <w:tcW w:w="582" w:type="pct"/>
                  <w:shd w:val="clear" w:color="auto" w:fill="auto"/>
                  <w:vAlign w:val="center"/>
                </w:tcPr>
                <w:p w14:paraId="386C73E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53000</w:t>
                  </w:r>
                </w:p>
              </w:tc>
              <w:tc>
                <w:tcPr>
                  <w:tcW w:w="460" w:type="pct"/>
                  <w:shd w:val="clear" w:color="auto" w:fill="auto"/>
                  <w:vAlign w:val="center"/>
                </w:tcPr>
                <w:p w14:paraId="07DC123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4FA17B9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1.4</w:t>
                  </w:r>
                </w:p>
              </w:tc>
              <w:tc>
                <w:tcPr>
                  <w:tcW w:w="771" w:type="pct"/>
                  <w:shd w:val="clear" w:color="auto" w:fill="auto"/>
                  <w:vAlign w:val="center"/>
                </w:tcPr>
                <w:p w14:paraId="7437CB8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8E6D8C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1.4</w:t>
                  </w:r>
                </w:p>
              </w:tc>
              <w:tc>
                <w:tcPr>
                  <w:tcW w:w="771" w:type="pct"/>
                  <w:shd w:val="clear" w:color="auto" w:fill="auto"/>
                  <w:vAlign w:val="center"/>
                </w:tcPr>
                <w:p w14:paraId="124892B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4D8E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7B291C4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三氯乙烷</w:t>
                  </w:r>
                </w:p>
              </w:tc>
              <w:tc>
                <w:tcPr>
                  <w:tcW w:w="582" w:type="pct"/>
                  <w:shd w:val="clear" w:color="auto" w:fill="auto"/>
                  <w:vAlign w:val="center"/>
                </w:tcPr>
                <w:p w14:paraId="6B08A28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840000</w:t>
                  </w:r>
                </w:p>
              </w:tc>
              <w:tc>
                <w:tcPr>
                  <w:tcW w:w="460" w:type="pct"/>
                  <w:shd w:val="clear" w:color="auto" w:fill="auto"/>
                  <w:vAlign w:val="center"/>
                </w:tcPr>
                <w:p w14:paraId="194109C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06CB2C1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191CD93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5EDEB17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0ABA1EC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61C7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61019FD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三氯乙烷</w:t>
                  </w:r>
                </w:p>
              </w:tc>
              <w:tc>
                <w:tcPr>
                  <w:tcW w:w="582" w:type="pct"/>
                  <w:shd w:val="clear" w:color="auto" w:fill="auto"/>
                  <w:vAlign w:val="center"/>
                </w:tcPr>
                <w:p w14:paraId="6641C86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2800</w:t>
                  </w:r>
                </w:p>
              </w:tc>
              <w:tc>
                <w:tcPr>
                  <w:tcW w:w="460" w:type="pct"/>
                  <w:shd w:val="clear" w:color="auto" w:fill="auto"/>
                  <w:vAlign w:val="center"/>
                </w:tcPr>
                <w:p w14:paraId="7845998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68955BB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18F232D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0D22CF4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522FCC8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2EE0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44C7A95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三氯乙烯</w:t>
                  </w:r>
                </w:p>
              </w:tc>
              <w:tc>
                <w:tcPr>
                  <w:tcW w:w="582" w:type="pct"/>
                  <w:shd w:val="clear" w:color="auto" w:fill="auto"/>
                  <w:vAlign w:val="center"/>
                </w:tcPr>
                <w:p w14:paraId="240993A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2800</w:t>
                  </w:r>
                </w:p>
              </w:tc>
              <w:tc>
                <w:tcPr>
                  <w:tcW w:w="460" w:type="pct"/>
                  <w:shd w:val="clear" w:color="auto" w:fill="auto"/>
                  <w:vAlign w:val="center"/>
                </w:tcPr>
                <w:p w14:paraId="30A82D3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7086C96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6C9074B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269476D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0A59658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05BD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222B38B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三氯丙烷</w:t>
                  </w:r>
                </w:p>
              </w:tc>
              <w:tc>
                <w:tcPr>
                  <w:tcW w:w="582" w:type="pct"/>
                  <w:shd w:val="clear" w:color="auto" w:fill="auto"/>
                  <w:vAlign w:val="center"/>
                </w:tcPr>
                <w:p w14:paraId="3180348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460" w:type="pct"/>
                  <w:shd w:val="clear" w:color="auto" w:fill="auto"/>
                  <w:vAlign w:val="center"/>
                </w:tcPr>
                <w:p w14:paraId="06387F5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340BF4F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404A24E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0C2946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2384C0C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5335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66" w:type="pct"/>
                  <w:shd w:val="clear" w:color="auto" w:fill="auto"/>
                  <w:vAlign w:val="center"/>
                </w:tcPr>
                <w:p w14:paraId="0905DB7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氯乙烯</w:t>
                  </w:r>
                </w:p>
              </w:tc>
              <w:tc>
                <w:tcPr>
                  <w:tcW w:w="582" w:type="pct"/>
                  <w:shd w:val="clear" w:color="auto" w:fill="auto"/>
                  <w:vAlign w:val="center"/>
                </w:tcPr>
                <w:p w14:paraId="74921A9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430</w:t>
                  </w:r>
                </w:p>
              </w:tc>
              <w:tc>
                <w:tcPr>
                  <w:tcW w:w="460" w:type="pct"/>
                  <w:shd w:val="clear" w:color="auto" w:fill="auto"/>
                  <w:vAlign w:val="center"/>
                </w:tcPr>
                <w:p w14:paraId="2EA0BE6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4C29224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1.0</w:t>
                  </w:r>
                </w:p>
              </w:tc>
              <w:tc>
                <w:tcPr>
                  <w:tcW w:w="771" w:type="pct"/>
                  <w:shd w:val="clear" w:color="auto" w:fill="auto"/>
                  <w:vAlign w:val="center"/>
                </w:tcPr>
                <w:p w14:paraId="4DBE2F0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250F78B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1.0</w:t>
                  </w:r>
                </w:p>
              </w:tc>
              <w:tc>
                <w:tcPr>
                  <w:tcW w:w="771" w:type="pct"/>
                  <w:shd w:val="clear" w:color="auto" w:fill="auto"/>
                  <w:vAlign w:val="center"/>
                </w:tcPr>
                <w:p w14:paraId="53BC791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01CD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AB5399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苯</w:t>
                  </w:r>
                </w:p>
              </w:tc>
              <w:tc>
                <w:tcPr>
                  <w:tcW w:w="582" w:type="pct"/>
                  <w:shd w:val="clear" w:color="auto" w:fill="auto"/>
                  <w:vAlign w:val="center"/>
                </w:tcPr>
                <w:p w14:paraId="540516D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4000</w:t>
                  </w:r>
                </w:p>
              </w:tc>
              <w:tc>
                <w:tcPr>
                  <w:tcW w:w="460" w:type="pct"/>
                  <w:shd w:val="clear" w:color="auto" w:fill="auto"/>
                  <w:vAlign w:val="center"/>
                </w:tcPr>
                <w:p w14:paraId="4536882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4D55163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1.9</w:t>
                  </w:r>
                </w:p>
              </w:tc>
              <w:tc>
                <w:tcPr>
                  <w:tcW w:w="771" w:type="pct"/>
                  <w:shd w:val="clear" w:color="auto" w:fill="auto"/>
                  <w:vAlign w:val="center"/>
                </w:tcPr>
                <w:p w14:paraId="384EEFA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10068AC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1.9</w:t>
                  </w:r>
                </w:p>
              </w:tc>
              <w:tc>
                <w:tcPr>
                  <w:tcW w:w="771" w:type="pct"/>
                  <w:shd w:val="clear" w:color="auto" w:fill="auto"/>
                  <w:vAlign w:val="center"/>
                </w:tcPr>
                <w:p w14:paraId="70D16C6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3D64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4CD4542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氯苯</w:t>
                  </w:r>
                </w:p>
              </w:tc>
              <w:tc>
                <w:tcPr>
                  <w:tcW w:w="582" w:type="pct"/>
                  <w:shd w:val="clear" w:color="auto" w:fill="auto"/>
                  <w:vAlign w:val="center"/>
                </w:tcPr>
                <w:p w14:paraId="41606A8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270000</w:t>
                  </w:r>
                </w:p>
              </w:tc>
              <w:tc>
                <w:tcPr>
                  <w:tcW w:w="460" w:type="pct"/>
                  <w:shd w:val="clear" w:color="auto" w:fill="auto"/>
                  <w:vAlign w:val="center"/>
                </w:tcPr>
                <w:p w14:paraId="2BC2A14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4C1C6D3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1F9B576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8325D8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0B40F49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3900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7EBD232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二氯苯</w:t>
                  </w:r>
                </w:p>
              </w:tc>
              <w:tc>
                <w:tcPr>
                  <w:tcW w:w="582" w:type="pct"/>
                  <w:shd w:val="clear" w:color="auto" w:fill="auto"/>
                  <w:vAlign w:val="center"/>
                </w:tcPr>
                <w:p w14:paraId="077E6B0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560000</w:t>
                  </w:r>
                </w:p>
              </w:tc>
              <w:tc>
                <w:tcPr>
                  <w:tcW w:w="460" w:type="pct"/>
                  <w:shd w:val="clear" w:color="auto" w:fill="auto"/>
                  <w:vAlign w:val="center"/>
                </w:tcPr>
                <w:p w14:paraId="02545D6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4E74D50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1.5</w:t>
                  </w:r>
                </w:p>
              </w:tc>
              <w:tc>
                <w:tcPr>
                  <w:tcW w:w="771" w:type="pct"/>
                  <w:shd w:val="clear" w:color="auto" w:fill="auto"/>
                  <w:vAlign w:val="center"/>
                </w:tcPr>
                <w:p w14:paraId="1C67DE8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3C93E2B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1.5</w:t>
                  </w:r>
                </w:p>
              </w:tc>
              <w:tc>
                <w:tcPr>
                  <w:tcW w:w="771" w:type="pct"/>
                  <w:shd w:val="clear" w:color="auto" w:fill="auto"/>
                  <w:vAlign w:val="center"/>
                </w:tcPr>
                <w:p w14:paraId="3D12B2D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1845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42F487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4-</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二氯苯</w:t>
                  </w:r>
                </w:p>
              </w:tc>
              <w:tc>
                <w:tcPr>
                  <w:tcW w:w="582" w:type="pct"/>
                  <w:shd w:val="clear" w:color="auto" w:fill="auto"/>
                  <w:vAlign w:val="center"/>
                </w:tcPr>
                <w:p w14:paraId="3488D40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20000</w:t>
                  </w:r>
                </w:p>
              </w:tc>
              <w:tc>
                <w:tcPr>
                  <w:tcW w:w="460" w:type="pct"/>
                  <w:shd w:val="clear" w:color="auto" w:fill="auto"/>
                  <w:vAlign w:val="center"/>
                </w:tcPr>
                <w:p w14:paraId="7C53414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57D8058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1.5</w:t>
                  </w:r>
                </w:p>
              </w:tc>
              <w:tc>
                <w:tcPr>
                  <w:tcW w:w="771" w:type="pct"/>
                  <w:shd w:val="clear" w:color="auto" w:fill="auto"/>
                  <w:vAlign w:val="center"/>
                </w:tcPr>
                <w:p w14:paraId="21A96F4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5E2087D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1.5</w:t>
                  </w:r>
                </w:p>
              </w:tc>
              <w:tc>
                <w:tcPr>
                  <w:tcW w:w="771" w:type="pct"/>
                  <w:shd w:val="clear" w:color="auto" w:fill="auto"/>
                  <w:vAlign w:val="center"/>
                </w:tcPr>
                <w:p w14:paraId="4C18A94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0162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E381C7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乙苯</w:t>
                  </w:r>
                </w:p>
              </w:tc>
              <w:tc>
                <w:tcPr>
                  <w:tcW w:w="582" w:type="pct"/>
                  <w:shd w:val="clear" w:color="auto" w:fill="auto"/>
                  <w:vAlign w:val="center"/>
                </w:tcPr>
                <w:p w14:paraId="697C6BB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28000</w:t>
                  </w:r>
                </w:p>
              </w:tc>
              <w:tc>
                <w:tcPr>
                  <w:tcW w:w="460" w:type="pct"/>
                  <w:shd w:val="clear" w:color="auto" w:fill="auto"/>
                  <w:vAlign w:val="center"/>
                </w:tcPr>
                <w:p w14:paraId="409A1C3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579A1FF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201CFED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6A4D118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4CA4463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416B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3E98D07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苯乙烯</w:t>
                  </w:r>
                </w:p>
              </w:tc>
              <w:tc>
                <w:tcPr>
                  <w:tcW w:w="582" w:type="pct"/>
                  <w:shd w:val="clear" w:color="auto" w:fill="auto"/>
                  <w:vAlign w:val="center"/>
                </w:tcPr>
                <w:p w14:paraId="185F734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1290000</w:t>
                  </w:r>
                </w:p>
              </w:tc>
              <w:tc>
                <w:tcPr>
                  <w:tcW w:w="460" w:type="pct"/>
                  <w:shd w:val="clear" w:color="auto" w:fill="auto"/>
                  <w:vAlign w:val="center"/>
                </w:tcPr>
                <w:p w14:paraId="379D2B5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66E216B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1.1</w:t>
                  </w:r>
                </w:p>
              </w:tc>
              <w:tc>
                <w:tcPr>
                  <w:tcW w:w="771" w:type="pct"/>
                  <w:shd w:val="clear" w:color="auto" w:fill="auto"/>
                  <w:vAlign w:val="center"/>
                </w:tcPr>
                <w:p w14:paraId="4F8A25E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2CAC490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1.1</w:t>
                  </w:r>
                </w:p>
              </w:tc>
              <w:tc>
                <w:tcPr>
                  <w:tcW w:w="771" w:type="pct"/>
                  <w:shd w:val="clear" w:color="auto" w:fill="auto"/>
                  <w:vAlign w:val="center"/>
                </w:tcPr>
                <w:p w14:paraId="16BB913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609C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7B6000B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甲苯</w:t>
                  </w:r>
                </w:p>
              </w:tc>
              <w:tc>
                <w:tcPr>
                  <w:tcW w:w="582" w:type="pct"/>
                  <w:shd w:val="clear" w:color="auto" w:fill="auto"/>
                  <w:vAlign w:val="center"/>
                </w:tcPr>
                <w:p w14:paraId="0E05084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1200000</w:t>
                  </w:r>
                </w:p>
              </w:tc>
              <w:tc>
                <w:tcPr>
                  <w:tcW w:w="460" w:type="pct"/>
                  <w:shd w:val="clear" w:color="auto" w:fill="auto"/>
                  <w:vAlign w:val="center"/>
                </w:tcPr>
                <w:p w14:paraId="1BBBBEE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65AE3BE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6D1F133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055ADEE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1.3</w:t>
                  </w:r>
                </w:p>
              </w:tc>
              <w:tc>
                <w:tcPr>
                  <w:tcW w:w="771" w:type="pct"/>
                  <w:shd w:val="clear" w:color="auto" w:fill="auto"/>
                  <w:vAlign w:val="center"/>
                </w:tcPr>
                <w:p w14:paraId="5D8C367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7EB1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3C6CB6B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间二甲苯</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对二甲苯</w:t>
                  </w:r>
                </w:p>
              </w:tc>
              <w:tc>
                <w:tcPr>
                  <w:tcW w:w="582" w:type="pct"/>
                  <w:shd w:val="clear" w:color="auto" w:fill="auto"/>
                  <w:vAlign w:val="center"/>
                </w:tcPr>
                <w:p w14:paraId="2C46CA3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570000</w:t>
                  </w:r>
                </w:p>
              </w:tc>
              <w:tc>
                <w:tcPr>
                  <w:tcW w:w="460" w:type="pct"/>
                  <w:shd w:val="clear" w:color="auto" w:fill="auto"/>
                  <w:vAlign w:val="center"/>
                </w:tcPr>
                <w:p w14:paraId="523AF97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3DEA927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6A0B630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334A41D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5C0DCEC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058D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5A1BF4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邻二甲苯</w:t>
                  </w:r>
                </w:p>
              </w:tc>
              <w:tc>
                <w:tcPr>
                  <w:tcW w:w="582" w:type="pct"/>
                  <w:shd w:val="clear" w:color="auto" w:fill="auto"/>
                  <w:vAlign w:val="center"/>
                </w:tcPr>
                <w:p w14:paraId="524AF8B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640000</w:t>
                  </w:r>
                </w:p>
              </w:tc>
              <w:tc>
                <w:tcPr>
                  <w:tcW w:w="460" w:type="pct"/>
                  <w:shd w:val="clear" w:color="auto" w:fill="auto"/>
                  <w:vAlign w:val="center"/>
                </w:tcPr>
                <w:p w14:paraId="4FC68D5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μg/kg</w:t>
                  </w:r>
                </w:p>
              </w:tc>
              <w:tc>
                <w:tcPr>
                  <w:tcW w:w="623" w:type="pct"/>
                  <w:shd w:val="clear" w:color="auto" w:fill="auto"/>
                  <w:vAlign w:val="center"/>
                </w:tcPr>
                <w:p w14:paraId="5A4CC10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607F82C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20DE8BA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1.2</w:t>
                  </w:r>
                </w:p>
              </w:tc>
              <w:tc>
                <w:tcPr>
                  <w:tcW w:w="771" w:type="pct"/>
                  <w:shd w:val="clear" w:color="auto" w:fill="auto"/>
                  <w:vAlign w:val="center"/>
                </w:tcPr>
                <w:p w14:paraId="7A8EB31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2D55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1F5DF3A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石油烃（</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C</w:t>
                  </w:r>
                  <w:r>
                    <w:rPr>
                      <w:rStyle w:val="104"/>
                      <w:rFonts w:hint="default" w:ascii="Times New Roman" w:hAnsi="Times New Roman" w:eastAsia="宋体" w:cs="Times New Roman"/>
                      <w:color w:val="000000" w:themeColor="text1"/>
                      <w:sz w:val="21"/>
                      <w:szCs w:val="21"/>
                      <w:highlight w:val="none"/>
                      <w:vertAlign w:val="subscript"/>
                      <w:lang w:val="en-US" w:eastAsia="zh-CN" w:bidi="ar"/>
                      <w14:textFill>
                        <w14:solidFill>
                          <w14:schemeClr w14:val="tx1"/>
                        </w14:solidFill>
                      </w14:textFill>
                    </w:rPr>
                    <w:t>10</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-C</w:t>
                  </w:r>
                  <w:r>
                    <w:rPr>
                      <w:rStyle w:val="104"/>
                      <w:rFonts w:hint="default" w:ascii="Times New Roman" w:hAnsi="Times New Roman" w:eastAsia="宋体" w:cs="Times New Roman"/>
                      <w:color w:val="000000" w:themeColor="text1"/>
                      <w:sz w:val="21"/>
                      <w:szCs w:val="21"/>
                      <w:highlight w:val="none"/>
                      <w:vertAlign w:val="subscript"/>
                      <w:lang w:val="en-US" w:eastAsia="zh-CN" w:bidi="ar"/>
                      <w14:textFill>
                        <w14:solidFill>
                          <w14:schemeClr w14:val="tx1"/>
                        </w14:solidFill>
                      </w14:textFill>
                    </w:rPr>
                    <w:t>40</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582" w:type="pct"/>
                  <w:shd w:val="clear" w:color="auto" w:fill="auto"/>
                  <w:vAlign w:val="center"/>
                </w:tcPr>
                <w:p w14:paraId="35F5510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4500</w:t>
                  </w:r>
                </w:p>
              </w:tc>
              <w:tc>
                <w:tcPr>
                  <w:tcW w:w="460" w:type="pct"/>
                  <w:shd w:val="clear" w:color="auto" w:fill="auto"/>
                  <w:vAlign w:val="center"/>
                </w:tcPr>
                <w:p w14:paraId="1BA3EEA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5B5B8E6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6</w:t>
                  </w:r>
                </w:p>
              </w:tc>
              <w:tc>
                <w:tcPr>
                  <w:tcW w:w="771" w:type="pct"/>
                  <w:shd w:val="clear" w:color="auto" w:fill="auto"/>
                  <w:vAlign w:val="center"/>
                </w:tcPr>
                <w:p w14:paraId="39E5F6E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4EE93CE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6</w:t>
                  </w:r>
                </w:p>
              </w:tc>
              <w:tc>
                <w:tcPr>
                  <w:tcW w:w="771" w:type="pct"/>
                  <w:shd w:val="clear" w:color="auto" w:fill="auto"/>
                  <w:vAlign w:val="center"/>
                </w:tcPr>
                <w:p w14:paraId="4FDF9AC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2C3E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1735B6A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氨氮</w:t>
                  </w:r>
                </w:p>
              </w:tc>
              <w:tc>
                <w:tcPr>
                  <w:tcW w:w="582" w:type="pct"/>
                  <w:shd w:val="clear" w:color="auto" w:fill="auto"/>
                  <w:vAlign w:val="center"/>
                </w:tcPr>
                <w:p w14:paraId="0DB70AE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1200</w:t>
                  </w:r>
                </w:p>
              </w:tc>
              <w:tc>
                <w:tcPr>
                  <w:tcW w:w="460" w:type="pct"/>
                  <w:shd w:val="clear" w:color="auto" w:fill="auto"/>
                  <w:vAlign w:val="center"/>
                </w:tcPr>
                <w:p w14:paraId="580BB60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7A4EDA7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w:t>
                  </w:r>
                </w:p>
              </w:tc>
              <w:tc>
                <w:tcPr>
                  <w:tcW w:w="771" w:type="pct"/>
                  <w:shd w:val="clear" w:color="auto" w:fill="auto"/>
                  <w:vAlign w:val="center"/>
                </w:tcPr>
                <w:p w14:paraId="15A8736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0.0216</w:t>
                  </w:r>
                </w:p>
              </w:tc>
              <w:tc>
                <w:tcPr>
                  <w:tcW w:w="623" w:type="pct"/>
                  <w:shd w:val="clear" w:color="auto" w:fill="auto"/>
                  <w:vAlign w:val="center"/>
                </w:tcPr>
                <w:p w14:paraId="5131860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25.6</w:t>
                  </w:r>
                </w:p>
              </w:tc>
              <w:tc>
                <w:tcPr>
                  <w:tcW w:w="771" w:type="pct"/>
                  <w:shd w:val="clear" w:color="auto" w:fill="auto"/>
                  <w:vAlign w:val="center"/>
                </w:tcPr>
                <w:p w14:paraId="0CAAC9A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0.0213</w:t>
                  </w:r>
                </w:p>
              </w:tc>
            </w:tr>
            <w:tr w14:paraId="0C8C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2795A48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硝基苯</w:t>
                  </w:r>
                </w:p>
              </w:tc>
              <w:tc>
                <w:tcPr>
                  <w:tcW w:w="582" w:type="pct"/>
                  <w:shd w:val="clear" w:color="auto" w:fill="auto"/>
                  <w:vAlign w:val="center"/>
                </w:tcPr>
                <w:p w14:paraId="2A0770E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w:t>
                  </w:r>
                </w:p>
              </w:tc>
              <w:tc>
                <w:tcPr>
                  <w:tcW w:w="460" w:type="pct"/>
                  <w:shd w:val="clear" w:color="auto" w:fill="auto"/>
                  <w:vAlign w:val="center"/>
                </w:tcPr>
                <w:p w14:paraId="6A53807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5FFB305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0.09</w:t>
                  </w:r>
                </w:p>
              </w:tc>
              <w:tc>
                <w:tcPr>
                  <w:tcW w:w="771" w:type="pct"/>
                  <w:shd w:val="clear" w:color="auto" w:fill="auto"/>
                  <w:vAlign w:val="center"/>
                </w:tcPr>
                <w:p w14:paraId="4378759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5A09C70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0.09</w:t>
                  </w:r>
                </w:p>
              </w:tc>
              <w:tc>
                <w:tcPr>
                  <w:tcW w:w="771" w:type="pct"/>
                  <w:shd w:val="clear" w:color="auto" w:fill="auto"/>
                  <w:vAlign w:val="center"/>
                </w:tcPr>
                <w:p w14:paraId="3A44A13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4E15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014BEBA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氯苯酚</w:t>
                  </w:r>
                </w:p>
              </w:tc>
              <w:tc>
                <w:tcPr>
                  <w:tcW w:w="582" w:type="pct"/>
                  <w:shd w:val="clear" w:color="auto" w:fill="auto"/>
                  <w:vAlign w:val="center"/>
                </w:tcPr>
                <w:p w14:paraId="0A945D0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2256</w:t>
                  </w:r>
                </w:p>
              </w:tc>
              <w:tc>
                <w:tcPr>
                  <w:tcW w:w="460" w:type="pct"/>
                  <w:shd w:val="clear" w:color="auto" w:fill="auto"/>
                  <w:vAlign w:val="top"/>
                </w:tcPr>
                <w:p w14:paraId="7EFA16A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5CEC9D2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0.06</w:t>
                  </w:r>
                </w:p>
              </w:tc>
              <w:tc>
                <w:tcPr>
                  <w:tcW w:w="771" w:type="pct"/>
                  <w:shd w:val="clear" w:color="auto" w:fill="auto"/>
                  <w:vAlign w:val="center"/>
                </w:tcPr>
                <w:p w14:paraId="2AEEA88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BED145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0.06</w:t>
                  </w:r>
                </w:p>
              </w:tc>
              <w:tc>
                <w:tcPr>
                  <w:tcW w:w="771" w:type="pct"/>
                  <w:shd w:val="clear" w:color="auto" w:fill="auto"/>
                  <w:vAlign w:val="center"/>
                </w:tcPr>
                <w:p w14:paraId="3FDDDC8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30AD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314F2E2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苯并［</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a</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］蒽</w:t>
                  </w:r>
                </w:p>
              </w:tc>
              <w:tc>
                <w:tcPr>
                  <w:tcW w:w="582" w:type="pct"/>
                  <w:shd w:val="clear" w:color="auto" w:fill="auto"/>
                  <w:vAlign w:val="center"/>
                </w:tcPr>
                <w:p w14:paraId="487AC16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60" w:type="pct"/>
                  <w:shd w:val="clear" w:color="auto" w:fill="auto"/>
                  <w:vAlign w:val="center"/>
                </w:tcPr>
                <w:p w14:paraId="485D178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3C9B15A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1CEC0D4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6794D55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7CB5A77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385C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0ADA339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苯并［</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a</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］芘</w:t>
                  </w:r>
                </w:p>
              </w:tc>
              <w:tc>
                <w:tcPr>
                  <w:tcW w:w="582" w:type="pct"/>
                  <w:shd w:val="clear" w:color="auto" w:fill="auto"/>
                  <w:vAlign w:val="center"/>
                </w:tcPr>
                <w:p w14:paraId="02880FE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60" w:type="pct"/>
                  <w:shd w:val="clear" w:color="auto" w:fill="auto"/>
                  <w:vAlign w:val="center"/>
                </w:tcPr>
                <w:p w14:paraId="054F283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166B02F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7AA0F6C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1DBFF22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0D9DB925">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1ADE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18FD69C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苯并［</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b</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］荧蒽</w:t>
                  </w:r>
                </w:p>
              </w:tc>
              <w:tc>
                <w:tcPr>
                  <w:tcW w:w="582" w:type="pct"/>
                  <w:shd w:val="clear" w:color="auto" w:fill="auto"/>
                  <w:vAlign w:val="center"/>
                </w:tcPr>
                <w:p w14:paraId="64A866B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60" w:type="pct"/>
                  <w:shd w:val="clear" w:color="auto" w:fill="auto"/>
                  <w:vAlign w:val="center"/>
                </w:tcPr>
                <w:p w14:paraId="3C869493">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5838A98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0.2</w:t>
                  </w:r>
                </w:p>
              </w:tc>
              <w:tc>
                <w:tcPr>
                  <w:tcW w:w="771" w:type="pct"/>
                  <w:shd w:val="clear" w:color="auto" w:fill="auto"/>
                  <w:vAlign w:val="center"/>
                </w:tcPr>
                <w:p w14:paraId="5DB557A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1344086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0.2</w:t>
                  </w:r>
                </w:p>
              </w:tc>
              <w:tc>
                <w:tcPr>
                  <w:tcW w:w="771" w:type="pct"/>
                  <w:shd w:val="clear" w:color="auto" w:fill="auto"/>
                  <w:vAlign w:val="center"/>
                </w:tcPr>
                <w:p w14:paraId="1E5E25D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514B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679E199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苯并［</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k</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］荧蒽</w:t>
                  </w:r>
                </w:p>
              </w:tc>
              <w:tc>
                <w:tcPr>
                  <w:tcW w:w="582" w:type="pct"/>
                  <w:shd w:val="clear" w:color="auto" w:fill="auto"/>
                  <w:vAlign w:val="center"/>
                </w:tcPr>
                <w:p w14:paraId="34F150A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151</w:t>
                  </w:r>
                </w:p>
              </w:tc>
              <w:tc>
                <w:tcPr>
                  <w:tcW w:w="460" w:type="pct"/>
                  <w:shd w:val="clear" w:color="auto" w:fill="auto"/>
                  <w:vAlign w:val="center"/>
                </w:tcPr>
                <w:p w14:paraId="370ABE7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4DF2C1B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65819FF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506D77C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2E89A0B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2556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66" w:type="pct"/>
                  <w:shd w:val="clear" w:color="auto" w:fill="auto"/>
                  <w:vAlign w:val="center"/>
                </w:tcPr>
                <w:p w14:paraId="1E5F389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䓛</w:t>
                  </w:r>
                </w:p>
              </w:tc>
              <w:tc>
                <w:tcPr>
                  <w:tcW w:w="582" w:type="pct"/>
                  <w:shd w:val="clear" w:color="auto" w:fill="auto"/>
                  <w:vAlign w:val="center"/>
                </w:tcPr>
                <w:p w14:paraId="2C368D9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1293</w:t>
                  </w:r>
                </w:p>
              </w:tc>
              <w:tc>
                <w:tcPr>
                  <w:tcW w:w="460" w:type="pct"/>
                  <w:shd w:val="clear" w:color="auto" w:fill="auto"/>
                  <w:vAlign w:val="center"/>
                </w:tcPr>
                <w:p w14:paraId="265C2CF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7FC8447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056DA8A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A51DE3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422DB4C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4402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0BD90E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right"/>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二苯并［</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a</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h</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］蒽</w:t>
                  </w:r>
                </w:p>
              </w:tc>
              <w:tc>
                <w:tcPr>
                  <w:tcW w:w="582" w:type="pct"/>
                  <w:shd w:val="clear" w:color="auto" w:fill="auto"/>
                  <w:vAlign w:val="center"/>
                </w:tcPr>
                <w:p w14:paraId="1C107E9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60" w:type="pct"/>
                  <w:shd w:val="clear" w:color="auto" w:fill="auto"/>
                  <w:vAlign w:val="center"/>
                </w:tcPr>
                <w:p w14:paraId="16C6757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491E7D41">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3BC62EB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0CC31030">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16B5239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7C74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014DA28">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茚并［</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3-cd</w:t>
                  </w: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］芘</w:t>
                  </w:r>
                </w:p>
              </w:tc>
              <w:tc>
                <w:tcPr>
                  <w:tcW w:w="582" w:type="pct"/>
                  <w:shd w:val="clear" w:color="auto" w:fill="auto"/>
                  <w:vAlign w:val="center"/>
                </w:tcPr>
                <w:p w14:paraId="246B7DC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60" w:type="pct"/>
                  <w:shd w:val="clear" w:color="auto" w:fill="auto"/>
                  <w:vAlign w:val="center"/>
                </w:tcPr>
                <w:p w14:paraId="140770A6">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2619DC3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6A02FEC9">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591BEF1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0.1</w:t>
                  </w:r>
                </w:p>
              </w:tc>
              <w:tc>
                <w:tcPr>
                  <w:tcW w:w="771" w:type="pct"/>
                  <w:shd w:val="clear" w:color="auto" w:fill="auto"/>
                  <w:vAlign w:val="center"/>
                </w:tcPr>
                <w:p w14:paraId="57D897E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3900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F1090ED">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萘</w:t>
                  </w:r>
                </w:p>
              </w:tc>
              <w:tc>
                <w:tcPr>
                  <w:tcW w:w="582" w:type="pct"/>
                  <w:shd w:val="clear" w:color="auto" w:fill="auto"/>
                  <w:vAlign w:val="center"/>
                </w:tcPr>
                <w:p w14:paraId="6C4459B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460" w:type="pct"/>
                  <w:shd w:val="clear" w:color="auto" w:fill="auto"/>
                  <w:vAlign w:val="center"/>
                </w:tcPr>
                <w:p w14:paraId="132B6E1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3BCDF3DE">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0.09</w:t>
                  </w:r>
                </w:p>
              </w:tc>
              <w:tc>
                <w:tcPr>
                  <w:tcW w:w="771" w:type="pct"/>
                  <w:shd w:val="clear" w:color="auto" w:fill="auto"/>
                  <w:vAlign w:val="center"/>
                </w:tcPr>
                <w:p w14:paraId="79E13BD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7326FC5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0.09</w:t>
                  </w:r>
                </w:p>
              </w:tc>
              <w:tc>
                <w:tcPr>
                  <w:tcW w:w="771" w:type="pct"/>
                  <w:shd w:val="clear" w:color="auto" w:fill="auto"/>
                  <w:vAlign w:val="center"/>
                </w:tcPr>
                <w:p w14:paraId="57BBA094">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4DE9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6" w:type="pct"/>
                  <w:shd w:val="clear" w:color="auto" w:fill="auto"/>
                  <w:vAlign w:val="center"/>
                </w:tcPr>
                <w:p w14:paraId="51F503CF">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苯胺</w:t>
                  </w:r>
                </w:p>
              </w:tc>
              <w:tc>
                <w:tcPr>
                  <w:tcW w:w="582" w:type="pct"/>
                  <w:shd w:val="clear" w:color="auto" w:fill="auto"/>
                  <w:vAlign w:val="center"/>
                </w:tcPr>
                <w:p w14:paraId="1099C9A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w:t>
                  </w:r>
                </w:p>
              </w:tc>
              <w:tc>
                <w:tcPr>
                  <w:tcW w:w="460" w:type="pct"/>
                  <w:shd w:val="clear" w:color="auto" w:fill="auto"/>
                  <w:vAlign w:val="center"/>
                </w:tcPr>
                <w:p w14:paraId="0DE7D4E2">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mg/kg</w:t>
                  </w:r>
                </w:p>
              </w:tc>
              <w:tc>
                <w:tcPr>
                  <w:tcW w:w="623" w:type="pct"/>
                  <w:shd w:val="clear" w:color="auto" w:fill="auto"/>
                  <w:vAlign w:val="center"/>
                </w:tcPr>
                <w:p w14:paraId="14D90F5B">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0.09</w:t>
                  </w:r>
                </w:p>
              </w:tc>
              <w:tc>
                <w:tcPr>
                  <w:tcW w:w="771" w:type="pct"/>
                  <w:shd w:val="clear" w:color="auto" w:fill="auto"/>
                  <w:vAlign w:val="center"/>
                </w:tcPr>
                <w:p w14:paraId="7F10F637">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c>
                <w:tcPr>
                  <w:tcW w:w="623" w:type="pct"/>
                  <w:shd w:val="clear" w:color="auto" w:fill="auto"/>
                  <w:vAlign w:val="center"/>
                </w:tcPr>
                <w:p w14:paraId="342A560A">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0.09</w:t>
                  </w:r>
                </w:p>
              </w:tc>
              <w:tc>
                <w:tcPr>
                  <w:tcW w:w="771" w:type="pct"/>
                  <w:shd w:val="clear" w:color="auto" w:fill="auto"/>
                  <w:vAlign w:val="center"/>
                </w:tcPr>
                <w:p w14:paraId="6B1766EC">
                  <w:pPr>
                    <w:keepNext w:val="0"/>
                    <w:keepLines w:val="0"/>
                    <w:pageBreakBefore w:val="0"/>
                    <w:widowControl/>
                    <w:suppressLineNumbers w:val="0"/>
                    <w:kinsoku/>
                    <w:wordWrap/>
                    <w:overflowPunct/>
                    <w:topLinePunct w:val="0"/>
                    <w:autoSpaceDE/>
                    <w:autoSpaceDN/>
                    <w:bidi w:val="0"/>
                    <w:adjustRightInd/>
                    <w:snapToGrid/>
                    <w:spacing w:line="320" w:lineRule="exact"/>
                    <w:ind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Style w:val="102"/>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bl>
          <w:p w14:paraId="7641EE27">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b/>
                <w:bCs/>
                <w:color w:val="000000" w:themeColor="text1"/>
                <w:sz w:val="21"/>
                <w:szCs w:val="21"/>
                <w:highlight w:val="none"/>
                <w:lang w:val="en-US" w:eastAsia="zh-CN"/>
                <w14:textFill>
                  <w14:solidFill>
                    <w14:schemeClr w14:val="tx1"/>
                  </w14:solidFill>
                </w14:textFill>
              </w:rPr>
            </w:pPr>
            <w:r>
              <w:rPr>
                <w:rFonts w:hint="default"/>
                <w:b/>
                <w:bCs/>
                <w:color w:val="000000" w:themeColor="text1"/>
                <w:sz w:val="21"/>
                <w:szCs w:val="21"/>
                <w:highlight w:val="none"/>
                <w:lang w:val="en-US" w:eastAsia="zh-CN"/>
                <w14:textFill>
                  <w14:solidFill>
                    <w14:schemeClr w14:val="tx1"/>
                  </w14:solidFill>
                </w14:textFill>
              </w:rPr>
              <w:t>注：“&lt;+数值”代表小于检出限</w:t>
            </w:r>
          </w:p>
          <w:p w14:paraId="4EE7C32E">
            <w:pPr>
              <w:keepNext w:val="0"/>
              <w:keepLines w:val="0"/>
              <w:pageBreakBefore w:val="0"/>
              <w:widowControl w:val="0"/>
              <w:kinsoku/>
              <w:wordWrap w:val="0"/>
              <w:overflowPunct/>
              <w:topLinePunct w:val="0"/>
              <w:autoSpaceDE/>
              <w:autoSpaceDN/>
              <w:bidi w:val="0"/>
              <w:spacing w:line="4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pacing w:val="0"/>
                <w:position w:val="0"/>
                <w:sz w:val="21"/>
                <w:szCs w:val="21"/>
                <w:highlight w:val="none"/>
                <w:lang w:val="en-US" w:eastAsia="zh-CN"/>
                <w14:textFill>
                  <w14:solidFill>
                    <w14:schemeClr w14:val="tx1"/>
                  </w14:solidFill>
                </w14:textFill>
              </w:rPr>
              <w:t>续</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表3-1</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1</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土壤现状评价结果</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830"/>
              <w:gridCol w:w="951"/>
              <w:gridCol w:w="753"/>
              <w:gridCol w:w="1055"/>
              <w:gridCol w:w="1315"/>
              <w:gridCol w:w="1055"/>
              <w:gridCol w:w="1315"/>
            </w:tblGrid>
            <w:tr w14:paraId="0952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vMerge w:val="restart"/>
                  <w:shd w:val="clear" w:color="auto" w:fill="auto"/>
                  <w:vAlign w:val="center"/>
                </w:tcPr>
                <w:p w14:paraId="07CF67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监测项目</w:t>
                  </w:r>
                </w:p>
              </w:tc>
              <w:tc>
                <w:tcPr>
                  <w:tcW w:w="568" w:type="pct"/>
                  <w:vMerge w:val="restart"/>
                  <w:shd w:val="clear" w:color="auto" w:fill="auto"/>
                  <w:vAlign w:val="center"/>
                </w:tcPr>
                <w:p w14:paraId="0AF608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标准值</w:t>
                  </w:r>
                </w:p>
              </w:tc>
              <w:tc>
                <w:tcPr>
                  <w:tcW w:w="451" w:type="pct"/>
                  <w:vMerge w:val="restart"/>
                  <w:shd w:val="clear" w:color="auto" w:fill="auto"/>
                  <w:vAlign w:val="center"/>
                </w:tcPr>
                <w:p w14:paraId="78DD34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单位</w:t>
                  </w:r>
                </w:p>
              </w:tc>
              <w:tc>
                <w:tcPr>
                  <w:tcW w:w="1435" w:type="pct"/>
                  <w:gridSpan w:val="2"/>
                  <w:shd w:val="clear" w:color="auto" w:fill="auto"/>
                  <w:vAlign w:val="center"/>
                </w:tcPr>
                <w:p w14:paraId="71EE36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Tr1#（柱状样）-拟建项目场地区域内（1.6m）2211294TR003</w:t>
                  </w:r>
                </w:p>
              </w:tc>
              <w:tc>
                <w:tcPr>
                  <w:tcW w:w="1435" w:type="pct"/>
                  <w:gridSpan w:val="2"/>
                  <w:shd w:val="clear" w:color="auto" w:fill="auto"/>
                  <w:vAlign w:val="center"/>
                </w:tcPr>
                <w:p w14:paraId="023868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Tr1#（柱状样）-拟建项目场地区域内（3.2m）2211294TR004</w:t>
                  </w:r>
                </w:p>
              </w:tc>
            </w:tr>
            <w:tr w14:paraId="0E5C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vMerge w:val="continue"/>
                  <w:shd w:val="clear" w:color="auto" w:fill="auto"/>
                  <w:vAlign w:val="center"/>
                </w:tcPr>
                <w:p w14:paraId="58BB19CF">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568" w:type="pct"/>
                  <w:vMerge w:val="continue"/>
                  <w:shd w:val="clear" w:color="auto" w:fill="auto"/>
                  <w:vAlign w:val="center"/>
                </w:tcPr>
                <w:p w14:paraId="087F58F1">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451" w:type="pct"/>
                  <w:vMerge w:val="continue"/>
                  <w:shd w:val="clear" w:color="auto" w:fill="auto"/>
                  <w:vAlign w:val="center"/>
                </w:tcPr>
                <w:p w14:paraId="0523883D">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p>
              </w:tc>
              <w:tc>
                <w:tcPr>
                  <w:tcW w:w="639" w:type="pct"/>
                  <w:shd w:val="clear" w:color="auto" w:fill="auto"/>
                  <w:vAlign w:val="center"/>
                </w:tcPr>
                <w:p w14:paraId="67C671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监测值</w:t>
                  </w:r>
                </w:p>
              </w:tc>
              <w:tc>
                <w:tcPr>
                  <w:tcW w:w="796" w:type="pct"/>
                  <w:shd w:val="clear" w:color="auto" w:fill="auto"/>
                  <w:vAlign w:val="center"/>
                </w:tcPr>
                <w:p w14:paraId="4DD7C4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标准指数</w:t>
                  </w:r>
                </w:p>
              </w:tc>
              <w:tc>
                <w:tcPr>
                  <w:tcW w:w="639" w:type="pct"/>
                  <w:shd w:val="clear" w:color="auto" w:fill="auto"/>
                  <w:vAlign w:val="center"/>
                </w:tcPr>
                <w:p w14:paraId="75BB75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监测值</w:t>
                  </w:r>
                </w:p>
              </w:tc>
              <w:tc>
                <w:tcPr>
                  <w:tcW w:w="796" w:type="pct"/>
                  <w:shd w:val="clear" w:color="auto" w:fill="auto"/>
                  <w:vAlign w:val="center"/>
                </w:tcPr>
                <w:p w14:paraId="5E33B9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标准指数</w:t>
                  </w:r>
                </w:p>
              </w:tc>
            </w:tr>
            <w:tr w14:paraId="15B2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EA01B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pH</w:t>
                  </w:r>
                </w:p>
              </w:tc>
              <w:tc>
                <w:tcPr>
                  <w:tcW w:w="568" w:type="pct"/>
                  <w:shd w:val="clear" w:color="auto" w:fill="auto"/>
                  <w:vAlign w:val="center"/>
                </w:tcPr>
                <w:p w14:paraId="2A069A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451" w:type="pct"/>
                  <w:shd w:val="clear" w:color="auto" w:fill="auto"/>
                  <w:vAlign w:val="center"/>
                </w:tcPr>
                <w:p w14:paraId="136313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7F29C8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8.08</w:t>
                  </w:r>
                </w:p>
              </w:tc>
              <w:tc>
                <w:tcPr>
                  <w:tcW w:w="796" w:type="pct"/>
                  <w:shd w:val="clear" w:color="auto" w:fill="auto"/>
                  <w:vAlign w:val="center"/>
                </w:tcPr>
                <w:p w14:paraId="1B28EE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280742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8.19</w:t>
                  </w:r>
                </w:p>
              </w:tc>
              <w:tc>
                <w:tcPr>
                  <w:tcW w:w="796" w:type="pct"/>
                  <w:shd w:val="clear" w:color="auto" w:fill="auto"/>
                  <w:vAlign w:val="center"/>
                </w:tcPr>
                <w:p w14:paraId="554DED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561A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235A97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砷</w:t>
                  </w:r>
                </w:p>
              </w:tc>
              <w:tc>
                <w:tcPr>
                  <w:tcW w:w="568" w:type="pct"/>
                  <w:shd w:val="clear" w:color="auto" w:fill="auto"/>
                  <w:vAlign w:val="center"/>
                </w:tcPr>
                <w:p w14:paraId="2D1C93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451" w:type="pct"/>
                  <w:shd w:val="clear" w:color="auto" w:fill="auto"/>
                  <w:vAlign w:val="center"/>
                </w:tcPr>
                <w:p w14:paraId="050CE9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59097B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5.93</w:t>
                  </w:r>
                </w:p>
              </w:tc>
              <w:tc>
                <w:tcPr>
                  <w:tcW w:w="796" w:type="pct"/>
                  <w:shd w:val="clear" w:color="auto" w:fill="auto"/>
                  <w:vAlign w:val="center"/>
                </w:tcPr>
                <w:p w14:paraId="5F8997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0.099</w:t>
                  </w:r>
                </w:p>
              </w:tc>
              <w:tc>
                <w:tcPr>
                  <w:tcW w:w="639" w:type="pct"/>
                  <w:shd w:val="clear" w:color="auto" w:fill="auto"/>
                  <w:vAlign w:val="center"/>
                </w:tcPr>
                <w:p w14:paraId="1FEA84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5.52</w:t>
                  </w:r>
                </w:p>
              </w:tc>
              <w:tc>
                <w:tcPr>
                  <w:tcW w:w="796" w:type="pct"/>
                  <w:shd w:val="clear" w:color="auto" w:fill="auto"/>
                  <w:vAlign w:val="center"/>
                </w:tcPr>
                <w:p w14:paraId="5540EE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0.92</w:t>
                  </w:r>
                </w:p>
              </w:tc>
            </w:tr>
            <w:tr w14:paraId="2295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625922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镉</w:t>
                  </w:r>
                </w:p>
              </w:tc>
              <w:tc>
                <w:tcPr>
                  <w:tcW w:w="568" w:type="pct"/>
                  <w:shd w:val="clear" w:color="auto" w:fill="auto"/>
                  <w:vAlign w:val="center"/>
                </w:tcPr>
                <w:p w14:paraId="5C9F52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65</w:t>
                  </w:r>
                </w:p>
              </w:tc>
              <w:tc>
                <w:tcPr>
                  <w:tcW w:w="451" w:type="pct"/>
                  <w:shd w:val="clear" w:color="auto" w:fill="auto"/>
                  <w:vAlign w:val="center"/>
                </w:tcPr>
                <w:p w14:paraId="4FD9DD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560661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w:t>
                  </w:r>
                </w:p>
              </w:tc>
              <w:tc>
                <w:tcPr>
                  <w:tcW w:w="796" w:type="pct"/>
                  <w:shd w:val="clear" w:color="auto" w:fill="auto"/>
                  <w:vAlign w:val="center"/>
                </w:tcPr>
                <w:p w14:paraId="04192D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0.0022</w:t>
                  </w:r>
                </w:p>
              </w:tc>
              <w:tc>
                <w:tcPr>
                  <w:tcW w:w="639" w:type="pct"/>
                  <w:shd w:val="clear" w:color="auto" w:fill="auto"/>
                  <w:vAlign w:val="center"/>
                </w:tcPr>
                <w:p w14:paraId="772352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0.17</w:t>
                  </w:r>
                </w:p>
              </w:tc>
              <w:tc>
                <w:tcPr>
                  <w:tcW w:w="796" w:type="pct"/>
                  <w:shd w:val="clear" w:color="auto" w:fill="auto"/>
                  <w:vAlign w:val="center"/>
                </w:tcPr>
                <w:p w14:paraId="788B97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0.0026</w:t>
                  </w:r>
                </w:p>
              </w:tc>
            </w:tr>
            <w:tr w14:paraId="10BE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408AEC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铬（六价）</w:t>
                  </w:r>
                </w:p>
              </w:tc>
              <w:tc>
                <w:tcPr>
                  <w:tcW w:w="568" w:type="pct"/>
                  <w:shd w:val="clear" w:color="auto" w:fill="auto"/>
                  <w:vAlign w:val="center"/>
                </w:tcPr>
                <w:p w14:paraId="775339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w:t>
                  </w:r>
                </w:p>
              </w:tc>
              <w:tc>
                <w:tcPr>
                  <w:tcW w:w="451" w:type="pct"/>
                  <w:shd w:val="clear" w:color="auto" w:fill="auto"/>
                  <w:vAlign w:val="center"/>
                </w:tcPr>
                <w:p w14:paraId="64AF08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315411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796" w:type="pct"/>
                  <w:shd w:val="clear" w:color="auto" w:fill="auto"/>
                  <w:vAlign w:val="center"/>
                </w:tcPr>
                <w:p w14:paraId="691F61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2FE080E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796" w:type="pct"/>
                  <w:shd w:val="clear" w:color="auto" w:fill="auto"/>
                  <w:vAlign w:val="center"/>
                </w:tcPr>
                <w:p w14:paraId="38971C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78C3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BA336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铜</w:t>
                  </w:r>
                </w:p>
              </w:tc>
              <w:tc>
                <w:tcPr>
                  <w:tcW w:w="568" w:type="pct"/>
                  <w:shd w:val="clear" w:color="auto" w:fill="auto"/>
                  <w:vAlign w:val="center"/>
                </w:tcPr>
                <w:p w14:paraId="282D9D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18000</w:t>
                  </w:r>
                </w:p>
              </w:tc>
              <w:tc>
                <w:tcPr>
                  <w:tcW w:w="451" w:type="pct"/>
                  <w:shd w:val="clear" w:color="auto" w:fill="auto"/>
                  <w:vAlign w:val="center"/>
                </w:tcPr>
                <w:p w14:paraId="2BE4CAE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54D46F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w:t>
                  </w:r>
                </w:p>
              </w:tc>
              <w:tc>
                <w:tcPr>
                  <w:tcW w:w="796" w:type="pct"/>
                  <w:shd w:val="clear" w:color="auto" w:fill="auto"/>
                  <w:vAlign w:val="center"/>
                </w:tcPr>
                <w:p w14:paraId="674691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0.0020</w:t>
                  </w:r>
                </w:p>
              </w:tc>
              <w:tc>
                <w:tcPr>
                  <w:tcW w:w="639" w:type="pct"/>
                  <w:shd w:val="clear" w:color="auto" w:fill="auto"/>
                  <w:vAlign w:val="center"/>
                </w:tcPr>
                <w:p w14:paraId="729D2B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w:t>
                  </w:r>
                </w:p>
              </w:tc>
              <w:tc>
                <w:tcPr>
                  <w:tcW w:w="796" w:type="pct"/>
                  <w:shd w:val="clear" w:color="auto" w:fill="auto"/>
                  <w:vAlign w:val="center"/>
                </w:tcPr>
                <w:p w14:paraId="36B26B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0.0026</w:t>
                  </w:r>
                </w:p>
              </w:tc>
            </w:tr>
            <w:tr w14:paraId="420A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74E77E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铅</w:t>
                  </w:r>
                </w:p>
              </w:tc>
              <w:tc>
                <w:tcPr>
                  <w:tcW w:w="568" w:type="pct"/>
                  <w:shd w:val="clear" w:color="auto" w:fill="auto"/>
                  <w:vAlign w:val="center"/>
                </w:tcPr>
                <w:p w14:paraId="1D2F05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800</w:t>
                  </w:r>
                </w:p>
              </w:tc>
              <w:tc>
                <w:tcPr>
                  <w:tcW w:w="451" w:type="pct"/>
                  <w:shd w:val="clear" w:color="auto" w:fill="auto"/>
                  <w:vAlign w:val="center"/>
                </w:tcPr>
                <w:p w14:paraId="28DCDB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1FE433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w:t>
                  </w:r>
                </w:p>
              </w:tc>
              <w:tc>
                <w:tcPr>
                  <w:tcW w:w="796" w:type="pct"/>
                  <w:shd w:val="clear" w:color="auto" w:fill="auto"/>
                  <w:vAlign w:val="center"/>
                </w:tcPr>
                <w:p w14:paraId="1CA98E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0.035</w:t>
                  </w:r>
                </w:p>
              </w:tc>
              <w:tc>
                <w:tcPr>
                  <w:tcW w:w="639" w:type="pct"/>
                  <w:shd w:val="clear" w:color="auto" w:fill="auto"/>
                  <w:vAlign w:val="center"/>
                </w:tcPr>
                <w:p w14:paraId="6F2033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29</w:t>
                  </w:r>
                </w:p>
              </w:tc>
              <w:tc>
                <w:tcPr>
                  <w:tcW w:w="796" w:type="pct"/>
                  <w:shd w:val="clear" w:color="auto" w:fill="auto"/>
                  <w:vAlign w:val="center"/>
                </w:tcPr>
                <w:p w14:paraId="6A89B5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0.03625</w:t>
                  </w:r>
                </w:p>
              </w:tc>
            </w:tr>
            <w:tr w14:paraId="29E7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09C5A2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汞</w:t>
                  </w:r>
                </w:p>
              </w:tc>
              <w:tc>
                <w:tcPr>
                  <w:tcW w:w="568" w:type="pct"/>
                  <w:shd w:val="clear" w:color="auto" w:fill="auto"/>
                  <w:vAlign w:val="center"/>
                </w:tcPr>
                <w:p w14:paraId="469C1C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w:t>
                  </w:r>
                </w:p>
              </w:tc>
              <w:tc>
                <w:tcPr>
                  <w:tcW w:w="451" w:type="pct"/>
                  <w:shd w:val="clear" w:color="auto" w:fill="auto"/>
                  <w:vAlign w:val="center"/>
                </w:tcPr>
                <w:p w14:paraId="513BBD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6127A5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0.064</w:t>
                  </w:r>
                </w:p>
              </w:tc>
              <w:tc>
                <w:tcPr>
                  <w:tcW w:w="796" w:type="pct"/>
                  <w:shd w:val="clear" w:color="auto" w:fill="auto"/>
                  <w:vAlign w:val="center"/>
                </w:tcPr>
                <w:p w14:paraId="61EFA3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0.00168</w:t>
                  </w:r>
                </w:p>
              </w:tc>
              <w:tc>
                <w:tcPr>
                  <w:tcW w:w="639" w:type="pct"/>
                  <w:shd w:val="clear" w:color="auto" w:fill="auto"/>
                  <w:vAlign w:val="center"/>
                </w:tcPr>
                <w:p w14:paraId="69F3B8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0.066</w:t>
                  </w:r>
                </w:p>
              </w:tc>
              <w:tc>
                <w:tcPr>
                  <w:tcW w:w="796" w:type="pct"/>
                  <w:shd w:val="clear" w:color="auto" w:fill="auto"/>
                  <w:vAlign w:val="center"/>
                </w:tcPr>
                <w:p w14:paraId="5B0686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0.0017</w:t>
                  </w:r>
                </w:p>
              </w:tc>
            </w:tr>
            <w:tr w14:paraId="3A236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2713FF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镍</w:t>
                  </w:r>
                </w:p>
              </w:tc>
              <w:tc>
                <w:tcPr>
                  <w:tcW w:w="568" w:type="pct"/>
                  <w:shd w:val="clear" w:color="auto" w:fill="auto"/>
                  <w:vAlign w:val="center"/>
                </w:tcPr>
                <w:p w14:paraId="13C893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w:t>
                  </w:r>
                </w:p>
              </w:tc>
              <w:tc>
                <w:tcPr>
                  <w:tcW w:w="451" w:type="pct"/>
                  <w:shd w:val="clear" w:color="auto" w:fill="auto"/>
                  <w:vAlign w:val="center"/>
                </w:tcPr>
                <w:p w14:paraId="076185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47167B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32</w:t>
                  </w:r>
                </w:p>
              </w:tc>
              <w:tc>
                <w:tcPr>
                  <w:tcW w:w="796" w:type="pct"/>
                  <w:shd w:val="clear" w:color="auto" w:fill="auto"/>
                  <w:vAlign w:val="center"/>
                </w:tcPr>
                <w:p w14:paraId="713004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w:t>
                  </w:r>
                </w:p>
              </w:tc>
              <w:tc>
                <w:tcPr>
                  <w:tcW w:w="639" w:type="pct"/>
                  <w:shd w:val="clear" w:color="auto" w:fill="auto"/>
                  <w:vAlign w:val="center"/>
                </w:tcPr>
                <w:p w14:paraId="474A9B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w:t>
                  </w:r>
                </w:p>
              </w:tc>
              <w:tc>
                <w:tcPr>
                  <w:tcW w:w="796" w:type="pct"/>
                  <w:shd w:val="clear" w:color="auto" w:fill="auto"/>
                  <w:vAlign w:val="center"/>
                </w:tcPr>
                <w:p w14:paraId="128ECF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0.0411</w:t>
                  </w:r>
                </w:p>
              </w:tc>
            </w:tr>
            <w:tr w14:paraId="1A20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647F06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四氯化碳</w:t>
                  </w:r>
                </w:p>
              </w:tc>
              <w:tc>
                <w:tcPr>
                  <w:tcW w:w="568" w:type="pct"/>
                  <w:shd w:val="clear" w:color="auto" w:fill="auto"/>
                  <w:vAlign w:val="center"/>
                </w:tcPr>
                <w:p w14:paraId="0DA2E1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2800</w:t>
                  </w:r>
                </w:p>
              </w:tc>
              <w:tc>
                <w:tcPr>
                  <w:tcW w:w="451" w:type="pct"/>
                  <w:shd w:val="clear" w:color="auto" w:fill="auto"/>
                  <w:vAlign w:val="center"/>
                </w:tcPr>
                <w:p w14:paraId="607848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2CBED6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782AE6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006C37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7BA53F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BC8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2CBB38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氯仿</w:t>
                  </w:r>
                </w:p>
              </w:tc>
              <w:tc>
                <w:tcPr>
                  <w:tcW w:w="568" w:type="pct"/>
                  <w:shd w:val="clear" w:color="auto" w:fill="auto"/>
                  <w:vAlign w:val="center"/>
                </w:tcPr>
                <w:p w14:paraId="2BB577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w:t>
                  </w:r>
                </w:p>
              </w:tc>
              <w:tc>
                <w:tcPr>
                  <w:tcW w:w="451" w:type="pct"/>
                  <w:shd w:val="clear" w:color="auto" w:fill="auto"/>
                  <w:vAlign w:val="center"/>
                </w:tcPr>
                <w:p w14:paraId="4AAD87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3F0C24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796" w:type="pct"/>
                  <w:shd w:val="clear" w:color="auto" w:fill="auto"/>
                  <w:vAlign w:val="center"/>
                </w:tcPr>
                <w:p w14:paraId="117AC5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2AD0CB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796" w:type="pct"/>
                  <w:shd w:val="clear" w:color="auto" w:fill="auto"/>
                  <w:vAlign w:val="center"/>
                </w:tcPr>
                <w:p w14:paraId="402987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21E7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044554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氯甲烷</w:t>
                  </w:r>
                </w:p>
              </w:tc>
              <w:tc>
                <w:tcPr>
                  <w:tcW w:w="568" w:type="pct"/>
                  <w:shd w:val="clear" w:color="auto" w:fill="auto"/>
                  <w:vAlign w:val="center"/>
                </w:tcPr>
                <w:p w14:paraId="3E106A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37000</w:t>
                  </w:r>
                </w:p>
              </w:tc>
              <w:tc>
                <w:tcPr>
                  <w:tcW w:w="451" w:type="pct"/>
                  <w:shd w:val="clear" w:color="auto" w:fill="auto"/>
                  <w:vAlign w:val="center"/>
                </w:tcPr>
                <w:p w14:paraId="7F05F0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4B69EB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796" w:type="pct"/>
                  <w:shd w:val="clear" w:color="auto" w:fill="auto"/>
                  <w:vAlign w:val="center"/>
                </w:tcPr>
                <w:p w14:paraId="0648EF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5AAB1A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796" w:type="pct"/>
                  <w:shd w:val="clear" w:color="auto" w:fill="auto"/>
                  <w:vAlign w:val="center"/>
                </w:tcPr>
                <w:p w14:paraId="6D7804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1CBA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43A37D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1，1-二氯乙烷</w:t>
                  </w:r>
                </w:p>
              </w:tc>
              <w:tc>
                <w:tcPr>
                  <w:tcW w:w="568" w:type="pct"/>
                  <w:shd w:val="clear" w:color="auto" w:fill="auto"/>
                  <w:vAlign w:val="center"/>
                </w:tcPr>
                <w:p w14:paraId="3DD19E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9000</w:t>
                  </w:r>
                </w:p>
              </w:tc>
              <w:tc>
                <w:tcPr>
                  <w:tcW w:w="451" w:type="pct"/>
                  <w:shd w:val="clear" w:color="auto" w:fill="auto"/>
                  <w:vAlign w:val="center"/>
                </w:tcPr>
                <w:p w14:paraId="6B91B8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5D93BD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106C22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726D12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2EEEE6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2A81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09C7C5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1，2-二氯乙烷</w:t>
                  </w:r>
                </w:p>
              </w:tc>
              <w:tc>
                <w:tcPr>
                  <w:tcW w:w="568" w:type="pct"/>
                  <w:shd w:val="clear" w:color="auto" w:fill="auto"/>
                  <w:vAlign w:val="center"/>
                </w:tcPr>
                <w:p w14:paraId="6BD327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5000</w:t>
                  </w:r>
                </w:p>
              </w:tc>
              <w:tc>
                <w:tcPr>
                  <w:tcW w:w="451" w:type="pct"/>
                  <w:shd w:val="clear" w:color="auto" w:fill="auto"/>
                  <w:vAlign w:val="center"/>
                </w:tcPr>
                <w:p w14:paraId="4A42B0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1726DC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74001E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793EBE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3BB36E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27E0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6F3C78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1，1-二氯乙烯</w:t>
                  </w:r>
                </w:p>
              </w:tc>
              <w:tc>
                <w:tcPr>
                  <w:tcW w:w="568" w:type="pct"/>
                  <w:shd w:val="clear" w:color="auto" w:fill="auto"/>
                  <w:vAlign w:val="center"/>
                </w:tcPr>
                <w:p w14:paraId="07AF89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66000</w:t>
                  </w:r>
                </w:p>
              </w:tc>
              <w:tc>
                <w:tcPr>
                  <w:tcW w:w="451" w:type="pct"/>
                  <w:shd w:val="clear" w:color="auto" w:fill="auto"/>
                  <w:vAlign w:val="center"/>
                </w:tcPr>
                <w:p w14:paraId="373202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1D56DB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796" w:type="pct"/>
                  <w:shd w:val="clear" w:color="auto" w:fill="auto"/>
                  <w:vAlign w:val="center"/>
                </w:tcPr>
                <w:p w14:paraId="43D0BD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25D1AE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796" w:type="pct"/>
                  <w:shd w:val="clear" w:color="auto" w:fill="auto"/>
                  <w:vAlign w:val="center"/>
                </w:tcPr>
                <w:p w14:paraId="17B1F4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2662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68EDDB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顺式-1，2-二氯乙烯</w:t>
                  </w:r>
                </w:p>
              </w:tc>
              <w:tc>
                <w:tcPr>
                  <w:tcW w:w="568" w:type="pct"/>
                  <w:shd w:val="clear" w:color="auto" w:fill="auto"/>
                  <w:vAlign w:val="center"/>
                </w:tcPr>
                <w:p w14:paraId="325B02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596000</w:t>
                  </w:r>
                </w:p>
              </w:tc>
              <w:tc>
                <w:tcPr>
                  <w:tcW w:w="451" w:type="pct"/>
                  <w:shd w:val="clear" w:color="auto" w:fill="auto"/>
                  <w:vAlign w:val="center"/>
                </w:tcPr>
                <w:p w14:paraId="4FDF10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745E8F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7A2E90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56E8D7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3D3A11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1EEC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49D919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反式-1，2-二氯乙烯</w:t>
                  </w:r>
                </w:p>
              </w:tc>
              <w:tc>
                <w:tcPr>
                  <w:tcW w:w="568" w:type="pct"/>
                  <w:shd w:val="clear" w:color="auto" w:fill="auto"/>
                  <w:vAlign w:val="center"/>
                </w:tcPr>
                <w:p w14:paraId="063464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54000</w:t>
                  </w:r>
                </w:p>
              </w:tc>
              <w:tc>
                <w:tcPr>
                  <w:tcW w:w="451" w:type="pct"/>
                  <w:shd w:val="clear" w:color="auto" w:fill="auto"/>
                  <w:vAlign w:val="center"/>
                </w:tcPr>
                <w:p w14:paraId="4F808E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34D6D7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796" w:type="pct"/>
                  <w:shd w:val="clear" w:color="auto" w:fill="auto"/>
                  <w:vAlign w:val="center"/>
                </w:tcPr>
                <w:p w14:paraId="0364EC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344B83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796" w:type="pct"/>
                  <w:shd w:val="clear" w:color="auto" w:fill="auto"/>
                  <w:vAlign w:val="center"/>
                </w:tcPr>
                <w:p w14:paraId="3B8B80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5968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1EE127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二氯甲烷</w:t>
                  </w:r>
                </w:p>
              </w:tc>
              <w:tc>
                <w:tcPr>
                  <w:tcW w:w="568" w:type="pct"/>
                  <w:shd w:val="clear" w:color="auto" w:fill="auto"/>
                  <w:vAlign w:val="center"/>
                </w:tcPr>
                <w:p w14:paraId="30A5EC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616000</w:t>
                  </w:r>
                </w:p>
              </w:tc>
              <w:tc>
                <w:tcPr>
                  <w:tcW w:w="451" w:type="pct"/>
                  <w:shd w:val="clear" w:color="auto" w:fill="auto"/>
                  <w:vAlign w:val="center"/>
                </w:tcPr>
                <w:p w14:paraId="4FF508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679E27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796" w:type="pct"/>
                  <w:shd w:val="clear" w:color="auto" w:fill="auto"/>
                  <w:vAlign w:val="center"/>
                </w:tcPr>
                <w:p w14:paraId="666351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36CFD0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796" w:type="pct"/>
                  <w:shd w:val="clear" w:color="auto" w:fill="auto"/>
                  <w:vAlign w:val="center"/>
                </w:tcPr>
                <w:p w14:paraId="7D9378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752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52EA3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1，2-二氯丙烷</w:t>
                  </w:r>
                </w:p>
              </w:tc>
              <w:tc>
                <w:tcPr>
                  <w:tcW w:w="568" w:type="pct"/>
                  <w:shd w:val="clear" w:color="auto" w:fill="auto"/>
                  <w:vAlign w:val="center"/>
                </w:tcPr>
                <w:p w14:paraId="6CF3F8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5000</w:t>
                  </w:r>
                </w:p>
              </w:tc>
              <w:tc>
                <w:tcPr>
                  <w:tcW w:w="451" w:type="pct"/>
                  <w:shd w:val="clear" w:color="auto" w:fill="auto"/>
                  <w:vAlign w:val="center"/>
                </w:tcPr>
                <w:p w14:paraId="59C6AE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0D3B49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796" w:type="pct"/>
                  <w:shd w:val="clear" w:color="auto" w:fill="auto"/>
                  <w:vAlign w:val="center"/>
                </w:tcPr>
                <w:p w14:paraId="3139BE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1F46F9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796" w:type="pct"/>
                  <w:shd w:val="clear" w:color="auto" w:fill="auto"/>
                  <w:vAlign w:val="center"/>
                </w:tcPr>
                <w:p w14:paraId="442DF4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5D27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78A228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1，1，1，2-四氯乙烷</w:t>
                  </w:r>
                </w:p>
              </w:tc>
              <w:tc>
                <w:tcPr>
                  <w:tcW w:w="568" w:type="pct"/>
                  <w:shd w:val="clear" w:color="auto" w:fill="auto"/>
                  <w:vAlign w:val="center"/>
                </w:tcPr>
                <w:p w14:paraId="2012C2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10000</w:t>
                  </w:r>
                </w:p>
              </w:tc>
              <w:tc>
                <w:tcPr>
                  <w:tcW w:w="451" w:type="pct"/>
                  <w:shd w:val="clear" w:color="auto" w:fill="auto"/>
                  <w:vAlign w:val="center"/>
                </w:tcPr>
                <w:p w14:paraId="3A228F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66F3D4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7B7123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2A0DDD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0E04BE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70D9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2C966E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1，1，2，2-四氯乙烷</w:t>
                  </w:r>
                </w:p>
              </w:tc>
              <w:tc>
                <w:tcPr>
                  <w:tcW w:w="568" w:type="pct"/>
                  <w:shd w:val="clear" w:color="auto" w:fill="auto"/>
                  <w:vAlign w:val="center"/>
                </w:tcPr>
                <w:p w14:paraId="3450E1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6800</w:t>
                  </w:r>
                </w:p>
              </w:tc>
              <w:tc>
                <w:tcPr>
                  <w:tcW w:w="451" w:type="pct"/>
                  <w:shd w:val="clear" w:color="auto" w:fill="auto"/>
                  <w:vAlign w:val="center"/>
                </w:tcPr>
                <w:p w14:paraId="57E1A4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023090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331647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7E7CD5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25038E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60A1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7869D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四氯乙烯</w:t>
                  </w:r>
                </w:p>
              </w:tc>
              <w:tc>
                <w:tcPr>
                  <w:tcW w:w="568" w:type="pct"/>
                  <w:shd w:val="clear" w:color="auto" w:fill="auto"/>
                  <w:vAlign w:val="center"/>
                </w:tcPr>
                <w:p w14:paraId="1DF864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53000</w:t>
                  </w:r>
                </w:p>
              </w:tc>
              <w:tc>
                <w:tcPr>
                  <w:tcW w:w="451" w:type="pct"/>
                  <w:shd w:val="clear" w:color="auto" w:fill="auto"/>
                  <w:vAlign w:val="top"/>
                </w:tcPr>
                <w:p w14:paraId="4D0C4C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top"/>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6238A4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796" w:type="pct"/>
                  <w:shd w:val="clear" w:color="auto" w:fill="auto"/>
                  <w:vAlign w:val="center"/>
                </w:tcPr>
                <w:p w14:paraId="1A5495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5949C0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796" w:type="pct"/>
                  <w:shd w:val="clear" w:color="auto" w:fill="auto"/>
                  <w:vAlign w:val="center"/>
                </w:tcPr>
                <w:p w14:paraId="42D753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B21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75ADBF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1，1，1-三氯乙烷</w:t>
                  </w:r>
                </w:p>
              </w:tc>
              <w:tc>
                <w:tcPr>
                  <w:tcW w:w="568" w:type="pct"/>
                  <w:shd w:val="clear" w:color="auto" w:fill="auto"/>
                  <w:vAlign w:val="center"/>
                </w:tcPr>
                <w:p w14:paraId="650037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840000</w:t>
                  </w:r>
                </w:p>
              </w:tc>
              <w:tc>
                <w:tcPr>
                  <w:tcW w:w="451" w:type="pct"/>
                  <w:shd w:val="clear" w:color="auto" w:fill="auto"/>
                  <w:vAlign w:val="center"/>
                </w:tcPr>
                <w:p w14:paraId="492F4A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19F569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591621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2F10B9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6611F1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CD6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683A51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1，1，2-三氯乙烷</w:t>
                  </w:r>
                </w:p>
              </w:tc>
              <w:tc>
                <w:tcPr>
                  <w:tcW w:w="568" w:type="pct"/>
                  <w:shd w:val="clear" w:color="auto" w:fill="auto"/>
                  <w:vAlign w:val="center"/>
                </w:tcPr>
                <w:p w14:paraId="31921F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2800</w:t>
                  </w:r>
                </w:p>
              </w:tc>
              <w:tc>
                <w:tcPr>
                  <w:tcW w:w="451" w:type="pct"/>
                  <w:shd w:val="clear" w:color="auto" w:fill="auto"/>
                  <w:vAlign w:val="center"/>
                </w:tcPr>
                <w:p w14:paraId="5A52A2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11BFA8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302DC6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7908DE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1B06A8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6905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050B18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三氯乙烯</w:t>
                  </w:r>
                </w:p>
              </w:tc>
              <w:tc>
                <w:tcPr>
                  <w:tcW w:w="568" w:type="pct"/>
                  <w:shd w:val="clear" w:color="auto" w:fill="auto"/>
                  <w:vAlign w:val="center"/>
                </w:tcPr>
                <w:p w14:paraId="53F968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2800</w:t>
                  </w:r>
                </w:p>
              </w:tc>
              <w:tc>
                <w:tcPr>
                  <w:tcW w:w="451" w:type="pct"/>
                  <w:shd w:val="clear" w:color="auto" w:fill="auto"/>
                  <w:vAlign w:val="center"/>
                </w:tcPr>
                <w:p w14:paraId="26762B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3B922B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68C7AA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0F370B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394EBB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847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06445F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1，2，3-三氯丙烷</w:t>
                  </w:r>
                </w:p>
              </w:tc>
              <w:tc>
                <w:tcPr>
                  <w:tcW w:w="568" w:type="pct"/>
                  <w:shd w:val="clear" w:color="auto" w:fill="auto"/>
                  <w:vAlign w:val="center"/>
                </w:tcPr>
                <w:p w14:paraId="137580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500</w:t>
                  </w:r>
                </w:p>
              </w:tc>
              <w:tc>
                <w:tcPr>
                  <w:tcW w:w="451" w:type="pct"/>
                  <w:shd w:val="clear" w:color="auto" w:fill="auto"/>
                  <w:vAlign w:val="center"/>
                </w:tcPr>
                <w:p w14:paraId="4F0E87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2B6FD8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27128C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0E1136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60A588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7A1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D5E95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氯乙烯</w:t>
                  </w:r>
                </w:p>
              </w:tc>
              <w:tc>
                <w:tcPr>
                  <w:tcW w:w="568" w:type="pct"/>
                  <w:shd w:val="clear" w:color="auto" w:fill="auto"/>
                  <w:vAlign w:val="center"/>
                </w:tcPr>
                <w:p w14:paraId="6E7BA1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430</w:t>
                  </w:r>
                </w:p>
              </w:tc>
              <w:tc>
                <w:tcPr>
                  <w:tcW w:w="451" w:type="pct"/>
                  <w:shd w:val="clear" w:color="auto" w:fill="auto"/>
                  <w:vAlign w:val="center"/>
                </w:tcPr>
                <w:p w14:paraId="55703E9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0EE13B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796" w:type="pct"/>
                  <w:shd w:val="clear" w:color="auto" w:fill="auto"/>
                  <w:vAlign w:val="center"/>
                </w:tcPr>
                <w:p w14:paraId="601C62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1E9628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796" w:type="pct"/>
                  <w:shd w:val="clear" w:color="auto" w:fill="auto"/>
                  <w:vAlign w:val="center"/>
                </w:tcPr>
                <w:p w14:paraId="40BE86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508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74E1C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苯</w:t>
                  </w:r>
                </w:p>
              </w:tc>
              <w:tc>
                <w:tcPr>
                  <w:tcW w:w="568" w:type="pct"/>
                  <w:shd w:val="clear" w:color="auto" w:fill="auto"/>
                  <w:vAlign w:val="center"/>
                </w:tcPr>
                <w:p w14:paraId="3C7572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4000</w:t>
                  </w:r>
                </w:p>
              </w:tc>
              <w:tc>
                <w:tcPr>
                  <w:tcW w:w="451" w:type="pct"/>
                  <w:shd w:val="clear" w:color="auto" w:fill="auto"/>
                  <w:vAlign w:val="center"/>
                </w:tcPr>
                <w:p w14:paraId="5FD27C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6256C5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796" w:type="pct"/>
                  <w:shd w:val="clear" w:color="auto" w:fill="auto"/>
                  <w:vAlign w:val="center"/>
                </w:tcPr>
                <w:p w14:paraId="5597B3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4444AD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w:t>
                  </w:r>
                </w:p>
              </w:tc>
              <w:tc>
                <w:tcPr>
                  <w:tcW w:w="796" w:type="pct"/>
                  <w:shd w:val="clear" w:color="auto" w:fill="auto"/>
                  <w:vAlign w:val="center"/>
                </w:tcPr>
                <w:p w14:paraId="2C8748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356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7CAB4F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氯苯</w:t>
                  </w:r>
                </w:p>
              </w:tc>
              <w:tc>
                <w:tcPr>
                  <w:tcW w:w="568" w:type="pct"/>
                  <w:shd w:val="clear" w:color="auto" w:fill="auto"/>
                  <w:vAlign w:val="center"/>
                </w:tcPr>
                <w:p w14:paraId="2E5634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270000</w:t>
                  </w:r>
                </w:p>
              </w:tc>
              <w:tc>
                <w:tcPr>
                  <w:tcW w:w="451" w:type="pct"/>
                  <w:shd w:val="clear" w:color="auto" w:fill="auto"/>
                  <w:vAlign w:val="center"/>
                </w:tcPr>
                <w:p w14:paraId="0EB844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375D23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6E5F1D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0D3126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0EE360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4CE5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62E1EB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1，2-二氯苯</w:t>
                  </w:r>
                </w:p>
              </w:tc>
              <w:tc>
                <w:tcPr>
                  <w:tcW w:w="568" w:type="pct"/>
                  <w:shd w:val="clear" w:color="auto" w:fill="auto"/>
                  <w:vAlign w:val="center"/>
                </w:tcPr>
                <w:p w14:paraId="2C65BC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560000</w:t>
                  </w:r>
                </w:p>
              </w:tc>
              <w:tc>
                <w:tcPr>
                  <w:tcW w:w="451" w:type="pct"/>
                  <w:shd w:val="clear" w:color="auto" w:fill="auto"/>
                  <w:vAlign w:val="center"/>
                </w:tcPr>
                <w:p w14:paraId="4BC718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529ABA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796" w:type="pct"/>
                  <w:shd w:val="clear" w:color="auto" w:fill="auto"/>
                  <w:vAlign w:val="center"/>
                </w:tcPr>
                <w:p w14:paraId="7E6428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75488F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796" w:type="pct"/>
                  <w:shd w:val="clear" w:color="auto" w:fill="auto"/>
                  <w:vAlign w:val="center"/>
                </w:tcPr>
                <w:p w14:paraId="211B4C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0A3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33B56D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1，4-二氯苯</w:t>
                  </w:r>
                </w:p>
              </w:tc>
              <w:tc>
                <w:tcPr>
                  <w:tcW w:w="568" w:type="pct"/>
                  <w:shd w:val="clear" w:color="auto" w:fill="auto"/>
                  <w:vAlign w:val="center"/>
                </w:tcPr>
                <w:p w14:paraId="04DC2F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20000</w:t>
                  </w:r>
                </w:p>
              </w:tc>
              <w:tc>
                <w:tcPr>
                  <w:tcW w:w="451" w:type="pct"/>
                  <w:shd w:val="clear" w:color="auto" w:fill="auto"/>
                  <w:vAlign w:val="center"/>
                </w:tcPr>
                <w:p w14:paraId="765EBF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466FA6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796" w:type="pct"/>
                  <w:shd w:val="clear" w:color="auto" w:fill="auto"/>
                  <w:vAlign w:val="center"/>
                </w:tcPr>
                <w:p w14:paraId="1BFA33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6ECCD5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796" w:type="pct"/>
                  <w:shd w:val="clear" w:color="auto" w:fill="auto"/>
                  <w:vAlign w:val="center"/>
                </w:tcPr>
                <w:p w14:paraId="11CB24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6C5F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76E2C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乙苯</w:t>
                  </w:r>
                </w:p>
              </w:tc>
              <w:tc>
                <w:tcPr>
                  <w:tcW w:w="568" w:type="pct"/>
                  <w:shd w:val="clear" w:color="auto" w:fill="auto"/>
                  <w:vAlign w:val="center"/>
                </w:tcPr>
                <w:p w14:paraId="7F9BD8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28000</w:t>
                  </w:r>
                </w:p>
              </w:tc>
              <w:tc>
                <w:tcPr>
                  <w:tcW w:w="451" w:type="pct"/>
                  <w:shd w:val="clear" w:color="auto" w:fill="auto"/>
                  <w:vAlign w:val="center"/>
                </w:tcPr>
                <w:p w14:paraId="77EC37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1A181C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127046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356DD8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6A6D17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9C2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392C17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苯乙烯</w:t>
                  </w:r>
                </w:p>
              </w:tc>
              <w:tc>
                <w:tcPr>
                  <w:tcW w:w="568" w:type="pct"/>
                  <w:shd w:val="clear" w:color="auto" w:fill="auto"/>
                  <w:vAlign w:val="center"/>
                </w:tcPr>
                <w:p w14:paraId="2D3F9E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1290000</w:t>
                  </w:r>
                </w:p>
              </w:tc>
              <w:tc>
                <w:tcPr>
                  <w:tcW w:w="451" w:type="pct"/>
                  <w:shd w:val="clear" w:color="auto" w:fill="auto"/>
                  <w:vAlign w:val="center"/>
                </w:tcPr>
                <w:p w14:paraId="279A78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1CB66D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796" w:type="pct"/>
                  <w:shd w:val="clear" w:color="auto" w:fill="auto"/>
                  <w:vAlign w:val="center"/>
                </w:tcPr>
                <w:p w14:paraId="1299F1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197773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796" w:type="pct"/>
                  <w:shd w:val="clear" w:color="auto" w:fill="auto"/>
                  <w:vAlign w:val="center"/>
                </w:tcPr>
                <w:p w14:paraId="17BD2B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0C5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B3B5B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甲苯</w:t>
                  </w:r>
                </w:p>
              </w:tc>
              <w:tc>
                <w:tcPr>
                  <w:tcW w:w="568" w:type="pct"/>
                  <w:shd w:val="clear" w:color="auto" w:fill="auto"/>
                  <w:vAlign w:val="center"/>
                </w:tcPr>
                <w:p w14:paraId="777BDC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1200000</w:t>
                  </w:r>
                </w:p>
              </w:tc>
              <w:tc>
                <w:tcPr>
                  <w:tcW w:w="451" w:type="pct"/>
                  <w:shd w:val="clear" w:color="auto" w:fill="auto"/>
                  <w:vAlign w:val="center"/>
                </w:tcPr>
                <w:p w14:paraId="38E039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236D1B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6714C8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300117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w:t>
                  </w:r>
                </w:p>
              </w:tc>
              <w:tc>
                <w:tcPr>
                  <w:tcW w:w="796" w:type="pct"/>
                  <w:shd w:val="clear" w:color="auto" w:fill="auto"/>
                  <w:vAlign w:val="center"/>
                </w:tcPr>
                <w:p w14:paraId="11DC46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5C1E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444B65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间二甲苯+对二甲苯</w:t>
                  </w:r>
                </w:p>
              </w:tc>
              <w:tc>
                <w:tcPr>
                  <w:tcW w:w="568" w:type="pct"/>
                  <w:shd w:val="clear" w:color="auto" w:fill="auto"/>
                  <w:vAlign w:val="center"/>
                </w:tcPr>
                <w:p w14:paraId="100CA7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570000</w:t>
                  </w:r>
                </w:p>
              </w:tc>
              <w:tc>
                <w:tcPr>
                  <w:tcW w:w="451" w:type="pct"/>
                  <w:shd w:val="clear" w:color="auto" w:fill="auto"/>
                  <w:vAlign w:val="center"/>
                </w:tcPr>
                <w:p w14:paraId="455D2C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335FE9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7E8E87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3A2594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295F80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4C30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27767C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邻二甲苯</w:t>
                  </w:r>
                </w:p>
              </w:tc>
              <w:tc>
                <w:tcPr>
                  <w:tcW w:w="568" w:type="pct"/>
                  <w:shd w:val="clear" w:color="auto" w:fill="auto"/>
                  <w:vAlign w:val="center"/>
                </w:tcPr>
                <w:p w14:paraId="4A0E9D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640000</w:t>
                  </w:r>
                </w:p>
              </w:tc>
              <w:tc>
                <w:tcPr>
                  <w:tcW w:w="451" w:type="pct"/>
                  <w:shd w:val="clear" w:color="auto" w:fill="auto"/>
                  <w:vAlign w:val="center"/>
                </w:tcPr>
                <w:p w14:paraId="08FC87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μg/kg</w:t>
                  </w:r>
                </w:p>
              </w:tc>
              <w:tc>
                <w:tcPr>
                  <w:tcW w:w="639" w:type="pct"/>
                  <w:shd w:val="clear" w:color="auto" w:fill="auto"/>
                  <w:vAlign w:val="center"/>
                </w:tcPr>
                <w:p w14:paraId="205D76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4BBF32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02246B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w:t>
                  </w:r>
                </w:p>
              </w:tc>
              <w:tc>
                <w:tcPr>
                  <w:tcW w:w="796" w:type="pct"/>
                  <w:shd w:val="clear" w:color="auto" w:fill="auto"/>
                  <w:vAlign w:val="center"/>
                </w:tcPr>
                <w:p w14:paraId="465D69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5AD4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721F4D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石油烃（C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-C</w:t>
                  </w:r>
                  <w:r>
                    <w:rPr>
                      <w:rFonts w:hint="default" w:ascii="Times New Roman" w:hAnsi="Times New Roman" w:eastAsia="宋体" w:cs="Times New Roman"/>
                      <w:i w:val="0"/>
                      <w:iCs w:val="0"/>
                      <w:color w:val="000000" w:themeColor="text1"/>
                      <w:kern w:val="0"/>
                      <w:sz w:val="21"/>
                      <w:szCs w:val="21"/>
                      <w:highlight w:val="none"/>
                      <w:u w:val="none"/>
                      <w:vertAlign w:val="subscript"/>
                      <w:lang w:val="en-US" w:eastAsia="zh-CN" w:bidi="ar"/>
                      <w14:textFill>
                        <w14:solidFill>
                          <w14:schemeClr w14:val="tx1"/>
                        </w14:solidFill>
                      </w14:textFill>
                    </w:rPr>
                    <w:t>40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568" w:type="pct"/>
                  <w:shd w:val="clear" w:color="auto" w:fill="auto"/>
                  <w:vAlign w:val="center"/>
                </w:tcPr>
                <w:p w14:paraId="65645D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4500</w:t>
                  </w:r>
                </w:p>
              </w:tc>
              <w:tc>
                <w:tcPr>
                  <w:tcW w:w="451" w:type="pct"/>
                  <w:shd w:val="clear" w:color="auto" w:fill="auto"/>
                  <w:vAlign w:val="center"/>
                </w:tcPr>
                <w:p w14:paraId="134A77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5F2C97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796" w:type="pct"/>
                  <w:shd w:val="clear" w:color="auto" w:fill="auto"/>
                  <w:vAlign w:val="center"/>
                </w:tcPr>
                <w:p w14:paraId="40D9DF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3FE85E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796" w:type="pct"/>
                  <w:shd w:val="clear" w:color="auto" w:fill="auto"/>
                  <w:vAlign w:val="center"/>
                </w:tcPr>
                <w:p w14:paraId="3BBDC7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7698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4FB22D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氨氮</w:t>
                  </w:r>
                </w:p>
              </w:tc>
              <w:tc>
                <w:tcPr>
                  <w:tcW w:w="568" w:type="pct"/>
                  <w:shd w:val="clear" w:color="auto" w:fill="auto"/>
                  <w:vAlign w:val="center"/>
                </w:tcPr>
                <w:p w14:paraId="03A82A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1200</w:t>
                  </w:r>
                </w:p>
              </w:tc>
              <w:tc>
                <w:tcPr>
                  <w:tcW w:w="451" w:type="pct"/>
                  <w:shd w:val="clear" w:color="auto" w:fill="auto"/>
                  <w:vAlign w:val="center"/>
                </w:tcPr>
                <w:p w14:paraId="5BA771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31DA32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25.4</w:t>
                  </w:r>
                </w:p>
              </w:tc>
              <w:tc>
                <w:tcPr>
                  <w:tcW w:w="796" w:type="pct"/>
                  <w:shd w:val="clear" w:color="auto" w:fill="auto"/>
                  <w:vAlign w:val="center"/>
                </w:tcPr>
                <w:p w14:paraId="6C5EDD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0.0212</w:t>
                  </w:r>
                </w:p>
              </w:tc>
              <w:tc>
                <w:tcPr>
                  <w:tcW w:w="639" w:type="pct"/>
                  <w:shd w:val="clear" w:color="auto" w:fill="auto"/>
                  <w:vAlign w:val="center"/>
                </w:tcPr>
                <w:p w14:paraId="15A5AB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25.1</w:t>
                  </w:r>
                </w:p>
              </w:tc>
              <w:tc>
                <w:tcPr>
                  <w:tcW w:w="796" w:type="pct"/>
                  <w:shd w:val="clear" w:color="auto" w:fill="auto"/>
                  <w:vAlign w:val="center"/>
                </w:tcPr>
                <w:p w14:paraId="7A5C80E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0.021</w:t>
                  </w:r>
                </w:p>
              </w:tc>
            </w:tr>
            <w:tr w14:paraId="28ED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0E9C83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硝基苯</w:t>
                  </w:r>
                </w:p>
              </w:tc>
              <w:tc>
                <w:tcPr>
                  <w:tcW w:w="568" w:type="pct"/>
                  <w:shd w:val="clear" w:color="auto" w:fill="auto"/>
                  <w:vAlign w:val="center"/>
                </w:tcPr>
                <w:p w14:paraId="2BCEF1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76</w:t>
                  </w:r>
                </w:p>
              </w:tc>
              <w:tc>
                <w:tcPr>
                  <w:tcW w:w="451" w:type="pct"/>
                  <w:shd w:val="clear" w:color="auto" w:fill="auto"/>
                  <w:vAlign w:val="center"/>
                </w:tcPr>
                <w:p w14:paraId="133263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481566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w:t>
                  </w:r>
                </w:p>
              </w:tc>
              <w:tc>
                <w:tcPr>
                  <w:tcW w:w="796" w:type="pct"/>
                  <w:shd w:val="clear" w:color="auto" w:fill="auto"/>
                  <w:vAlign w:val="center"/>
                </w:tcPr>
                <w:p w14:paraId="36EEDD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4F0F23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w:t>
                  </w:r>
                </w:p>
              </w:tc>
              <w:tc>
                <w:tcPr>
                  <w:tcW w:w="796" w:type="pct"/>
                  <w:shd w:val="clear" w:color="auto" w:fill="auto"/>
                  <w:vAlign w:val="center"/>
                </w:tcPr>
                <w:p w14:paraId="400519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176E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28CFEE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2-氯苯酚</w:t>
                  </w:r>
                </w:p>
              </w:tc>
              <w:tc>
                <w:tcPr>
                  <w:tcW w:w="568" w:type="pct"/>
                  <w:shd w:val="clear" w:color="auto" w:fill="auto"/>
                  <w:vAlign w:val="center"/>
                </w:tcPr>
                <w:p w14:paraId="1C3E36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2256</w:t>
                  </w:r>
                </w:p>
              </w:tc>
              <w:tc>
                <w:tcPr>
                  <w:tcW w:w="451" w:type="pct"/>
                  <w:shd w:val="clear" w:color="auto" w:fill="auto"/>
                  <w:vAlign w:val="center"/>
                </w:tcPr>
                <w:p w14:paraId="7A1E40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7CE152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w:t>
                  </w:r>
                </w:p>
              </w:tc>
              <w:tc>
                <w:tcPr>
                  <w:tcW w:w="796" w:type="pct"/>
                  <w:shd w:val="clear" w:color="auto" w:fill="auto"/>
                  <w:vAlign w:val="center"/>
                </w:tcPr>
                <w:p w14:paraId="7C1824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67663B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＜0.06</w:t>
                  </w:r>
                </w:p>
              </w:tc>
              <w:tc>
                <w:tcPr>
                  <w:tcW w:w="796" w:type="pct"/>
                  <w:shd w:val="clear" w:color="auto" w:fill="auto"/>
                  <w:vAlign w:val="center"/>
                </w:tcPr>
                <w:p w14:paraId="6CB357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895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338480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苯并［a］蒽</w:t>
                  </w:r>
                </w:p>
              </w:tc>
              <w:tc>
                <w:tcPr>
                  <w:tcW w:w="568" w:type="pct"/>
                  <w:shd w:val="clear" w:color="auto" w:fill="auto"/>
                  <w:vAlign w:val="center"/>
                </w:tcPr>
                <w:p w14:paraId="749D77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51" w:type="pct"/>
                  <w:shd w:val="clear" w:color="auto" w:fill="auto"/>
                  <w:vAlign w:val="center"/>
                </w:tcPr>
                <w:p w14:paraId="7B48DD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1143C3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2FC61D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7FDA61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036C9E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5C40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2E35A1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苯并［a］芘</w:t>
                  </w:r>
                </w:p>
              </w:tc>
              <w:tc>
                <w:tcPr>
                  <w:tcW w:w="568" w:type="pct"/>
                  <w:shd w:val="clear" w:color="auto" w:fill="auto"/>
                  <w:vAlign w:val="center"/>
                </w:tcPr>
                <w:p w14:paraId="08FFC2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51" w:type="pct"/>
                  <w:shd w:val="clear" w:color="auto" w:fill="auto"/>
                  <w:vAlign w:val="center"/>
                </w:tcPr>
                <w:p w14:paraId="7BE646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6E2D04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7BA160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0D898D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7E6F66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433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01BD68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苯并［b］荧蒽</w:t>
                  </w:r>
                </w:p>
              </w:tc>
              <w:tc>
                <w:tcPr>
                  <w:tcW w:w="568" w:type="pct"/>
                  <w:shd w:val="clear" w:color="auto" w:fill="auto"/>
                  <w:vAlign w:val="center"/>
                </w:tcPr>
                <w:p w14:paraId="320995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51" w:type="pct"/>
                  <w:shd w:val="clear" w:color="auto" w:fill="auto"/>
                  <w:vAlign w:val="center"/>
                </w:tcPr>
                <w:p w14:paraId="0F140F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28C706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796" w:type="pct"/>
                  <w:shd w:val="clear" w:color="auto" w:fill="auto"/>
                  <w:vAlign w:val="center"/>
                </w:tcPr>
                <w:p w14:paraId="009D5B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10F0EE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w:t>
                  </w:r>
                </w:p>
              </w:tc>
              <w:tc>
                <w:tcPr>
                  <w:tcW w:w="796" w:type="pct"/>
                  <w:shd w:val="clear" w:color="auto" w:fill="auto"/>
                  <w:vAlign w:val="center"/>
                </w:tcPr>
                <w:p w14:paraId="683047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7D16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680EBC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苯并［k］荧蒽</w:t>
                  </w:r>
                </w:p>
              </w:tc>
              <w:tc>
                <w:tcPr>
                  <w:tcW w:w="568" w:type="pct"/>
                  <w:shd w:val="clear" w:color="auto" w:fill="auto"/>
                  <w:vAlign w:val="center"/>
                </w:tcPr>
                <w:p w14:paraId="3F9980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151</w:t>
                  </w:r>
                </w:p>
              </w:tc>
              <w:tc>
                <w:tcPr>
                  <w:tcW w:w="451" w:type="pct"/>
                  <w:shd w:val="clear" w:color="auto" w:fill="auto"/>
                  <w:vAlign w:val="center"/>
                </w:tcPr>
                <w:p w14:paraId="33A5A2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6C98A1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41F1A7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6E7283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75C4E4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6E06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B2D2A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䓛</w:t>
                  </w:r>
                </w:p>
              </w:tc>
              <w:tc>
                <w:tcPr>
                  <w:tcW w:w="568" w:type="pct"/>
                  <w:shd w:val="clear" w:color="auto" w:fill="auto"/>
                  <w:vAlign w:val="center"/>
                </w:tcPr>
                <w:p w14:paraId="2F1088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1293</w:t>
                  </w:r>
                </w:p>
              </w:tc>
              <w:tc>
                <w:tcPr>
                  <w:tcW w:w="451" w:type="pct"/>
                  <w:shd w:val="clear" w:color="auto" w:fill="auto"/>
                  <w:vAlign w:val="center"/>
                </w:tcPr>
                <w:p w14:paraId="2B75E7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2F0E7C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4A530C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7897F3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7F9F34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26C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40FDA1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二苯并［a，h］蒽</w:t>
                  </w:r>
                </w:p>
              </w:tc>
              <w:tc>
                <w:tcPr>
                  <w:tcW w:w="568" w:type="pct"/>
                  <w:shd w:val="clear" w:color="auto" w:fill="auto"/>
                  <w:vAlign w:val="center"/>
                </w:tcPr>
                <w:p w14:paraId="427244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51" w:type="pct"/>
                  <w:shd w:val="clear" w:color="auto" w:fill="auto"/>
                  <w:vAlign w:val="center"/>
                </w:tcPr>
                <w:p w14:paraId="246072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344A8C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00C173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3E2D82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0EE618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4CC9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1107" w:type="pct"/>
                  <w:shd w:val="clear" w:color="auto" w:fill="auto"/>
                  <w:vAlign w:val="center"/>
                </w:tcPr>
                <w:p w14:paraId="780C3C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茚并［1，2，3-cd］芘</w:t>
                  </w:r>
                </w:p>
              </w:tc>
              <w:tc>
                <w:tcPr>
                  <w:tcW w:w="568" w:type="pct"/>
                  <w:shd w:val="clear" w:color="auto" w:fill="auto"/>
                  <w:vAlign w:val="center"/>
                </w:tcPr>
                <w:p w14:paraId="6AA02C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451" w:type="pct"/>
                  <w:shd w:val="clear" w:color="auto" w:fill="auto"/>
                  <w:vAlign w:val="center"/>
                </w:tcPr>
                <w:p w14:paraId="2F54C5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54225A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6ACE15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6A6B4C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796" w:type="pct"/>
                  <w:shd w:val="clear" w:color="auto" w:fill="auto"/>
                  <w:vAlign w:val="center"/>
                </w:tcPr>
                <w:p w14:paraId="0F8314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82D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530B8B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萘</w:t>
                  </w:r>
                </w:p>
              </w:tc>
              <w:tc>
                <w:tcPr>
                  <w:tcW w:w="568" w:type="pct"/>
                  <w:shd w:val="clear" w:color="auto" w:fill="auto"/>
                  <w:vAlign w:val="center"/>
                </w:tcPr>
                <w:p w14:paraId="6C7953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451" w:type="pct"/>
                  <w:shd w:val="clear" w:color="auto" w:fill="auto"/>
                  <w:vAlign w:val="center"/>
                </w:tcPr>
                <w:p w14:paraId="5A5E7F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10B48A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w:t>
                  </w:r>
                </w:p>
              </w:tc>
              <w:tc>
                <w:tcPr>
                  <w:tcW w:w="796" w:type="pct"/>
                  <w:shd w:val="clear" w:color="auto" w:fill="auto"/>
                  <w:vAlign w:val="center"/>
                </w:tcPr>
                <w:p w14:paraId="7F7A2F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5225CB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w:t>
                  </w:r>
                </w:p>
              </w:tc>
              <w:tc>
                <w:tcPr>
                  <w:tcW w:w="796" w:type="pct"/>
                  <w:shd w:val="clear" w:color="auto" w:fill="auto"/>
                  <w:vAlign w:val="center"/>
                </w:tcPr>
                <w:p w14:paraId="278D43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2C5D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07" w:type="pct"/>
                  <w:shd w:val="clear" w:color="auto" w:fill="auto"/>
                  <w:vAlign w:val="center"/>
                </w:tcPr>
                <w:p w14:paraId="29D767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苯胺</w:t>
                  </w:r>
                </w:p>
              </w:tc>
              <w:tc>
                <w:tcPr>
                  <w:tcW w:w="568" w:type="pct"/>
                  <w:shd w:val="clear" w:color="auto" w:fill="auto"/>
                  <w:vAlign w:val="center"/>
                </w:tcPr>
                <w:p w14:paraId="2C3E26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w:t>
                  </w:r>
                </w:p>
              </w:tc>
              <w:tc>
                <w:tcPr>
                  <w:tcW w:w="451" w:type="pct"/>
                  <w:shd w:val="clear" w:color="auto" w:fill="auto"/>
                  <w:vAlign w:val="center"/>
                </w:tcPr>
                <w:p w14:paraId="6BBE5E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mg/kg</w:t>
                  </w:r>
                </w:p>
              </w:tc>
              <w:tc>
                <w:tcPr>
                  <w:tcW w:w="639" w:type="pct"/>
                  <w:shd w:val="clear" w:color="auto" w:fill="auto"/>
                  <w:vAlign w:val="center"/>
                </w:tcPr>
                <w:p w14:paraId="7FA870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w:t>
                  </w:r>
                </w:p>
              </w:tc>
              <w:tc>
                <w:tcPr>
                  <w:tcW w:w="796" w:type="pct"/>
                  <w:shd w:val="clear" w:color="auto" w:fill="auto"/>
                  <w:vAlign w:val="center"/>
                </w:tcPr>
                <w:p w14:paraId="4537DF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39" w:type="pct"/>
                  <w:shd w:val="clear" w:color="auto" w:fill="auto"/>
                  <w:vAlign w:val="center"/>
                </w:tcPr>
                <w:p w14:paraId="1987E6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＜0.09</w:t>
                  </w:r>
                </w:p>
              </w:tc>
              <w:tc>
                <w:tcPr>
                  <w:tcW w:w="796" w:type="pct"/>
                  <w:shd w:val="clear" w:color="auto" w:fill="auto"/>
                  <w:vAlign w:val="center"/>
                </w:tcPr>
                <w:p w14:paraId="7A9504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bl>
          <w:p w14:paraId="604EA083">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b/>
                <w:bCs/>
                <w:color w:val="000000" w:themeColor="text1"/>
                <w:sz w:val="21"/>
                <w:szCs w:val="21"/>
                <w:highlight w:val="none"/>
                <w:lang w:val="en-US" w:eastAsia="zh-CN"/>
                <w14:textFill>
                  <w14:solidFill>
                    <w14:schemeClr w14:val="tx1"/>
                  </w14:solidFill>
                </w14:textFill>
              </w:rPr>
            </w:pPr>
            <w:r>
              <w:rPr>
                <w:rFonts w:hint="default"/>
                <w:b/>
                <w:bCs/>
                <w:color w:val="000000" w:themeColor="text1"/>
                <w:sz w:val="21"/>
                <w:szCs w:val="21"/>
                <w:highlight w:val="none"/>
                <w:lang w:val="en-US" w:eastAsia="zh-CN"/>
                <w14:textFill>
                  <w14:solidFill>
                    <w14:schemeClr w14:val="tx1"/>
                  </w14:solidFill>
                </w14:textFill>
              </w:rPr>
              <w:t>注：“&lt;+数值”代表小于检出限</w:t>
            </w:r>
          </w:p>
          <w:p w14:paraId="2BB85DBD">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（6）监测结果分析</w:t>
            </w:r>
          </w:p>
          <w:p w14:paraId="645D80CE">
            <w:pPr>
              <w:keepNext w:val="0"/>
              <w:keepLines w:val="0"/>
              <w:pageBreakBefore w:val="0"/>
              <w:widowControl w:val="0"/>
              <w:kinsoku/>
              <w:wordWrap w:val="0"/>
              <w:overflowPunct/>
              <w:topLinePunct w:val="0"/>
              <w:autoSpaceDE/>
              <w:autoSpaceDN/>
              <w:bidi w:val="0"/>
              <w:adjustRightInd/>
              <w:snapToGrid/>
              <w:spacing w:line="480" w:lineRule="exact"/>
              <w:ind w:right="113" w:firstLine="420" w:firstLineChars="200"/>
              <w:textAlignment w:val="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通过对监测点位的土壤质量分析可知，各项监测因子均满足《土壤环境质量建设用地土壤污染风险管控标准（试行）》（GB36600-2018）表1建设用地土壤污染风险筛选值以及表2中石油烃（C</w:t>
            </w:r>
            <w:r>
              <w:rPr>
                <w:rFonts w:hint="default"/>
                <w:color w:val="000000" w:themeColor="text1"/>
                <w:sz w:val="21"/>
                <w:szCs w:val="21"/>
                <w:highlight w:val="none"/>
                <w:vertAlign w:val="subscript"/>
                <w:lang w:val="en-US" w:eastAsia="zh-CN"/>
                <w14:textFill>
                  <w14:solidFill>
                    <w14:schemeClr w14:val="tx1"/>
                  </w14:solidFill>
                </w14:textFill>
              </w:rPr>
              <w:t>10</w:t>
            </w:r>
            <w:r>
              <w:rPr>
                <w:rFonts w:hint="default"/>
                <w:color w:val="000000" w:themeColor="text1"/>
                <w:sz w:val="21"/>
                <w:szCs w:val="21"/>
                <w:highlight w:val="none"/>
                <w:lang w:val="en-US" w:eastAsia="zh-CN"/>
                <w14:textFill>
                  <w14:solidFill>
                    <w14:schemeClr w14:val="tx1"/>
                  </w14:solidFill>
                </w14:textFill>
              </w:rPr>
              <w:t>-C</w:t>
            </w:r>
            <w:r>
              <w:rPr>
                <w:rFonts w:hint="default"/>
                <w:color w:val="000000" w:themeColor="text1"/>
                <w:sz w:val="21"/>
                <w:szCs w:val="21"/>
                <w:highlight w:val="none"/>
                <w:vertAlign w:val="subscript"/>
                <w:lang w:val="en-US" w:eastAsia="zh-CN"/>
                <w14:textFill>
                  <w14:solidFill>
                    <w14:schemeClr w14:val="tx1"/>
                  </w14:solidFill>
                </w14:textFill>
              </w:rPr>
              <w:t>40</w:t>
            </w:r>
            <w:r>
              <w:rPr>
                <w:rFonts w:hint="default"/>
                <w:color w:val="000000" w:themeColor="text1"/>
                <w:sz w:val="21"/>
                <w:szCs w:val="21"/>
                <w:highlight w:val="none"/>
                <w:lang w:val="en-US" w:eastAsia="zh-CN"/>
                <w14:textFill>
                  <w14:solidFill>
                    <w14:schemeClr w14:val="tx1"/>
                  </w14:solidFill>
                </w14:textFill>
              </w:rPr>
              <w:t>）筛选值；氨氮满足《建设用地土壤污染风险筛选值》（DB13/T5216-2022）表1中建设用地土壤污染风险筛选值的要求，项目</w:t>
            </w:r>
            <w:r>
              <w:rPr>
                <w:rFonts w:hint="eastAsia"/>
                <w:color w:val="000000" w:themeColor="text1"/>
                <w:sz w:val="21"/>
                <w:szCs w:val="21"/>
                <w:highlight w:val="none"/>
                <w:lang w:val="en-US" w:eastAsia="zh-CN"/>
                <w14:textFill>
                  <w14:solidFill>
                    <w14:schemeClr w14:val="tx1"/>
                  </w14:solidFill>
                </w14:textFill>
              </w:rPr>
              <w:t>周边</w:t>
            </w:r>
            <w:r>
              <w:rPr>
                <w:rFonts w:hint="default"/>
                <w:color w:val="000000" w:themeColor="text1"/>
                <w:sz w:val="21"/>
                <w:szCs w:val="21"/>
                <w:highlight w:val="none"/>
                <w:lang w:val="en-US" w:eastAsia="zh-CN"/>
                <w14:textFill>
                  <w14:solidFill>
                    <w14:schemeClr w14:val="tx1"/>
                  </w14:solidFill>
                </w14:textFill>
              </w:rPr>
              <w:t>区域土壤环境质量较好</w:t>
            </w:r>
            <w:r>
              <w:rPr>
                <w:rFonts w:hint="eastAsia"/>
                <w:color w:val="000000" w:themeColor="text1"/>
                <w:sz w:val="21"/>
                <w:szCs w:val="21"/>
                <w:highlight w:val="none"/>
                <w:lang w:val="en-US" w:eastAsia="zh-CN"/>
                <w14:textFill>
                  <w14:solidFill>
                    <w14:schemeClr w14:val="tx1"/>
                  </w14:solidFill>
                </w14:textFill>
              </w:rPr>
              <w:t>。</w:t>
            </w:r>
          </w:p>
          <w:p w14:paraId="1B05D6BE">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p>
          <w:p w14:paraId="3C027C58">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p>
          <w:p w14:paraId="470FEC8A">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p>
          <w:p w14:paraId="082A2087">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p>
          <w:p w14:paraId="5ED12CB5">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p>
          <w:p w14:paraId="1541DB9F">
            <w:pPr>
              <w:keepNext w:val="0"/>
              <w:keepLines w:val="0"/>
              <w:pageBreakBefore w:val="0"/>
              <w:kinsoku/>
              <w:wordWrap w:val="0"/>
              <w:overflowPunct/>
              <w:topLinePunct w:val="0"/>
              <w:autoSpaceDE/>
              <w:autoSpaceDN/>
              <w:bidi w:val="0"/>
              <w:adjustRightInd/>
              <w:snapToGrid/>
              <w:spacing w:line="480" w:lineRule="exact"/>
              <w:ind w:right="113" w:firstLine="482"/>
              <w:textAlignment w:val="auto"/>
              <w:rPr>
                <w:rFonts w:hint="default"/>
                <w:color w:val="000000" w:themeColor="text1"/>
                <w:sz w:val="21"/>
                <w:szCs w:val="21"/>
                <w:highlight w:val="none"/>
                <w:lang w:val="en-US" w:eastAsia="zh-CN"/>
                <w14:textFill>
                  <w14:solidFill>
                    <w14:schemeClr w14:val="tx1"/>
                  </w14:solidFill>
                </w14:textFill>
              </w:rPr>
            </w:pPr>
          </w:p>
          <w:p w14:paraId="75114F84">
            <w:pPr>
              <w:pStyle w:val="6"/>
              <w:pageBreakBefore w:val="0"/>
              <w:widowControl w:val="0"/>
              <w:kinsoku/>
              <w:wordWrap w:val="0"/>
              <w:overflowPunct/>
              <w:bidi w:val="0"/>
              <w:snapToGrid/>
              <w:spacing w:before="0" w:after="0" w:line="360" w:lineRule="auto"/>
              <w:ind w:right="0" w:firstLine="361" w:firstLineChars="200"/>
              <w:rPr>
                <w:rFonts w:hint="default" w:ascii="Times New Roman" w:hAnsi="Times New Roman" w:eastAsia="宋体" w:cs="Times New Roman"/>
                <w:b/>
                <w:bCs/>
                <w:color w:val="000000" w:themeColor="text1"/>
                <w:highlight w:val="none"/>
                <w:lang w:val="en-US" w:eastAsia="zh-CN" w:bidi="ar"/>
                <w14:textFill>
                  <w14:solidFill>
                    <w14:schemeClr w14:val="tx1"/>
                  </w14:solidFill>
                </w14:textFill>
              </w:rPr>
            </w:pPr>
          </w:p>
        </w:tc>
      </w:tr>
      <w:tr w14:paraId="237FB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572" w:type="dxa"/>
            <w:vAlign w:val="center"/>
          </w:tcPr>
          <w:p w14:paraId="536289C6">
            <w:pPr>
              <w:pageBreakBefore w:val="0"/>
              <w:kinsoku/>
              <w:wordWrap w:val="0"/>
              <w:overflowPunct/>
              <w:bidi w:val="0"/>
              <w:adjustRightInd w:val="0"/>
              <w:snapToGrid w:val="0"/>
              <w:jc w:val="center"/>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环境保护目标</w:t>
            </w:r>
          </w:p>
        </w:tc>
        <w:tc>
          <w:tcPr>
            <w:tcW w:w="8489" w:type="dxa"/>
            <w:vAlign w:val="center"/>
          </w:tcPr>
          <w:p w14:paraId="61A6B2AC">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firstLine="422"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1.环境空气保护目标</w:t>
            </w:r>
          </w:p>
          <w:p w14:paraId="254F1487">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根据现状调查，该项目周边无国家、省、市重点保护文物、自然保护区、濒危珍稀动植物和风景旅游区等重点保护目标。根据项目性质及周围环境特征，本项目主要环境保护目标及其保护级别见表所示：</w:t>
            </w:r>
          </w:p>
          <w:p w14:paraId="1D4F27EA">
            <w:pPr>
              <w:pStyle w:val="65"/>
              <w:keepNext w:val="0"/>
              <w:keepLines w:val="0"/>
              <w:pageBreakBefore w:val="0"/>
              <w:widowControl w:val="0"/>
              <w:kinsoku/>
              <w:wordWrap w:val="0"/>
              <w:overflowPunct/>
              <w:topLinePunct w:val="0"/>
              <w:autoSpaceDE/>
              <w:autoSpaceDN/>
              <w:bidi w:val="0"/>
              <w:adjustRightInd/>
              <w:snapToGrid/>
              <w:spacing w:line="440" w:lineRule="exact"/>
              <w:jc w:val="center"/>
              <w:textAlignment w:val="auto"/>
              <w:rPr>
                <w:rFonts w:hint="default"/>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表3-</w:t>
            </w:r>
            <w:r>
              <w:rPr>
                <w:rFonts w:hint="eastAsia" w:eastAsia="宋体" w:cs="Times New Roman"/>
                <w:b/>
                <w:bCs/>
                <w:color w:val="000000" w:themeColor="text1"/>
                <w:kern w:val="2"/>
                <w:sz w:val="21"/>
                <w:szCs w:val="21"/>
                <w:highlight w:val="none"/>
                <w:lang w:val="en-US" w:eastAsia="zh-CN" w:bidi="ar-SA"/>
                <w14:textFill>
                  <w14:solidFill>
                    <w14:schemeClr w14:val="tx1"/>
                  </w14:solidFill>
                </w14:textFill>
              </w:rPr>
              <w:t>12</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大气环境保护目标一览表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79"/>
              <w:gridCol w:w="1025"/>
              <w:gridCol w:w="1126"/>
              <w:gridCol w:w="841"/>
              <w:gridCol w:w="1800"/>
              <w:gridCol w:w="717"/>
              <w:gridCol w:w="894"/>
            </w:tblGrid>
            <w:tr w14:paraId="486C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8" w:type="pct"/>
                  <w:vMerge w:val="restart"/>
                  <w:noWrap w:val="0"/>
                  <w:vAlign w:val="center"/>
                </w:tcPr>
                <w:p w14:paraId="34891BC3">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b/>
                      <w:bCs/>
                      <w:color w:val="000000" w:themeColor="text1"/>
                      <w:kern w:val="0"/>
                      <w:sz w:val="21"/>
                      <w:szCs w:val="21"/>
                      <w:highlight w:val="none"/>
                      <w:vertAlign w:val="baseline"/>
                      <w:lang w:val="en-US" w:eastAsia="zh-CN" w:bidi="ar-SA"/>
                      <w14:textFill>
                        <w14:solidFill>
                          <w14:schemeClr w14:val="tx1"/>
                        </w14:solidFill>
                      </w14:textFill>
                    </w:rPr>
                    <w:t>环境要素</w:t>
                  </w:r>
                </w:p>
              </w:tc>
              <w:tc>
                <w:tcPr>
                  <w:tcW w:w="1331" w:type="pct"/>
                  <w:gridSpan w:val="2"/>
                  <w:noWrap w:val="0"/>
                  <w:vAlign w:val="center"/>
                </w:tcPr>
                <w:p w14:paraId="41412EB9">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坐标</w:t>
                  </w:r>
                </w:p>
              </w:tc>
              <w:tc>
                <w:tcPr>
                  <w:tcW w:w="680" w:type="pct"/>
                  <w:vMerge w:val="restart"/>
                  <w:noWrap w:val="0"/>
                  <w:vAlign w:val="center"/>
                </w:tcPr>
                <w:p w14:paraId="0354181E">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保护</w:t>
                  </w:r>
                </w:p>
                <w:p w14:paraId="1DB09566">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对象</w:t>
                  </w:r>
                </w:p>
              </w:tc>
              <w:tc>
                <w:tcPr>
                  <w:tcW w:w="508" w:type="pct"/>
                  <w:vMerge w:val="restart"/>
                  <w:noWrap w:val="0"/>
                  <w:vAlign w:val="center"/>
                </w:tcPr>
                <w:p w14:paraId="11319172">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保护内容</w:t>
                  </w:r>
                </w:p>
              </w:tc>
              <w:tc>
                <w:tcPr>
                  <w:tcW w:w="1087" w:type="pct"/>
                  <w:vMerge w:val="restart"/>
                  <w:noWrap w:val="0"/>
                  <w:vAlign w:val="center"/>
                </w:tcPr>
                <w:p w14:paraId="662EE234">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环境功</w:t>
                  </w:r>
                </w:p>
                <w:p w14:paraId="70612E9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能区</w:t>
                  </w:r>
                </w:p>
              </w:tc>
              <w:tc>
                <w:tcPr>
                  <w:tcW w:w="433" w:type="pct"/>
                  <w:vMerge w:val="restart"/>
                  <w:noWrap w:val="0"/>
                  <w:vAlign w:val="center"/>
                </w:tcPr>
                <w:p w14:paraId="4C8B5C14">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相对</w:t>
                  </w:r>
                  <w:r>
                    <w:rPr>
                      <w:rFonts w:hint="eastAsia"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场</w:t>
                  </w: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址方位</w:t>
                  </w:r>
                </w:p>
              </w:tc>
              <w:tc>
                <w:tcPr>
                  <w:tcW w:w="540" w:type="pct"/>
                  <w:vMerge w:val="restart"/>
                  <w:noWrap w:val="0"/>
                  <w:vAlign w:val="center"/>
                </w:tcPr>
                <w:p w14:paraId="5E97E8D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相对</w:t>
                  </w:r>
                  <w:r>
                    <w:rPr>
                      <w:rFonts w:hint="eastAsia"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场</w:t>
                  </w: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界距离/m</w:t>
                  </w:r>
                </w:p>
              </w:tc>
            </w:tr>
            <w:tr w14:paraId="4FB4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noWrap w:val="0"/>
                  <w:vAlign w:val="center"/>
                </w:tcPr>
                <w:p w14:paraId="1CC6DAA2">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12" w:type="pct"/>
                  <w:noWrap w:val="0"/>
                  <w:vAlign w:val="center"/>
                </w:tcPr>
                <w:p w14:paraId="7D1E03D0">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经度（°）</w:t>
                  </w:r>
                </w:p>
              </w:tc>
              <w:tc>
                <w:tcPr>
                  <w:tcW w:w="618" w:type="pct"/>
                  <w:noWrap w:val="0"/>
                  <w:vAlign w:val="center"/>
                </w:tcPr>
                <w:p w14:paraId="312BBD0B">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纬度（°）</w:t>
                  </w:r>
                </w:p>
              </w:tc>
              <w:tc>
                <w:tcPr>
                  <w:tcW w:w="680" w:type="pct"/>
                  <w:vMerge w:val="continue"/>
                  <w:noWrap w:val="0"/>
                  <w:vAlign w:val="center"/>
                </w:tcPr>
                <w:p w14:paraId="1A42D67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508" w:type="pct"/>
                  <w:vMerge w:val="continue"/>
                  <w:noWrap w:val="0"/>
                  <w:vAlign w:val="center"/>
                </w:tcPr>
                <w:p w14:paraId="5C360FDE">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1087" w:type="pct"/>
                  <w:vMerge w:val="continue"/>
                  <w:noWrap w:val="0"/>
                  <w:vAlign w:val="center"/>
                </w:tcPr>
                <w:p w14:paraId="241EF6FC">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433" w:type="pct"/>
                  <w:vMerge w:val="continue"/>
                  <w:noWrap w:val="0"/>
                  <w:vAlign w:val="center"/>
                </w:tcPr>
                <w:p w14:paraId="1EAAAEB5">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540" w:type="pct"/>
                  <w:vMerge w:val="continue"/>
                  <w:noWrap w:val="0"/>
                  <w:vAlign w:val="center"/>
                </w:tcPr>
                <w:p w14:paraId="70C51A08">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r>
            <w:tr w14:paraId="6148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8" w:type="pct"/>
                  <w:vMerge w:val="restart"/>
                  <w:noWrap w:val="0"/>
                  <w:vAlign w:val="center"/>
                </w:tcPr>
                <w:p w14:paraId="6DFA769B">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环境</w:t>
                  </w:r>
                </w:p>
                <w:p w14:paraId="525ECEB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空气</w:t>
                  </w:r>
                </w:p>
              </w:tc>
              <w:tc>
                <w:tcPr>
                  <w:tcW w:w="712" w:type="pct"/>
                  <w:noWrap w:val="0"/>
                  <w:vAlign w:val="center"/>
                </w:tcPr>
                <w:p w14:paraId="5884B889">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117.41653</w:t>
                  </w:r>
                </w:p>
              </w:tc>
              <w:tc>
                <w:tcPr>
                  <w:tcW w:w="618" w:type="pct"/>
                  <w:noWrap w:val="0"/>
                  <w:vAlign w:val="center"/>
                </w:tcPr>
                <w:p w14:paraId="29190E7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41.94571</w:t>
                  </w:r>
                </w:p>
              </w:tc>
              <w:tc>
                <w:tcPr>
                  <w:tcW w:w="680" w:type="pct"/>
                  <w:noWrap w:val="0"/>
                  <w:vAlign w:val="center"/>
                </w:tcPr>
                <w:p w14:paraId="43F5C439">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于家湾村</w:t>
                  </w:r>
                </w:p>
              </w:tc>
              <w:tc>
                <w:tcPr>
                  <w:tcW w:w="508" w:type="pct"/>
                  <w:vMerge w:val="restart"/>
                  <w:noWrap w:val="0"/>
                  <w:vAlign w:val="center"/>
                </w:tcPr>
                <w:p w14:paraId="5154170B">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居民</w:t>
                  </w:r>
                </w:p>
              </w:tc>
              <w:tc>
                <w:tcPr>
                  <w:tcW w:w="1087" w:type="pct"/>
                  <w:vMerge w:val="restart"/>
                  <w:noWrap w:val="0"/>
                  <w:vAlign w:val="center"/>
                </w:tcPr>
                <w:p w14:paraId="4724FC58">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《环境空气质量标准》（GB3095-2012）及修改单中二类标准</w:t>
                  </w:r>
                </w:p>
              </w:tc>
              <w:tc>
                <w:tcPr>
                  <w:tcW w:w="433" w:type="pct"/>
                  <w:noWrap w:val="0"/>
                  <w:vAlign w:val="center"/>
                </w:tcPr>
                <w:p w14:paraId="00257C05">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E</w:t>
                  </w:r>
                </w:p>
              </w:tc>
              <w:tc>
                <w:tcPr>
                  <w:tcW w:w="540" w:type="pct"/>
                  <w:noWrap w:val="0"/>
                  <w:vAlign w:val="center"/>
                </w:tcPr>
                <w:p w14:paraId="4CC214D0">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紧邻</w:t>
                  </w:r>
                </w:p>
              </w:tc>
            </w:tr>
            <w:tr w14:paraId="00A6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8" w:type="pct"/>
                  <w:vMerge w:val="continue"/>
                  <w:noWrap w:val="0"/>
                  <w:vAlign w:val="center"/>
                </w:tcPr>
                <w:p w14:paraId="122F2EDA">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712" w:type="pct"/>
                  <w:noWrap w:val="0"/>
                  <w:vAlign w:val="center"/>
                </w:tcPr>
                <w:p w14:paraId="3F99857F">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117.41333</w:t>
                  </w:r>
                </w:p>
              </w:tc>
              <w:tc>
                <w:tcPr>
                  <w:tcW w:w="618" w:type="pct"/>
                  <w:noWrap w:val="0"/>
                  <w:vAlign w:val="center"/>
                </w:tcPr>
                <w:p w14:paraId="0D6B7AD0">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41.94597</w:t>
                  </w:r>
                </w:p>
              </w:tc>
              <w:tc>
                <w:tcPr>
                  <w:tcW w:w="680" w:type="pct"/>
                  <w:noWrap w:val="0"/>
                  <w:vAlign w:val="center"/>
                </w:tcPr>
                <w:p w14:paraId="169241E4">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于家湾村</w:t>
                  </w:r>
                </w:p>
              </w:tc>
              <w:tc>
                <w:tcPr>
                  <w:tcW w:w="508" w:type="pct"/>
                  <w:vMerge w:val="continue"/>
                  <w:noWrap w:val="0"/>
                  <w:vAlign w:val="center"/>
                </w:tcPr>
                <w:p w14:paraId="24E345F3">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1087" w:type="pct"/>
                  <w:vMerge w:val="continue"/>
                  <w:noWrap w:val="0"/>
                  <w:vAlign w:val="center"/>
                </w:tcPr>
                <w:p w14:paraId="0F3E73C3">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p>
              </w:tc>
              <w:tc>
                <w:tcPr>
                  <w:tcW w:w="433" w:type="pct"/>
                  <w:noWrap w:val="0"/>
                  <w:vAlign w:val="center"/>
                </w:tcPr>
                <w:p w14:paraId="4DF5F9D8">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w:t>
                  </w:r>
                </w:p>
              </w:tc>
              <w:tc>
                <w:tcPr>
                  <w:tcW w:w="540" w:type="pct"/>
                  <w:noWrap w:val="0"/>
                  <w:vAlign w:val="center"/>
                </w:tcPr>
                <w:p w14:paraId="1B088521">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紧邻</w:t>
                  </w:r>
                </w:p>
              </w:tc>
            </w:tr>
            <w:tr w14:paraId="70D4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8" w:type="pct"/>
                  <w:vMerge w:val="continue"/>
                  <w:noWrap w:val="0"/>
                  <w:vAlign w:val="center"/>
                </w:tcPr>
                <w:p w14:paraId="53735552">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712" w:type="pct"/>
                  <w:noWrap w:val="0"/>
                  <w:vAlign w:val="center"/>
                </w:tcPr>
                <w:p w14:paraId="1ECE7DA3">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117.41432</w:t>
                  </w:r>
                </w:p>
              </w:tc>
              <w:tc>
                <w:tcPr>
                  <w:tcW w:w="618" w:type="pct"/>
                  <w:noWrap w:val="0"/>
                  <w:vAlign w:val="center"/>
                </w:tcPr>
                <w:p w14:paraId="107988B5">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41.94495</w:t>
                  </w:r>
                </w:p>
              </w:tc>
              <w:tc>
                <w:tcPr>
                  <w:tcW w:w="680" w:type="pct"/>
                  <w:noWrap w:val="0"/>
                  <w:vAlign w:val="center"/>
                </w:tcPr>
                <w:p w14:paraId="7D5DD417">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燕格柏沟门</w:t>
                  </w:r>
                </w:p>
              </w:tc>
              <w:tc>
                <w:tcPr>
                  <w:tcW w:w="508" w:type="pct"/>
                  <w:vMerge w:val="continue"/>
                  <w:noWrap w:val="0"/>
                  <w:vAlign w:val="center"/>
                </w:tcPr>
                <w:p w14:paraId="6C629428">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1087" w:type="pct"/>
                  <w:vMerge w:val="continue"/>
                  <w:noWrap w:val="0"/>
                  <w:vAlign w:val="center"/>
                </w:tcPr>
                <w:p w14:paraId="7312B2B7">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p>
              </w:tc>
              <w:tc>
                <w:tcPr>
                  <w:tcW w:w="433" w:type="pct"/>
                  <w:noWrap w:val="0"/>
                  <w:vAlign w:val="center"/>
                </w:tcPr>
                <w:p w14:paraId="26B49831">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S</w:t>
                  </w:r>
                </w:p>
              </w:tc>
              <w:tc>
                <w:tcPr>
                  <w:tcW w:w="540" w:type="pct"/>
                  <w:noWrap w:val="0"/>
                  <w:vAlign w:val="center"/>
                </w:tcPr>
                <w:p w14:paraId="2E148DAC">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44</w:t>
                  </w:r>
                </w:p>
              </w:tc>
            </w:tr>
          </w:tbl>
          <w:p w14:paraId="62BC2501">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firstLine="422" w:firstLineChars="200"/>
              <w:jc w:val="left"/>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2.水环境保护目标</w:t>
            </w:r>
          </w:p>
          <w:p w14:paraId="6D7C01A9">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本项目生产过程中无生产废水产生，工作人员由厂区人员调配，无新增生活污水产生。</w:t>
            </w:r>
          </w:p>
          <w:p w14:paraId="2307FB48">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ind w:firstLine="422" w:firstLineChars="200"/>
              <w:jc w:val="left"/>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3.声环境保护目标</w:t>
            </w:r>
          </w:p>
          <w:p w14:paraId="7625470B">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ind w:firstLine="420"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本项目所处区域东、西、北厂界和周边于家湾村应执行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《声环境质量标准》（GB3096-2008）2类标准</w:t>
            </w:r>
            <w:r>
              <w:rPr>
                <w:rFonts w:hint="eastAsia" w:cs="Times New Roman"/>
                <w:color w:val="000000" w:themeColor="text1"/>
                <w:highlight w:val="none"/>
                <w:lang w:val="en-US" w:eastAsia="zh-CN"/>
                <w14:textFill>
                  <w14:solidFill>
                    <w14:schemeClr w14:val="tx1"/>
                  </w14:solidFill>
                </w14:textFill>
              </w:rPr>
              <w:t>，南厂界应执行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《声环境质量标准》（GB3096-2008）</w:t>
            </w:r>
            <w:r>
              <w:rPr>
                <w:rFonts w:hint="eastAsia" w:cs="Times New Roman"/>
                <w:color w:val="000000" w:themeColor="text1"/>
                <w:highlight w:val="none"/>
                <w:lang w:val="en-US" w:eastAsia="zh-CN"/>
                <w14:textFill>
                  <w14:solidFill>
                    <w14:schemeClr w14:val="tx1"/>
                  </w14:solidFill>
                </w14:textFill>
              </w:rPr>
              <w:t>4a</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类标准</w:t>
            </w:r>
            <w:r>
              <w:rPr>
                <w:rFonts w:hint="eastAsia" w:cs="Times New Roman"/>
                <w:color w:val="000000" w:themeColor="text1"/>
                <w:highlight w:val="none"/>
                <w:lang w:val="en-US" w:eastAsia="zh-CN"/>
                <w14:textFill>
                  <w14:solidFill>
                    <w14:schemeClr w14:val="tx1"/>
                  </w14:solidFill>
                </w14:textFill>
              </w:rPr>
              <w:t>，声环境保护目标为周边居民，声环境保护目标详见下表：</w:t>
            </w:r>
          </w:p>
          <w:p w14:paraId="202AA3A0">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jc w:val="center"/>
              <w:textAlignment w:val="auto"/>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表3-</w:t>
            </w:r>
            <w:r>
              <w:rPr>
                <w:rFonts w:hint="eastAsia" w:cs="Times New Roman"/>
                <w:b/>
                <w:bCs/>
                <w:color w:val="000000" w:themeColor="text1"/>
                <w:kern w:val="2"/>
                <w:sz w:val="21"/>
                <w:szCs w:val="21"/>
                <w:highlight w:val="none"/>
                <w:lang w:val="en-US" w:eastAsia="zh-CN" w:bidi="ar-SA"/>
                <w14:textFill>
                  <w14:solidFill>
                    <w14:schemeClr w14:val="tx1"/>
                  </w14:solidFill>
                </w14:textFill>
              </w:rPr>
              <w:t>13</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w:t>
            </w:r>
            <w:r>
              <w:rPr>
                <w:rFonts w:hint="eastAsia" w:cs="Times New Roman"/>
                <w:b/>
                <w:bCs/>
                <w:color w:val="000000" w:themeColor="text1"/>
                <w:kern w:val="2"/>
                <w:sz w:val="21"/>
                <w:szCs w:val="21"/>
                <w:highlight w:val="none"/>
                <w:lang w:val="en-US" w:eastAsia="zh-CN" w:bidi="ar-SA"/>
                <w14:textFill>
                  <w14:solidFill>
                    <w14:schemeClr w14:val="tx1"/>
                  </w14:solidFill>
                </w14:textFill>
              </w:rPr>
              <w:t>声</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环境保护目标一览表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79"/>
              <w:gridCol w:w="1025"/>
              <w:gridCol w:w="1303"/>
              <w:gridCol w:w="664"/>
              <w:gridCol w:w="1800"/>
              <w:gridCol w:w="717"/>
              <w:gridCol w:w="894"/>
            </w:tblGrid>
            <w:tr w14:paraId="355E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8" w:type="pct"/>
                  <w:vMerge w:val="restart"/>
                  <w:noWrap w:val="0"/>
                  <w:vAlign w:val="center"/>
                </w:tcPr>
                <w:p w14:paraId="31869068">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b/>
                      <w:bCs/>
                      <w:color w:val="000000" w:themeColor="text1"/>
                      <w:kern w:val="0"/>
                      <w:sz w:val="21"/>
                      <w:szCs w:val="21"/>
                      <w:highlight w:val="none"/>
                      <w:vertAlign w:val="baseline"/>
                      <w:lang w:val="en-US" w:eastAsia="zh-CN" w:bidi="ar-SA"/>
                      <w14:textFill>
                        <w14:solidFill>
                          <w14:schemeClr w14:val="tx1"/>
                        </w14:solidFill>
                      </w14:textFill>
                    </w:rPr>
                    <w:t>环境要素</w:t>
                  </w:r>
                </w:p>
              </w:tc>
              <w:tc>
                <w:tcPr>
                  <w:tcW w:w="1331" w:type="pct"/>
                  <w:gridSpan w:val="2"/>
                  <w:noWrap w:val="0"/>
                  <w:vAlign w:val="center"/>
                </w:tcPr>
                <w:p w14:paraId="7FBE0F63">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坐标</w:t>
                  </w:r>
                </w:p>
              </w:tc>
              <w:tc>
                <w:tcPr>
                  <w:tcW w:w="787" w:type="pct"/>
                  <w:vMerge w:val="restart"/>
                  <w:noWrap w:val="0"/>
                  <w:vAlign w:val="center"/>
                </w:tcPr>
                <w:p w14:paraId="56A23460">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保护</w:t>
                  </w:r>
                </w:p>
                <w:p w14:paraId="06E059B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对象</w:t>
                  </w:r>
                </w:p>
              </w:tc>
              <w:tc>
                <w:tcPr>
                  <w:tcW w:w="401" w:type="pct"/>
                  <w:vMerge w:val="restart"/>
                  <w:noWrap w:val="0"/>
                  <w:vAlign w:val="center"/>
                </w:tcPr>
                <w:p w14:paraId="2A2533F4">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保护内容</w:t>
                  </w:r>
                </w:p>
              </w:tc>
              <w:tc>
                <w:tcPr>
                  <w:tcW w:w="1087" w:type="pct"/>
                  <w:vMerge w:val="restart"/>
                  <w:noWrap w:val="0"/>
                  <w:vAlign w:val="center"/>
                </w:tcPr>
                <w:p w14:paraId="1FEBA855">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环境功</w:t>
                  </w:r>
                </w:p>
                <w:p w14:paraId="1C796BEE">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能区</w:t>
                  </w:r>
                </w:p>
              </w:tc>
              <w:tc>
                <w:tcPr>
                  <w:tcW w:w="433" w:type="pct"/>
                  <w:vMerge w:val="restart"/>
                  <w:noWrap w:val="0"/>
                  <w:vAlign w:val="center"/>
                </w:tcPr>
                <w:p w14:paraId="2AD6F5A3">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相对</w:t>
                  </w:r>
                  <w:r>
                    <w:rPr>
                      <w:rFonts w:hint="eastAsia"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场</w:t>
                  </w: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址方位</w:t>
                  </w:r>
                </w:p>
              </w:tc>
              <w:tc>
                <w:tcPr>
                  <w:tcW w:w="540" w:type="pct"/>
                  <w:vMerge w:val="restart"/>
                  <w:noWrap w:val="0"/>
                  <w:vAlign w:val="center"/>
                </w:tcPr>
                <w:p w14:paraId="18245D51">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相对</w:t>
                  </w:r>
                  <w:r>
                    <w:rPr>
                      <w:rFonts w:hint="eastAsia"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场</w:t>
                  </w: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界距离/m</w:t>
                  </w:r>
                </w:p>
              </w:tc>
            </w:tr>
            <w:tr w14:paraId="061A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noWrap w:val="0"/>
                  <w:vAlign w:val="center"/>
                </w:tcPr>
                <w:p w14:paraId="6B5335E6">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712" w:type="pct"/>
                  <w:noWrap w:val="0"/>
                  <w:vAlign w:val="center"/>
                </w:tcPr>
                <w:p w14:paraId="5A47D1B0">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经度（°）</w:t>
                  </w:r>
                </w:p>
              </w:tc>
              <w:tc>
                <w:tcPr>
                  <w:tcW w:w="618" w:type="pct"/>
                  <w:noWrap w:val="0"/>
                  <w:vAlign w:val="center"/>
                </w:tcPr>
                <w:p w14:paraId="4C9F21CA">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bidi="ar-SA"/>
                      <w14:textFill>
                        <w14:solidFill>
                          <w14:schemeClr w14:val="tx1"/>
                        </w14:solidFill>
                      </w14:textFill>
                    </w:rPr>
                    <w:t>纬度（°）</w:t>
                  </w:r>
                </w:p>
              </w:tc>
              <w:tc>
                <w:tcPr>
                  <w:tcW w:w="787" w:type="pct"/>
                  <w:vMerge w:val="continue"/>
                  <w:noWrap w:val="0"/>
                  <w:vAlign w:val="center"/>
                </w:tcPr>
                <w:p w14:paraId="4D9DA389">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401" w:type="pct"/>
                  <w:vMerge w:val="continue"/>
                  <w:noWrap w:val="0"/>
                  <w:vAlign w:val="center"/>
                </w:tcPr>
                <w:p w14:paraId="40E20E21">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1087" w:type="pct"/>
                  <w:vMerge w:val="continue"/>
                  <w:noWrap w:val="0"/>
                  <w:vAlign w:val="center"/>
                </w:tcPr>
                <w:p w14:paraId="0224E18A">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433" w:type="pct"/>
                  <w:vMerge w:val="continue"/>
                  <w:noWrap w:val="0"/>
                  <w:vAlign w:val="center"/>
                </w:tcPr>
                <w:p w14:paraId="188929FF">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540" w:type="pct"/>
                  <w:vMerge w:val="continue"/>
                  <w:noWrap w:val="0"/>
                  <w:vAlign w:val="center"/>
                </w:tcPr>
                <w:p w14:paraId="7F36AD10">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r>
            <w:tr w14:paraId="47BB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8" w:type="pct"/>
                  <w:vMerge w:val="restart"/>
                  <w:noWrap w:val="0"/>
                  <w:vAlign w:val="center"/>
                </w:tcPr>
                <w:p w14:paraId="349115B4">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声环境</w:t>
                  </w:r>
                </w:p>
              </w:tc>
              <w:tc>
                <w:tcPr>
                  <w:tcW w:w="712" w:type="pct"/>
                  <w:noWrap w:val="0"/>
                  <w:vAlign w:val="center"/>
                </w:tcPr>
                <w:p w14:paraId="4993DBC5">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117.41653</w:t>
                  </w:r>
                </w:p>
              </w:tc>
              <w:tc>
                <w:tcPr>
                  <w:tcW w:w="618" w:type="pct"/>
                  <w:noWrap w:val="0"/>
                  <w:vAlign w:val="center"/>
                </w:tcPr>
                <w:p w14:paraId="5F8B96D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41.94571</w:t>
                  </w:r>
                </w:p>
              </w:tc>
              <w:tc>
                <w:tcPr>
                  <w:tcW w:w="787" w:type="pct"/>
                  <w:noWrap w:val="0"/>
                  <w:vAlign w:val="center"/>
                </w:tcPr>
                <w:p w14:paraId="01848EC4">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于家湾村</w:t>
                  </w:r>
                </w:p>
              </w:tc>
              <w:tc>
                <w:tcPr>
                  <w:tcW w:w="401" w:type="pct"/>
                  <w:vMerge w:val="restart"/>
                  <w:noWrap w:val="0"/>
                  <w:vAlign w:val="center"/>
                </w:tcPr>
                <w:p w14:paraId="7EFE68D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居民</w:t>
                  </w:r>
                </w:p>
              </w:tc>
              <w:tc>
                <w:tcPr>
                  <w:tcW w:w="1087" w:type="pct"/>
                  <w:vMerge w:val="restart"/>
                  <w:noWrap w:val="0"/>
                  <w:vAlign w:val="center"/>
                </w:tcPr>
                <w:p w14:paraId="72B9D1E8">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《声环境质量标准》（GB3096-2008）</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类</w:t>
                  </w:r>
                </w:p>
              </w:tc>
              <w:tc>
                <w:tcPr>
                  <w:tcW w:w="433" w:type="pct"/>
                  <w:noWrap w:val="0"/>
                  <w:vAlign w:val="center"/>
                </w:tcPr>
                <w:p w14:paraId="640A006B">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E</w:t>
                  </w:r>
                </w:p>
              </w:tc>
              <w:tc>
                <w:tcPr>
                  <w:tcW w:w="540" w:type="pct"/>
                  <w:noWrap w:val="0"/>
                  <w:vAlign w:val="center"/>
                </w:tcPr>
                <w:p w14:paraId="4D85702C">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紧邻</w:t>
                  </w:r>
                </w:p>
              </w:tc>
            </w:tr>
            <w:tr w14:paraId="5FA8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8" w:type="pct"/>
                  <w:vMerge w:val="continue"/>
                  <w:noWrap w:val="0"/>
                  <w:vAlign w:val="center"/>
                </w:tcPr>
                <w:p w14:paraId="2B167D29">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712" w:type="pct"/>
                  <w:noWrap w:val="0"/>
                  <w:vAlign w:val="center"/>
                </w:tcPr>
                <w:p w14:paraId="6FE798F5">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117.41333</w:t>
                  </w:r>
                </w:p>
              </w:tc>
              <w:tc>
                <w:tcPr>
                  <w:tcW w:w="618" w:type="pct"/>
                  <w:noWrap w:val="0"/>
                  <w:vAlign w:val="center"/>
                </w:tcPr>
                <w:p w14:paraId="1403E5E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41.94597</w:t>
                  </w:r>
                </w:p>
              </w:tc>
              <w:tc>
                <w:tcPr>
                  <w:tcW w:w="787" w:type="pct"/>
                  <w:noWrap w:val="0"/>
                  <w:vAlign w:val="center"/>
                </w:tcPr>
                <w:p w14:paraId="151F4EB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于家湾村</w:t>
                  </w:r>
                </w:p>
              </w:tc>
              <w:tc>
                <w:tcPr>
                  <w:tcW w:w="401" w:type="pct"/>
                  <w:vMerge w:val="continue"/>
                  <w:noWrap w:val="0"/>
                  <w:vAlign w:val="center"/>
                </w:tcPr>
                <w:p w14:paraId="39F8D333">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1087" w:type="pct"/>
                  <w:vMerge w:val="continue"/>
                  <w:noWrap w:val="0"/>
                  <w:vAlign w:val="center"/>
                </w:tcPr>
                <w:p w14:paraId="5B97EDA6">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p>
              </w:tc>
              <w:tc>
                <w:tcPr>
                  <w:tcW w:w="433" w:type="pct"/>
                  <w:noWrap w:val="0"/>
                  <w:vAlign w:val="center"/>
                </w:tcPr>
                <w:p w14:paraId="7AFD9BED">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W</w:t>
                  </w:r>
                </w:p>
              </w:tc>
              <w:tc>
                <w:tcPr>
                  <w:tcW w:w="540" w:type="pct"/>
                  <w:noWrap w:val="0"/>
                  <w:vAlign w:val="center"/>
                </w:tcPr>
                <w:p w14:paraId="2CDDDC30">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紧邻</w:t>
                  </w:r>
                </w:p>
              </w:tc>
            </w:tr>
            <w:tr w14:paraId="72F8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8" w:type="pct"/>
                  <w:vMerge w:val="continue"/>
                  <w:noWrap w:val="0"/>
                  <w:vAlign w:val="center"/>
                </w:tcPr>
                <w:p w14:paraId="55497E7C">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712" w:type="pct"/>
                  <w:noWrap w:val="0"/>
                  <w:vAlign w:val="center"/>
                </w:tcPr>
                <w:p w14:paraId="35F58452">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117.41432</w:t>
                  </w:r>
                </w:p>
              </w:tc>
              <w:tc>
                <w:tcPr>
                  <w:tcW w:w="618" w:type="pct"/>
                  <w:noWrap w:val="0"/>
                  <w:vAlign w:val="center"/>
                </w:tcPr>
                <w:p w14:paraId="1913C5C7">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41.94495</w:t>
                  </w:r>
                </w:p>
              </w:tc>
              <w:tc>
                <w:tcPr>
                  <w:tcW w:w="787" w:type="pct"/>
                  <w:noWrap w:val="0"/>
                  <w:vAlign w:val="center"/>
                </w:tcPr>
                <w:p w14:paraId="5929C58C">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燕格柏沟门</w:t>
                  </w:r>
                </w:p>
              </w:tc>
              <w:tc>
                <w:tcPr>
                  <w:tcW w:w="401" w:type="pct"/>
                  <w:vMerge w:val="continue"/>
                  <w:noWrap w:val="0"/>
                  <w:vAlign w:val="center"/>
                </w:tcPr>
                <w:p w14:paraId="3E63F95A">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p>
              </w:tc>
              <w:tc>
                <w:tcPr>
                  <w:tcW w:w="1087" w:type="pct"/>
                  <w:vMerge w:val="continue"/>
                  <w:noWrap w:val="0"/>
                  <w:vAlign w:val="center"/>
                </w:tcPr>
                <w:p w14:paraId="1D93178A">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p>
              </w:tc>
              <w:tc>
                <w:tcPr>
                  <w:tcW w:w="433" w:type="pct"/>
                  <w:noWrap w:val="0"/>
                  <w:vAlign w:val="center"/>
                </w:tcPr>
                <w:p w14:paraId="5479D681">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S</w:t>
                  </w:r>
                </w:p>
              </w:tc>
              <w:tc>
                <w:tcPr>
                  <w:tcW w:w="540" w:type="pct"/>
                  <w:noWrap w:val="0"/>
                  <w:vAlign w:val="center"/>
                </w:tcPr>
                <w:p w14:paraId="7614BC4F">
                  <w:pPr>
                    <w:pStyle w:val="90"/>
                    <w:keepNext w:val="0"/>
                    <w:keepLines w:val="0"/>
                    <w:pageBreakBefore w:val="0"/>
                    <w:widowControl w:val="0"/>
                    <w:tabs>
                      <w:tab w:val="left" w:pos="420"/>
                    </w:tabs>
                    <w:kinsoku/>
                    <w:wordWrap w:val="0"/>
                    <w:overflowPunct/>
                    <w:topLinePunct w:val="0"/>
                    <w:autoSpaceDE/>
                    <w:autoSpaceDN/>
                    <w:bidi w:val="0"/>
                    <w:adjustRightInd/>
                    <w:snapToGrid w:val="0"/>
                    <w:spacing w:line="320" w:lineRule="exact"/>
                    <w:ind w:firstLine="0" w:firstLineChars="0"/>
                    <w:jc w:val="center"/>
                    <w:textAlignment w:val="auto"/>
                    <w:rPr>
                      <w:rFonts w:hint="default" w:cs="Times New Roman"/>
                      <w:color w:val="000000" w:themeColor="text1"/>
                      <w:kern w:val="0"/>
                      <w:sz w:val="21"/>
                      <w:szCs w:val="21"/>
                      <w:highlight w:val="none"/>
                      <w:vertAlign w:val="baseline"/>
                      <w:lang w:val="en-US" w:eastAsia="zh-CN" w:bidi="ar-SA"/>
                      <w14:textFill>
                        <w14:solidFill>
                          <w14:schemeClr w14:val="tx1"/>
                        </w14:solidFill>
                      </w14:textFill>
                    </w:rPr>
                  </w:pPr>
                  <w:r>
                    <w:rPr>
                      <w:rFonts w:hint="eastAsia" w:cs="Times New Roman"/>
                      <w:color w:val="000000" w:themeColor="text1"/>
                      <w:kern w:val="0"/>
                      <w:sz w:val="21"/>
                      <w:szCs w:val="21"/>
                      <w:highlight w:val="none"/>
                      <w:vertAlign w:val="baseline"/>
                      <w:lang w:val="en-US" w:eastAsia="zh-CN" w:bidi="ar-SA"/>
                      <w14:textFill>
                        <w14:solidFill>
                          <w14:schemeClr w14:val="tx1"/>
                        </w14:solidFill>
                      </w14:textFill>
                    </w:rPr>
                    <w:t>44</w:t>
                  </w:r>
                </w:p>
              </w:tc>
            </w:tr>
          </w:tbl>
          <w:p w14:paraId="04D819B5">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ind w:firstLine="422" w:firstLineChars="20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4.其他环境保护目标</w:t>
            </w:r>
          </w:p>
          <w:p w14:paraId="41FE436F">
            <w:pPr>
              <w:keepNext w:val="0"/>
              <w:keepLines w:val="0"/>
              <w:pageBreakBefore w:val="0"/>
              <w:widowControl w:val="0"/>
              <w:numPr>
                <w:ilvl w:val="0"/>
                <w:numId w:val="0"/>
              </w:numPr>
              <w:kinsoku/>
              <w:wordWrap w:val="0"/>
              <w:overflowPunct/>
              <w:topLinePunct w:val="0"/>
              <w:autoSpaceDE/>
              <w:autoSpaceDN/>
              <w:bidi w:val="0"/>
              <w:adjustRightInd w:val="0"/>
              <w:snapToGrid w:val="0"/>
              <w:spacing w:line="44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厂界外500m范围内无地下水集中式</w:t>
            </w:r>
            <w:r>
              <w:rPr>
                <w:rFonts w:hint="eastAsia" w:cs="Times New Roman"/>
                <w:color w:val="000000" w:themeColor="text1"/>
                <w:highlight w:val="none"/>
                <w:lang w:val="en-US" w:eastAsia="zh-CN"/>
                <w14:textFill>
                  <w14:solidFill>
                    <w14:schemeClr w14:val="tx1"/>
                  </w14:solidFill>
                </w14:textFill>
              </w:rPr>
              <w:t>饮用水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水源和热水、矿泉水、温泉等特殊地下水资源，无生态环境保护目标。</w:t>
            </w:r>
          </w:p>
          <w:p w14:paraId="3AE79868">
            <w:pPr>
              <w:pageBreakBefore w:val="0"/>
              <w:kinsoku/>
              <w:wordWrap w:val="0"/>
              <w:overflowPunct/>
              <w:bidi w:val="0"/>
              <w:spacing w:line="360" w:lineRule="auto"/>
              <w:ind w:firstLine="420" w:firstLineChars="200"/>
              <w:jc w:val="both"/>
              <w:rPr>
                <w:rFonts w:hint="default" w:ascii="Times New Roman" w:hAnsi="Times New Roman" w:eastAsia="宋体" w:cs="Times New Roman"/>
                <w:color w:val="000000" w:themeColor="text1"/>
                <w:kern w:val="0"/>
                <w:highlight w:val="none"/>
                <w14:textFill>
                  <w14:solidFill>
                    <w14:schemeClr w14:val="tx1"/>
                  </w14:solidFill>
                </w14:textFill>
              </w:rPr>
            </w:pPr>
          </w:p>
          <w:p w14:paraId="4ECD4E3C">
            <w:pPr>
              <w:pageBreakBefore w:val="0"/>
              <w:kinsoku/>
              <w:wordWrap w:val="0"/>
              <w:overflowPunct/>
              <w:bidi w:val="0"/>
              <w:spacing w:line="360" w:lineRule="auto"/>
              <w:jc w:val="both"/>
              <w:rPr>
                <w:rFonts w:hint="default" w:ascii="Times New Roman" w:hAnsi="Times New Roman" w:eastAsia="宋体" w:cs="Times New Roman"/>
                <w:color w:val="000000" w:themeColor="text1"/>
                <w:kern w:val="0"/>
                <w:highlight w:val="none"/>
                <w14:textFill>
                  <w14:solidFill>
                    <w14:schemeClr w14:val="tx1"/>
                  </w14:solidFill>
                </w14:textFill>
              </w:rPr>
            </w:pPr>
          </w:p>
        </w:tc>
      </w:tr>
      <w:tr w14:paraId="0DC40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dxa"/>
            <w:tcMar>
              <w:left w:w="28" w:type="dxa"/>
              <w:right w:w="28" w:type="dxa"/>
            </w:tcMar>
            <w:vAlign w:val="center"/>
          </w:tcPr>
          <w:p w14:paraId="2CC2F616">
            <w:pPr>
              <w:pageBreakBefore w:val="0"/>
              <w:kinsoku/>
              <w:wordWrap w:val="0"/>
              <w:overflowPunct/>
              <w:bidi w:val="0"/>
              <w:adjustRightInd w:val="0"/>
              <w:snapToGrid w:val="0"/>
              <w:jc w:val="center"/>
              <w:rPr>
                <w:rFonts w:hint="default" w:ascii="Times New Roman" w:hAnsi="Times New Roman" w:eastAsia="宋体" w:cs="Times New Roman"/>
                <w:color w:val="000000" w:themeColor="text1"/>
                <w:kern w:val="0"/>
                <w:highlight w:val="none"/>
                <w14:textFill>
                  <w14:solidFill>
                    <w14:schemeClr w14:val="tx1"/>
                  </w14:solidFill>
                </w14:textFill>
              </w:rPr>
            </w:pPr>
            <w:r>
              <w:rPr>
                <w:rFonts w:hint="eastAsia" w:cs="Times New Roman"/>
                <w:color w:val="000000" w:themeColor="text1"/>
                <w:kern w:val="0"/>
                <w:highlight w:val="none"/>
                <w:lang w:val="en-US" w:eastAsia="zh-CN"/>
                <w14:textFill>
                  <w14:solidFill>
                    <w14:schemeClr w14:val="tx1"/>
                  </w14:solidFill>
                </w14:textFill>
              </w:rPr>
              <w:t>污染</w:t>
            </w:r>
            <w:r>
              <w:rPr>
                <w:rFonts w:hint="default" w:ascii="Times New Roman" w:hAnsi="Times New Roman" w:eastAsia="宋体" w:cs="Times New Roman"/>
                <w:color w:val="000000" w:themeColor="text1"/>
                <w:kern w:val="0"/>
                <w:highlight w:val="none"/>
                <w14:textFill>
                  <w14:solidFill>
                    <w14:schemeClr w14:val="tx1"/>
                  </w14:solidFill>
                </w14:textFill>
              </w:rPr>
              <w:t>物放控制标准</w:t>
            </w:r>
          </w:p>
        </w:tc>
        <w:tc>
          <w:tcPr>
            <w:tcW w:w="8489" w:type="dxa"/>
            <w:vAlign w:val="center"/>
          </w:tcPr>
          <w:p w14:paraId="2C11008D">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1.废气排放标准</w:t>
            </w:r>
          </w:p>
          <w:p w14:paraId="3F34444D">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施工扬尘执行河北省《施工场地扬尘排放标准》DB13/2934-2019中表1扬尘排放浓度限值要求。</w:t>
            </w:r>
          </w:p>
          <w:p w14:paraId="3A22FF0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80" w:lineRule="exact"/>
              <w:ind w:left="0" w:leftChars="0" w:right="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表3-</w:t>
            </w:r>
            <w:r>
              <w:rPr>
                <w:rFonts w:hint="eastAsia" w:cs="Times New Roman"/>
                <w:b/>
                <w:bCs/>
                <w:color w:val="000000" w:themeColor="text1"/>
                <w:kern w:val="2"/>
                <w:sz w:val="21"/>
                <w:szCs w:val="21"/>
                <w:highlight w:val="none"/>
                <w:lang w:val="en-US" w:eastAsia="zh-CN" w:bidi="ar-SA"/>
                <w14:textFill>
                  <w14:solidFill>
                    <w14:schemeClr w14:val="tx1"/>
                  </w14:solidFill>
                </w14:textFill>
              </w:rPr>
              <w:t>14</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施工</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期废气排放标准</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2052"/>
              <w:gridCol w:w="4746"/>
            </w:tblGrid>
            <w:tr w14:paraId="089C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892" w:type="pct"/>
                  <w:noWrap w:val="0"/>
                  <w:vAlign w:val="center"/>
                </w:tcPr>
                <w:p w14:paraId="4CBE394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w:t>
                  </w:r>
                </w:p>
              </w:tc>
              <w:tc>
                <w:tcPr>
                  <w:tcW w:w="1240" w:type="pct"/>
                  <w:noWrap w:val="0"/>
                  <w:vAlign w:val="center"/>
                </w:tcPr>
                <w:p w14:paraId="0F742D89">
                  <w:pPr>
                    <w:keepNext w:val="0"/>
                    <w:keepLines w:val="0"/>
                    <w:pageBreakBefore w:val="0"/>
                    <w:widowControl w:val="0"/>
                    <w:kinsoku/>
                    <w:wordWrap w:val="0"/>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标准数值</w:t>
                  </w:r>
                </w:p>
              </w:tc>
              <w:tc>
                <w:tcPr>
                  <w:tcW w:w="2867" w:type="pct"/>
                  <w:noWrap w:val="0"/>
                  <w:vAlign w:val="center"/>
                </w:tcPr>
                <w:p w14:paraId="56DC33E5">
                  <w:pPr>
                    <w:keepNext w:val="0"/>
                    <w:keepLines w:val="0"/>
                    <w:pageBreakBefore w:val="0"/>
                    <w:widowControl w:val="0"/>
                    <w:kinsoku/>
                    <w:wordWrap w:val="0"/>
                    <w:overflowPunct/>
                    <w:topLinePunct w:val="0"/>
                    <w:autoSpaceDE/>
                    <w:autoSpaceDN/>
                    <w:bidi w:val="0"/>
                    <w:adjustRightInd/>
                    <w:snapToGrid/>
                    <w:spacing w:line="320" w:lineRule="atLeast"/>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标准来源</w:t>
                  </w:r>
                </w:p>
              </w:tc>
            </w:tr>
            <w:tr w14:paraId="65FB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92" w:type="pct"/>
                  <w:noWrap w:val="0"/>
                  <w:vAlign w:val="center"/>
                </w:tcPr>
                <w:p w14:paraId="1379B35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PM</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p>
              </w:tc>
              <w:tc>
                <w:tcPr>
                  <w:tcW w:w="1240" w:type="pct"/>
                  <w:noWrap w:val="0"/>
                  <w:vAlign w:val="center"/>
                </w:tcPr>
                <w:p w14:paraId="6C0761B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sz w:val="21"/>
                      <w:szCs w:val="21"/>
                      <w:highlight w:val="none"/>
                      <w:lang w:val="en-US" w:eastAsia="zh-CN"/>
                      <w14:textFill>
                        <w14:solidFill>
                          <w14:schemeClr w14:val="tx1"/>
                        </w14:solidFill>
                      </w14:textFill>
                    </w:rPr>
                    <w:t>80μg</w:t>
                  </w:r>
                  <w:r>
                    <w:rPr>
                      <w:rFonts w:hint="default" w:ascii="Times New Roman" w:hAnsi="Times New Roman" w:eastAsia="宋体" w:cs="Times New Roman"/>
                      <w:bCs/>
                      <w:color w:val="000000" w:themeColor="text1"/>
                      <w:spacing w:val="0"/>
                      <w:sz w:val="21"/>
                      <w:szCs w:val="21"/>
                      <w:highlight w:val="none"/>
                      <w14:textFill>
                        <w14:solidFill>
                          <w14:schemeClr w14:val="tx1"/>
                        </w14:solidFill>
                      </w14:textFill>
                    </w:rPr>
                    <w:t>/m</w:t>
                  </w:r>
                  <w:r>
                    <w:rPr>
                      <w:rFonts w:hint="default" w:ascii="Times New Roman" w:hAnsi="Times New Roman" w:eastAsia="宋体" w:cs="Times New Roman"/>
                      <w:bCs/>
                      <w:color w:val="000000" w:themeColor="text1"/>
                      <w:spacing w:val="0"/>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pacing w:val="0"/>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bCs/>
                      <w:color w:val="000000" w:themeColor="text1"/>
                      <w:spacing w:val="0"/>
                      <w:sz w:val="21"/>
                      <w:szCs w:val="21"/>
                      <w:highlight w:val="none"/>
                      <w:vertAlign w:val="baseline"/>
                      <w:lang w:val="en-US" w:eastAsia="zh-CN"/>
                      <w14:textFill>
                        <w14:solidFill>
                          <w14:schemeClr w14:val="tx1"/>
                        </w14:solidFill>
                      </w14:textFill>
                    </w:rPr>
                    <w:t>≤2次/天</w:t>
                  </w:r>
                </w:p>
              </w:tc>
              <w:tc>
                <w:tcPr>
                  <w:tcW w:w="2867" w:type="pct"/>
                  <w:noWrap w:val="0"/>
                  <w:vAlign w:val="center"/>
                </w:tcPr>
                <w:p w14:paraId="263B8D2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河北省《施工场地扬尘排放标准》（DB13/2934-2019）中表1扬尘排放浓度限值要求</w:t>
                  </w:r>
                </w:p>
              </w:tc>
            </w:tr>
            <w:tr w14:paraId="5738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3"/>
                  <w:noWrap w:val="0"/>
                  <w:vAlign w:val="center"/>
                </w:tcPr>
                <w:p w14:paraId="624B483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b/>
                      <w:color w:val="000000" w:themeColor="text1"/>
                      <w:sz w:val="18"/>
                      <w:szCs w:val="18"/>
                      <w:highlight w:val="none"/>
                      <w14:textFill>
                        <w14:solidFill>
                          <w14:schemeClr w14:val="tx1"/>
                        </w14:solidFill>
                      </w14:textFill>
                    </w:rPr>
                    <w:t>备注：PM</w:t>
                  </w:r>
                  <w:r>
                    <w:rPr>
                      <w:b/>
                      <w:color w:val="000000" w:themeColor="text1"/>
                      <w:sz w:val="18"/>
                      <w:szCs w:val="18"/>
                      <w:highlight w:val="none"/>
                      <w:vertAlign w:val="subscript"/>
                      <w14:textFill>
                        <w14:solidFill>
                          <w14:schemeClr w14:val="tx1"/>
                        </w14:solidFill>
                      </w14:textFill>
                    </w:rPr>
                    <w:t>10</w:t>
                  </w:r>
                  <w:r>
                    <w:rPr>
                      <w:b/>
                      <w:color w:val="000000" w:themeColor="text1"/>
                      <w:sz w:val="18"/>
                      <w:szCs w:val="18"/>
                      <w:highlight w:val="none"/>
                      <w14:textFill>
                        <w14:solidFill>
                          <w14:schemeClr w14:val="tx1"/>
                        </w14:solidFill>
                      </w14:textFill>
                    </w:rPr>
                    <w:t>排放标准为监测点浓度限值，指监测点PM</w:t>
                  </w:r>
                  <w:r>
                    <w:rPr>
                      <w:b/>
                      <w:color w:val="000000" w:themeColor="text1"/>
                      <w:sz w:val="18"/>
                      <w:szCs w:val="18"/>
                      <w:highlight w:val="none"/>
                      <w:vertAlign w:val="subscript"/>
                      <w14:textFill>
                        <w14:solidFill>
                          <w14:schemeClr w14:val="tx1"/>
                        </w14:solidFill>
                      </w14:textFill>
                    </w:rPr>
                    <w:t>10</w:t>
                  </w:r>
                  <w:r>
                    <w:rPr>
                      <w:b/>
                      <w:color w:val="000000" w:themeColor="text1"/>
                      <w:sz w:val="18"/>
                      <w:szCs w:val="18"/>
                      <w:highlight w:val="none"/>
                      <w14:textFill>
                        <w14:solidFill>
                          <w14:schemeClr w14:val="tx1"/>
                        </w14:solidFill>
                      </w14:textFill>
                    </w:rPr>
                    <w:t>小时平均浓度实测值与同时段所属县（市、区）PM</w:t>
                  </w:r>
                  <w:r>
                    <w:rPr>
                      <w:b/>
                      <w:color w:val="000000" w:themeColor="text1"/>
                      <w:sz w:val="18"/>
                      <w:szCs w:val="18"/>
                      <w:highlight w:val="none"/>
                      <w:vertAlign w:val="subscript"/>
                      <w14:textFill>
                        <w14:solidFill>
                          <w14:schemeClr w14:val="tx1"/>
                        </w14:solidFill>
                      </w14:textFill>
                    </w:rPr>
                    <w:t>10</w:t>
                  </w:r>
                  <w:r>
                    <w:rPr>
                      <w:b/>
                      <w:color w:val="000000" w:themeColor="text1"/>
                      <w:sz w:val="18"/>
                      <w:szCs w:val="18"/>
                      <w:highlight w:val="none"/>
                      <w14:textFill>
                        <w14:solidFill>
                          <w14:schemeClr w14:val="tx1"/>
                        </w14:solidFill>
                      </w14:textFill>
                    </w:rPr>
                    <w:t>小时平均浓度的差值。当县（市、区）PM</w:t>
                  </w:r>
                  <w:r>
                    <w:rPr>
                      <w:b/>
                      <w:color w:val="000000" w:themeColor="text1"/>
                      <w:sz w:val="18"/>
                      <w:szCs w:val="18"/>
                      <w:highlight w:val="none"/>
                      <w:vertAlign w:val="subscript"/>
                      <w14:textFill>
                        <w14:solidFill>
                          <w14:schemeClr w14:val="tx1"/>
                        </w14:solidFill>
                      </w14:textFill>
                    </w:rPr>
                    <w:t>10</w:t>
                  </w:r>
                  <w:r>
                    <w:rPr>
                      <w:b/>
                      <w:color w:val="000000" w:themeColor="text1"/>
                      <w:sz w:val="18"/>
                      <w:szCs w:val="18"/>
                      <w:highlight w:val="none"/>
                      <w14:textFill>
                        <w14:solidFill>
                          <w14:schemeClr w14:val="tx1"/>
                        </w14:solidFill>
                      </w14:textFill>
                    </w:rPr>
                    <w:t>小时平均浓度值大于150μg/m</w:t>
                  </w:r>
                  <w:r>
                    <w:rPr>
                      <w:b/>
                      <w:color w:val="000000" w:themeColor="text1"/>
                      <w:sz w:val="18"/>
                      <w:szCs w:val="18"/>
                      <w:highlight w:val="none"/>
                      <w:vertAlign w:val="superscript"/>
                      <w14:textFill>
                        <w14:solidFill>
                          <w14:schemeClr w14:val="tx1"/>
                        </w14:solidFill>
                      </w14:textFill>
                    </w:rPr>
                    <w:t>3</w:t>
                  </w:r>
                  <w:r>
                    <w:rPr>
                      <w:b/>
                      <w:color w:val="000000" w:themeColor="text1"/>
                      <w:sz w:val="18"/>
                      <w:szCs w:val="18"/>
                      <w:highlight w:val="none"/>
                      <w14:textFill>
                        <w14:solidFill>
                          <w14:schemeClr w14:val="tx1"/>
                        </w14:solidFill>
                      </w14:textFill>
                    </w:rPr>
                    <w:t>时，以150μg/m</w:t>
                  </w:r>
                  <w:r>
                    <w:rPr>
                      <w:b/>
                      <w:color w:val="000000" w:themeColor="text1"/>
                      <w:sz w:val="18"/>
                      <w:szCs w:val="18"/>
                      <w:highlight w:val="none"/>
                      <w:vertAlign w:val="superscript"/>
                      <w14:textFill>
                        <w14:solidFill>
                          <w14:schemeClr w14:val="tx1"/>
                        </w14:solidFill>
                      </w14:textFill>
                    </w:rPr>
                    <w:t>3</w:t>
                  </w:r>
                  <w:r>
                    <w:rPr>
                      <w:b/>
                      <w:color w:val="000000" w:themeColor="text1"/>
                      <w:sz w:val="18"/>
                      <w:szCs w:val="18"/>
                      <w:highlight w:val="none"/>
                      <w14:textFill>
                        <w14:solidFill>
                          <w14:schemeClr w14:val="tx1"/>
                        </w14:solidFill>
                      </w14:textFill>
                    </w:rPr>
                    <w:t>计。</w:t>
                  </w:r>
                </w:p>
              </w:tc>
            </w:tr>
          </w:tbl>
          <w:p w14:paraId="746F6E2F">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80" w:lineRule="exact"/>
              <w:ind w:left="0" w:leftChars="0" w:right="0"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项目运营期铣刨沥青破碎筛分产生的有组织颗粒物执行《大气污染物综合排放标准》（GB16297-1996）表2中二级标准；原料堆存、</w:t>
            </w:r>
            <w:r>
              <w:rPr>
                <w:rFonts w:hint="eastAsia" w:ascii="Times New Roman" w:hAnsi="Times New Roman"/>
                <w:color w:val="000000" w:themeColor="text1"/>
                <w:szCs w:val="21"/>
                <w:highlight w:val="none"/>
                <w14:textFill>
                  <w14:solidFill>
                    <w14:schemeClr w14:val="tx1"/>
                  </w14:solidFill>
                </w14:textFill>
              </w:rPr>
              <w:t>砂</w:t>
            </w:r>
            <w:r>
              <w:rPr>
                <w:rFonts w:ascii="Times New Roman" w:hAnsi="Times New Roman"/>
                <w:color w:val="000000" w:themeColor="text1"/>
                <w:szCs w:val="21"/>
                <w:highlight w:val="none"/>
                <w14:textFill>
                  <w14:solidFill>
                    <w14:schemeClr w14:val="tx1"/>
                  </w14:solidFill>
                </w14:textFill>
              </w:rPr>
              <w:t>子、石子储存、装卸</w:t>
            </w:r>
            <w:r>
              <w:rPr>
                <w:rFonts w:hint="eastAsia" w:ascii="Times New Roman" w:hAnsi="Times New Roman"/>
                <w:color w:val="000000" w:themeColor="text1"/>
                <w:szCs w:val="21"/>
                <w:highlight w:val="none"/>
                <w:lang w:eastAsia="zh-CN"/>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装载机上料</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冷料提升以及破碎筛分逸散的无组织颗粒物执行《大气污染物综合排放标准》（GB16297-1996）表2中无组织排放监控浓度限值要求。</w:t>
            </w:r>
          </w:p>
          <w:p w14:paraId="67708B7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80" w:lineRule="exact"/>
              <w:ind w:left="0" w:leftChars="0" w:right="0" w:firstLine="420" w:firstLineChars="200"/>
              <w:jc w:val="left"/>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铣刨沥青烘干产生的颗粒物、二氧化硫、氮氧化物</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、烟气黑度</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执行《工业炉窑大气污染物排放标准》（DB13/1640-2012）表1、表2中新建炉窑标准，并同时满足《承德市工业炉窑综合治理实施方案》（承环办[2020]72 号）中相关限值中的相关要求；铣刨沥青烘干产生的有组织非甲烷总烃执行《工业企业挥发性有机物排放控制标准》（DB13/2322-2016）表1其他行业标准，产生的有组织苯并[a]芘、沥青烟执行《大气污染物综合排放标准》（GB16297-1996）表2中二级标准。</w:t>
            </w:r>
          </w:p>
          <w:p w14:paraId="5EA79E76">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80" w:lineRule="exact"/>
              <w:ind w:left="0" w:leftChars="0" w:right="0" w:firstLine="420" w:firstLineChars="200"/>
              <w:jc w:val="left"/>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搅拌器搅拌和搅拌楼卸料产生的有组织非甲烷总烃执行《工业企业挥发性有机物排放控制标准》（DB13/2322-2016）表1其他行业标准，无组织非甲烷总烃执行《工业企业挥发性有机物排放控制标准》（DB13/2322-2016）表2其他行业标准；有组织苯并[a]芘、沥青烟执行《大气污染物综合排放标准》（GB16297-1996）表2中二级标准；无组织苯并[a]芘、沥青烟执行《大气污染物综合排放标准》（GB16297-1996）表2中无组织排放监控浓度限值要求。</w:t>
            </w:r>
          </w:p>
          <w:p w14:paraId="17E57A89">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80" w:lineRule="exact"/>
              <w:ind w:left="0" w:leftChars="0" w:right="0" w:firstLine="420" w:firstLineChars="200"/>
              <w:jc w:val="left"/>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企业原有项目</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锅炉</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燃烧产生的有组织颗粒物、二氧化硫、</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氮氧化物</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烟气黑度</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执行《锅炉大气污染物排放标准》（DB13/5161-2020）相关限值要求。</w:t>
            </w:r>
          </w:p>
          <w:p w14:paraId="5E48760E">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80" w:lineRule="exact"/>
              <w:ind w:left="0" w:leftChars="0" w:right="0" w:firstLine="420" w:firstLineChars="200"/>
              <w:jc w:val="left"/>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企业原有烘干砂石骨料所产生的有组织颗粒物、二氧化硫、氮氧化物</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、烟气黑度</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应执行《工业炉窑大气污染物排放标准》（DB13/1640-2012）表1、表2中新建炉窑标准，并同时满足《承德市工业炉窑综合治理实施方</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12</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案》（承环办[2020]72 号）中相关限值中的相关要求。</w:t>
            </w:r>
          </w:p>
          <w:p w14:paraId="6E27C5ED">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80" w:lineRule="exact"/>
              <w:ind w:left="0" w:leftChars="0" w:right="0" w:firstLine="420" w:firstLineChars="200"/>
              <w:jc w:val="lef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企业原有沥青加热产生的有组织苯并[a]芘、沥青烟执行《大气污染物综合排放标准》（GB16297-1996）表2中二级标准；有组织非甲烷总烃执行《工业企业挥发性有机物排放控制标准》（DB13/2322-2016）表1其他行业标准。</w:t>
            </w:r>
          </w:p>
          <w:p w14:paraId="45DDC644">
            <w:pPr>
              <w:keepNext w:val="0"/>
              <w:keepLines w:val="0"/>
              <w:pageBreakBefore w:val="0"/>
              <w:widowControl w:val="0"/>
              <w:suppressLineNumbers w:val="0"/>
              <w:kinsoku/>
              <w:wordWrap w:val="0"/>
              <w:overflowPunct/>
              <w:topLinePunct w:val="0"/>
              <w:autoSpaceDE/>
              <w:autoSpaceDN/>
              <w:bidi w:val="0"/>
              <w:adjustRightInd w:val="0"/>
              <w:snapToGrid w:val="0"/>
              <w:spacing w:before="0" w:beforeAutospacing="0" w:after="0" w:afterAutospacing="0" w:line="480" w:lineRule="exact"/>
              <w:ind w:left="0" w:leftChars="0" w:right="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表3-</w:t>
            </w:r>
            <w:r>
              <w:rPr>
                <w:rFonts w:hint="eastAsia" w:cs="Times New Roman"/>
                <w:b/>
                <w:bCs/>
                <w:color w:val="000000" w:themeColor="text1"/>
                <w:kern w:val="2"/>
                <w:sz w:val="21"/>
                <w:szCs w:val="21"/>
                <w:highlight w:val="none"/>
                <w:lang w:val="en-US" w:eastAsia="zh-CN" w:bidi="ar-SA"/>
                <w14:textFill>
                  <w14:solidFill>
                    <w14:schemeClr w14:val="tx1"/>
                  </w14:solidFill>
                </w14:textFill>
              </w:rPr>
              <w:t>15</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运营</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期废气排放标准</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427"/>
              <w:gridCol w:w="1233"/>
              <w:gridCol w:w="930"/>
              <w:gridCol w:w="743"/>
              <w:gridCol w:w="813"/>
              <w:gridCol w:w="2782"/>
            </w:tblGrid>
            <w:tr w14:paraId="7D74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Align w:val="center"/>
                </w:tcPr>
                <w:p w14:paraId="6CA0017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污染物产生工序</w:t>
                  </w:r>
                </w:p>
              </w:tc>
              <w:tc>
                <w:tcPr>
                  <w:tcW w:w="427" w:type="dxa"/>
                  <w:vAlign w:val="center"/>
                </w:tcPr>
                <w:p w14:paraId="53A049E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排放类型</w:t>
                  </w:r>
                </w:p>
              </w:tc>
              <w:tc>
                <w:tcPr>
                  <w:tcW w:w="1233" w:type="dxa"/>
                  <w:vAlign w:val="center"/>
                </w:tcPr>
                <w:p w14:paraId="34E6894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污染因子</w:t>
                  </w:r>
                </w:p>
              </w:tc>
              <w:tc>
                <w:tcPr>
                  <w:tcW w:w="930" w:type="dxa"/>
                  <w:vAlign w:val="center"/>
                </w:tcPr>
                <w:p w14:paraId="5AE783A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排放浓度（mg/m</w:t>
                  </w:r>
                  <w:r>
                    <w:rPr>
                      <w:rFonts w:hint="eastAsia" w:cs="Times New Roman"/>
                      <w:b/>
                      <w:bCs/>
                      <w:color w:val="000000" w:themeColor="text1"/>
                      <w:sz w:val="21"/>
                      <w:szCs w:val="21"/>
                      <w:highlight w:val="none"/>
                      <w:vertAlign w:val="superscript"/>
                      <w:lang w:val="en-US" w:eastAsia="zh-CN"/>
                      <w14:textFill>
                        <w14:solidFill>
                          <w14:schemeClr w14:val="tx1"/>
                        </w14:solidFill>
                      </w14:textFill>
                    </w:rPr>
                    <w:t>3</w:t>
                  </w:r>
                  <w:r>
                    <w:rPr>
                      <w:rFonts w:hint="eastAsia" w:cs="Times New Roman"/>
                      <w:b/>
                      <w:bCs/>
                      <w:color w:val="000000" w:themeColor="text1"/>
                      <w:sz w:val="21"/>
                      <w:szCs w:val="21"/>
                      <w:highlight w:val="none"/>
                      <w:vertAlign w:val="baseline"/>
                      <w:lang w:val="en-US" w:eastAsia="zh-CN"/>
                      <w14:textFill>
                        <w14:solidFill>
                          <w14:schemeClr w14:val="tx1"/>
                        </w14:solidFill>
                      </w14:textFill>
                    </w:rPr>
                    <w:t>）</w:t>
                  </w:r>
                </w:p>
              </w:tc>
              <w:tc>
                <w:tcPr>
                  <w:tcW w:w="743" w:type="dxa"/>
                  <w:vAlign w:val="center"/>
                </w:tcPr>
                <w:p w14:paraId="585E7C8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排放速率（kg/h）</w:t>
                  </w:r>
                </w:p>
              </w:tc>
              <w:tc>
                <w:tcPr>
                  <w:tcW w:w="813" w:type="dxa"/>
                  <w:vAlign w:val="center"/>
                </w:tcPr>
                <w:p w14:paraId="0BE0598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排气筒高度（m）</w:t>
                  </w:r>
                </w:p>
              </w:tc>
              <w:tc>
                <w:tcPr>
                  <w:tcW w:w="2782" w:type="dxa"/>
                  <w:vAlign w:val="center"/>
                </w:tcPr>
                <w:p w14:paraId="363965C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排放标准</w:t>
                  </w:r>
                </w:p>
              </w:tc>
            </w:tr>
            <w:tr w14:paraId="0815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Align w:val="center"/>
                </w:tcPr>
                <w:p w14:paraId="5FC10C0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新建</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铣刨沥青破碎筛分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DA003</w:t>
                  </w:r>
                  <w:r>
                    <w:rPr>
                      <w:rFonts w:hint="eastAsia"/>
                      <w:color w:val="000000" w:themeColor="text1"/>
                      <w:highlight w:val="none"/>
                      <w:lang w:eastAsia="zh-CN"/>
                      <w14:textFill>
                        <w14:solidFill>
                          <w14:schemeClr w14:val="tx1"/>
                        </w14:solidFill>
                      </w14:textFill>
                    </w:rPr>
                    <w:t>）</w:t>
                  </w:r>
                </w:p>
              </w:tc>
              <w:tc>
                <w:tcPr>
                  <w:tcW w:w="427" w:type="dxa"/>
                  <w:vAlign w:val="center"/>
                </w:tcPr>
                <w:p w14:paraId="7B76A33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有组织</w:t>
                  </w:r>
                </w:p>
              </w:tc>
              <w:tc>
                <w:tcPr>
                  <w:tcW w:w="1233" w:type="dxa"/>
                  <w:vAlign w:val="center"/>
                </w:tcPr>
                <w:p w14:paraId="3912E03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930" w:type="dxa"/>
                  <w:vAlign w:val="center"/>
                </w:tcPr>
                <w:p w14:paraId="2DCE550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120</w:t>
                  </w:r>
                </w:p>
              </w:tc>
              <w:tc>
                <w:tcPr>
                  <w:tcW w:w="743" w:type="dxa"/>
                  <w:vAlign w:val="center"/>
                </w:tcPr>
                <w:p w14:paraId="09CE494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3.5</w:t>
                  </w:r>
                </w:p>
              </w:tc>
              <w:tc>
                <w:tcPr>
                  <w:tcW w:w="813" w:type="dxa"/>
                  <w:vAlign w:val="center"/>
                </w:tcPr>
                <w:p w14:paraId="57B31FD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15</w:t>
                  </w:r>
                </w:p>
              </w:tc>
              <w:tc>
                <w:tcPr>
                  <w:tcW w:w="2782" w:type="dxa"/>
                  <w:vAlign w:val="center"/>
                </w:tcPr>
                <w:p w14:paraId="42F600A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tc>
            </w:tr>
            <w:tr w14:paraId="12A1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restart"/>
                  <w:vAlign w:val="center"/>
                </w:tcPr>
                <w:p w14:paraId="0D6F2C5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铣刨沥青烘干</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（DA001）</w:t>
                  </w:r>
                </w:p>
              </w:tc>
              <w:tc>
                <w:tcPr>
                  <w:tcW w:w="427" w:type="dxa"/>
                  <w:vMerge w:val="restart"/>
                  <w:vAlign w:val="center"/>
                </w:tcPr>
                <w:p w14:paraId="25317DD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有组织</w:t>
                  </w:r>
                </w:p>
              </w:tc>
              <w:tc>
                <w:tcPr>
                  <w:tcW w:w="1233" w:type="dxa"/>
                  <w:vAlign w:val="center"/>
                </w:tcPr>
                <w:p w14:paraId="242AB35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930" w:type="dxa"/>
                  <w:vAlign w:val="center"/>
                </w:tcPr>
                <w:p w14:paraId="21B712D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30</w:t>
                  </w:r>
                </w:p>
              </w:tc>
              <w:tc>
                <w:tcPr>
                  <w:tcW w:w="743" w:type="dxa"/>
                  <w:vAlign w:val="center"/>
                </w:tcPr>
                <w:p w14:paraId="0582A84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restart"/>
                  <w:vAlign w:val="center"/>
                </w:tcPr>
                <w:p w14:paraId="210513D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15</w:t>
                  </w:r>
                </w:p>
              </w:tc>
              <w:tc>
                <w:tcPr>
                  <w:tcW w:w="2782" w:type="dxa"/>
                  <w:vMerge w:val="restart"/>
                  <w:vAlign w:val="center"/>
                </w:tcPr>
                <w:p w14:paraId="5406F81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《工业炉窑大气污染物排放标准》（DB13/1640-2012）表1、表2中新建炉窑标准并同时满足《承德市工业炉窑综合治理实施方案》（承环办[2020]72 号）中相关限值中的相关要求</w:t>
                  </w:r>
                </w:p>
              </w:tc>
            </w:tr>
            <w:tr w14:paraId="3A0F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7E6FC51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0C6D4B1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210EC73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二氧化硫</w:t>
                  </w:r>
                </w:p>
              </w:tc>
              <w:tc>
                <w:tcPr>
                  <w:tcW w:w="930" w:type="dxa"/>
                  <w:vAlign w:val="center"/>
                </w:tcPr>
                <w:p w14:paraId="0CF6EFC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200</w:t>
                  </w:r>
                </w:p>
              </w:tc>
              <w:tc>
                <w:tcPr>
                  <w:tcW w:w="743" w:type="dxa"/>
                  <w:vAlign w:val="center"/>
                </w:tcPr>
                <w:p w14:paraId="6E95CD7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6C0D518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5906C52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FCAE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4D06E63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26CF8AF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398544D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氮氧化物</w:t>
                  </w:r>
                </w:p>
              </w:tc>
              <w:tc>
                <w:tcPr>
                  <w:tcW w:w="930" w:type="dxa"/>
                  <w:vAlign w:val="center"/>
                </w:tcPr>
                <w:p w14:paraId="5290993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300</w:t>
                  </w:r>
                </w:p>
              </w:tc>
              <w:tc>
                <w:tcPr>
                  <w:tcW w:w="743" w:type="dxa"/>
                  <w:vAlign w:val="center"/>
                </w:tcPr>
                <w:p w14:paraId="6564E9B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67F2CEE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5092F86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0347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2F449DC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19B289E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7236008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烟气黑度（林格曼黑度，级）</w:t>
                  </w:r>
                </w:p>
              </w:tc>
              <w:tc>
                <w:tcPr>
                  <w:tcW w:w="930" w:type="dxa"/>
                  <w:vAlign w:val="center"/>
                </w:tcPr>
                <w:p w14:paraId="138253C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743" w:type="dxa"/>
                  <w:vAlign w:val="center"/>
                </w:tcPr>
                <w:p w14:paraId="6D73BE1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7914A63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2B370F4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A3A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02804E1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54CA9D0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14F7F71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非甲烷总烃</w:t>
                  </w:r>
                </w:p>
              </w:tc>
              <w:tc>
                <w:tcPr>
                  <w:tcW w:w="930" w:type="dxa"/>
                  <w:vAlign w:val="center"/>
                </w:tcPr>
                <w:p w14:paraId="216B5A1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80</w:t>
                  </w:r>
                </w:p>
              </w:tc>
              <w:tc>
                <w:tcPr>
                  <w:tcW w:w="743" w:type="dxa"/>
                  <w:vAlign w:val="center"/>
                </w:tcPr>
                <w:p w14:paraId="68DA2F1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3AF7B6A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782" w:type="dxa"/>
                  <w:vAlign w:val="center"/>
                </w:tcPr>
                <w:p w14:paraId="4B59DE1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《工业企业挥发性有机物排放控制标准》（DB13/2322-2016）表1其他行业标准</w:t>
                  </w:r>
                </w:p>
              </w:tc>
            </w:tr>
            <w:tr w14:paraId="5DBB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5AD2BDE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3209390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53D1599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沥青烟</w:t>
                  </w:r>
                </w:p>
              </w:tc>
              <w:tc>
                <w:tcPr>
                  <w:tcW w:w="930" w:type="dxa"/>
                  <w:vAlign w:val="center"/>
                </w:tcPr>
                <w:p w14:paraId="4389A39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75</w:t>
                  </w:r>
                </w:p>
              </w:tc>
              <w:tc>
                <w:tcPr>
                  <w:tcW w:w="743" w:type="dxa"/>
                  <w:vAlign w:val="center"/>
                </w:tcPr>
                <w:p w14:paraId="19E15C8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0.18</w:t>
                  </w:r>
                </w:p>
              </w:tc>
              <w:tc>
                <w:tcPr>
                  <w:tcW w:w="813" w:type="dxa"/>
                  <w:vMerge w:val="continue"/>
                  <w:vAlign w:val="center"/>
                </w:tcPr>
                <w:p w14:paraId="3CFF8C4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782" w:type="dxa"/>
                  <w:vMerge w:val="restart"/>
                  <w:vAlign w:val="center"/>
                </w:tcPr>
                <w:p w14:paraId="3D33416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tc>
            </w:tr>
            <w:tr w14:paraId="4C29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73A7F52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4D64BF3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2DA691D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苯并[a]芘</w:t>
                  </w:r>
                </w:p>
              </w:tc>
              <w:tc>
                <w:tcPr>
                  <w:tcW w:w="930" w:type="dxa"/>
                  <w:vAlign w:val="center"/>
                </w:tcPr>
                <w:p w14:paraId="003305F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0.3×10</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743" w:type="dxa"/>
                  <w:vAlign w:val="center"/>
                </w:tcPr>
                <w:p w14:paraId="3C31089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0.05×</w:t>
                  </w:r>
                </w:p>
                <w:p w14:paraId="5D74333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813" w:type="dxa"/>
                  <w:vMerge w:val="continue"/>
                  <w:vAlign w:val="center"/>
                </w:tcPr>
                <w:p w14:paraId="156B2FB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689A6C3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861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restart"/>
                  <w:vAlign w:val="center"/>
                </w:tcPr>
                <w:p w14:paraId="483057E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搅拌器搅拌和搅拌楼卸料</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（DA001）</w:t>
                  </w:r>
                </w:p>
              </w:tc>
              <w:tc>
                <w:tcPr>
                  <w:tcW w:w="427" w:type="dxa"/>
                  <w:vMerge w:val="restart"/>
                  <w:vAlign w:val="center"/>
                </w:tcPr>
                <w:p w14:paraId="396EC17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有组织</w:t>
                  </w:r>
                </w:p>
              </w:tc>
              <w:tc>
                <w:tcPr>
                  <w:tcW w:w="1233" w:type="dxa"/>
                  <w:vAlign w:val="center"/>
                </w:tcPr>
                <w:p w14:paraId="44559E5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非甲烷总烃</w:t>
                  </w:r>
                </w:p>
              </w:tc>
              <w:tc>
                <w:tcPr>
                  <w:tcW w:w="930" w:type="dxa"/>
                  <w:vAlign w:val="center"/>
                </w:tcPr>
                <w:p w14:paraId="79E4160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80</w:t>
                  </w:r>
                </w:p>
              </w:tc>
              <w:tc>
                <w:tcPr>
                  <w:tcW w:w="743" w:type="dxa"/>
                  <w:vAlign w:val="center"/>
                </w:tcPr>
                <w:p w14:paraId="209B206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restart"/>
                  <w:vAlign w:val="center"/>
                </w:tcPr>
                <w:p w14:paraId="78EBAF5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15</w:t>
                  </w:r>
                </w:p>
              </w:tc>
              <w:tc>
                <w:tcPr>
                  <w:tcW w:w="2782" w:type="dxa"/>
                  <w:vAlign w:val="center"/>
                </w:tcPr>
                <w:p w14:paraId="0915DED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《工业企业挥发性有机物排放控制标准》（DB13/2322-2016）表1其他行业标准</w:t>
                  </w:r>
                </w:p>
              </w:tc>
            </w:tr>
            <w:tr w14:paraId="44CC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7E4EF12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27" w:type="dxa"/>
                  <w:vMerge w:val="continue"/>
                  <w:vAlign w:val="center"/>
                </w:tcPr>
                <w:p w14:paraId="7D2494F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6CFB8D1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沥青烟</w:t>
                  </w:r>
                </w:p>
              </w:tc>
              <w:tc>
                <w:tcPr>
                  <w:tcW w:w="930" w:type="dxa"/>
                  <w:vAlign w:val="center"/>
                </w:tcPr>
                <w:p w14:paraId="3B36D2E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75</w:t>
                  </w:r>
                </w:p>
              </w:tc>
              <w:tc>
                <w:tcPr>
                  <w:tcW w:w="743" w:type="dxa"/>
                  <w:vAlign w:val="center"/>
                </w:tcPr>
                <w:p w14:paraId="7B89EAD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0.18</w:t>
                  </w:r>
                </w:p>
              </w:tc>
              <w:tc>
                <w:tcPr>
                  <w:tcW w:w="813" w:type="dxa"/>
                  <w:vMerge w:val="continue"/>
                  <w:vAlign w:val="center"/>
                </w:tcPr>
                <w:p w14:paraId="01B0B1C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782" w:type="dxa"/>
                  <w:vMerge w:val="restart"/>
                  <w:vAlign w:val="center"/>
                </w:tcPr>
                <w:p w14:paraId="4F197EA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tc>
            </w:tr>
            <w:tr w14:paraId="5815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650933F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27" w:type="dxa"/>
                  <w:vMerge w:val="continue"/>
                  <w:vAlign w:val="center"/>
                </w:tcPr>
                <w:p w14:paraId="313E8FA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0C074FA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苯并[a]芘</w:t>
                  </w:r>
                </w:p>
              </w:tc>
              <w:tc>
                <w:tcPr>
                  <w:tcW w:w="930" w:type="dxa"/>
                  <w:vAlign w:val="center"/>
                </w:tcPr>
                <w:p w14:paraId="139C2FE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0.3×10</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743" w:type="dxa"/>
                  <w:vAlign w:val="center"/>
                </w:tcPr>
                <w:p w14:paraId="040CE24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0.05×</w:t>
                  </w:r>
                </w:p>
                <w:p w14:paraId="657F03E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813" w:type="dxa"/>
                  <w:vMerge w:val="continue"/>
                  <w:vAlign w:val="center"/>
                </w:tcPr>
                <w:p w14:paraId="07B0FC9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6C75ADF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227D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restart"/>
                  <w:vAlign w:val="center"/>
                </w:tcPr>
                <w:p w14:paraId="73CF8C7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原有</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锅炉（DA002）</w:t>
                  </w:r>
                </w:p>
              </w:tc>
              <w:tc>
                <w:tcPr>
                  <w:tcW w:w="427" w:type="dxa"/>
                  <w:vMerge w:val="restart"/>
                  <w:vAlign w:val="center"/>
                </w:tcPr>
                <w:p w14:paraId="59C3379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有组织</w:t>
                  </w:r>
                </w:p>
              </w:tc>
              <w:tc>
                <w:tcPr>
                  <w:tcW w:w="1233" w:type="dxa"/>
                  <w:vAlign w:val="center"/>
                </w:tcPr>
                <w:p w14:paraId="4955C77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930" w:type="dxa"/>
                  <w:vAlign w:val="center"/>
                </w:tcPr>
                <w:p w14:paraId="172DA1C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743" w:type="dxa"/>
                  <w:vAlign w:val="center"/>
                </w:tcPr>
                <w:p w14:paraId="6E73CA8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restart"/>
                  <w:vAlign w:val="center"/>
                </w:tcPr>
                <w:p w14:paraId="7722E6D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16</w:t>
                  </w:r>
                </w:p>
              </w:tc>
              <w:tc>
                <w:tcPr>
                  <w:tcW w:w="2782" w:type="dxa"/>
                  <w:vMerge w:val="restart"/>
                  <w:vAlign w:val="center"/>
                </w:tcPr>
                <w:p w14:paraId="20A6333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《锅炉大气污染物排放标准》（DB13/5161-2020）中相关限值要求</w:t>
                  </w:r>
                </w:p>
              </w:tc>
            </w:tr>
            <w:tr w14:paraId="3698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74F51F2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27" w:type="dxa"/>
                  <w:vMerge w:val="continue"/>
                  <w:vAlign w:val="center"/>
                </w:tcPr>
                <w:p w14:paraId="5F15CD3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38F2252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二氧化硫</w:t>
                  </w:r>
                </w:p>
              </w:tc>
              <w:tc>
                <w:tcPr>
                  <w:tcW w:w="930" w:type="dxa"/>
                  <w:vAlign w:val="center"/>
                </w:tcPr>
                <w:p w14:paraId="45FBF6E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43" w:type="dxa"/>
                  <w:vAlign w:val="center"/>
                </w:tcPr>
                <w:p w14:paraId="58ED856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2FA2F63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15E1B31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2DC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5035F86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27" w:type="dxa"/>
                  <w:vMerge w:val="continue"/>
                  <w:vAlign w:val="center"/>
                </w:tcPr>
                <w:p w14:paraId="31E8A1C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5A5511A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氮氧化物</w:t>
                  </w:r>
                </w:p>
              </w:tc>
              <w:tc>
                <w:tcPr>
                  <w:tcW w:w="930" w:type="dxa"/>
                  <w:vAlign w:val="center"/>
                </w:tcPr>
                <w:p w14:paraId="67F8995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30</w:t>
                  </w:r>
                </w:p>
              </w:tc>
              <w:tc>
                <w:tcPr>
                  <w:tcW w:w="743" w:type="dxa"/>
                  <w:vAlign w:val="center"/>
                </w:tcPr>
                <w:p w14:paraId="496788E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0B38E23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4F15EFC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14DA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463ACCB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27" w:type="dxa"/>
                  <w:vMerge w:val="continue"/>
                  <w:vAlign w:val="center"/>
                </w:tcPr>
                <w:p w14:paraId="642A705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22EAE14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烟气黑度（林格曼黑度，级）</w:t>
                  </w:r>
                </w:p>
              </w:tc>
              <w:tc>
                <w:tcPr>
                  <w:tcW w:w="930" w:type="dxa"/>
                  <w:vAlign w:val="center"/>
                </w:tcPr>
                <w:p w14:paraId="3619C9B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743" w:type="dxa"/>
                  <w:vAlign w:val="center"/>
                </w:tcPr>
                <w:p w14:paraId="1B8BB20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3CDBBDE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30DC26F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310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Align w:val="center"/>
                </w:tcPr>
                <w:p w14:paraId="618D4AA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原有筒仓（DA001）</w:t>
                  </w:r>
                </w:p>
              </w:tc>
              <w:tc>
                <w:tcPr>
                  <w:tcW w:w="427" w:type="dxa"/>
                  <w:vMerge w:val="restart"/>
                  <w:vAlign w:val="center"/>
                </w:tcPr>
                <w:p w14:paraId="5F9AA8C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有组织</w:t>
                  </w:r>
                </w:p>
              </w:tc>
              <w:tc>
                <w:tcPr>
                  <w:tcW w:w="1233" w:type="dxa"/>
                  <w:vAlign w:val="center"/>
                </w:tcPr>
                <w:p w14:paraId="1289194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930" w:type="dxa"/>
                  <w:vAlign w:val="center"/>
                </w:tcPr>
                <w:p w14:paraId="02B38A4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30</w:t>
                  </w:r>
                </w:p>
              </w:tc>
              <w:tc>
                <w:tcPr>
                  <w:tcW w:w="743" w:type="dxa"/>
                  <w:vAlign w:val="center"/>
                </w:tcPr>
                <w:p w14:paraId="1C6E1E8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restart"/>
                  <w:vAlign w:val="center"/>
                </w:tcPr>
                <w:p w14:paraId="0464FB1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15</w:t>
                  </w:r>
                </w:p>
              </w:tc>
              <w:tc>
                <w:tcPr>
                  <w:tcW w:w="2782" w:type="dxa"/>
                  <w:vMerge w:val="restart"/>
                  <w:vAlign w:val="center"/>
                </w:tcPr>
                <w:p w14:paraId="70515C9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《工业炉窑大气污染物排放标准》（DB13/1640-2012）表1、表2中新建炉窑标准并同时满足《承德市工业炉窑综合治理实施方案》（承环办[2020]72 号）中相关限值中的相关要求</w:t>
                  </w:r>
                </w:p>
              </w:tc>
            </w:tr>
            <w:tr w14:paraId="4D89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restart"/>
                  <w:vAlign w:val="center"/>
                </w:tcPr>
                <w:p w14:paraId="0FDD8CA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原有烘干砂石骨料</w:t>
                  </w: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（DA001）</w:t>
                  </w:r>
                </w:p>
              </w:tc>
              <w:tc>
                <w:tcPr>
                  <w:tcW w:w="427" w:type="dxa"/>
                  <w:vMerge w:val="continue"/>
                  <w:vAlign w:val="center"/>
                </w:tcPr>
                <w:p w14:paraId="5D6987F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4648B27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930" w:type="dxa"/>
                  <w:vAlign w:val="center"/>
                </w:tcPr>
                <w:p w14:paraId="5E2D006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30</w:t>
                  </w:r>
                </w:p>
              </w:tc>
              <w:tc>
                <w:tcPr>
                  <w:tcW w:w="743" w:type="dxa"/>
                  <w:vAlign w:val="center"/>
                </w:tcPr>
                <w:p w14:paraId="3B52541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02B904D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3845CC5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2325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3172FB2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27" w:type="dxa"/>
                  <w:vMerge w:val="continue"/>
                  <w:vAlign w:val="center"/>
                </w:tcPr>
                <w:p w14:paraId="34C13A1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2351FB5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二氧化硫</w:t>
                  </w:r>
                </w:p>
              </w:tc>
              <w:tc>
                <w:tcPr>
                  <w:tcW w:w="930" w:type="dxa"/>
                  <w:vAlign w:val="center"/>
                </w:tcPr>
                <w:p w14:paraId="00259E1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200</w:t>
                  </w:r>
                </w:p>
              </w:tc>
              <w:tc>
                <w:tcPr>
                  <w:tcW w:w="743" w:type="dxa"/>
                  <w:vAlign w:val="center"/>
                </w:tcPr>
                <w:p w14:paraId="147B934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1A624C3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77B79D6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7961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3052140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27" w:type="dxa"/>
                  <w:vMerge w:val="continue"/>
                  <w:vAlign w:val="center"/>
                </w:tcPr>
                <w:p w14:paraId="6C957AC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560702C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氮氧化物</w:t>
                  </w:r>
                </w:p>
              </w:tc>
              <w:tc>
                <w:tcPr>
                  <w:tcW w:w="930" w:type="dxa"/>
                  <w:vAlign w:val="center"/>
                </w:tcPr>
                <w:p w14:paraId="1B3E89F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300</w:t>
                  </w:r>
                </w:p>
              </w:tc>
              <w:tc>
                <w:tcPr>
                  <w:tcW w:w="743" w:type="dxa"/>
                  <w:vAlign w:val="center"/>
                </w:tcPr>
                <w:p w14:paraId="6A58545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79F571F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673C9E3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2794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2F5ED34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27" w:type="dxa"/>
                  <w:vMerge w:val="continue"/>
                  <w:vAlign w:val="center"/>
                </w:tcPr>
                <w:p w14:paraId="0326131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1177A28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烟气黑度（林格曼黑度，级）</w:t>
                  </w:r>
                </w:p>
              </w:tc>
              <w:tc>
                <w:tcPr>
                  <w:tcW w:w="930" w:type="dxa"/>
                  <w:vAlign w:val="center"/>
                </w:tcPr>
                <w:p w14:paraId="6AFA389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743" w:type="dxa"/>
                  <w:vAlign w:val="center"/>
                </w:tcPr>
                <w:p w14:paraId="38263D7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29A1945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104324B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44DD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restart"/>
                  <w:vAlign w:val="center"/>
                </w:tcPr>
                <w:p w14:paraId="5DBAE4C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原有沥青烟加热（DA001）</w:t>
                  </w:r>
                </w:p>
              </w:tc>
              <w:tc>
                <w:tcPr>
                  <w:tcW w:w="427" w:type="dxa"/>
                  <w:vMerge w:val="restart"/>
                  <w:vAlign w:val="center"/>
                </w:tcPr>
                <w:p w14:paraId="63F4AA2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有组织</w:t>
                  </w:r>
                </w:p>
              </w:tc>
              <w:tc>
                <w:tcPr>
                  <w:tcW w:w="1233" w:type="dxa"/>
                  <w:vAlign w:val="center"/>
                </w:tcPr>
                <w:p w14:paraId="246DE4B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非甲烷总烃</w:t>
                  </w:r>
                </w:p>
              </w:tc>
              <w:tc>
                <w:tcPr>
                  <w:tcW w:w="930" w:type="dxa"/>
                  <w:vAlign w:val="center"/>
                </w:tcPr>
                <w:p w14:paraId="3E81D2A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80</w:t>
                  </w:r>
                </w:p>
              </w:tc>
              <w:tc>
                <w:tcPr>
                  <w:tcW w:w="743" w:type="dxa"/>
                  <w:vAlign w:val="center"/>
                </w:tcPr>
                <w:p w14:paraId="76D1991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Merge w:val="continue"/>
                  <w:vAlign w:val="center"/>
                </w:tcPr>
                <w:p w14:paraId="27DCAF5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782" w:type="dxa"/>
                  <w:vAlign w:val="center"/>
                </w:tcPr>
                <w:p w14:paraId="3A37796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《工业企业挥发性有机物排放控制标准》（DB13/2322-2016）表1其他行业标准</w:t>
                  </w:r>
                </w:p>
              </w:tc>
            </w:tr>
            <w:tr w14:paraId="77D90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38DF0F8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0C3C5B3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4D5E9E5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沥青烟</w:t>
                  </w:r>
                </w:p>
              </w:tc>
              <w:tc>
                <w:tcPr>
                  <w:tcW w:w="930" w:type="dxa"/>
                  <w:vAlign w:val="center"/>
                </w:tcPr>
                <w:p w14:paraId="07ABF6A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75</w:t>
                  </w:r>
                </w:p>
              </w:tc>
              <w:tc>
                <w:tcPr>
                  <w:tcW w:w="743" w:type="dxa"/>
                  <w:vAlign w:val="center"/>
                </w:tcPr>
                <w:p w14:paraId="3649FC9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0.18</w:t>
                  </w:r>
                </w:p>
              </w:tc>
              <w:tc>
                <w:tcPr>
                  <w:tcW w:w="813" w:type="dxa"/>
                  <w:vMerge w:val="continue"/>
                  <w:vAlign w:val="center"/>
                </w:tcPr>
                <w:p w14:paraId="6D6E23F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782" w:type="dxa"/>
                  <w:vMerge w:val="restart"/>
                  <w:vAlign w:val="center"/>
                </w:tcPr>
                <w:p w14:paraId="41FF080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tc>
            </w:tr>
            <w:tr w14:paraId="563A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089AE15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0BD4589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58BCAB2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苯并[a]芘</w:t>
                  </w:r>
                </w:p>
              </w:tc>
              <w:tc>
                <w:tcPr>
                  <w:tcW w:w="930" w:type="dxa"/>
                  <w:vAlign w:val="center"/>
                </w:tcPr>
                <w:p w14:paraId="0118024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0.3×10</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743" w:type="dxa"/>
                  <w:vAlign w:val="center"/>
                </w:tcPr>
                <w:p w14:paraId="68D56E6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0.05×</w:t>
                  </w:r>
                </w:p>
                <w:p w14:paraId="5B947AE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813" w:type="dxa"/>
                  <w:vMerge w:val="continue"/>
                  <w:vAlign w:val="center"/>
                </w:tcPr>
                <w:p w14:paraId="4AEFC86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04A7A79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24BB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Align w:val="center"/>
                </w:tcPr>
                <w:p w14:paraId="186A5C0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原料堆存、</w:t>
                  </w:r>
                  <w:r>
                    <w:rPr>
                      <w:rFonts w:hint="eastAsia" w:ascii="Times New Roman" w:hAnsi="Times New Roman"/>
                      <w:color w:val="000000" w:themeColor="text1"/>
                      <w:szCs w:val="21"/>
                      <w:highlight w:val="none"/>
                      <w14:textFill>
                        <w14:solidFill>
                          <w14:schemeClr w14:val="tx1"/>
                        </w14:solidFill>
                      </w14:textFill>
                    </w:rPr>
                    <w:t>砂</w:t>
                  </w:r>
                  <w:r>
                    <w:rPr>
                      <w:rFonts w:ascii="Times New Roman" w:hAnsi="Times New Roman"/>
                      <w:color w:val="000000" w:themeColor="text1"/>
                      <w:szCs w:val="21"/>
                      <w:highlight w:val="none"/>
                      <w14:textFill>
                        <w14:solidFill>
                          <w14:schemeClr w14:val="tx1"/>
                        </w14:solidFill>
                      </w14:textFill>
                    </w:rPr>
                    <w:t>子、石子储存、装卸</w:t>
                  </w:r>
                  <w:r>
                    <w:rPr>
                      <w:rFonts w:hint="eastAsia" w:ascii="Times New Roman" w:hAnsi="Times New Roman"/>
                      <w:color w:val="000000" w:themeColor="text1"/>
                      <w:szCs w:val="21"/>
                      <w:highlight w:val="none"/>
                      <w:lang w:eastAsia="zh-CN"/>
                      <w14:textFill>
                        <w14:solidFill>
                          <w14:schemeClr w14:val="tx1"/>
                        </w14:solidFill>
                      </w14:textFill>
                    </w:rPr>
                    <w:t>、</w:t>
                  </w:r>
                  <w:r>
                    <w:rPr>
                      <w:rFonts w:ascii="Times New Roman" w:hAnsi="Times New Roman"/>
                      <w:color w:val="000000" w:themeColor="text1"/>
                      <w:szCs w:val="21"/>
                      <w:highlight w:val="none"/>
                      <w14:textFill>
                        <w14:solidFill>
                          <w14:schemeClr w14:val="tx1"/>
                        </w14:solidFill>
                      </w14:textFill>
                    </w:rPr>
                    <w:t>装载机上料</w:t>
                  </w:r>
                  <w:r>
                    <w:rPr>
                      <w:rFonts w:hint="eastAsia" w:ascii="Times New Roman" w:hAnsi="Times New Roman"/>
                      <w:color w:val="000000" w:themeColor="text1"/>
                      <w:szCs w:val="21"/>
                      <w:highlight w:val="none"/>
                      <w:lang w:eastAsia="zh-CN"/>
                      <w14:textFill>
                        <w14:solidFill>
                          <w14:schemeClr w14:val="tx1"/>
                        </w14:solidFill>
                      </w14:textFill>
                    </w:rPr>
                    <w:t>、</w:t>
                  </w:r>
                  <w:r>
                    <w:rPr>
                      <w:rFonts w:hint="eastAsia" w:ascii="Times New Roman" w:hAnsi="Times New Roman"/>
                      <w:color w:val="000000" w:themeColor="text1"/>
                      <w:szCs w:val="21"/>
                      <w:highlight w:val="none"/>
                      <w:lang w:val="en-US" w:eastAsia="zh-CN"/>
                      <w14:textFill>
                        <w14:solidFill>
                          <w14:schemeClr w14:val="tx1"/>
                        </w14:solidFill>
                      </w14:textFill>
                    </w:rPr>
                    <w:t>冷料提升以及破碎筛分</w:t>
                  </w:r>
                </w:p>
              </w:tc>
              <w:tc>
                <w:tcPr>
                  <w:tcW w:w="427" w:type="dxa"/>
                  <w:vMerge w:val="restart"/>
                  <w:vAlign w:val="center"/>
                </w:tcPr>
                <w:p w14:paraId="059D821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kern w:val="2"/>
                      <w:sz w:val="21"/>
                      <w:szCs w:val="21"/>
                      <w:highlight w:val="none"/>
                      <w:vertAlign w:val="baseline"/>
                      <w:lang w:val="en-US" w:eastAsia="zh-CN" w:bidi="ar-SA"/>
                      <w14:textFill>
                        <w14:solidFill>
                          <w14:schemeClr w14:val="tx1"/>
                        </w14:solidFill>
                      </w14:textFill>
                    </w:rPr>
                    <w:t>无组织</w:t>
                  </w:r>
                </w:p>
              </w:tc>
              <w:tc>
                <w:tcPr>
                  <w:tcW w:w="1233" w:type="dxa"/>
                  <w:vAlign w:val="center"/>
                </w:tcPr>
                <w:p w14:paraId="7FE8152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颗粒物</w:t>
                  </w:r>
                </w:p>
              </w:tc>
              <w:tc>
                <w:tcPr>
                  <w:tcW w:w="930" w:type="dxa"/>
                  <w:vAlign w:val="center"/>
                </w:tcPr>
                <w:p w14:paraId="01F010B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1.0</w:t>
                  </w:r>
                </w:p>
              </w:tc>
              <w:tc>
                <w:tcPr>
                  <w:tcW w:w="743" w:type="dxa"/>
                  <w:vAlign w:val="center"/>
                </w:tcPr>
                <w:p w14:paraId="02F5912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Align w:val="center"/>
                </w:tcPr>
                <w:p w14:paraId="1050A04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olor w:val="000000" w:themeColor="text1"/>
                      <w:szCs w:val="21"/>
                      <w:highlight w:val="none"/>
                      <w:lang w:val="en-US" w:eastAsia="zh-CN"/>
                      <w14:textFill>
                        <w14:solidFill>
                          <w14:schemeClr w14:val="tx1"/>
                        </w14:solidFill>
                      </w14:textFill>
                    </w:rPr>
                  </w:pPr>
                </w:p>
              </w:tc>
              <w:tc>
                <w:tcPr>
                  <w:tcW w:w="2782" w:type="dxa"/>
                  <w:vAlign w:val="center"/>
                </w:tcPr>
                <w:p w14:paraId="7838F47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《大气污染物综合排放标准》（GB16297-1996）表2中无组织排放监控浓度限值</w:t>
                  </w:r>
                </w:p>
              </w:tc>
            </w:tr>
            <w:tr w14:paraId="3A48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restart"/>
                  <w:vAlign w:val="center"/>
                </w:tcPr>
                <w:p w14:paraId="00AB36D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搅拌楼卸料</w:t>
                  </w: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逸散</w:t>
                  </w:r>
                </w:p>
              </w:tc>
              <w:tc>
                <w:tcPr>
                  <w:tcW w:w="427" w:type="dxa"/>
                  <w:vMerge w:val="continue"/>
                  <w:vAlign w:val="center"/>
                </w:tcPr>
                <w:p w14:paraId="00E15A1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2F66CFA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非甲烷总烃</w:t>
                  </w:r>
                </w:p>
              </w:tc>
              <w:tc>
                <w:tcPr>
                  <w:tcW w:w="930" w:type="dxa"/>
                  <w:vAlign w:val="center"/>
                </w:tcPr>
                <w:p w14:paraId="2C46EFB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2.0</w:t>
                  </w:r>
                </w:p>
              </w:tc>
              <w:tc>
                <w:tcPr>
                  <w:tcW w:w="743" w:type="dxa"/>
                  <w:vAlign w:val="center"/>
                </w:tcPr>
                <w:p w14:paraId="5C4B1AF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 xml:space="preserve">/ </w:t>
                  </w:r>
                </w:p>
              </w:tc>
              <w:tc>
                <w:tcPr>
                  <w:tcW w:w="813" w:type="dxa"/>
                  <w:vAlign w:val="center"/>
                </w:tcPr>
                <w:p w14:paraId="17FB981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782" w:type="dxa"/>
                  <w:vAlign w:val="center"/>
                </w:tcPr>
                <w:p w14:paraId="77A7889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《工业企业挥发性有机物排放控制标准》（DB13/2322-2016）表1其他行业标准</w:t>
                  </w:r>
                </w:p>
              </w:tc>
            </w:tr>
            <w:tr w14:paraId="28FB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3C13171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650E2CE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034915F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沥青烟</w:t>
                  </w:r>
                </w:p>
              </w:tc>
              <w:tc>
                <w:tcPr>
                  <w:tcW w:w="930" w:type="dxa"/>
                  <w:vAlign w:val="center"/>
                </w:tcPr>
                <w:p w14:paraId="3FD6D3D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生产设备不得有明显的无组织排放</w:t>
                  </w:r>
                </w:p>
              </w:tc>
              <w:tc>
                <w:tcPr>
                  <w:tcW w:w="743" w:type="dxa"/>
                  <w:vAlign w:val="center"/>
                </w:tcPr>
                <w:p w14:paraId="3277470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Align w:val="center"/>
                </w:tcPr>
                <w:p w14:paraId="04AD856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2782" w:type="dxa"/>
                  <w:vMerge w:val="restart"/>
                  <w:vAlign w:val="center"/>
                </w:tcPr>
                <w:p w14:paraId="4D42819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w:t>
                  </w:r>
                  <w:r>
                    <w:rPr>
                      <w:rFonts w:hint="default"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t>无组织排放监控浓度限值要求</w:t>
                  </w:r>
                </w:p>
              </w:tc>
            </w:tr>
            <w:tr w14:paraId="59D8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49" w:type="dxa"/>
                  <w:vMerge w:val="continue"/>
                  <w:vAlign w:val="center"/>
                </w:tcPr>
                <w:p w14:paraId="671346D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427" w:type="dxa"/>
                  <w:vMerge w:val="continue"/>
                  <w:vAlign w:val="center"/>
                </w:tcPr>
                <w:p w14:paraId="3CA80BF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233" w:type="dxa"/>
                  <w:vAlign w:val="center"/>
                </w:tcPr>
                <w:p w14:paraId="417401A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苯并[a]芘</w:t>
                  </w:r>
                </w:p>
              </w:tc>
              <w:tc>
                <w:tcPr>
                  <w:tcW w:w="930" w:type="dxa"/>
                  <w:vAlign w:val="center"/>
                </w:tcPr>
                <w:p w14:paraId="4FDFD0B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0.008（μg/m</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743" w:type="dxa"/>
                  <w:vAlign w:val="center"/>
                </w:tcPr>
                <w:p w14:paraId="27F5607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w:t>
                  </w:r>
                </w:p>
              </w:tc>
              <w:tc>
                <w:tcPr>
                  <w:tcW w:w="813" w:type="dxa"/>
                  <w:vAlign w:val="center"/>
                </w:tcPr>
                <w:p w14:paraId="4CAC7A1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2782" w:type="dxa"/>
                  <w:vMerge w:val="continue"/>
                  <w:vAlign w:val="center"/>
                </w:tcPr>
                <w:p w14:paraId="711BC4F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bl>
          <w:p w14:paraId="63CD7EB2">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2、污水排放标准</w:t>
            </w:r>
          </w:p>
          <w:p w14:paraId="3109DD82">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本项目无生产废水产生，无新增工作人员，无生活污水产生。</w:t>
            </w:r>
          </w:p>
          <w:p w14:paraId="00E8AC02">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噪声</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排放标准</w:t>
            </w:r>
          </w:p>
          <w:p w14:paraId="10534260">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施工噪声执行《建筑施工场界环境噪声排放标准》（GB12523-2011）标准；运营期</w:t>
            </w:r>
            <w:r>
              <w:rPr>
                <w:rFonts w:hint="eastAsia"/>
                <w:color w:val="000000" w:themeColor="text1"/>
                <w:sz w:val="21"/>
                <w:szCs w:val="21"/>
                <w:highlight w:val="none"/>
                <w:lang w:val="en-US" w:eastAsia="zh-CN"/>
                <w14:textFill>
                  <w14:solidFill>
                    <w14:schemeClr w14:val="tx1"/>
                  </w14:solidFill>
                </w14:textFill>
              </w:rPr>
              <w:t>北、东、西厂界</w:t>
            </w:r>
            <w:r>
              <w:rPr>
                <w:rFonts w:hint="default"/>
                <w:color w:val="000000" w:themeColor="text1"/>
                <w:sz w:val="21"/>
                <w:szCs w:val="21"/>
                <w:highlight w:val="none"/>
                <w14:textFill>
                  <w14:solidFill>
                    <w14:schemeClr w14:val="tx1"/>
                  </w14:solidFill>
                </w14:textFill>
              </w:rPr>
              <w:t>噪声执行《工业企业厂界环境噪声排放标准》</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GB12348-2008</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中的2类标准</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靠近公路一侧南厂界执行</w:t>
            </w:r>
            <w:r>
              <w:rPr>
                <w:rFonts w:hint="default"/>
                <w:color w:val="000000" w:themeColor="text1"/>
                <w:sz w:val="21"/>
                <w:szCs w:val="21"/>
                <w:highlight w:val="none"/>
                <w14:textFill>
                  <w14:solidFill>
                    <w14:schemeClr w14:val="tx1"/>
                  </w14:solidFill>
                </w14:textFill>
              </w:rPr>
              <w:t>《工业企业厂界环境噪声排放标准》</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GB12348-2008</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中的</w:t>
            </w:r>
            <w:r>
              <w:rPr>
                <w:rFonts w:hint="eastAsia"/>
                <w:color w:val="000000" w:themeColor="text1"/>
                <w:sz w:val="21"/>
                <w:szCs w:val="21"/>
                <w:highlight w:val="none"/>
                <w:lang w:val="en-US" w:eastAsia="zh-CN"/>
                <w14:textFill>
                  <w14:solidFill>
                    <w14:schemeClr w14:val="tx1"/>
                  </w14:solidFill>
                </w14:textFill>
              </w:rPr>
              <w:t>4</w:t>
            </w:r>
            <w:r>
              <w:rPr>
                <w:rFonts w:hint="default"/>
                <w:color w:val="000000" w:themeColor="text1"/>
                <w:sz w:val="21"/>
                <w:szCs w:val="21"/>
                <w:highlight w:val="none"/>
                <w14:textFill>
                  <w14:solidFill>
                    <w14:schemeClr w14:val="tx1"/>
                  </w14:solidFill>
                </w14:textFill>
              </w:rPr>
              <w:t>类</w:t>
            </w:r>
            <w:r>
              <w:rPr>
                <w:rFonts w:hint="eastAsia"/>
                <w:color w:val="000000" w:themeColor="text1"/>
                <w:sz w:val="21"/>
                <w:szCs w:val="21"/>
                <w:highlight w:val="none"/>
                <w:lang w:val="en-US" w:eastAsia="zh-CN"/>
                <w14:textFill>
                  <w14:solidFill>
                    <w14:schemeClr w14:val="tx1"/>
                  </w14:solidFill>
                </w14:textFill>
              </w:rPr>
              <w:t>标准。</w:t>
            </w:r>
            <w:r>
              <w:rPr>
                <w:rFonts w:hint="default"/>
                <w:color w:val="000000" w:themeColor="text1"/>
                <w:sz w:val="21"/>
                <w:szCs w:val="21"/>
                <w:highlight w:val="none"/>
                <w14:textFill>
                  <w14:solidFill>
                    <w14:schemeClr w14:val="tx1"/>
                  </w14:solidFill>
                </w14:textFill>
              </w:rPr>
              <w:t>具体标准限值详见下表：</w:t>
            </w:r>
          </w:p>
          <w:p w14:paraId="3CB9F80D">
            <w:pPr>
              <w:keepNext w:val="0"/>
              <w:keepLines w:val="0"/>
              <w:pageBreakBefore w:val="0"/>
              <w:widowControl w:val="0"/>
              <w:kinsoku/>
              <w:wordWrap w:val="0"/>
              <w:overflowPunct/>
              <w:topLinePunct w:val="0"/>
              <w:autoSpaceDE/>
              <w:autoSpaceDN/>
              <w:bidi w:val="0"/>
              <w:adjustRightInd/>
              <w:snapToGrid w:val="0"/>
              <w:spacing w:line="480" w:lineRule="exact"/>
              <w:jc w:val="center"/>
              <w:textAlignment w:val="auto"/>
              <w:rPr>
                <w:rFonts w:hint="eastAsia" w:eastAsia="宋体"/>
                <w:color w:val="000000" w:themeColor="text1"/>
                <w:sz w:val="21"/>
                <w:szCs w:val="21"/>
                <w:highlight w:val="none"/>
                <w:lang w:eastAsia="zh-CN"/>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表</w:t>
            </w:r>
            <w:r>
              <w:rPr>
                <w:rFonts w:hint="eastAsia" w:ascii="Times New Roman" w:hAnsi="Times New Roman" w:cs="Times New Roman"/>
                <w:b/>
                <w:color w:val="000000" w:themeColor="text1"/>
                <w:szCs w:val="21"/>
                <w:highlight w:val="none"/>
                <w14:textFill>
                  <w14:solidFill>
                    <w14:schemeClr w14:val="tx1"/>
                  </w14:solidFill>
                </w14:textFill>
              </w:rPr>
              <w:t>3-</w:t>
            </w:r>
            <w:r>
              <w:rPr>
                <w:rFonts w:hint="eastAsia" w:ascii="Times New Roman" w:hAnsi="Times New Roman" w:cs="Times New Roman"/>
                <w:b/>
                <w:color w:val="000000" w:themeColor="text1"/>
                <w:szCs w:val="21"/>
                <w:highlight w:val="none"/>
                <w:lang w:val="en-US" w:eastAsia="zh-CN"/>
                <w14:textFill>
                  <w14:solidFill>
                    <w14:schemeClr w14:val="tx1"/>
                  </w14:solidFill>
                </w14:textFill>
              </w:rPr>
              <w:t>1</w:t>
            </w:r>
            <w:r>
              <w:rPr>
                <w:rFonts w:hint="eastAsia" w:cs="Times New Roman"/>
                <w:b/>
                <w:color w:val="000000" w:themeColor="text1"/>
                <w:szCs w:val="21"/>
                <w:highlight w:val="none"/>
                <w:lang w:val="en-US" w:eastAsia="zh-CN"/>
                <w14:textFill>
                  <w14:solidFill>
                    <w14:schemeClr w14:val="tx1"/>
                  </w14:solidFill>
                </w14:textFill>
              </w:rPr>
              <w:t>6</w:t>
            </w:r>
            <w:r>
              <w:rPr>
                <w:rFonts w:ascii="Times New Roman" w:hAnsi="Times New Roman" w:cs="Times New Roman"/>
                <w:b/>
                <w:color w:val="000000" w:themeColor="text1"/>
                <w:szCs w:val="21"/>
                <w:highlight w:val="none"/>
                <w14:textFill>
                  <w14:solidFill>
                    <w14:schemeClr w14:val="tx1"/>
                  </w14:solidFill>
                </w14:textFill>
              </w:rPr>
              <w:t xml:space="preserve"> </w:t>
            </w:r>
            <w:r>
              <w:rPr>
                <w:rFonts w:hint="eastAsia" w:ascii="Times New Roman" w:hAnsi="Times New Roman" w:cs="Times New Roman"/>
                <w:b/>
                <w:color w:val="000000" w:themeColor="text1"/>
                <w:szCs w:val="21"/>
                <w:highlight w:val="none"/>
                <w:lang w:val="en-US" w:eastAsia="zh-CN"/>
                <w14:textFill>
                  <w14:solidFill>
                    <w14:schemeClr w14:val="tx1"/>
                  </w14:solidFill>
                </w14:textFill>
              </w:rPr>
              <w:t>噪声排放标准</w:t>
            </w:r>
          </w:p>
          <w:tbl>
            <w:tblPr>
              <w:tblStyle w:val="30"/>
              <w:tblpPr w:leftFromText="180" w:rightFromText="180" w:vertAnchor="text" w:tblpXSpec="center" w:tblpY="1"/>
              <w:tblOverlap w:val="never"/>
              <w:tblW w:w="4998" w:type="pct"/>
              <w:jc w:val="center"/>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01"/>
              <w:gridCol w:w="1141"/>
              <w:gridCol w:w="3079"/>
              <w:gridCol w:w="1190"/>
              <w:gridCol w:w="1563"/>
            </w:tblGrid>
            <w:tr w14:paraId="5D0BA564">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6" w:type="pct"/>
                  <w:tcBorders>
                    <w:right w:val="single" w:color="auto" w:sz="4" w:space="0"/>
                  </w:tcBorders>
                  <w:noWrap w:val="0"/>
                  <w:vAlign w:val="center"/>
                </w:tcPr>
                <w:p w14:paraId="5B9BD996">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污染源类别</w:t>
                  </w:r>
                </w:p>
              </w:tc>
              <w:tc>
                <w:tcPr>
                  <w:tcW w:w="689" w:type="pct"/>
                  <w:noWrap w:val="0"/>
                  <w:vAlign w:val="center"/>
                </w:tcPr>
                <w:p w14:paraId="0522163B">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时期</w:t>
                  </w:r>
                </w:p>
              </w:tc>
              <w:tc>
                <w:tcPr>
                  <w:tcW w:w="1860" w:type="pct"/>
                  <w:noWrap w:val="0"/>
                  <w:vAlign w:val="center"/>
                </w:tcPr>
                <w:p w14:paraId="19C1C9E4">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标准名称</w:t>
                  </w:r>
                </w:p>
              </w:tc>
              <w:tc>
                <w:tcPr>
                  <w:tcW w:w="719" w:type="pct"/>
                  <w:noWrap w:val="0"/>
                  <w:vAlign w:val="center"/>
                </w:tcPr>
                <w:p w14:paraId="6CC1731B">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污染物</w:t>
                  </w:r>
                </w:p>
              </w:tc>
              <w:tc>
                <w:tcPr>
                  <w:tcW w:w="944" w:type="pct"/>
                  <w:noWrap w:val="0"/>
                  <w:vAlign w:val="center"/>
                </w:tcPr>
                <w:p w14:paraId="6518D22A">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标准值</w:t>
                  </w:r>
                </w:p>
              </w:tc>
            </w:tr>
            <w:tr w14:paraId="467D462B">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86" w:type="pct"/>
                  <w:vMerge w:val="restart"/>
                  <w:tcBorders>
                    <w:right w:val="single" w:color="auto" w:sz="4" w:space="0"/>
                  </w:tcBorders>
                  <w:noWrap w:val="0"/>
                  <w:vAlign w:val="center"/>
                </w:tcPr>
                <w:p w14:paraId="054C6FE2">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kern w:val="24"/>
                      <w:szCs w:val="21"/>
                      <w:highlight w:val="none"/>
                      <w14:textFill>
                        <w14:solidFill>
                          <w14:schemeClr w14:val="tx1"/>
                        </w14:solidFill>
                      </w14:textFill>
                    </w:rPr>
                    <w:t>噪声</w:t>
                  </w:r>
                </w:p>
              </w:tc>
              <w:tc>
                <w:tcPr>
                  <w:tcW w:w="689" w:type="pct"/>
                  <w:noWrap w:val="0"/>
                  <w:vAlign w:val="center"/>
                </w:tcPr>
                <w:p w14:paraId="1DDD6874">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施工期</w:t>
                  </w:r>
                </w:p>
              </w:tc>
              <w:tc>
                <w:tcPr>
                  <w:tcW w:w="1860" w:type="pct"/>
                  <w:noWrap w:val="0"/>
                  <w:vAlign w:val="center"/>
                </w:tcPr>
                <w:p w14:paraId="789FD68B">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《建筑施工场界环境噪声排放标准》（GB12523-2011）标准</w:t>
                  </w:r>
                </w:p>
              </w:tc>
              <w:tc>
                <w:tcPr>
                  <w:tcW w:w="719" w:type="pct"/>
                  <w:vMerge w:val="restart"/>
                  <w:noWrap w:val="0"/>
                  <w:vAlign w:val="center"/>
                </w:tcPr>
                <w:p w14:paraId="30AA1278">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等效连续A声级</w:t>
                  </w:r>
                </w:p>
              </w:tc>
              <w:tc>
                <w:tcPr>
                  <w:tcW w:w="944" w:type="pct"/>
                  <w:noWrap w:val="0"/>
                  <w:vAlign w:val="center"/>
                </w:tcPr>
                <w:p w14:paraId="2F68687F">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昼间≤70dB(A)</w:t>
                  </w:r>
                </w:p>
                <w:p w14:paraId="5E452F67">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b/>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夜间≤55dB(A)</w:t>
                  </w:r>
                </w:p>
              </w:tc>
            </w:tr>
            <w:tr w14:paraId="772B9AF5">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86" w:type="pct"/>
                  <w:vMerge w:val="continue"/>
                  <w:tcBorders>
                    <w:right w:val="single" w:color="auto" w:sz="4" w:space="0"/>
                  </w:tcBorders>
                  <w:noWrap w:val="0"/>
                  <w:vAlign w:val="center"/>
                </w:tcPr>
                <w:p w14:paraId="372BFD2B">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kern w:val="24"/>
                      <w:szCs w:val="21"/>
                      <w:highlight w:val="none"/>
                      <w14:textFill>
                        <w14:solidFill>
                          <w14:schemeClr w14:val="tx1"/>
                        </w14:solidFill>
                      </w14:textFill>
                    </w:rPr>
                  </w:pPr>
                </w:p>
              </w:tc>
              <w:tc>
                <w:tcPr>
                  <w:tcW w:w="689" w:type="pct"/>
                  <w:noWrap w:val="0"/>
                  <w:vAlign w:val="center"/>
                </w:tcPr>
                <w:p w14:paraId="27541867">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运营期</w:t>
                  </w: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北、西、东厂界</w:t>
                  </w:r>
                  <w:r>
                    <w:rPr>
                      <w:rFonts w:hint="eastAsia" w:cs="Times New Roman"/>
                      <w:color w:val="000000" w:themeColor="text1"/>
                      <w:szCs w:val="21"/>
                      <w:highlight w:val="none"/>
                      <w:lang w:eastAsia="zh-CN"/>
                      <w14:textFill>
                        <w14:solidFill>
                          <w14:schemeClr w14:val="tx1"/>
                        </w14:solidFill>
                      </w14:textFill>
                    </w:rPr>
                    <w:t>）</w:t>
                  </w:r>
                </w:p>
              </w:tc>
              <w:tc>
                <w:tcPr>
                  <w:tcW w:w="1860" w:type="pct"/>
                  <w:noWrap w:val="0"/>
                  <w:vAlign w:val="center"/>
                </w:tcPr>
                <w:p w14:paraId="6DA5FC90">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《工业企业厂界环境噪声排放标准》</w:t>
                  </w:r>
                  <w:r>
                    <w:rPr>
                      <w:rFonts w:hint="eastAsia"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GB12348-2008</w:t>
                  </w:r>
                  <w:r>
                    <w:rPr>
                      <w:rFonts w:hint="eastAsia"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14:textFill>
                        <w14:solidFill>
                          <w14:schemeClr w14:val="tx1"/>
                        </w14:solidFill>
                      </w14:textFill>
                    </w:rPr>
                    <w:t>2</w:t>
                  </w:r>
                  <w:r>
                    <w:rPr>
                      <w:rFonts w:ascii="Times New Roman" w:hAnsi="Times New Roman" w:cs="Times New Roman"/>
                      <w:color w:val="000000" w:themeColor="text1"/>
                      <w:szCs w:val="21"/>
                      <w:highlight w:val="none"/>
                      <w14:textFill>
                        <w14:solidFill>
                          <w14:schemeClr w14:val="tx1"/>
                        </w14:solidFill>
                      </w14:textFill>
                    </w:rPr>
                    <w:t>类标准</w:t>
                  </w:r>
                </w:p>
              </w:tc>
              <w:tc>
                <w:tcPr>
                  <w:tcW w:w="719" w:type="pct"/>
                  <w:vMerge w:val="continue"/>
                  <w:noWrap w:val="0"/>
                  <w:vAlign w:val="center"/>
                </w:tcPr>
                <w:p w14:paraId="4E2789B6">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p>
              </w:tc>
              <w:tc>
                <w:tcPr>
                  <w:tcW w:w="944" w:type="pct"/>
                  <w:noWrap w:val="0"/>
                  <w:vAlign w:val="center"/>
                </w:tcPr>
                <w:p w14:paraId="5585BF8F">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昼间≤</w:t>
                  </w:r>
                  <w:r>
                    <w:rPr>
                      <w:rFonts w:hint="eastAsia" w:ascii="Times New Roman" w:hAnsi="Times New Roman" w:cs="Times New Roman"/>
                      <w:color w:val="000000" w:themeColor="text1"/>
                      <w:szCs w:val="21"/>
                      <w:highlight w:val="none"/>
                      <w14:textFill>
                        <w14:solidFill>
                          <w14:schemeClr w14:val="tx1"/>
                        </w14:solidFill>
                      </w14:textFill>
                    </w:rPr>
                    <w:t>60</w:t>
                  </w:r>
                  <w:r>
                    <w:rPr>
                      <w:rFonts w:ascii="Times New Roman" w:hAnsi="Times New Roman" w:cs="Times New Roman"/>
                      <w:color w:val="000000" w:themeColor="text1"/>
                      <w:szCs w:val="21"/>
                      <w:highlight w:val="none"/>
                      <w14:textFill>
                        <w14:solidFill>
                          <w14:schemeClr w14:val="tx1"/>
                        </w14:solidFill>
                      </w14:textFill>
                    </w:rPr>
                    <w:t>dB(A)</w:t>
                  </w:r>
                </w:p>
                <w:p w14:paraId="6B4595C7">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夜间≤</w:t>
                  </w:r>
                  <w:r>
                    <w:rPr>
                      <w:rFonts w:hint="eastAsia" w:ascii="Times New Roman" w:hAnsi="Times New Roman" w:cs="Times New Roman"/>
                      <w:color w:val="000000" w:themeColor="text1"/>
                      <w:szCs w:val="21"/>
                      <w:highlight w:val="none"/>
                      <w14:textFill>
                        <w14:solidFill>
                          <w14:schemeClr w14:val="tx1"/>
                        </w14:solidFill>
                      </w14:textFill>
                    </w:rPr>
                    <w:t>50</w:t>
                  </w:r>
                  <w:r>
                    <w:rPr>
                      <w:rFonts w:ascii="Times New Roman" w:hAnsi="Times New Roman" w:cs="Times New Roman"/>
                      <w:color w:val="000000" w:themeColor="text1"/>
                      <w:szCs w:val="21"/>
                      <w:highlight w:val="none"/>
                      <w14:textFill>
                        <w14:solidFill>
                          <w14:schemeClr w14:val="tx1"/>
                        </w14:solidFill>
                      </w14:textFill>
                    </w:rPr>
                    <w:t>dB(A)</w:t>
                  </w:r>
                </w:p>
              </w:tc>
            </w:tr>
            <w:tr w14:paraId="0CE5A2BF">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3" w:hRule="atLeast"/>
                <w:jc w:val="center"/>
              </w:trPr>
              <w:tc>
                <w:tcPr>
                  <w:tcW w:w="786" w:type="pct"/>
                  <w:vMerge w:val="continue"/>
                  <w:tcBorders>
                    <w:right w:val="single" w:color="auto" w:sz="4" w:space="0"/>
                  </w:tcBorders>
                  <w:noWrap w:val="0"/>
                  <w:vAlign w:val="center"/>
                </w:tcPr>
                <w:p w14:paraId="47F7651A">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kern w:val="24"/>
                      <w:szCs w:val="21"/>
                      <w:highlight w:val="none"/>
                      <w14:textFill>
                        <w14:solidFill>
                          <w14:schemeClr w14:val="tx1"/>
                        </w14:solidFill>
                      </w14:textFill>
                    </w:rPr>
                  </w:pPr>
                </w:p>
              </w:tc>
              <w:tc>
                <w:tcPr>
                  <w:tcW w:w="689" w:type="pct"/>
                  <w:noWrap w:val="0"/>
                  <w:vAlign w:val="center"/>
                </w:tcPr>
                <w:p w14:paraId="55C446C2">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运营期（南厂界）</w:t>
                  </w:r>
                </w:p>
              </w:tc>
              <w:tc>
                <w:tcPr>
                  <w:tcW w:w="1860" w:type="pct"/>
                  <w:noWrap w:val="0"/>
                  <w:vAlign w:val="center"/>
                </w:tcPr>
                <w:p w14:paraId="5CDE4983">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《工业企业厂界环境噪声排放标准》</w:t>
                  </w:r>
                  <w:r>
                    <w:rPr>
                      <w:rFonts w:hint="eastAsia" w:cs="Times New Roman"/>
                      <w:color w:val="000000" w:themeColor="text1"/>
                      <w:szCs w:val="21"/>
                      <w:highlight w:val="none"/>
                      <w:lang w:eastAsia="zh-CN"/>
                      <w14:textFill>
                        <w14:solidFill>
                          <w14:schemeClr w14:val="tx1"/>
                        </w14:solidFill>
                      </w14:textFill>
                    </w:rPr>
                    <w:t>（</w:t>
                  </w:r>
                  <w:r>
                    <w:rPr>
                      <w:rFonts w:ascii="Times New Roman" w:hAnsi="Times New Roman" w:cs="Times New Roman"/>
                      <w:color w:val="000000" w:themeColor="text1"/>
                      <w:szCs w:val="21"/>
                      <w:highlight w:val="none"/>
                      <w14:textFill>
                        <w14:solidFill>
                          <w14:schemeClr w14:val="tx1"/>
                        </w14:solidFill>
                      </w14:textFill>
                    </w:rPr>
                    <w:t>GB12348-2008</w:t>
                  </w:r>
                  <w:r>
                    <w:rPr>
                      <w:rFonts w:hint="eastAsia"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4</w:t>
                  </w:r>
                  <w:r>
                    <w:rPr>
                      <w:rFonts w:ascii="Times New Roman" w:hAnsi="Times New Roman" w:cs="Times New Roman"/>
                      <w:color w:val="000000" w:themeColor="text1"/>
                      <w:szCs w:val="21"/>
                      <w:highlight w:val="none"/>
                      <w14:textFill>
                        <w14:solidFill>
                          <w14:schemeClr w14:val="tx1"/>
                        </w14:solidFill>
                      </w14:textFill>
                    </w:rPr>
                    <w:t>类标准</w:t>
                  </w:r>
                </w:p>
              </w:tc>
              <w:tc>
                <w:tcPr>
                  <w:tcW w:w="719" w:type="pct"/>
                  <w:vMerge w:val="continue"/>
                  <w:noWrap w:val="0"/>
                  <w:vAlign w:val="center"/>
                </w:tcPr>
                <w:p w14:paraId="5110D3A4">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p>
              </w:tc>
              <w:tc>
                <w:tcPr>
                  <w:tcW w:w="944" w:type="pct"/>
                  <w:noWrap w:val="0"/>
                  <w:vAlign w:val="center"/>
                </w:tcPr>
                <w:p w14:paraId="1A944C31">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昼间≤</w:t>
                  </w:r>
                  <w:r>
                    <w:rPr>
                      <w:rFonts w:hint="eastAsia" w:ascii="Times New Roman" w:hAnsi="Times New Roman" w:cs="Times New Roman"/>
                      <w:color w:val="000000" w:themeColor="text1"/>
                      <w:szCs w:val="21"/>
                      <w:highlight w:val="none"/>
                      <w:lang w:val="en-US" w:eastAsia="zh-CN"/>
                      <w14:textFill>
                        <w14:solidFill>
                          <w14:schemeClr w14:val="tx1"/>
                        </w14:solidFill>
                      </w14:textFill>
                    </w:rPr>
                    <w:t>70</w:t>
                  </w:r>
                  <w:r>
                    <w:rPr>
                      <w:rFonts w:ascii="Times New Roman" w:hAnsi="Times New Roman" w:cs="Times New Roman"/>
                      <w:color w:val="000000" w:themeColor="text1"/>
                      <w:szCs w:val="21"/>
                      <w:highlight w:val="none"/>
                      <w14:textFill>
                        <w14:solidFill>
                          <w14:schemeClr w14:val="tx1"/>
                        </w14:solidFill>
                      </w14:textFill>
                    </w:rPr>
                    <w:t>dB(A)</w:t>
                  </w:r>
                </w:p>
                <w:p w14:paraId="56114F37">
                  <w:pPr>
                    <w:keepNext w:val="0"/>
                    <w:keepLines w:val="0"/>
                    <w:pageBreakBefore w:val="0"/>
                    <w:widowControl w:val="0"/>
                    <w:kinsoku/>
                    <w:wordWrap w:val="0"/>
                    <w:overflowPunct/>
                    <w:topLinePunct/>
                    <w:autoSpaceDE/>
                    <w:autoSpaceDN/>
                    <w:bidi w:val="0"/>
                    <w:adjustRightInd w:val="0"/>
                    <w:snapToGrid/>
                    <w:spacing w:line="320" w:lineRule="atLeast"/>
                    <w:jc w:val="center"/>
                    <w:textAlignment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夜间≤</w:t>
                  </w:r>
                  <w:r>
                    <w:rPr>
                      <w:rFonts w:hint="eastAsia" w:ascii="Times New Roman" w:hAnsi="Times New Roman" w:cs="Times New Roman"/>
                      <w:color w:val="000000" w:themeColor="text1"/>
                      <w:szCs w:val="21"/>
                      <w:highlight w:val="none"/>
                      <w14:textFill>
                        <w14:solidFill>
                          <w14:schemeClr w14:val="tx1"/>
                        </w14:solidFill>
                      </w14:textFill>
                    </w:rPr>
                    <w:t>5</w:t>
                  </w:r>
                  <w:r>
                    <w:rPr>
                      <w:rFonts w:hint="eastAsia" w:ascii="Times New Roman" w:hAnsi="Times New Roman" w:cs="Times New Roman"/>
                      <w:color w:val="000000" w:themeColor="text1"/>
                      <w:szCs w:val="21"/>
                      <w:highlight w:val="none"/>
                      <w:lang w:val="en-US" w:eastAsia="zh-CN"/>
                      <w14:textFill>
                        <w14:solidFill>
                          <w14:schemeClr w14:val="tx1"/>
                        </w14:solidFill>
                      </w14:textFill>
                    </w:rPr>
                    <w:t>5</w:t>
                  </w:r>
                  <w:r>
                    <w:rPr>
                      <w:rFonts w:ascii="Times New Roman" w:hAnsi="Times New Roman" w:cs="Times New Roman"/>
                      <w:color w:val="000000" w:themeColor="text1"/>
                      <w:szCs w:val="21"/>
                      <w:highlight w:val="none"/>
                      <w14:textFill>
                        <w14:solidFill>
                          <w14:schemeClr w14:val="tx1"/>
                        </w14:solidFill>
                      </w14:textFill>
                    </w:rPr>
                    <w:t>dB(A)</w:t>
                  </w:r>
                </w:p>
              </w:tc>
            </w:tr>
          </w:tbl>
          <w:p w14:paraId="1A67C835">
            <w:pPr>
              <w:keepNext w:val="0"/>
              <w:keepLines w:val="0"/>
              <w:pageBreakBefore w:val="0"/>
              <w:widowControl w:val="0"/>
              <w:kinsoku/>
              <w:wordWrap w:val="0"/>
              <w:overflowPunct/>
              <w:topLinePunct w:val="0"/>
              <w:autoSpaceDE/>
              <w:autoSpaceDN/>
              <w:bidi w:val="0"/>
              <w:adjustRightInd/>
              <w:snapToGrid w:val="0"/>
              <w:spacing w:line="480" w:lineRule="exact"/>
              <w:ind w:firstLine="422" w:firstLineChars="200"/>
              <w:textAlignment w:val="auto"/>
              <w:rPr>
                <w:rFonts w:hint="default"/>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固体废物控制</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标准</w:t>
            </w:r>
          </w:p>
          <w:p w14:paraId="6BD867AD">
            <w:pPr>
              <w:keepNext w:val="0"/>
              <w:keepLines w:val="0"/>
              <w:pageBreakBefore w:val="0"/>
              <w:widowControl w:val="0"/>
              <w:numPr>
                <w:ilvl w:val="0"/>
                <w:numId w:val="0"/>
              </w:numPr>
              <w:kinsoku/>
              <w:wordWrap w:val="0"/>
              <w:overflowPunct/>
              <w:topLinePunct w:val="0"/>
              <w:autoSpaceDE/>
              <w:autoSpaceDN/>
              <w:bidi w:val="0"/>
              <w:adjustRightInd w:val="0"/>
              <w:snapToGrid w:val="0"/>
              <w:spacing w:line="420" w:lineRule="exact"/>
              <w:ind w:firstLine="420" w:firstLineChars="200"/>
              <w:jc w:val="left"/>
              <w:textAlignment w:val="auto"/>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一般固废执行《一般工业固体废物贮存和填埋污染控制标准》（GB 18599-2020）中的相关规定；危险废物执行《危险废物贮存污染控制标准》（GB 18597-2023）中的相关规定。</w:t>
            </w:r>
          </w:p>
        </w:tc>
      </w:tr>
      <w:tr w14:paraId="61796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2" w:type="dxa"/>
            <w:vAlign w:val="center"/>
          </w:tcPr>
          <w:p w14:paraId="1E884227">
            <w:pPr>
              <w:pageBreakBefore w:val="0"/>
              <w:kinsoku/>
              <w:wordWrap w:val="0"/>
              <w:overflowPunct/>
              <w:bidi w:val="0"/>
              <w:adjustRightInd w:val="0"/>
              <w:snapToGrid w:val="0"/>
              <w:jc w:val="center"/>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总量</w:t>
            </w:r>
          </w:p>
          <w:p w14:paraId="194F8EEE">
            <w:pPr>
              <w:pageBreakBefore w:val="0"/>
              <w:kinsoku/>
              <w:wordWrap w:val="0"/>
              <w:overflowPunct/>
              <w:bidi w:val="0"/>
              <w:adjustRightInd w:val="0"/>
              <w:snapToGrid w:val="0"/>
              <w:jc w:val="center"/>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控制</w:t>
            </w:r>
          </w:p>
          <w:p w14:paraId="25DCCDFB">
            <w:pPr>
              <w:pageBreakBefore w:val="0"/>
              <w:kinsoku/>
              <w:wordWrap w:val="0"/>
              <w:overflowPunct/>
              <w:bidi w:val="0"/>
              <w:adjustRightInd w:val="0"/>
              <w:snapToGrid w:val="0"/>
              <w:jc w:val="center"/>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指标</w:t>
            </w:r>
          </w:p>
        </w:tc>
        <w:tc>
          <w:tcPr>
            <w:tcW w:w="8489" w:type="dxa"/>
            <w:vAlign w:val="center"/>
          </w:tcPr>
          <w:p w14:paraId="1E99DDD0">
            <w:pPr>
              <w:keepNext w:val="0"/>
              <w:keepLines w:val="0"/>
              <w:pageBreakBefore w:val="0"/>
              <w:widowControl w:val="0"/>
              <w:numPr>
                <w:ilvl w:val="0"/>
                <w:numId w:val="0"/>
              </w:numPr>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企业提供资料，企业原有项目《承德路瑞公路养护工程有限公司沥青混凝土搅拌站项目环境影响报告表》已交易取得总量：二氧化硫：0.045t/a，氮氧化物：0.440t/a，总量分配文件为：围环评[2018]12号。本项目建成后，由于天然气用量未发生改变，根据计算，本项目建成后全厂总量排放指标为：二氧化硫：0.040t/a，氮氧化物：0.429t/a，本项目建成后，全厂的总量排放小于企业自身总量的拥有量，故企业无需进行总量交易购买。</w:t>
            </w:r>
          </w:p>
        </w:tc>
      </w:tr>
    </w:tbl>
    <w:p w14:paraId="6C3C2C09">
      <w:pPr>
        <w:pStyle w:val="26"/>
        <w:pageBreakBefore w:val="0"/>
        <w:kinsoku/>
        <w:wordWrap w:val="0"/>
        <w:overflowPunct/>
        <w:bidi w:val="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br w:type="page"/>
      </w:r>
      <w:r>
        <w:rPr>
          <w:rFonts w:hint="default" w:ascii="黑体" w:hAnsi="黑体" w:eastAsia="黑体" w:cs="Times New Roman"/>
          <w:snapToGrid w:val="0"/>
          <w:color w:val="000000" w:themeColor="text1"/>
          <w:sz w:val="30"/>
          <w:szCs w:val="30"/>
          <w:highlight w:val="none"/>
          <w14:textFill>
            <w14:solidFill>
              <w14:schemeClr w14:val="tx1"/>
            </w14:solidFill>
          </w14:textFill>
        </w:rPr>
        <w:t>四、主要环境影响和保护措施</w:t>
      </w:r>
    </w:p>
    <w:tbl>
      <w:tblPr>
        <w:tblStyle w:val="30"/>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9"/>
        <w:gridCol w:w="8642"/>
      </w:tblGrid>
      <w:tr w14:paraId="205CC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82" w:hRule="atLeast"/>
          <w:jc w:val="center"/>
        </w:trPr>
        <w:tc>
          <w:tcPr>
            <w:tcW w:w="339" w:type="dxa"/>
            <w:tcMar>
              <w:left w:w="28" w:type="dxa"/>
              <w:right w:w="28" w:type="dxa"/>
            </w:tcMar>
            <w:vAlign w:val="center"/>
          </w:tcPr>
          <w:p w14:paraId="004FE29D">
            <w:pPr>
              <w:pStyle w:val="26"/>
              <w:pageBreakBefore w:val="0"/>
              <w:kinsoku/>
              <w:wordWrap w:val="0"/>
              <w:overflowPunct/>
              <w:bidi w:val="0"/>
              <w:adjustRightInd w:val="0"/>
              <w:snapToGrid w:val="0"/>
              <w:spacing w:before="0" w:beforeAutospacing="0" w:after="0" w:afterAutospacing="0"/>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施工期环境保护措施</w:t>
            </w:r>
          </w:p>
        </w:tc>
        <w:tc>
          <w:tcPr>
            <w:tcW w:w="8642" w:type="dxa"/>
            <w:vAlign w:val="center"/>
          </w:tcPr>
          <w:p w14:paraId="397C3C2B">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本项目</w:t>
            </w:r>
            <w:r>
              <w:rPr>
                <w:rFonts w:hint="eastAsia" w:cs="Times New Roman"/>
                <w:b w:val="0"/>
                <w:bCs w:val="0"/>
                <w:color w:val="000000" w:themeColor="text1"/>
                <w:highlight w:val="none"/>
                <w:lang w:val="en-US" w:eastAsia="zh-CN"/>
                <w14:textFill>
                  <w14:solidFill>
                    <w14:schemeClr w14:val="tx1"/>
                  </w14:solidFill>
                </w14:textFill>
              </w:rPr>
              <w:t>位于承德路瑞公路养护工程有限公司</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，施工期主要工程为</w:t>
            </w:r>
            <w:r>
              <w:rPr>
                <w:rFonts w:hint="eastAsia" w:cs="Times New Roman"/>
                <w:b w:val="0"/>
                <w:bCs w:val="0"/>
                <w:color w:val="000000" w:themeColor="text1"/>
                <w:highlight w:val="none"/>
                <w:lang w:val="en-US" w:eastAsia="zh-CN"/>
                <w14:textFill>
                  <w14:solidFill>
                    <w14:schemeClr w14:val="tx1"/>
                  </w14:solidFill>
                </w14:textFill>
              </w:rPr>
              <w:t>设备安装</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和场地的清理等，</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工程量较小，施工期污染因素如下。</w:t>
            </w:r>
          </w:p>
          <w:p w14:paraId="2F73FD6B">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right="0"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1.施工扬尘环境保护措施</w:t>
            </w:r>
          </w:p>
          <w:p w14:paraId="3F905F2A">
            <w:pPr>
              <w:pStyle w:val="67"/>
              <w:keepNext w:val="0"/>
              <w:keepLines w:val="0"/>
              <w:pageBreakBefore w:val="0"/>
              <w:widowControl w:val="0"/>
              <w:suppressLineNumbers w:val="0"/>
              <w:kinsoku/>
              <w:wordWrap w:val="0"/>
              <w:overflowPunct/>
              <w:topLinePunct w:val="0"/>
              <w:autoSpaceDE/>
              <w:autoSpaceDN/>
              <w:bidi w:val="0"/>
              <w:adjustRightInd w:val="0"/>
              <w:spacing w:before="0" w:beforeAutospacing="0" w:after="0" w:afterAutospacing="0" w:line="480" w:lineRule="exact"/>
              <w:ind w:left="0" w:right="0" w:firstLine="420" w:firstLineChars="200"/>
              <w:outlineLvl w:val="9"/>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本项目施工期的扬尘主要为车辆运输产生的废气，</w:t>
            </w: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建设过程中严格落实《河北省扬尘污染防治办法》《河北省建筑施工扬尘防治强化措施18条》及《承德市2023年建筑施工扬尘污染防治工作方案</w:t>
            </w:r>
            <w:r>
              <w:rPr>
                <w:rFonts w:hint="eastAsia"/>
                <w:color w:val="000000" w:themeColor="text1"/>
                <w:highlight w:val="none"/>
                <w:lang w:eastAsia="zh-CN"/>
                <w14:textFill>
                  <w14:solidFill>
                    <w14:schemeClr w14:val="tx1"/>
                  </w14:solidFill>
                </w14:textFill>
              </w:rPr>
              <w:t>》</w:t>
            </w: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相关要求，主要通过采取以下措施降低扬尘产生量：</w:t>
            </w:r>
          </w:p>
          <w:p w14:paraId="7E1A6B17">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①</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建筑材料、设备的运输及建筑垃圾清运过程中，运输车辆减速慢行，运输建筑垃圾采用篷布遮盖，以避免沿途洒落，对运输道路及时进行清扫，减少运输扬尘；</w:t>
            </w:r>
          </w:p>
          <w:p w14:paraId="0707C6C0">
            <w:pPr>
              <w:pStyle w:val="67"/>
              <w:keepNext w:val="0"/>
              <w:keepLines w:val="0"/>
              <w:pageBreakBefore w:val="0"/>
              <w:widowControl w:val="0"/>
              <w:suppressLineNumbers w:val="0"/>
              <w:kinsoku/>
              <w:wordWrap w:val="0"/>
              <w:overflowPunct/>
              <w:topLinePunct w:val="0"/>
              <w:autoSpaceDE/>
              <w:autoSpaceDN/>
              <w:bidi w:val="0"/>
              <w:adjustRightInd w:val="0"/>
              <w:spacing w:before="0" w:beforeAutospacing="0" w:after="0" w:afterAutospacing="0" w:line="480" w:lineRule="exact"/>
              <w:ind w:left="0" w:right="0" w:firstLine="420" w:firstLineChars="200"/>
              <w:outlineLvl w:val="9"/>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②</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在施工现场出口处设置车辆清洗设施并配套设置排水、泥浆沉淀设施，车辆冲洗干净后方可驶出；</w:t>
            </w:r>
          </w:p>
          <w:p w14:paraId="322BE55B">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③</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对施工现场出入口、场内施工道路进行硬化处理，并保持地面整洁。</w:t>
            </w:r>
          </w:p>
          <w:p w14:paraId="4963905C">
            <w:pPr>
              <w:pStyle w:val="67"/>
              <w:keepNext w:val="0"/>
              <w:keepLines w:val="0"/>
              <w:pageBreakBefore w:val="0"/>
              <w:widowControl w:val="0"/>
              <w:suppressLineNumbers w:val="0"/>
              <w:kinsoku/>
              <w:wordWrap w:val="0"/>
              <w:overflowPunct/>
              <w:topLinePunct w:val="0"/>
              <w:autoSpaceDE/>
              <w:autoSpaceDN/>
              <w:bidi w:val="0"/>
              <w:adjustRightInd w:val="0"/>
              <w:spacing w:before="0" w:beforeAutospacing="0" w:after="0" w:afterAutospacing="0" w:line="480" w:lineRule="exact"/>
              <w:ind w:left="0" w:right="0" w:firstLine="420" w:firstLineChars="200"/>
              <w:outlineLvl w:val="9"/>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通过采取上述措施，工程施工场地下风向PM</w:t>
            </w:r>
            <w:r>
              <w:rPr>
                <w:rFonts w:hint="eastAsia" w:ascii="Times New Roman" w:hAnsi="Times New Roman" w:eastAsia="宋体" w:cs="Times New Roman"/>
                <w:b w:val="0"/>
                <w:bCs w:val="0"/>
                <w:color w:val="000000" w:themeColor="text1"/>
                <w:spacing w:val="0"/>
                <w:position w:val="0"/>
                <w:sz w:val="21"/>
                <w:szCs w:val="21"/>
                <w:highlight w:val="none"/>
                <w:vertAlign w:val="subscript"/>
                <w:lang w:val="en-US" w:eastAsia="zh-CN"/>
                <w14:textFill>
                  <w14:solidFill>
                    <w14:schemeClr w14:val="tx1"/>
                  </w14:solidFill>
                </w14:textFill>
              </w:rPr>
              <w:t>10</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贡献浓度可控制在80ug/m</w:t>
            </w:r>
            <w:r>
              <w:rPr>
                <w:rFonts w:hint="eastAsia" w:ascii="Times New Roman" w:hAnsi="Times New Roman" w:eastAsia="宋体"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以下，符合《施工场地扬尘排放标准》（DB13/2934-2019）表1扬尘排放浓度限值要求。</w:t>
            </w:r>
          </w:p>
          <w:p w14:paraId="6229A45D">
            <w:pPr>
              <w:pStyle w:val="67"/>
              <w:keepNext w:val="0"/>
              <w:keepLines w:val="0"/>
              <w:pageBreakBefore w:val="0"/>
              <w:widowControl w:val="0"/>
              <w:suppressLineNumbers w:val="0"/>
              <w:kinsoku/>
              <w:wordWrap w:val="0"/>
              <w:overflowPunct/>
              <w:topLinePunct w:val="0"/>
              <w:autoSpaceDE/>
              <w:autoSpaceDN/>
              <w:bidi w:val="0"/>
              <w:adjustRightInd w:val="0"/>
              <w:spacing w:before="0" w:beforeAutospacing="0" w:after="0" w:afterAutospacing="0" w:line="480" w:lineRule="exact"/>
              <w:ind w:left="0" w:right="0" w:firstLine="420" w:firstLineChars="200"/>
              <w:outlineLvl w:val="9"/>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综上，施工期废气可达标排放。</w:t>
            </w:r>
          </w:p>
          <w:p w14:paraId="03BE070B">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right="0" w:firstLine="422" w:firstLineChars="200"/>
              <w:jc w:val="left"/>
              <w:textAlignment w:val="auto"/>
              <w:rPr>
                <w:rFonts w:hint="eastAsia" w:ascii="Times New Roman" w:hAnsi="Times New Roman" w:eastAsia="宋体" w:cs="Times New Roman"/>
                <w:b w:val="0"/>
                <w:bCs w:val="0"/>
                <w:color w:val="000000" w:themeColor="text1"/>
                <w:spacing w:val="0"/>
                <w:kern w:val="0"/>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2.施工期废水防治措施</w:t>
            </w:r>
          </w:p>
          <w:p w14:paraId="3A47A46D">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right="0" w:firstLine="420" w:firstLineChars="200"/>
              <w:jc w:val="left"/>
              <w:textAlignment w:val="auto"/>
              <w:rPr>
                <w:rFonts w:hint="eastAsia" w:ascii="Times New Roman" w:hAnsi="Times New Roman" w:eastAsia="宋体" w:cs="Times New Roman"/>
                <w:b w:val="0"/>
                <w:bCs w:val="0"/>
                <w:color w:val="000000" w:themeColor="text1"/>
                <w:spacing w:val="0"/>
                <w:kern w:val="0"/>
                <w:positio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highlight w:val="none"/>
                <w:lang w:val="en-US" w:eastAsia="zh-CN" w:bidi="ar-SA"/>
                <w14:textFill>
                  <w14:solidFill>
                    <w14:schemeClr w14:val="tx1"/>
                  </w14:solidFill>
                </w14:textFill>
              </w:rPr>
              <w:t>本项目施工期的水污染来自施工过程产生的施工污水及建筑工人的生活污水。本项目施工量较少，施工废水产生量较少，主要污染物为悬浮物；施工人员主要来自当地，不设置施工营地，施工期生活污水属于盥洗污水，主要污染物为悬浮物。施工废水及生活污水用于施工区域洒水降尘，不会对区域水环境产生明显影响。</w:t>
            </w:r>
          </w:p>
          <w:p w14:paraId="3B4EDA94">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right="0"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3.施工期噪声防治措施</w:t>
            </w:r>
          </w:p>
          <w:p w14:paraId="54C779CA">
            <w:pPr>
              <w:pStyle w:val="67"/>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480" w:lineRule="exact"/>
              <w:ind w:left="0" w:right="0" w:firstLine="420" w:firstLineChars="200"/>
              <w:outlineLvl w:val="9"/>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施工期产生的噪声主要是设备安装和运输车辆的噪声，经过类比调查，噪声值一般在70～90dB（A）之间。为了减少施工噪声对周边居民的影响，施工过程中可采取如下控制措施：</w:t>
            </w:r>
          </w:p>
          <w:p w14:paraId="4C957E4F">
            <w:pPr>
              <w:pStyle w:val="67"/>
              <w:keepNext w:val="0"/>
              <w:keepLines w:val="0"/>
              <w:pageBreakBefore w:val="0"/>
              <w:widowControl w:val="0"/>
              <w:numPr>
                <w:ilvl w:val="0"/>
                <w:numId w:val="0"/>
              </w:numPr>
              <w:suppressLineNumbers w:val="0"/>
              <w:kinsoku/>
              <w:wordWrap w:val="0"/>
              <w:overflowPunct/>
              <w:topLinePunct w:val="0"/>
              <w:autoSpaceDE/>
              <w:autoSpaceDN/>
              <w:bidi w:val="0"/>
              <w:adjustRightInd w:val="0"/>
              <w:snapToGrid/>
              <w:spacing w:before="0" w:beforeAutospacing="0" w:after="0" w:afterAutospacing="0" w:line="480" w:lineRule="exact"/>
              <w:ind w:left="0" w:leftChars="0" w:right="0" w:rightChars="0" w:firstLine="420" w:firstLineChars="200"/>
              <w:outlineLvl w:val="9"/>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highlight w:val="none"/>
                <w:lang w:val="en-US" w:eastAsia="zh-CN" w:bidi="ar-SA"/>
                <w14:textFill>
                  <w14:solidFill>
                    <w14:schemeClr w14:val="tx1"/>
                  </w14:solidFill>
                </w14:textFill>
              </w:rPr>
              <w:t>（1）</w:t>
            </w: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施工期间选用产生噪声值较低的施工设备，从源头削减噪声；</w:t>
            </w:r>
          </w:p>
          <w:p w14:paraId="28F1B3AD">
            <w:pPr>
              <w:pStyle w:val="67"/>
              <w:keepNext w:val="0"/>
              <w:keepLines w:val="0"/>
              <w:pageBreakBefore w:val="0"/>
              <w:widowControl w:val="0"/>
              <w:numPr>
                <w:ilvl w:val="0"/>
                <w:numId w:val="0"/>
              </w:numPr>
              <w:suppressLineNumbers w:val="0"/>
              <w:kinsoku/>
              <w:wordWrap w:val="0"/>
              <w:overflowPunct/>
              <w:topLinePunct w:val="0"/>
              <w:autoSpaceDE/>
              <w:autoSpaceDN/>
              <w:bidi w:val="0"/>
              <w:adjustRightInd w:val="0"/>
              <w:snapToGrid/>
              <w:spacing w:before="0" w:beforeAutospacing="0" w:after="0" w:afterAutospacing="0" w:line="480" w:lineRule="exact"/>
              <w:ind w:left="0" w:leftChars="0" w:right="0" w:rightChars="0" w:firstLine="420" w:firstLineChars="200"/>
              <w:outlineLvl w:val="9"/>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lang w:val="en-US" w:eastAsia="zh-CN" w:bidi="ar-SA"/>
                <w14:textFill>
                  <w14:solidFill>
                    <w14:schemeClr w14:val="tx1"/>
                  </w14:solidFill>
                </w14:textFill>
              </w:rPr>
              <w:t>（2）</w:t>
            </w:r>
            <w:r>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施工现场不得安装混凝土搅拌机，应在有关部门指定地点搅拌好后，运至工地使用，运输车辆通过要减速慢行以减低噪声；</w:t>
            </w:r>
          </w:p>
          <w:p w14:paraId="29DFC180">
            <w:pPr>
              <w:pStyle w:val="67"/>
              <w:keepNext w:val="0"/>
              <w:keepLines w:val="0"/>
              <w:pageBreakBefore w:val="0"/>
              <w:widowControl w:val="0"/>
              <w:numPr>
                <w:ilvl w:val="0"/>
                <w:numId w:val="0"/>
              </w:numPr>
              <w:suppressLineNumbers w:val="0"/>
              <w:kinsoku/>
              <w:wordWrap w:val="0"/>
              <w:overflowPunct/>
              <w:topLinePunct w:val="0"/>
              <w:autoSpaceDE/>
              <w:autoSpaceDN/>
              <w:bidi w:val="0"/>
              <w:adjustRightInd w:val="0"/>
              <w:snapToGrid/>
              <w:spacing w:before="0" w:beforeAutospacing="0" w:after="0" w:afterAutospacing="0" w:line="480" w:lineRule="exact"/>
              <w:ind w:left="0" w:leftChars="0" w:right="0" w:rightChars="0" w:firstLine="420" w:firstLineChars="200"/>
              <w:outlineLvl w:val="9"/>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lang w:val="en-US" w:eastAsia="zh-CN" w:bidi="ar-SA"/>
                <w14:textFill>
                  <w14:solidFill>
                    <w14:schemeClr w14:val="tx1"/>
                  </w14:solidFill>
                </w14:textFill>
              </w:rPr>
              <w:t>（3）</w:t>
            </w:r>
            <w:r>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合理制定施工计划，一定要严格控制和管理产生噪声的设备的使用时间，尽可能避免在同一区段安排大量强噪声设备同时施工</w:t>
            </w: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w:t>
            </w:r>
          </w:p>
          <w:p w14:paraId="4D52A420">
            <w:pPr>
              <w:pStyle w:val="67"/>
              <w:keepNext w:val="0"/>
              <w:keepLines w:val="0"/>
              <w:pageBreakBefore w:val="0"/>
              <w:widowControl w:val="0"/>
              <w:numPr>
                <w:ilvl w:val="0"/>
                <w:numId w:val="0"/>
              </w:numPr>
              <w:suppressLineNumbers w:val="0"/>
              <w:kinsoku/>
              <w:wordWrap w:val="0"/>
              <w:overflowPunct/>
              <w:topLinePunct w:val="0"/>
              <w:autoSpaceDE/>
              <w:autoSpaceDN/>
              <w:bidi w:val="0"/>
              <w:adjustRightInd w:val="0"/>
              <w:snapToGrid/>
              <w:spacing w:before="0" w:beforeAutospacing="0" w:after="0" w:afterAutospacing="0" w:line="480" w:lineRule="exact"/>
              <w:ind w:left="0" w:leftChars="0" w:right="0" w:rightChars="0" w:firstLine="420" w:firstLineChars="200"/>
              <w:outlineLvl w:val="9"/>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lang w:val="en-US" w:eastAsia="zh-CN" w:bidi="ar-SA"/>
                <w14:textFill>
                  <w14:solidFill>
                    <w14:schemeClr w14:val="tx1"/>
                  </w14:solidFill>
                </w14:textFill>
              </w:rPr>
              <w:t>（4）</w:t>
            </w:r>
            <w:r>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施工期间严格控制施工时间，若必须连续施工作业时，须提前向有关部门提出申请，并应提前张贴公告通知周边可能受到影响的居民及单位，经批准后，方可进行夜间施工；</w:t>
            </w:r>
          </w:p>
          <w:p w14:paraId="04A2A0F1">
            <w:pPr>
              <w:pStyle w:val="67"/>
              <w:keepNext w:val="0"/>
              <w:keepLines w:val="0"/>
              <w:pageBreakBefore w:val="0"/>
              <w:widowControl w:val="0"/>
              <w:numPr>
                <w:ilvl w:val="0"/>
                <w:numId w:val="0"/>
              </w:numPr>
              <w:suppressLineNumbers w:val="0"/>
              <w:kinsoku/>
              <w:wordWrap w:val="0"/>
              <w:overflowPunct/>
              <w:topLinePunct w:val="0"/>
              <w:autoSpaceDE/>
              <w:autoSpaceDN/>
              <w:bidi w:val="0"/>
              <w:adjustRightInd w:val="0"/>
              <w:snapToGrid/>
              <w:spacing w:before="0" w:beforeAutospacing="0" w:after="0" w:afterAutospacing="0" w:line="480" w:lineRule="exact"/>
              <w:ind w:left="0" w:leftChars="0" w:right="0" w:rightChars="0" w:firstLine="420" w:firstLineChars="200"/>
              <w:outlineLvl w:val="9"/>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kern w:val="0"/>
                <w:position w:val="0"/>
                <w:sz w:val="21"/>
                <w:szCs w:val="21"/>
                <w:highlight w:val="none"/>
                <w:lang w:val="en-US" w:eastAsia="zh-CN" w:bidi="ar-SA"/>
                <w14:textFill>
                  <w14:solidFill>
                    <w14:schemeClr w14:val="tx1"/>
                  </w14:solidFill>
                </w14:textFill>
              </w:rPr>
              <w:t>（5）</w:t>
            </w:r>
            <w:r>
              <w:rPr>
                <w:rFonts w:hint="default"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加强施工期管理，施工单位设专人负责施工机械的保养和维护，保养和维护要有切实可行的规章制度，要定期对现场工作人员进行培训，每个工人都要严格按照规范使用各类机械，避免因故障产生突发噪声。</w:t>
            </w:r>
          </w:p>
          <w:p w14:paraId="0F27C5F5">
            <w:pPr>
              <w:pStyle w:val="67"/>
              <w:keepNext w:val="0"/>
              <w:keepLines w:val="0"/>
              <w:pageBreakBefore w:val="0"/>
              <w:widowControl w:val="0"/>
              <w:suppressLineNumbers w:val="0"/>
              <w:kinsoku/>
              <w:wordWrap w:val="0"/>
              <w:overflowPunct/>
              <w:topLinePunct w:val="0"/>
              <w:autoSpaceDE/>
              <w:autoSpaceDN/>
              <w:bidi w:val="0"/>
              <w:adjustRightInd w:val="0"/>
              <w:snapToGrid/>
              <w:spacing w:before="0" w:beforeAutospacing="0" w:after="0" w:afterAutospacing="0" w:line="480" w:lineRule="exact"/>
              <w:ind w:left="0" w:right="0" w:firstLine="420" w:firstLineChars="200"/>
              <w:outlineLvl w:val="9"/>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pacing w:val="0"/>
                <w:position w:val="0"/>
                <w:sz w:val="21"/>
                <w:szCs w:val="21"/>
                <w:highlight w:val="none"/>
                <w:lang w:val="en-US" w:eastAsia="zh-CN"/>
                <w14:textFill>
                  <w14:solidFill>
                    <w14:schemeClr w14:val="tx1"/>
                  </w14:solidFill>
                </w14:textFill>
              </w:rPr>
              <w:t>经采取以上措施后，可有效减轻施工噪声对周围环境产生的影响，可使建筑施工场界噪声满足《建筑施工场界环境噪声排放标准》（GB12523-2011）的要求，且施工期噪声影响将随着施工期结束而终止。</w:t>
            </w:r>
          </w:p>
          <w:p w14:paraId="30149581">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right="0"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4.施工期固体废物防治措施</w:t>
            </w:r>
          </w:p>
          <w:p w14:paraId="5E3EE77F">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施工期的固体废弃物主要为设备安装产生的建筑垃圾和生活垃圾，建筑垃圾和生活垃圾集中收集，由当地环卫部门清运。</w:t>
            </w:r>
          </w:p>
        </w:tc>
      </w:tr>
      <w:tr w14:paraId="47C38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7" w:hRule="atLeast"/>
          <w:jc w:val="center"/>
        </w:trPr>
        <w:tc>
          <w:tcPr>
            <w:tcW w:w="339" w:type="dxa"/>
            <w:tcMar>
              <w:left w:w="28" w:type="dxa"/>
              <w:right w:w="28" w:type="dxa"/>
            </w:tcMar>
            <w:vAlign w:val="center"/>
          </w:tcPr>
          <w:p w14:paraId="6EC2EDC4">
            <w:pPr>
              <w:pageBreakBefore w:val="0"/>
              <w:kinsoku/>
              <w:wordWrap w:val="0"/>
              <w:overflowPunct/>
              <w:bidi w:val="0"/>
              <w:adjustRightInd w:val="0"/>
              <w:snapToGrid w:val="0"/>
              <w:jc w:val="center"/>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运营期环境影响和保护措施</w:t>
            </w:r>
          </w:p>
        </w:tc>
        <w:tc>
          <w:tcPr>
            <w:tcW w:w="8642" w:type="dxa"/>
          </w:tcPr>
          <w:p w14:paraId="66E1601E">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right="0"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1.废气</w:t>
            </w:r>
          </w:p>
          <w:p w14:paraId="1BDA47EC">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本项目产生的大气污染物主要是天然气燃烧器烘干铣刨沥青和原有沥青加热导热油炉产生的颗粒物、二氧化硫、氮氧化物；铣刨沥青干燥滚筒内和沥青储罐内产生的非甲烷总烃、沥青烟和苯并[a]芘；烘干砂石骨料产生的颗粒物；破碎筛分铣刨沥青产生的颗粒物；原料堆存、砂子、石子储存、装卸、装载机上料、冷料提升以及破碎筛分逸散的无组织颗粒物；搅拌器搅拌和搅拌楼卸料产生的非甲烷总烃、沥青烟和苯并[a]芘；锅炉加热产生的颗粒物、二氧化硫和氮氧化物。</w:t>
            </w:r>
          </w:p>
          <w:p w14:paraId="433C20F9">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p>
          <w:p w14:paraId="6A922A6D">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p>
          <w:p w14:paraId="543FD029">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p>
          <w:p w14:paraId="0A29927B">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p>
          <w:p w14:paraId="6E0BFD86">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default"/>
                <w:color w:val="000000" w:themeColor="text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表4-1 各工序污染物产生和排放情况一览表</w:t>
            </w:r>
          </w:p>
          <w:tbl>
            <w:tblPr>
              <w:tblStyle w:val="31"/>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1010"/>
              <w:gridCol w:w="254"/>
              <w:gridCol w:w="351"/>
              <w:gridCol w:w="366"/>
              <w:gridCol w:w="439"/>
              <w:gridCol w:w="498"/>
              <w:gridCol w:w="427"/>
              <w:gridCol w:w="498"/>
              <w:gridCol w:w="439"/>
              <w:gridCol w:w="338"/>
              <w:gridCol w:w="439"/>
              <w:gridCol w:w="351"/>
              <w:gridCol w:w="514"/>
              <w:gridCol w:w="463"/>
              <w:gridCol w:w="395"/>
              <w:gridCol w:w="587"/>
              <w:gridCol w:w="653"/>
            </w:tblGrid>
            <w:tr w14:paraId="0552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atLeast"/>
                <w:jc w:val="center"/>
              </w:trPr>
              <w:tc>
                <w:tcPr>
                  <w:tcW w:w="1427" w:type="dxa"/>
                  <w:gridSpan w:val="2"/>
                  <w:noWrap w:val="0"/>
                  <w:vAlign w:val="center"/>
                </w:tcPr>
                <w:p w14:paraId="060149C0">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排放形式</w:t>
                  </w:r>
                </w:p>
              </w:tc>
              <w:tc>
                <w:tcPr>
                  <w:tcW w:w="7012" w:type="dxa"/>
                  <w:gridSpan w:val="16"/>
                  <w:noWrap w:val="0"/>
                  <w:vAlign w:val="center"/>
                </w:tcPr>
                <w:p w14:paraId="1DEA8B1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有组织</w:t>
                  </w:r>
                </w:p>
              </w:tc>
            </w:tr>
            <w:tr w14:paraId="2F72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427" w:type="dxa"/>
                  <w:gridSpan w:val="2"/>
                  <w:noWrap w:val="0"/>
                  <w:vAlign w:val="center"/>
                </w:tcPr>
                <w:p w14:paraId="303E6E1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产排污设施</w:t>
                  </w:r>
                </w:p>
              </w:tc>
              <w:tc>
                <w:tcPr>
                  <w:tcW w:w="2335" w:type="dxa"/>
                  <w:gridSpan w:val="6"/>
                  <w:noWrap w:val="0"/>
                  <w:vAlign w:val="center"/>
                </w:tcPr>
                <w:p w14:paraId="709BB789">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干燥滚筒</w:t>
                  </w:r>
                </w:p>
              </w:tc>
              <w:tc>
                <w:tcPr>
                  <w:tcW w:w="1275" w:type="dxa"/>
                  <w:gridSpan w:val="3"/>
                  <w:noWrap w:val="0"/>
                  <w:vAlign w:val="center"/>
                </w:tcPr>
                <w:p w14:paraId="79EBB498">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干燥滚筒</w:t>
                  </w:r>
                </w:p>
              </w:tc>
              <w:tc>
                <w:tcPr>
                  <w:tcW w:w="1304" w:type="dxa"/>
                  <w:gridSpan w:val="3"/>
                  <w:noWrap w:val="0"/>
                  <w:vAlign w:val="center"/>
                </w:tcPr>
                <w:p w14:paraId="29E0D2FA">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沥青罐</w:t>
                  </w:r>
                </w:p>
              </w:tc>
              <w:tc>
                <w:tcPr>
                  <w:tcW w:w="1445" w:type="dxa"/>
                  <w:gridSpan w:val="3"/>
                  <w:noWrap w:val="0"/>
                  <w:vAlign w:val="center"/>
                </w:tcPr>
                <w:p w14:paraId="5BCB3280">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搅拌器和搅拌楼</w:t>
                  </w:r>
                </w:p>
              </w:tc>
              <w:tc>
                <w:tcPr>
                  <w:tcW w:w="653" w:type="dxa"/>
                  <w:noWrap w:val="0"/>
                  <w:vAlign w:val="center"/>
                </w:tcPr>
                <w:p w14:paraId="663EF265">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筒仓</w:t>
                  </w:r>
                </w:p>
              </w:tc>
            </w:tr>
            <w:tr w14:paraId="5A5C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427" w:type="dxa"/>
                  <w:gridSpan w:val="2"/>
                  <w:noWrap w:val="0"/>
                  <w:vAlign w:val="center"/>
                </w:tcPr>
                <w:p w14:paraId="4B9A86A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产排污环节</w:t>
                  </w:r>
                </w:p>
              </w:tc>
              <w:tc>
                <w:tcPr>
                  <w:tcW w:w="2335" w:type="dxa"/>
                  <w:gridSpan w:val="6"/>
                  <w:noWrap w:val="0"/>
                  <w:vAlign w:val="center"/>
                </w:tcPr>
                <w:p w14:paraId="68FF40C6">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铣刨沥青烘干</w:t>
                  </w:r>
                </w:p>
              </w:tc>
              <w:tc>
                <w:tcPr>
                  <w:tcW w:w="1275" w:type="dxa"/>
                  <w:gridSpan w:val="3"/>
                  <w:noWrap w:val="0"/>
                  <w:vAlign w:val="center"/>
                </w:tcPr>
                <w:p w14:paraId="59D8BB0B">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原有砂石骨料烘干</w:t>
                  </w:r>
                </w:p>
              </w:tc>
              <w:tc>
                <w:tcPr>
                  <w:tcW w:w="1304" w:type="dxa"/>
                  <w:gridSpan w:val="3"/>
                  <w:noWrap w:val="0"/>
                  <w:vAlign w:val="center"/>
                </w:tcPr>
                <w:p w14:paraId="1E4D0B1A">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原有沥青烟加热</w:t>
                  </w:r>
                </w:p>
              </w:tc>
              <w:tc>
                <w:tcPr>
                  <w:tcW w:w="1445" w:type="dxa"/>
                  <w:gridSpan w:val="3"/>
                  <w:noWrap w:val="0"/>
                  <w:vAlign w:val="center"/>
                </w:tcPr>
                <w:p w14:paraId="33EBE6FA">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搅拌器搅拌和搅拌楼卸料</w:t>
                  </w:r>
                </w:p>
              </w:tc>
              <w:tc>
                <w:tcPr>
                  <w:tcW w:w="653" w:type="dxa"/>
                  <w:noWrap w:val="0"/>
                  <w:vAlign w:val="center"/>
                </w:tcPr>
                <w:p w14:paraId="1F0C2DCB">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筒仓上料</w:t>
                  </w:r>
                </w:p>
              </w:tc>
            </w:tr>
            <w:tr w14:paraId="2478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1427" w:type="dxa"/>
                  <w:gridSpan w:val="2"/>
                  <w:noWrap w:val="0"/>
                  <w:vAlign w:val="center"/>
                </w:tcPr>
                <w:p w14:paraId="0F91F6CC">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污染物种类</w:t>
                  </w:r>
                </w:p>
              </w:tc>
              <w:tc>
                <w:tcPr>
                  <w:tcW w:w="254" w:type="dxa"/>
                  <w:noWrap w:val="0"/>
                  <w:vAlign w:val="center"/>
                </w:tcPr>
                <w:p w14:paraId="569DAA53">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颗粒物</w:t>
                  </w:r>
                </w:p>
              </w:tc>
              <w:tc>
                <w:tcPr>
                  <w:tcW w:w="351" w:type="dxa"/>
                  <w:noWrap w:val="0"/>
                  <w:vAlign w:val="center"/>
                </w:tcPr>
                <w:p w14:paraId="63114110">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二氧化硫</w:t>
                  </w:r>
                </w:p>
              </w:tc>
              <w:tc>
                <w:tcPr>
                  <w:tcW w:w="366" w:type="dxa"/>
                  <w:noWrap w:val="0"/>
                  <w:vAlign w:val="center"/>
                </w:tcPr>
                <w:p w14:paraId="5911B3F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氮氧化物</w:t>
                  </w:r>
                </w:p>
              </w:tc>
              <w:tc>
                <w:tcPr>
                  <w:tcW w:w="439" w:type="dxa"/>
                  <w:noWrap w:val="0"/>
                  <w:vAlign w:val="center"/>
                </w:tcPr>
                <w:p w14:paraId="63172FB4">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非甲烷总烃</w:t>
                  </w:r>
                </w:p>
              </w:tc>
              <w:tc>
                <w:tcPr>
                  <w:tcW w:w="498" w:type="dxa"/>
                  <w:noWrap w:val="0"/>
                  <w:vAlign w:val="center"/>
                </w:tcPr>
                <w:p w14:paraId="4552C7F2">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沥青烟</w:t>
                  </w:r>
                </w:p>
              </w:tc>
              <w:tc>
                <w:tcPr>
                  <w:tcW w:w="427" w:type="dxa"/>
                  <w:noWrap w:val="0"/>
                  <w:vAlign w:val="center"/>
                </w:tcPr>
                <w:p w14:paraId="0C68E43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苯并[a]芘</w:t>
                  </w:r>
                </w:p>
              </w:tc>
              <w:tc>
                <w:tcPr>
                  <w:tcW w:w="498" w:type="dxa"/>
                  <w:noWrap w:val="0"/>
                  <w:vAlign w:val="center"/>
                </w:tcPr>
                <w:p w14:paraId="46C0684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颗粒物</w:t>
                  </w:r>
                </w:p>
              </w:tc>
              <w:tc>
                <w:tcPr>
                  <w:tcW w:w="439" w:type="dxa"/>
                  <w:noWrap w:val="0"/>
                  <w:vAlign w:val="center"/>
                </w:tcPr>
                <w:p w14:paraId="2D1489FD">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二氧化硫</w:t>
                  </w:r>
                </w:p>
              </w:tc>
              <w:tc>
                <w:tcPr>
                  <w:tcW w:w="338" w:type="dxa"/>
                  <w:noWrap w:val="0"/>
                  <w:vAlign w:val="center"/>
                </w:tcPr>
                <w:p w14:paraId="54821A45">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氮氧化物</w:t>
                  </w:r>
                </w:p>
              </w:tc>
              <w:tc>
                <w:tcPr>
                  <w:tcW w:w="439" w:type="dxa"/>
                  <w:noWrap w:val="0"/>
                  <w:vAlign w:val="center"/>
                </w:tcPr>
                <w:p w14:paraId="653A944B">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非甲烷总烃</w:t>
                  </w:r>
                </w:p>
              </w:tc>
              <w:tc>
                <w:tcPr>
                  <w:tcW w:w="351" w:type="dxa"/>
                  <w:noWrap w:val="0"/>
                  <w:vAlign w:val="center"/>
                </w:tcPr>
                <w:p w14:paraId="1056BF56">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沥青烟</w:t>
                  </w:r>
                </w:p>
              </w:tc>
              <w:tc>
                <w:tcPr>
                  <w:tcW w:w="514" w:type="dxa"/>
                  <w:noWrap w:val="0"/>
                  <w:vAlign w:val="center"/>
                </w:tcPr>
                <w:p w14:paraId="6DC7AA44">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苯并[a]芘</w:t>
                  </w:r>
                </w:p>
              </w:tc>
              <w:tc>
                <w:tcPr>
                  <w:tcW w:w="463" w:type="dxa"/>
                  <w:noWrap w:val="0"/>
                  <w:vAlign w:val="center"/>
                </w:tcPr>
                <w:p w14:paraId="59E2714A">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非甲烷总烃</w:t>
                  </w:r>
                </w:p>
              </w:tc>
              <w:tc>
                <w:tcPr>
                  <w:tcW w:w="395" w:type="dxa"/>
                  <w:noWrap w:val="0"/>
                  <w:vAlign w:val="center"/>
                </w:tcPr>
                <w:p w14:paraId="0B9D9FA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沥青烟</w:t>
                  </w:r>
                </w:p>
              </w:tc>
              <w:tc>
                <w:tcPr>
                  <w:tcW w:w="587" w:type="dxa"/>
                  <w:noWrap w:val="0"/>
                  <w:vAlign w:val="center"/>
                </w:tcPr>
                <w:p w14:paraId="09857DE3">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苯并[a]芘</w:t>
                  </w:r>
                </w:p>
              </w:tc>
              <w:tc>
                <w:tcPr>
                  <w:tcW w:w="653" w:type="dxa"/>
                  <w:noWrap w:val="0"/>
                  <w:vAlign w:val="center"/>
                </w:tcPr>
                <w:p w14:paraId="22AB19F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颗粒物</w:t>
                  </w:r>
                </w:p>
              </w:tc>
            </w:tr>
            <w:tr w14:paraId="1492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1427" w:type="dxa"/>
                  <w:gridSpan w:val="2"/>
                  <w:noWrap w:val="0"/>
                  <w:vAlign w:val="center"/>
                </w:tcPr>
                <w:p w14:paraId="5EF8C7F6">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污染物产生量</w:t>
                  </w:r>
                  <w:r>
                    <w:rPr>
                      <w:rFonts w:hint="default" w:ascii="Times New Roman" w:hAnsi="Times New Roman" w:cs="Times New Roman" w:eastAsiaTheme="minorEastAsia"/>
                      <w:b/>
                      <w:bCs/>
                      <w:i w:val="0"/>
                      <w:i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bCs/>
                      <w:i w:val="0"/>
                      <w:iCs w:val="0"/>
                      <w:color w:val="000000" w:themeColor="text1"/>
                      <w:sz w:val="21"/>
                      <w:szCs w:val="21"/>
                      <w:highlight w:val="none"/>
                      <w:lang w:val="en-US" w:eastAsia="zh-CN"/>
                      <w14:textFill>
                        <w14:solidFill>
                          <w14:schemeClr w14:val="tx1"/>
                        </w14:solidFill>
                      </w14:textFill>
                    </w:rPr>
                    <w:t>t/a</w:t>
                  </w:r>
                  <w:r>
                    <w:rPr>
                      <w:rFonts w:hint="default" w:ascii="Times New Roman" w:hAnsi="Times New Roman" w:cs="Times New Roman" w:eastAsiaTheme="minorEastAsia"/>
                      <w:b/>
                      <w:bCs/>
                      <w:i w:val="0"/>
                      <w:iCs w:val="0"/>
                      <w:color w:val="000000" w:themeColor="text1"/>
                      <w:sz w:val="21"/>
                      <w:szCs w:val="21"/>
                      <w:highlight w:val="none"/>
                      <w:lang w:eastAsia="zh-CN"/>
                      <w14:textFill>
                        <w14:solidFill>
                          <w14:schemeClr w14:val="tx1"/>
                        </w14:solidFill>
                      </w14:textFill>
                    </w:rPr>
                    <w:t>）</w:t>
                  </w:r>
                </w:p>
              </w:tc>
              <w:tc>
                <w:tcPr>
                  <w:tcW w:w="254" w:type="dxa"/>
                  <w:noWrap w:val="0"/>
                  <w:vAlign w:val="center"/>
                </w:tcPr>
                <w:p w14:paraId="71237585">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100</w:t>
                  </w:r>
                  <w:r>
                    <w:rPr>
                      <w:rFonts w:hint="eastAsia"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.006</w:t>
                  </w:r>
                </w:p>
              </w:tc>
              <w:tc>
                <w:tcPr>
                  <w:tcW w:w="351" w:type="dxa"/>
                  <w:noWrap w:val="0"/>
                  <w:vAlign w:val="center"/>
                </w:tcPr>
                <w:p w14:paraId="7D59472F">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0.014</w:t>
                  </w:r>
                </w:p>
              </w:tc>
              <w:tc>
                <w:tcPr>
                  <w:tcW w:w="366" w:type="dxa"/>
                  <w:noWrap w:val="0"/>
                  <w:vAlign w:val="center"/>
                </w:tcPr>
                <w:p w14:paraId="7EB0A1B9">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0.222</w:t>
                  </w:r>
                </w:p>
              </w:tc>
              <w:tc>
                <w:tcPr>
                  <w:tcW w:w="439" w:type="dxa"/>
                  <w:noWrap w:val="0"/>
                  <w:vAlign w:val="center"/>
                </w:tcPr>
                <w:p w14:paraId="57C63DD2">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w:t>
                  </w:r>
                  <w:r>
                    <w:rPr>
                      <w:rFonts w:hint="eastAsia"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002</w:t>
                  </w:r>
                </w:p>
              </w:tc>
              <w:tc>
                <w:tcPr>
                  <w:tcW w:w="498" w:type="dxa"/>
                  <w:noWrap w:val="0"/>
                  <w:vAlign w:val="center"/>
                </w:tcPr>
                <w:p w14:paraId="7C46304D">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0.045</w:t>
                  </w:r>
                </w:p>
              </w:tc>
              <w:tc>
                <w:tcPr>
                  <w:tcW w:w="427" w:type="dxa"/>
                  <w:noWrap w:val="0"/>
                  <w:vAlign w:val="center"/>
                </w:tcPr>
                <w:p w14:paraId="3B7AE00F">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4.8×10</w:t>
                  </w:r>
                  <w:r>
                    <w:rPr>
                      <w:rFonts w:hint="default" w:ascii="Times New Roman" w:hAnsi="Times New Roman" w:cs="Times New Roman" w:eastAsiaTheme="minorEastAsia"/>
                      <w:b w:val="0"/>
                      <w:bCs w:val="0"/>
                      <w:color w:val="000000" w:themeColor="text1"/>
                      <w:spacing w:val="0"/>
                      <w:kern w:val="2"/>
                      <w:sz w:val="21"/>
                      <w:szCs w:val="21"/>
                      <w:highlight w:val="none"/>
                      <w:vertAlign w:val="superscript"/>
                      <w:lang w:val="en-US" w:eastAsia="zh-CN" w:bidi="ar-SA"/>
                      <w14:textFill>
                        <w14:solidFill>
                          <w14:schemeClr w14:val="tx1"/>
                        </w14:solidFill>
                      </w14:textFill>
                    </w:rPr>
                    <w:t>-6</w:t>
                  </w:r>
                </w:p>
              </w:tc>
              <w:tc>
                <w:tcPr>
                  <w:tcW w:w="498" w:type="dxa"/>
                  <w:noWrap w:val="0"/>
                  <w:vAlign w:val="center"/>
                </w:tcPr>
                <w:p w14:paraId="2B16CDB3">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t>135</w:t>
                  </w:r>
                  <w:r>
                    <w:rPr>
                      <w:rFonts w:hint="eastAsia"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t>.005</w:t>
                  </w:r>
                </w:p>
              </w:tc>
              <w:tc>
                <w:tcPr>
                  <w:tcW w:w="439" w:type="dxa"/>
                  <w:noWrap w:val="0"/>
                  <w:vAlign w:val="center"/>
                </w:tcPr>
                <w:p w14:paraId="31DD5CAC">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0.012</w:t>
                  </w:r>
                </w:p>
              </w:tc>
              <w:tc>
                <w:tcPr>
                  <w:tcW w:w="338" w:type="dxa"/>
                  <w:noWrap w:val="0"/>
                  <w:vAlign w:val="center"/>
                </w:tcPr>
                <w:p w14:paraId="1D4B2BFD">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0.190</w:t>
                  </w:r>
                </w:p>
              </w:tc>
              <w:tc>
                <w:tcPr>
                  <w:tcW w:w="439" w:type="dxa"/>
                  <w:noWrap w:val="0"/>
                  <w:vAlign w:val="center"/>
                </w:tcPr>
                <w:p w14:paraId="174524BF">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t>0.00</w:t>
                  </w:r>
                  <w:r>
                    <w:rPr>
                      <w:rFonts w:hint="eastAsia"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t>6</w:t>
                  </w:r>
                </w:p>
              </w:tc>
              <w:tc>
                <w:tcPr>
                  <w:tcW w:w="351" w:type="dxa"/>
                  <w:noWrap w:val="0"/>
                  <w:vAlign w:val="center"/>
                </w:tcPr>
                <w:p w14:paraId="222BE722">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t>0.110</w:t>
                  </w:r>
                </w:p>
              </w:tc>
              <w:tc>
                <w:tcPr>
                  <w:tcW w:w="514" w:type="dxa"/>
                  <w:noWrap w:val="0"/>
                  <w:vAlign w:val="center"/>
                </w:tcPr>
                <w:p w14:paraId="3A49582F">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1.17×</w:t>
                  </w:r>
                </w:p>
                <w:p w14:paraId="6E7FCB21">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cs="Times New Roman" w:eastAsiaTheme="minorEastAsia"/>
                      <w:b w:val="0"/>
                      <w:bCs w:val="0"/>
                      <w:color w:val="000000" w:themeColor="text1"/>
                      <w:spacing w:val="0"/>
                      <w:kern w:val="2"/>
                      <w:sz w:val="21"/>
                      <w:szCs w:val="21"/>
                      <w:highlight w:val="none"/>
                      <w:vertAlign w:val="superscript"/>
                      <w:lang w:val="en-US" w:eastAsia="zh-CN" w:bidi="ar-SA"/>
                      <w14:textFill>
                        <w14:solidFill>
                          <w14:schemeClr w14:val="tx1"/>
                        </w14:solidFill>
                      </w14:textFill>
                    </w:rPr>
                    <w:t>-5</w:t>
                  </w:r>
                </w:p>
              </w:tc>
              <w:tc>
                <w:tcPr>
                  <w:tcW w:w="463" w:type="dxa"/>
                  <w:noWrap w:val="0"/>
                  <w:vAlign w:val="center"/>
                </w:tcPr>
                <w:p w14:paraId="6B99EA98">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position w:val="0"/>
                      <w:sz w:val="21"/>
                      <w:szCs w:val="21"/>
                      <w:highlight w:val="none"/>
                      <w:vertAlign w:val="baseline"/>
                      <w:lang w:val="en-US" w:eastAsia="zh-CN"/>
                      <w14:textFill>
                        <w14:solidFill>
                          <w14:schemeClr w14:val="tx1"/>
                        </w14:solidFill>
                      </w14:textFill>
                    </w:rPr>
                    <w:t>0.011</w:t>
                  </w:r>
                </w:p>
              </w:tc>
              <w:tc>
                <w:tcPr>
                  <w:tcW w:w="395" w:type="dxa"/>
                  <w:noWrap w:val="0"/>
                  <w:vAlign w:val="center"/>
                </w:tcPr>
                <w:p w14:paraId="352169E6">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0.244</w:t>
                  </w:r>
                </w:p>
              </w:tc>
              <w:tc>
                <w:tcPr>
                  <w:tcW w:w="587" w:type="dxa"/>
                  <w:noWrap w:val="0"/>
                  <w:vAlign w:val="center"/>
                </w:tcPr>
                <w:p w14:paraId="5F87FF72">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2.607×10</w:t>
                  </w:r>
                  <w:r>
                    <w:rPr>
                      <w:rFonts w:hint="default" w:ascii="Times New Roman" w:hAnsi="Times New Roman" w:cs="Times New Roman" w:eastAsiaTheme="minorEastAsia"/>
                      <w:b w:val="0"/>
                      <w:bCs w:val="0"/>
                      <w:color w:val="000000" w:themeColor="text1"/>
                      <w:spacing w:val="0"/>
                      <w:kern w:val="2"/>
                      <w:sz w:val="21"/>
                      <w:szCs w:val="21"/>
                      <w:highlight w:val="none"/>
                      <w:vertAlign w:val="superscript"/>
                      <w:lang w:val="en-US" w:eastAsia="zh-CN" w:bidi="ar-SA"/>
                      <w14:textFill>
                        <w14:solidFill>
                          <w14:schemeClr w14:val="tx1"/>
                        </w14:solidFill>
                      </w14:textFill>
                    </w:rPr>
                    <w:t>-5</w:t>
                  </w:r>
                </w:p>
              </w:tc>
              <w:tc>
                <w:tcPr>
                  <w:tcW w:w="653" w:type="dxa"/>
                  <w:noWrap w:val="0"/>
                  <w:vAlign w:val="center"/>
                </w:tcPr>
                <w:p w14:paraId="7FCA0FA0">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2.299</w:t>
                  </w:r>
                </w:p>
              </w:tc>
            </w:tr>
            <w:tr w14:paraId="4C5D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1427" w:type="dxa"/>
                  <w:gridSpan w:val="2"/>
                  <w:noWrap w:val="0"/>
                  <w:vAlign w:val="center"/>
                </w:tcPr>
                <w:p w14:paraId="22BFD948">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污染物产生</w:t>
                  </w:r>
                  <w:r>
                    <w:rPr>
                      <w:rFonts w:hint="default" w:ascii="Times New Roman" w:hAnsi="Times New Roman" w:cs="Times New Roman" w:eastAsiaTheme="minorEastAsia"/>
                      <w:b/>
                      <w:bCs/>
                      <w:i w:val="0"/>
                      <w:iCs w:val="0"/>
                      <w:color w:val="000000" w:themeColor="text1"/>
                      <w:sz w:val="21"/>
                      <w:szCs w:val="21"/>
                      <w:highlight w:val="none"/>
                      <w:lang w:val="en-US" w:eastAsia="zh-CN"/>
                      <w14:textFill>
                        <w14:solidFill>
                          <w14:schemeClr w14:val="tx1"/>
                        </w14:solidFill>
                      </w14:textFill>
                    </w:rPr>
                    <w:t>浓度（速率）（kg/h）</w:t>
                  </w:r>
                </w:p>
              </w:tc>
              <w:tc>
                <w:tcPr>
                  <w:tcW w:w="254" w:type="dxa"/>
                  <w:noWrap w:val="0"/>
                  <w:vAlign w:val="center"/>
                </w:tcPr>
                <w:p w14:paraId="51483244">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125</w:t>
                  </w:r>
                </w:p>
              </w:tc>
              <w:tc>
                <w:tcPr>
                  <w:tcW w:w="351" w:type="dxa"/>
                  <w:noWrap w:val="0"/>
                  <w:vAlign w:val="center"/>
                </w:tcPr>
                <w:p w14:paraId="165C7B1B">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0.018</w:t>
                  </w:r>
                </w:p>
              </w:tc>
              <w:tc>
                <w:tcPr>
                  <w:tcW w:w="366" w:type="dxa"/>
                  <w:noWrap w:val="0"/>
                  <w:vAlign w:val="center"/>
                </w:tcPr>
                <w:p w14:paraId="6B6BAA2F">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 xml:space="preserve">0.277 </w:t>
                  </w:r>
                </w:p>
              </w:tc>
              <w:tc>
                <w:tcPr>
                  <w:tcW w:w="439" w:type="dxa"/>
                  <w:noWrap w:val="0"/>
                  <w:vAlign w:val="center"/>
                </w:tcPr>
                <w:p w14:paraId="6CE1809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0.003</w:t>
                  </w:r>
                </w:p>
              </w:tc>
              <w:tc>
                <w:tcPr>
                  <w:tcW w:w="498" w:type="dxa"/>
                  <w:noWrap w:val="0"/>
                  <w:vAlign w:val="center"/>
                </w:tcPr>
                <w:p w14:paraId="26037970">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0.056</w:t>
                  </w:r>
                </w:p>
              </w:tc>
              <w:tc>
                <w:tcPr>
                  <w:tcW w:w="427" w:type="dxa"/>
                  <w:noWrap w:val="0"/>
                  <w:vAlign w:val="center"/>
                </w:tcPr>
                <w:p w14:paraId="71AA8E7D">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6×</w:t>
                  </w:r>
                </w:p>
                <w:p w14:paraId="707D5C55">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10</w:t>
                  </w:r>
                  <w:r>
                    <w:rPr>
                      <w:rFonts w:hint="default" w:ascii="Times New Roman" w:hAnsi="Times New Roman" w:cs="Times New Roman" w:eastAsiaTheme="minorEastAsia"/>
                      <w:b w:val="0"/>
                      <w:bCs w:val="0"/>
                      <w:color w:val="000000" w:themeColor="text1"/>
                      <w:spacing w:val="0"/>
                      <w:kern w:val="2"/>
                      <w:sz w:val="21"/>
                      <w:szCs w:val="21"/>
                      <w:highlight w:val="none"/>
                      <w:vertAlign w:val="superscript"/>
                      <w:lang w:val="en-US" w:eastAsia="zh-CN" w:bidi="ar-SA"/>
                      <w14:textFill>
                        <w14:solidFill>
                          <w14:schemeClr w14:val="tx1"/>
                        </w14:solidFill>
                      </w14:textFill>
                    </w:rPr>
                    <w:t>-6</w:t>
                  </w:r>
                </w:p>
              </w:tc>
              <w:tc>
                <w:tcPr>
                  <w:tcW w:w="498" w:type="dxa"/>
                  <w:noWrap w:val="0"/>
                  <w:vAlign w:val="center"/>
                </w:tcPr>
                <w:p w14:paraId="77539800">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168.75</w:t>
                  </w:r>
                </w:p>
              </w:tc>
              <w:tc>
                <w:tcPr>
                  <w:tcW w:w="439" w:type="dxa"/>
                  <w:noWrap w:val="0"/>
                  <w:vAlign w:val="center"/>
                </w:tcPr>
                <w:p w14:paraId="683DA37F">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0.015</w:t>
                  </w:r>
                </w:p>
              </w:tc>
              <w:tc>
                <w:tcPr>
                  <w:tcW w:w="338" w:type="dxa"/>
                  <w:noWrap w:val="0"/>
                  <w:vAlign w:val="center"/>
                </w:tcPr>
                <w:p w14:paraId="44F87A36">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0.198</w:t>
                  </w:r>
                </w:p>
              </w:tc>
              <w:tc>
                <w:tcPr>
                  <w:tcW w:w="439" w:type="dxa"/>
                  <w:noWrap w:val="0"/>
                  <w:vAlign w:val="center"/>
                </w:tcPr>
                <w:p w14:paraId="71871789">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0.00</w:t>
                  </w:r>
                  <w:r>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7</w:t>
                  </w:r>
                </w:p>
              </w:tc>
              <w:tc>
                <w:tcPr>
                  <w:tcW w:w="351" w:type="dxa"/>
                  <w:noWrap w:val="0"/>
                  <w:vAlign w:val="center"/>
                </w:tcPr>
                <w:p w14:paraId="0CB1A929">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0.137</w:t>
                  </w:r>
                </w:p>
              </w:tc>
              <w:tc>
                <w:tcPr>
                  <w:tcW w:w="514" w:type="dxa"/>
                  <w:noWrap w:val="0"/>
                  <w:vAlign w:val="center"/>
                </w:tcPr>
                <w:p w14:paraId="469A98CF">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1.17×10</w:t>
                  </w:r>
                  <w:r>
                    <w:rPr>
                      <w:rFonts w:hint="default" w:ascii="Times New Roman" w:hAnsi="Times New Roman" w:cs="Times New Roman" w:eastAsiaTheme="minorEastAsia"/>
                      <w:b w:val="0"/>
                      <w:bCs w:val="0"/>
                      <w:color w:val="000000" w:themeColor="text1"/>
                      <w:spacing w:val="0"/>
                      <w:kern w:val="2"/>
                      <w:sz w:val="21"/>
                      <w:szCs w:val="21"/>
                      <w:highlight w:val="none"/>
                      <w:vertAlign w:val="superscript"/>
                      <w:lang w:val="en-US" w:eastAsia="zh-CN" w:bidi="ar-SA"/>
                      <w14:textFill>
                        <w14:solidFill>
                          <w14:schemeClr w14:val="tx1"/>
                        </w14:solidFill>
                      </w14:textFill>
                    </w:rPr>
                    <w:t>-5</w:t>
                  </w:r>
                </w:p>
              </w:tc>
              <w:tc>
                <w:tcPr>
                  <w:tcW w:w="463" w:type="dxa"/>
                  <w:noWrap w:val="0"/>
                  <w:vAlign w:val="center"/>
                </w:tcPr>
                <w:p w14:paraId="20167EB0">
                  <w:pPr>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t>0.014</w:t>
                  </w:r>
                </w:p>
              </w:tc>
              <w:tc>
                <w:tcPr>
                  <w:tcW w:w="395" w:type="dxa"/>
                  <w:noWrap w:val="0"/>
                  <w:vAlign w:val="center"/>
                </w:tcPr>
                <w:p w14:paraId="3F00A3AC">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0.306</w:t>
                  </w:r>
                </w:p>
              </w:tc>
              <w:tc>
                <w:tcPr>
                  <w:tcW w:w="587" w:type="dxa"/>
                  <w:noWrap w:val="0"/>
                  <w:vAlign w:val="center"/>
                </w:tcPr>
                <w:p w14:paraId="46810F23">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3.259×10</w:t>
                  </w:r>
                  <w:r>
                    <w:rPr>
                      <w:rFonts w:hint="default" w:ascii="Times New Roman" w:hAnsi="Times New Roman" w:cs="Times New Roman" w:eastAsiaTheme="minorEastAsia"/>
                      <w:b w:val="0"/>
                      <w:bCs w:val="0"/>
                      <w:color w:val="000000" w:themeColor="text1"/>
                      <w:spacing w:val="0"/>
                      <w:kern w:val="2"/>
                      <w:sz w:val="21"/>
                      <w:szCs w:val="21"/>
                      <w:highlight w:val="none"/>
                      <w:vertAlign w:val="superscript"/>
                      <w:lang w:val="en-US" w:eastAsia="zh-CN" w:bidi="ar-SA"/>
                      <w14:textFill>
                        <w14:solidFill>
                          <w14:schemeClr w14:val="tx1"/>
                        </w14:solidFill>
                      </w14:textFill>
                    </w:rPr>
                    <w:t>-5</w:t>
                  </w:r>
                </w:p>
              </w:tc>
              <w:tc>
                <w:tcPr>
                  <w:tcW w:w="653" w:type="dxa"/>
                  <w:noWrap w:val="0"/>
                  <w:vAlign w:val="center"/>
                </w:tcPr>
                <w:p w14:paraId="0762C7CF">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pacing w:val="0"/>
                      <w:kern w:val="2"/>
                      <w:sz w:val="21"/>
                      <w:szCs w:val="21"/>
                      <w:highlight w:val="none"/>
                      <w:vertAlign w:val="baseline"/>
                      <w:lang w:val="en-US" w:eastAsia="zh-CN" w:bidi="ar-SA"/>
                      <w14:textFill>
                        <w14:solidFill>
                          <w14:schemeClr w14:val="tx1"/>
                        </w14:solidFill>
                      </w14:textFill>
                    </w:rPr>
                    <w:t>112.36</w:t>
                  </w:r>
                </w:p>
              </w:tc>
            </w:tr>
            <w:tr w14:paraId="0798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1427" w:type="dxa"/>
                  <w:gridSpan w:val="2"/>
                  <w:noWrap w:val="0"/>
                  <w:vAlign w:val="center"/>
                </w:tcPr>
                <w:p w14:paraId="53B78BE4">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排放标准</w:t>
                  </w:r>
                </w:p>
              </w:tc>
              <w:tc>
                <w:tcPr>
                  <w:tcW w:w="7012" w:type="dxa"/>
                  <w:gridSpan w:val="16"/>
                  <w:noWrap w:val="0"/>
                  <w:vAlign w:val="center"/>
                </w:tcPr>
                <w:p w14:paraId="36AC489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颗粒物、二氧化硫、氮氧化物执行</w:t>
                  </w:r>
                  <w: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t>《工业炉窑大气污染物排放标准》（DB13/1640-2012）表1、表2中新建炉窑标准并同时满足《承德市工业炉窑综合治理实施方案》（承环办[2020]72 号）中相关限值中的相关要求；非甲烷总烃执行《工业企业挥发性有机物排放控制标准》（DB13/2322-2016）表1其他行业标准；苯并[a]芘、沥青烟执行《大气污染物综合排放标准》（GB16297-1996）表2中二级标准</w:t>
                  </w:r>
                </w:p>
              </w:tc>
            </w:tr>
            <w:tr w14:paraId="4487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417" w:type="dxa"/>
                  <w:vMerge w:val="restart"/>
                  <w:noWrap w:val="0"/>
                  <w:vAlign w:val="center"/>
                </w:tcPr>
                <w:p w14:paraId="12C44D8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治理设施</w:t>
                  </w:r>
                </w:p>
              </w:tc>
              <w:tc>
                <w:tcPr>
                  <w:tcW w:w="1010" w:type="dxa"/>
                  <w:noWrap w:val="0"/>
                  <w:vAlign w:val="center"/>
                </w:tcPr>
                <w:p w14:paraId="343B7089">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治理设施名称</w:t>
                  </w:r>
                </w:p>
              </w:tc>
              <w:tc>
                <w:tcPr>
                  <w:tcW w:w="7012" w:type="dxa"/>
                  <w:gridSpan w:val="16"/>
                  <w:noWrap w:val="0"/>
                  <w:vAlign w:val="center"/>
                </w:tcPr>
                <w:p w14:paraId="2C3797D9">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default" w:ascii="Times New Roman" w:hAnsi="Times New Roman" w:cs="Times New Roman" w:eastAsiaTheme="minorEastAsia"/>
                      <w:i w:val="0"/>
                      <w:iCs w:val="0"/>
                      <w:caps w:val="0"/>
                      <w:color w:val="000000" w:themeColor="text1"/>
                      <w:spacing w:val="0"/>
                      <w:sz w:val="21"/>
                      <w:szCs w:val="21"/>
                      <w:highlight w:val="none"/>
                      <w:shd w:val="clear" w:fill="FFFFFF"/>
                      <w:lang w:val="en-US" w:eastAsia="zh-CN"/>
                      <w14:textFill>
                        <w14:solidFill>
                          <w14:schemeClr w14:val="tx1"/>
                        </w14:solidFill>
                      </w14:textFill>
                    </w:rPr>
                    <w:t>低氮燃烧器+</w:t>
                  </w:r>
                  <w:r>
                    <w:rPr>
                      <w:rFonts w:hint="default" w:ascii="Times New Roman" w:hAnsi="Times New Roman" w:cs="Times New Roman" w:eastAsiaTheme="minorEastAsia"/>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+15m</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排气筒</w:t>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DA001</w:t>
                  </w:r>
                  <w:r>
                    <w:rPr>
                      <w:rFonts w:hint="default" w:ascii="Times New Roman" w:hAnsi="Times New Roman" w:cs="Times New Roman" w:eastAsiaTheme="minorEastAsia"/>
                      <w:b w:val="0"/>
                      <w:bCs w:val="0"/>
                      <w:color w:val="000000" w:themeColor="text1"/>
                      <w:sz w:val="21"/>
                      <w:szCs w:val="21"/>
                      <w:highlight w:val="none"/>
                      <w:lang w:eastAsia="zh-CN"/>
                      <w14:textFill>
                        <w14:solidFill>
                          <w14:schemeClr w14:val="tx1"/>
                        </w14:solidFill>
                      </w14:textFill>
                    </w:rPr>
                    <w:t>）</w:t>
                  </w:r>
                </w:p>
              </w:tc>
            </w:tr>
            <w:tr w14:paraId="4B3E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417" w:type="dxa"/>
                  <w:vMerge w:val="continue"/>
                  <w:noWrap w:val="0"/>
                  <w:vAlign w:val="center"/>
                </w:tcPr>
                <w:p w14:paraId="7C17EB4E">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1010" w:type="dxa"/>
                  <w:noWrap w:val="0"/>
                  <w:vAlign w:val="center"/>
                </w:tcPr>
                <w:p w14:paraId="3210D2FA">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处理能力</w:t>
                  </w:r>
                </w:p>
              </w:tc>
              <w:tc>
                <w:tcPr>
                  <w:tcW w:w="7012" w:type="dxa"/>
                  <w:gridSpan w:val="16"/>
                  <w:noWrap w:val="0"/>
                  <w:vAlign w:val="center"/>
                </w:tcPr>
                <w:p w14:paraId="4B4B4FF3">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90000</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m</w:t>
                  </w:r>
                  <w:r>
                    <w:rPr>
                      <w:rFonts w:hint="default" w:ascii="Times New Roman" w:hAnsi="Times New Roman" w:cs="Times New Roman" w:eastAsiaTheme="minorEastAsia"/>
                      <w:b w:val="0"/>
                      <w:bCs w:val="0"/>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b w:val="0"/>
                      <w:bCs w:val="0"/>
                      <w:color w:val="000000" w:themeColor="text1"/>
                      <w:sz w:val="21"/>
                      <w:szCs w:val="21"/>
                      <w:highlight w:val="none"/>
                      <w14:textFill>
                        <w14:solidFill>
                          <w14:schemeClr w14:val="tx1"/>
                        </w14:solidFill>
                      </w14:textFill>
                    </w:rPr>
                    <w:t>/h</w:t>
                  </w:r>
                </w:p>
              </w:tc>
            </w:tr>
            <w:tr w14:paraId="1941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417" w:type="dxa"/>
                  <w:vMerge w:val="continue"/>
                  <w:noWrap w:val="0"/>
                  <w:vAlign w:val="center"/>
                </w:tcPr>
                <w:p w14:paraId="204B41FE">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p>
              </w:tc>
              <w:tc>
                <w:tcPr>
                  <w:tcW w:w="1010" w:type="dxa"/>
                  <w:noWrap w:val="0"/>
                  <w:vAlign w:val="center"/>
                </w:tcPr>
                <w:p w14:paraId="5B0B73AE">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color w:val="000000" w:themeColor="text1"/>
                      <w:spacing w:val="0"/>
                      <w:kern w:val="2"/>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收集效率</w:t>
                  </w:r>
                </w:p>
              </w:tc>
              <w:tc>
                <w:tcPr>
                  <w:tcW w:w="7012" w:type="dxa"/>
                  <w:gridSpan w:val="16"/>
                  <w:noWrap w:val="0"/>
                  <w:vAlign w:val="center"/>
                </w:tcPr>
                <w:p w14:paraId="70D3D3E4">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搅拌楼卸料处收集效率为90%，其余工序为100%</w:t>
                  </w:r>
                </w:p>
              </w:tc>
            </w:tr>
            <w:tr w14:paraId="4D82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427" w:type="dxa"/>
                  <w:gridSpan w:val="2"/>
                  <w:noWrap w:val="0"/>
                  <w:vAlign w:val="center"/>
                </w:tcPr>
                <w:p w14:paraId="10FFEF0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治理工艺去除效率</w:t>
                  </w:r>
                </w:p>
              </w:tc>
              <w:tc>
                <w:tcPr>
                  <w:tcW w:w="7012" w:type="dxa"/>
                  <w:gridSpan w:val="16"/>
                  <w:noWrap w:val="0"/>
                  <w:vAlign w:val="center"/>
                </w:tcPr>
                <w:p w14:paraId="0686CF1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颗粒物的去除效率为99.5%；沥青烟的去除效率为99%，苯并[a]芘、非甲烷总烃的去除效率为90%</w:t>
                  </w:r>
                </w:p>
              </w:tc>
            </w:tr>
            <w:tr w14:paraId="000F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427" w:type="dxa"/>
                  <w:gridSpan w:val="2"/>
                  <w:noWrap w:val="0"/>
                  <w:vAlign w:val="center"/>
                </w:tcPr>
                <w:p w14:paraId="3E2C308B">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是否为可行技术</w:t>
                  </w:r>
                </w:p>
              </w:tc>
              <w:tc>
                <w:tcPr>
                  <w:tcW w:w="7012" w:type="dxa"/>
                  <w:gridSpan w:val="16"/>
                  <w:noWrap w:val="0"/>
                  <w:vAlign w:val="center"/>
                </w:tcPr>
                <w:p w14:paraId="37A5FB85">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是</w:t>
                  </w:r>
                </w:p>
              </w:tc>
            </w:tr>
            <w:tr w14:paraId="0CDE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1427" w:type="dxa"/>
                  <w:gridSpan w:val="2"/>
                  <w:noWrap w:val="0"/>
                  <w:vAlign w:val="center"/>
                </w:tcPr>
                <w:p w14:paraId="2947B462">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i w:val="0"/>
                      <w:iCs w:val="0"/>
                      <w:color w:val="000000" w:themeColor="text1"/>
                      <w:sz w:val="21"/>
                      <w:szCs w:val="21"/>
                      <w:highlight w:val="none"/>
                      <w14:textFill>
                        <w14:solidFill>
                          <w14:schemeClr w14:val="tx1"/>
                        </w14:solidFill>
                      </w14:textFill>
                    </w:rPr>
                    <w:t>污染物排放浓度（速率）、排放量</w:t>
                  </w:r>
                </w:p>
              </w:tc>
              <w:tc>
                <w:tcPr>
                  <w:tcW w:w="7012" w:type="dxa"/>
                  <w:gridSpan w:val="16"/>
                  <w:noWrap w:val="0"/>
                  <w:vAlign w:val="center"/>
                </w:tcPr>
                <w:p w14:paraId="1B3E799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颗粒物：16.319mg/m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，1.469kg/h；1.175t/a；二氧化硫：0.333mg/m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，0.030kg/h，0.024t/a；氮氧化物：5.291mg/m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，0.476kg/h，0.381/a；非甲烷总烃：0.002mg/m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，0.001kg/h，0.001t/a；苯并[a]芘：2.607×10</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，3.259×10</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kg/h，2.607×10</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t/a；沥青烟：0.003mg/m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，0.003kg/h，0.002t/a</w:t>
                  </w:r>
                </w:p>
              </w:tc>
            </w:tr>
          </w:tbl>
          <w:p w14:paraId="60C4C50E">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续表4-1 各工序污染物产生和排放情况一览表</w:t>
            </w:r>
          </w:p>
          <w:tbl>
            <w:tblPr>
              <w:tblStyle w:val="31"/>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333"/>
              <w:gridCol w:w="1725"/>
              <w:gridCol w:w="1256"/>
              <w:gridCol w:w="1257"/>
              <w:gridCol w:w="2369"/>
            </w:tblGrid>
            <w:tr w14:paraId="5EEC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2" w:type="dxa"/>
                  <w:gridSpan w:val="2"/>
                  <w:noWrap w:val="0"/>
                  <w:vAlign w:val="center"/>
                </w:tcPr>
                <w:p w14:paraId="3D652B64">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排放形式</w:t>
                  </w:r>
                </w:p>
              </w:tc>
              <w:tc>
                <w:tcPr>
                  <w:tcW w:w="6607" w:type="dxa"/>
                  <w:gridSpan w:val="4"/>
                  <w:noWrap w:val="0"/>
                  <w:vAlign w:val="center"/>
                </w:tcPr>
                <w:p w14:paraId="131A88EA">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有组织</w:t>
                  </w:r>
                </w:p>
              </w:tc>
            </w:tr>
            <w:tr w14:paraId="6FB7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2" w:type="dxa"/>
                  <w:gridSpan w:val="2"/>
                  <w:noWrap w:val="0"/>
                  <w:vAlign w:val="center"/>
                </w:tcPr>
                <w:p w14:paraId="6A6D667B">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产排污设施</w:t>
                  </w:r>
                </w:p>
              </w:tc>
              <w:tc>
                <w:tcPr>
                  <w:tcW w:w="4238" w:type="dxa"/>
                  <w:gridSpan w:val="3"/>
                  <w:noWrap w:val="0"/>
                  <w:vAlign w:val="center"/>
                </w:tcPr>
                <w:p w14:paraId="247972AA">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导热油炉</w:t>
                  </w:r>
                </w:p>
              </w:tc>
              <w:tc>
                <w:tcPr>
                  <w:tcW w:w="2369" w:type="dxa"/>
                  <w:noWrap w:val="0"/>
                  <w:vAlign w:val="center"/>
                </w:tcPr>
                <w:p w14:paraId="3E469F0B">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破碎筛分机</w:t>
                  </w:r>
                </w:p>
              </w:tc>
            </w:tr>
            <w:tr w14:paraId="574D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2" w:type="dxa"/>
                  <w:gridSpan w:val="2"/>
                  <w:noWrap w:val="0"/>
                  <w:vAlign w:val="center"/>
                </w:tcPr>
                <w:p w14:paraId="4C6E873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产排污环节</w:t>
                  </w:r>
                </w:p>
              </w:tc>
              <w:tc>
                <w:tcPr>
                  <w:tcW w:w="4238" w:type="dxa"/>
                  <w:gridSpan w:val="3"/>
                  <w:noWrap w:val="0"/>
                  <w:vAlign w:val="center"/>
                </w:tcPr>
                <w:p w14:paraId="0F23ADCE">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锅炉加热沥青</w:t>
                  </w:r>
                </w:p>
              </w:tc>
              <w:tc>
                <w:tcPr>
                  <w:tcW w:w="2369" w:type="dxa"/>
                  <w:noWrap w:val="0"/>
                  <w:vAlign w:val="center"/>
                </w:tcPr>
                <w:p w14:paraId="34461EA2">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铣刨沥青破碎筛分</w:t>
                  </w:r>
                </w:p>
              </w:tc>
            </w:tr>
            <w:tr w14:paraId="3C04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2" w:type="dxa"/>
                  <w:gridSpan w:val="2"/>
                  <w:noWrap w:val="0"/>
                  <w:vAlign w:val="center"/>
                </w:tcPr>
                <w:p w14:paraId="484F7A8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污染物种类</w:t>
                  </w:r>
                </w:p>
              </w:tc>
              <w:tc>
                <w:tcPr>
                  <w:tcW w:w="1725" w:type="dxa"/>
                  <w:noWrap w:val="0"/>
                  <w:vAlign w:val="center"/>
                </w:tcPr>
                <w:p w14:paraId="2BE0374F">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二氧化硫</w:t>
                  </w:r>
                </w:p>
              </w:tc>
              <w:tc>
                <w:tcPr>
                  <w:tcW w:w="1256" w:type="dxa"/>
                  <w:noWrap w:val="0"/>
                  <w:vAlign w:val="center"/>
                </w:tcPr>
                <w:p w14:paraId="7342170F">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氮氧化物</w:t>
                  </w:r>
                </w:p>
              </w:tc>
              <w:tc>
                <w:tcPr>
                  <w:tcW w:w="1257" w:type="dxa"/>
                  <w:noWrap w:val="0"/>
                  <w:vAlign w:val="center"/>
                </w:tcPr>
                <w:p w14:paraId="1E58A4A8">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颗粒物</w:t>
                  </w:r>
                </w:p>
              </w:tc>
              <w:tc>
                <w:tcPr>
                  <w:tcW w:w="2369" w:type="dxa"/>
                  <w:noWrap w:val="0"/>
                  <w:vAlign w:val="center"/>
                </w:tcPr>
                <w:p w14:paraId="60E5EA0C">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颗粒物</w:t>
                  </w:r>
                </w:p>
              </w:tc>
            </w:tr>
            <w:tr w14:paraId="561A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2" w:type="dxa"/>
                  <w:gridSpan w:val="2"/>
                  <w:noWrap w:val="0"/>
                  <w:vAlign w:val="center"/>
                </w:tcPr>
                <w:p w14:paraId="3ECA208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污染物产生量</w:t>
                  </w:r>
                  <w:r>
                    <w:rPr>
                      <w:rFonts w:hint="default" w:ascii="Times New Roman" w:hAnsi="Times New Roman" w:eastAsia="宋体" w:cs="Times New Roman"/>
                      <w:b/>
                      <w:bCs/>
                      <w:i w:val="0"/>
                      <w:iCs w:val="0"/>
                      <w:color w:val="000000" w:themeColor="text1"/>
                      <w:sz w:val="21"/>
                      <w:szCs w:val="21"/>
                      <w:highlight w:val="none"/>
                      <w:lang w:eastAsia="zh-CN"/>
                      <w14:textFill>
                        <w14:solidFill>
                          <w14:schemeClr w14:val="tx1"/>
                        </w14:solidFill>
                      </w14:textFill>
                    </w:rPr>
                    <w:t>（t/a）</w:t>
                  </w:r>
                </w:p>
              </w:tc>
              <w:tc>
                <w:tcPr>
                  <w:tcW w:w="1725" w:type="dxa"/>
                  <w:noWrap w:val="0"/>
                  <w:vAlign w:val="center"/>
                </w:tcPr>
                <w:p w14:paraId="62036AB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0.016t/a</w:t>
                  </w:r>
                </w:p>
              </w:tc>
              <w:tc>
                <w:tcPr>
                  <w:tcW w:w="1256" w:type="dxa"/>
                  <w:noWrap w:val="0"/>
                  <w:vAlign w:val="center"/>
                </w:tcPr>
                <w:p w14:paraId="03D87865">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0.048t/a</w:t>
                  </w:r>
                </w:p>
              </w:tc>
              <w:tc>
                <w:tcPr>
                  <w:tcW w:w="1257" w:type="dxa"/>
                  <w:noWrap w:val="0"/>
                  <w:vAlign w:val="center"/>
                </w:tcPr>
                <w:p w14:paraId="61D50F8F">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369" w:type="dxa"/>
                  <w:noWrap w:val="0"/>
                  <w:vAlign w:val="center"/>
                </w:tcPr>
                <w:p w14:paraId="3182526A">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p>
              </w:tc>
            </w:tr>
            <w:tr w14:paraId="6D78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2" w:type="dxa"/>
                  <w:gridSpan w:val="2"/>
                  <w:noWrap w:val="0"/>
                  <w:vAlign w:val="center"/>
                </w:tcPr>
                <w:p w14:paraId="32800FB3">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污染物产生</w:t>
                  </w:r>
                  <w:r>
                    <w:rPr>
                      <w:rFonts w:hint="default" w:ascii="Times New Roman" w:hAnsi="Times New Roman" w:eastAsia="宋体" w:cs="Times New Roman"/>
                      <w:b/>
                      <w:bCs/>
                      <w:i w:val="0"/>
                      <w:iCs w:val="0"/>
                      <w:color w:val="000000" w:themeColor="text1"/>
                      <w:sz w:val="21"/>
                      <w:szCs w:val="21"/>
                      <w:highlight w:val="none"/>
                      <w:lang w:val="en-US" w:eastAsia="zh-CN"/>
                      <w14:textFill>
                        <w14:solidFill>
                          <w14:schemeClr w14:val="tx1"/>
                        </w14:solidFill>
                      </w14:textFill>
                    </w:rPr>
                    <w:t>浓度（速率）（kg/h）</w:t>
                  </w:r>
                </w:p>
              </w:tc>
              <w:tc>
                <w:tcPr>
                  <w:tcW w:w="1725" w:type="dxa"/>
                  <w:noWrap w:val="0"/>
                  <w:vAlign w:val="center"/>
                </w:tcPr>
                <w:p w14:paraId="1F916AA6">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0.020kg/h</w:t>
                  </w:r>
                </w:p>
              </w:tc>
              <w:tc>
                <w:tcPr>
                  <w:tcW w:w="1256" w:type="dxa"/>
                  <w:noWrap w:val="0"/>
                  <w:vAlign w:val="center"/>
                </w:tcPr>
                <w:p w14:paraId="6C602C7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0.060kg/h</w:t>
                  </w:r>
                </w:p>
              </w:tc>
              <w:tc>
                <w:tcPr>
                  <w:tcW w:w="1257" w:type="dxa"/>
                  <w:noWrap w:val="0"/>
                  <w:vAlign w:val="center"/>
                </w:tcPr>
                <w:p w14:paraId="3ADED2FE">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369" w:type="dxa"/>
                  <w:noWrap w:val="0"/>
                  <w:vAlign w:val="center"/>
                </w:tcPr>
                <w:p w14:paraId="2CBA7A82">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6.25</w:t>
                  </w:r>
                </w:p>
              </w:tc>
            </w:tr>
            <w:tr w14:paraId="51EF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2" w:type="dxa"/>
                  <w:gridSpan w:val="2"/>
                  <w:noWrap w:val="0"/>
                  <w:vAlign w:val="center"/>
                </w:tcPr>
                <w:p w14:paraId="2161232D">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排放标准</w:t>
                  </w:r>
                </w:p>
              </w:tc>
              <w:tc>
                <w:tcPr>
                  <w:tcW w:w="4238" w:type="dxa"/>
                  <w:gridSpan w:val="3"/>
                  <w:noWrap w:val="0"/>
                  <w:vAlign w:val="center"/>
                </w:tcPr>
                <w:p w14:paraId="63D20959">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《锅炉大气污染物排放标准》（DB13/5161-2020）中相关限值要求</w:t>
                  </w:r>
                </w:p>
              </w:tc>
              <w:tc>
                <w:tcPr>
                  <w:tcW w:w="2369" w:type="dxa"/>
                  <w:noWrap w:val="0"/>
                  <w:vAlign w:val="center"/>
                </w:tcPr>
                <w:p w14:paraId="06B2A2F4">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tc>
            </w:tr>
            <w:tr w14:paraId="6E1C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9" w:type="dxa"/>
                  <w:vMerge w:val="restart"/>
                  <w:noWrap w:val="0"/>
                  <w:vAlign w:val="center"/>
                </w:tcPr>
                <w:p w14:paraId="6C4BE70D">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治理设施</w:t>
                  </w:r>
                </w:p>
              </w:tc>
              <w:tc>
                <w:tcPr>
                  <w:tcW w:w="1333" w:type="dxa"/>
                  <w:noWrap w:val="0"/>
                  <w:vAlign w:val="center"/>
                </w:tcPr>
                <w:p w14:paraId="062965D0">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治理设施名称</w:t>
                  </w:r>
                </w:p>
              </w:tc>
              <w:tc>
                <w:tcPr>
                  <w:tcW w:w="4238" w:type="dxa"/>
                  <w:gridSpan w:val="3"/>
                  <w:noWrap w:val="0"/>
                  <w:vAlign w:val="center"/>
                </w:tcPr>
                <w:p w14:paraId="0C4BC295">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低氮燃烧+布袋除尘器+16m高排气筒（DA002）</w:t>
                  </w:r>
                </w:p>
              </w:tc>
              <w:tc>
                <w:tcPr>
                  <w:tcW w:w="2369" w:type="dxa"/>
                  <w:noWrap w:val="0"/>
                  <w:vAlign w:val="center"/>
                </w:tcPr>
                <w:p w14:paraId="29B5BC10">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布袋除尘器+15m高排气筒（DA003）</w:t>
                  </w:r>
                </w:p>
              </w:tc>
            </w:tr>
            <w:tr w14:paraId="1222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9" w:type="dxa"/>
                  <w:vMerge w:val="continue"/>
                  <w:noWrap w:val="0"/>
                  <w:vAlign w:val="center"/>
                </w:tcPr>
                <w:p w14:paraId="1C273585">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p>
              </w:tc>
              <w:tc>
                <w:tcPr>
                  <w:tcW w:w="1333" w:type="dxa"/>
                  <w:noWrap w:val="0"/>
                  <w:vAlign w:val="center"/>
                </w:tcPr>
                <w:p w14:paraId="16B9F345">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处理能力</w:t>
                  </w:r>
                </w:p>
              </w:tc>
              <w:tc>
                <w:tcPr>
                  <w:tcW w:w="4238" w:type="dxa"/>
                  <w:gridSpan w:val="3"/>
                  <w:noWrap w:val="0"/>
                  <w:vAlign w:val="center"/>
                </w:tcPr>
                <w:p w14:paraId="25A7F750">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10000m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/h</w:t>
                  </w:r>
                </w:p>
              </w:tc>
              <w:tc>
                <w:tcPr>
                  <w:tcW w:w="2369" w:type="dxa"/>
                  <w:noWrap w:val="0"/>
                  <w:vAlign w:val="center"/>
                </w:tcPr>
                <w:p w14:paraId="246EFF76">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30000m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/h</w:t>
                  </w:r>
                </w:p>
              </w:tc>
            </w:tr>
            <w:tr w14:paraId="37AC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9" w:type="dxa"/>
                  <w:vMerge w:val="continue"/>
                  <w:noWrap w:val="0"/>
                  <w:vAlign w:val="center"/>
                </w:tcPr>
                <w:p w14:paraId="42205E7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p>
              </w:tc>
              <w:tc>
                <w:tcPr>
                  <w:tcW w:w="1333" w:type="dxa"/>
                  <w:noWrap w:val="0"/>
                  <w:vAlign w:val="center"/>
                </w:tcPr>
                <w:p w14:paraId="1C80BE2F">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收集效率</w:t>
                  </w:r>
                </w:p>
              </w:tc>
              <w:tc>
                <w:tcPr>
                  <w:tcW w:w="4238" w:type="dxa"/>
                  <w:gridSpan w:val="3"/>
                  <w:noWrap w:val="0"/>
                  <w:vAlign w:val="center"/>
                </w:tcPr>
                <w:p w14:paraId="216C8D82">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2369" w:type="dxa"/>
                  <w:noWrap w:val="0"/>
                  <w:vAlign w:val="center"/>
                </w:tcPr>
                <w:p w14:paraId="4493B777">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w:t>
                  </w:r>
                </w:p>
              </w:tc>
            </w:tr>
            <w:tr w14:paraId="34E6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952" w:type="dxa"/>
                  <w:gridSpan w:val="2"/>
                  <w:noWrap w:val="0"/>
                  <w:vAlign w:val="center"/>
                </w:tcPr>
                <w:p w14:paraId="322AEA87">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治理工艺去除效率</w:t>
                  </w:r>
                </w:p>
              </w:tc>
              <w:tc>
                <w:tcPr>
                  <w:tcW w:w="4238" w:type="dxa"/>
                  <w:gridSpan w:val="3"/>
                  <w:noWrap w:val="0"/>
                  <w:vAlign w:val="center"/>
                </w:tcPr>
                <w:p w14:paraId="2A26A4D6">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2369" w:type="dxa"/>
                  <w:noWrap w:val="0"/>
                  <w:vAlign w:val="center"/>
                </w:tcPr>
                <w:p w14:paraId="6A05F7DD">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99%</w:t>
                  </w:r>
                </w:p>
              </w:tc>
            </w:tr>
            <w:tr w14:paraId="0350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952" w:type="dxa"/>
                  <w:gridSpan w:val="2"/>
                  <w:noWrap w:val="0"/>
                  <w:vAlign w:val="center"/>
                </w:tcPr>
                <w:p w14:paraId="24AA6C46">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是否为可行技术</w:t>
                  </w:r>
                </w:p>
              </w:tc>
              <w:tc>
                <w:tcPr>
                  <w:tcW w:w="4238" w:type="dxa"/>
                  <w:gridSpan w:val="3"/>
                  <w:noWrap w:val="0"/>
                  <w:vAlign w:val="center"/>
                </w:tcPr>
                <w:p w14:paraId="53472E73">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w:t>
                  </w:r>
                </w:p>
              </w:tc>
              <w:tc>
                <w:tcPr>
                  <w:tcW w:w="2369" w:type="dxa"/>
                  <w:noWrap w:val="0"/>
                  <w:vAlign w:val="center"/>
                </w:tcPr>
                <w:p w14:paraId="36C9BD12">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w:t>
                  </w:r>
                </w:p>
              </w:tc>
            </w:tr>
            <w:tr w14:paraId="2F1E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952" w:type="dxa"/>
                  <w:gridSpan w:val="2"/>
                  <w:noWrap w:val="0"/>
                  <w:vAlign w:val="center"/>
                </w:tcPr>
                <w:p w14:paraId="67F416F2">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污染物排放浓度（速率）、排放量</w:t>
                  </w:r>
                </w:p>
              </w:tc>
              <w:tc>
                <w:tcPr>
                  <w:tcW w:w="1725" w:type="dxa"/>
                  <w:noWrap w:val="0"/>
                  <w:vAlign w:val="center"/>
                </w:tcPr>
                <w:p w14:paraId="5130EF91">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p w14:paraId="7AC39449">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0.020kg/h；</w:t>
                  </w:r>
                </w:p>
                <w:p w14:paraId="7AF3D568">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0.016t/a</w:t>
                  </w:r>
                </w:p>
              </w:tc>
              <w:tc>
                <w:tcPr>
                  <w:tcW w:w="1256" w:type="dxa"/>
                  <w:noWrap w:val="0"/>
                  <w:vAlign w:val="center"/>
                </w:tcPr>
                <w:p w14:paraId="61252856">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p w14:paraId="2DE2CFDA">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0.060kg/h；</w:t>
                  </w:r>
                </w:p>
                <w:p w14:paraId="5D3970A9">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0.048 t/a</w:t>
                  </w:r>
                </w:p>
              </w:tc>
              <w:tc>
                <w:tcPr>
                  <w:tcW w:w="1257" w:type="dxa"/>
                  <w:noWrap w:val="0"/>
                  <w:vAlign w:val="center"/>
                </w:tcPr>
                <w:p w14:paraId="31D1CACE">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369" w:type="dxa"/>
                  <w:noWrap w:val="0"/>
                  <w:vAlign w:val="center"/>
                </w:tcPr>
                <w:p w14:paraId="7EAD7AF6">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1.875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；0.056kg/h；0.045t/a</w:t>
                  </w:r>
                </w:p>
              </w:tc>
            </w:tr>
          </w:tbl>
          <w:p w14:paraId="1972F256">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续表4-1 各工序污染物产生和排放情况一览表</w:t>
            </w:r>
          </w:p>
          <w:tbl>
            <w:tblPr>
              <w:tblStyle w:val="31"/>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089"/>
              <w:gridCol w:w="1875"/>
              <w:gridCol w:w="1770"/>
              <w:gridCol w:w="1919"/>
              <w:gridCol w:w="1282"/>
            </w:tblGrid>
            <w:tr w14:paraId="71E5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2DBA753B">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排放形式</w:t>
                  </w:r>
                </w:p>
              </w:tc>
              <w:tc>
                <w:tcPr>
                  <w:tcW w:w="6846" w:type="dxa"/>
                  <w:gridSpan w:val="4"/>
                  <w:noWrap w:val="0"/>
                  <w:vAlign w:val="center"/>
                </w:tcPr>
                <w:p w14:paraId="153DE0C5">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w:t>
                  </w:r>
                </w:p>
              </w:tc>
            </w:tr>
            <w:tr w14:paraId="4586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54A63503">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产排污设施</w:t>
                  </w:r>
                </w:p>
              </w:tc>
              <w:tc>
                <w:tcPr>
                  <w:tcW w:w="3645" w:type="dxa"/>
                  <w:gridSpan w:val="2"/>
                  <w:noWrap w:val="0"/>
                  <w:vAlign w:val="center"/>
                </w:tcPr>
                <w:p w14:paraId="6326516E">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搅拌楼</w:t>
                  </w:r>
                </w:p>
              </w:tc>
              <w:tc>
                <w:tcPr>
                  <w:tcW w:w="3201" w:type="dxa"/>
                  <w:gridSpan w:val="2"/>
                  <w:noWrap w:val="0"/>
                  <w:vAlign w:val="center"/>
                </w:tcPr>
                <w:p w14:paraId="60703FB4">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2717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2442E6D9">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产排污环节</w:t>
                  </w:r>
                </w:p>
              </w:tc>
              <w:tc>
                <w:tcPr>
                  <w:tcW w:w="3645" w:type="dxa"/>
                  <w:gridSpan w:val="2"/>
                  <w:noWrap w:val="0"/>
                  <w:vAlign w:val="center"/>
                </w:tcPr>
                <w:p w14:paraId="4F1EB269">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搅拌楼卸料</w:t>
                  </w:r>
                </w:p>
              </w:tc>
              <w:tc>
                <w:tcPr>
                  <w:tcW w:w="1919" w:type="dxa"/>
                  <w:noWrap w:val="0"/>
                  <w:vAlign w:val="center"/>
                </w:tcPr>
                <w:p w14:paraId="192F53A2">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原料堆存、砂子、石子储存、装卸、装载机上料、冷料提升</w:t>
                  </w:r>
                </w:p>
              </w:tc>
              <w:tc>
                <w:tcPr>
                  <w:tcW w:w="1282" w:type="dxa"/>
                  <w:noWrap w:val="0"/>
                  <w:vAlign w:val="center"/>
                </w:tcPr>
                <w:p w14:paraId="79DEA796">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破碎筛分</w:t>
                  </w:r>
                </w:p>
              </w:tc>
            </w:tr>
            <w:tr w14:paraId="053F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582BA60B">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污染物种类</w:t>
                  </w:r>
                </w:p>
              </w:tc>
              <w:tc>
                <w:tcPr>
                  <w:tcW w:w="1875" w:type="dxa"/>
                  <w:noWrap w:val="0"/>
                  <w:vAlign w:val="center"/>
                </w:tcPr>
                <w:p w14:paraId="71BA7959">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非甲烷总烃</w:t>
                  </w:r>
                </w:p>
              </w:tc>
              <w:tc>
                <w:tcPr>
                  <w:tcW w:w="1770" w:type="dxa"/>
                  <w:noWrap w:val="0"/>
                  <w:vAlign w:val="center"/>
                </w:tcPr>
                <w:p w14:paraId="143637BF">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苯并[a]芘</w:t>
                  </w:r>
                </w:p>
              </w:tc>
              <w:tc>
                <w:tcPr>
                  <w:tcW w:w="3201" w:type="dxa"/>
                  <w:gridSpan w:val="2"/>
                  <w:noWrap w:val="0"/>
                  <w:vAlign w:val="center"/>
                </w:tcPr>
                <w:p w14:paraId="1081E6BD">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颗粒物</w:t>
                  </w:r>
                </w:p>
              </w:tc>
            </w:tr>
            <w:tr w14:paraId="191B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6A4C252C">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污染物产生量</w:t>
                  </w:r>
                  <w:r>
                    <w:rPr>
                      <w:rFonts w:hint="default" w:ascii="Times New Roman" w:hAnsi="Times New Roman" w:eastAsia="宋体" w:cs="Times New Roman"/>
                      <w:b/>
                      <w:bCs/>
                      <w:i w:val="0"/>
                      <w:iCs w:val="0"/>
                      <w:color w:val="000000" w:themeColor="text1"/>
                      <w:sz w:val="21"/>
                      <w:szCs w:val="21"/>
                      <w:highlight w:val="none"/>
                      <w:lang w:eastAsia="zh-CN"/>
                      <w14:textFill>
                        <w14:solidFill>
                          <w14:schemeClr w14:val="tx1"/>
                        </w14:solidFill>
                      </w14:textFill>
                    </w:rPr>
                    <w:t>（t/a）</w:t>
                  </w:r>
                </w:p>
              </w:tc>
              <w:tc>
                <w:tcPr>
                  <w:tcW w:w="1875" w:type="dxa"/>
                  <w:noWrap w:val="0"/>
                  <w:vAlign w:val="center"/>
                </w:tcPr>
                <w:p w14:paraId="1A8E0691">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0.0001</w:t>
                  </w:r>
                </w:p>
              </w:tc>
              <w:tc>
                <w:tcPr>
                  <w:tcW w:w="1770" w:type="dxa"/>
                  <w:noWrap w:val="0"/>
                  <w:vAlign w:val="center"/>
                </w:tcPr>
                <w:p w14:paraId="62FEC8A2">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3.3×10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-7</w:t>
                  </w:r>
                </w:p>
              </w:tc>
              <w:tc>
                <w:tcPr>
                  <w:tcW w:w="1919" w:type="dxa"/>
                  <w:noWrap w:val="0"/>
                  <w:vAlign w:val="center"/>
                </w:tcPr>
                <w:p w14:paraId="3E93DD9C">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67.252</w:t>
                  </w:r>
                </w:p>
              </w:tc>
              <w:tc>
                <w:tcPr>
                  <w:tcW w:w="1282" w:type="dxa"/>
                  <w:noWrap w:val="0"/>
                  <w:vAlign w:val="center"/>
                </w:tcPr>
                <w:p w14:paraId="75018531">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w:t>
                  </w:r>
                </w:p>
              </w:tc>
            </w:tr>
            <w:tr w14:paraId="3BF7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31AD161C">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污染物产生</w:t>
                  </w:r>
                  <w:r>
                    <w:rPr>
                      <w:rFonts w:hint="default" w:ascii="Times New Roman" w:hAnsi="Times New Roman" w:eastAsia="宋体" w:cs="Times New Roman"/>
                      <w:b/>
                      <w:bCs/>
                      <w:i w:val="0"/>
                      <w:iCs w:val="0"/>
                      <w:color w:val="000000" w:themeColor="text1"/>
                      <w:sz w:val="21"/>
                      <w:szCs w:val="21"/>
                      <w:highlight w:val="none"/>
                      <w:lang w:val="en-US" w:eastAsia="zh-CN"/>
                      <w14:textFill>
                        <w14:solidFill>
                          <w14:schemeClr w14:val="tx1"/>
                        </w14:solidFill>
                      </w14:textFill>
                    </w:rPr>
                    <w:t>浓度（速率）（kg/h）</w:t>
                  </w:r>
                </w:p>
              </w:tc>
              <w:tc>
                <w:tcPr>
                  <w:tcW w:w="1875" w:type="dxa"/>
                  <w:noWrap w:val="0"/>
                  <w:vAlign w:val="center"/>
                </w:tcPr>
                <w:p w14:paraId="63169A80">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0.0001</w:t>
                  </w:r>
                </w:p>
              </w:tc>
              <w:tc>
                <w:tcPr>
                  <w:tcW w:w="1770" w:type="dxa"/>
                  <w:noWrap w:val="0"/>
                  <w:vAlign w:val="center"/>
                </w:tcPr>
                <w:p w14:paraId="5071B513">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4.125×10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-7</w:t>
                  </w:r>
                </w:p>
              </w:tc>
              <w:tc>
                <w:tcPr>
                  <w:tcW w:w="1919" w:type="dxa"/>
                  <w:noWrap w:val="0"/>
                  <w:vAlign w:val="center"/>
                </w:tcPr>
                <w:p w14:paraId="3834EE18">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76.565</w:t>
                  </w:r>
                </w:p>
              </w:tc>
              <w:tc>
                <w:tcPr>
                  <w:tcW w:w="1282" w:type="dxa"/>
                  <w:noWrap w:val="0"/>
                  <w:vAlign w:val="center"/>
                </w:tcPr>
                <w:p w14:paraId="30C723C2">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0.625</w:t>
                  </w:r>
                </w:p>
              </w:tc>
            </w:tr>
            <w:tr w14:paraId="3A8A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3D101630">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排放标准</w:t>
                  </w:r>
                </w:p>
              </w:tc>
              <w:tc>
                <w:tcPr>
                  <w:tcW w:w="3645" w:type="dxa"/>
                  <w:gridSpan w:val="2"/>
                  <w:noWrap w:val="0"/>
                  <w:vAlign w:val="center"/>
                </w:tcPr>
                <w:p w14:paraId="35AE8E0D">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非甲烷总烃执行</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《工业企业挥发性有机物排放控制标准》（DB13/2322-2016）表2其他行业标准；</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苯并[a]芘执行</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tc>
              <w:tc>
                <w:tcPr>
                  <w:tcW w:w="3201" w:type="dxa"/>
                  <w:gridSpan w:val="2"/>
                  <w:noWrap w:val="0"/>
                  <w:vAlign w:val="center"/>
                </w:tcPr>
                <w:p w14:paraId="59880AC0">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《大气污染物综合排放标准》（GB16297-1996）表2中无组织排放监控浓度限值</w:t>
                  </w:r>
                </w:p>
              </w:tc>
            </w:tr>
            <w:tr w14:paraId="51BC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4" w:type="dxa"/>
                  <w:vMerge w:val="restart"/>
                  <w:noWrap w:val="0"/>
                  <w:vAlign w:val="center"/>
                </w:tcPr>
                <w:p w14:paraId="142834D6">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治理设施</w:t>
                  </w:r>
                </w:p>
              </w:tc>
              <w:tc>
                <w:tcPr>
                  <w:tcW w:w="1089" w:type="dxa"/>
                  <w:noWrap w:val="0"/>
                  <w:vAlign w:val="center"/>
                </w:tcPr>
                <w:p w14:paraId="15F9E75F">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治理设施名称</w:t>
                  </w:r>
                </w:p>
              </w:tc>
              <w:tc>
                <w:tcPr>
                  <w:tcW w:w="3645" w:type="dxa"/>
                  <w:gridSpan w:val="2"/>
                  <w:noWrap w:val="0"/>
                  <w:vAlign w:val="center"/>
                </w:tcPr>
                <w:p w14:paraId="2106B7D8">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w:t>
                  </w:r>
                </w:p>
              </w:tc>
              <w:tc>
                <w:tcPr>
                  <w:tcW w:w="3201" w:type="dxa"/>
                  <w:gridSpan w:val="2"/>
                  <w:noWrap w:val="0"/>
                  <w:vAlign w:val="center"/>
                </w:tcPr>
                <w:p w14:paraId="48E56EE9">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pacing w:val="0"/>
                      <w:kern w:val="2"/>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封闭车间，洒水降尘</w:t>
                  </w:r>
                </w:p>
              </w:tc>
            </w:tr>
            <w:tr w14:paraId="6F64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4" w:type="dxa"/>
                  <w:vMerge w:val="continue"/>
                  <w:noWrap w:val="0"/>
                  <w:vAlign w:val="center"/>
                </w:tcPr>
                <w:p w14:paraId="29B363CD">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p>
              </w:tc>
              <w:tc>
                <w:tcPr>
                  <w:tcW w:w="1089" w:type="dxa"/>
                  <w:noWrap w:val="0"/>
                  <w:vAlign w:val="center"/>
                </w:tcPr>
                <w:p w14:paraId="55D992E3">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处理能力</w:t>
                  </w:r>
                </w:p>
              </w:tc>
              <w:tc>
                <w:tcPr>
                  <w:tcW w:w="3645" w:type="dxa"/>
                  <w:gridSpan w:val="2"/>
                  <w:noWrap w:val="0"/>
                  <w:vAlign w:val="center"/>
                </w:tcPr>
                <w:p w14:paraId="0891D6F8">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201" w:type="dxa"/>
                  <w:gridSpan w:val="2"/>
                  <w:noWrap w:val="0"/>
                  <w:vAlign w:val="center"/>
                </w:tcPr>
                <w:p w14:paraId="38BE2AFA">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0B2D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4" w:type="dxa"/>
                  <w:vMerge w:val="continue"/>
                  <w:noWrap w:val="0"/>
                  <w:vAlign w:val="center"/>
                </w:tcPr>
                <w:p w14:paraId="6D25CE84">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pPr>
                </w:p>
              </w:tc>
              <w:tc>
                <w:tcPr>
                  <w:tcW w:w="1089" w:type="dxa"/>
                  <w:noWrap w:val="0"/>
                  <w:vAlign w:val="center"/>
                </w:tcPr>
                <w:p w14:paraId="55E2C54A">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收集效率</w:t>
                  </w:r>
                </w:p>
              </w:tc>
              <w:tc>
                <w:tcPr>
                  <w:tcW w:w="3645" w:type="dxa"/>
                  <w:gridSpan w:val="2"/>
                  <w:noWrap w:val="0"/>
                  <w:vAlign w:val="center"/>
                </w:tcPr>
                <w:p w14:paraId="606A8CEC">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201" w:type="dxa"/>
                  <w:gridSpan w:val="2"/>
                  <w:noWrap w:val="0"/>
                  <w:vAlign w:val="center"/>
                </w:tcPr>
                <w:p w14:paraId="3698E1E4">
                  <w:pPr>
                    <w:pStyle w:val="38"/>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r>
            <w:tr w14:paraId="7BD9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531A287E">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治理工艺去除效率</w:t>
                  </w:r>
                </w:p>
              </w:tc>
              <w:tc>
                <w:tcPr>
                  <w:tcW w:w="3645" w:type="dxa"/>
                  <w:gridSpan w:val="2"/>
                  <w:noWrap w:val="0"/>
                  <w:vAlign w:val="center"/>
                </w:tcPr>
                <w:p w14:paraId="680DA37B">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919" w:type="dxa"/>
                  <w:noWrap w:val="0"/>
                  <w:vAlign w:val="center"/>
                </w:tcPr>
                <w:p w14:paraId="508B5655">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74%</w:t>
                  </w:r>
                </w:p>
              </w:tc>
              <w:tc>
                <w:tcPr>
                  <w:tcW w:w="1282" w:type="dxa"/>
                  <w:noWrap w:val="0"/>
                  <w:vAlign w:val="center"/>
                </w:tcPr>
                <w:p w14:paraId="642DD499">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80%</w:t>
                  </w:r>
                </w:p>
              </w:tc>
            </w:tr>
            <w:tr w14:paraId="45D4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1FADA277">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是否为可行技术</w:t>
                  </w:r>
                </w:p>
              </w:tc>
              <w:tc>
                <w:tcPr>
                  <w:tcW w:w="3645" w:type="dxa"/>
                  <w:gridSpan w:val="2"/>
                  <w:noWrap w:val="0"/>
                  <w:vAlign w:val="center"/>
                </w:tcPr>
                <w:p w14:paraId="445D1B31">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3201" w:type="dxa"/>
                  <w:gridSpan w:val="2"/>
                  <w:noWrap w:val="0"/>
                  <w:vAlign w:val="center"/>
                </w:tcPr>
                <w:p w14:paraId="74266760">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w:t>
                  </w:r>
                </w:p>
              </w:tc>
            </w:tr>
            <w:tr w14:paraId="4E02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gridSpan w:val="2"/>
                  <w:noWrap w:val="0"/>
                  <w:vAlign w:val="center"/>
                </w:tcPr>
                <w:p w14:paraId="726C305C">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1"/>
                      <w:szCs w:val="21"/>
                      <w:highlight w:val="none"/>
                      <w14:textFill>
                        <w14:solidFill>
                          <w14:schemeClr w14:val="tx1"/>
                        </w14:solidFill>
                      </w14:textFill>
                    </w:rPr>
                    <w:t>污染物排放浓度（速率）、排放量</w:t>
                  </w:r>
                </w:p>
              </w:tc>
              <w:tc>
                <w:tcPr>
                  <w:tcW w:w="1875" w:type="dxa"/>
                  <w:noWrap w:val="0"/>
                  <w:vAlign w:val="center"/>
                </w:tcPr>
                <w:p w14:paraId="157392A4">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0.0001kg/h；</w:t>
                  </w:r>
                </w:p>
                <w:p w14:paraId="485485BE">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0.0001t/a</w:t>
                  </w:r>
                </w:p>
              </w:tc>
              <w:tc>
                <w:tcPr>
                  <w:tcW w:w="1770" w:type="dxa"/>
                  <w:noWrap w:val="0"/>
                  <w:vAlign w:val="center"/>
                </w:tcPr>
                <w:p w14:paraId="47A0A142">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4.125×10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kg/h；</w:t>
                  </w:r>
                </w:p>
                <w:p w14:paraId="38A37BD5">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3.3×10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w:t>
                  </w:r>
                </w:p>
              </w:tc>
              <w:tc>
                <w:tcPr>
                  <w:tcW w:w="1919" w:type="dxa"/>
                  <w:noWrap w:val="0"/>
                  <w:vAlign w:val="center"/>
                </w:tcPr>
                <w:p w14:paraId="2D614A5F">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0.175t/a；</w:t>
                  </w:r>
                </w:p>
                <w:p w14:paraId="060BB73C">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0.218kg/h</w:t>
                  </w:r>
                </w:p>
              </w:tc>
              <w:tc>
                <w:tcPr>
                  <w:tcW w:w="1282" w:type="dxa"/>
                  <w:noWrap w:val="0"/>
                  <w:vAlign w:val="center"/>
                </w:tcPr>
                <w:p w14:paraId="5B87DF2F">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0.125kg/h；</w:t>
                  </w:r>
                </w:p>
                <w:p w14:paraId="6A5E855B">
                  <w:pPr>
                    <w:pStyle w:val="9"/>
                    <w:keepNext w:val="0"/>
                    <w:keepLines w:val="0"/>
                    <w:pageBreakBefore w:val="0"/>
                    <w:widowControl w:val="0"/>
                    <w:kinsoku/>
                    <w:wordWrap w:val="0"/>
                    <w:overflowPunct/>
                    <w:topLinePunct w:val="0"/>
                    <w:bidi w:val="0"/>
                    <w:snapToGrid/>
                    <w:spacing w:line="320" w:lineRule="exact"/>
                    <w:ind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0.1t/a</w:t>
                  </w:r>
                </w:p>
              </w:tc>
            </w:tr>
          </w:tbl>
          <w:p w14:paraId="41748EAC">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（1）废气源强核算</w:t>
            </w:r>
          </w:p>
          <w:p w14:paraId="0C58C191">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①装卸扬尘</w:t>
            </w:r>
          </w:p>
          <w:p w14:paraId="524F9570">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装卸扬尘主要为车辆运输装卸铣刨沥青、矿粉和石料装卸堆存产生的扬尘。参照《第二次全国污染源普查工业污染源产排污系数手册》中《固体物料堆存颗粒物产排污核算系数手册》颗粒物产生量核算公式如下：</w:t>
            </w:r>
          </w:p>
          <w:p w14:paraId="58A1946B">
            <w:pPr>
              <w:pStyle w:val="71"/>
              <w:keepNext w:val="0"/>
              <w:keepLines w:val="0"/>
              <w:pageBreakBefore w:val="0"/>
              <w:widowControl w:val="0"/>
              <w:kinsoku/>
              <w:wordWrap w:val="0"/>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eastAsia="zh-CN"/>
                <w14:textFill>
                  <w14:solidFill>
                    <w14:schemeClr w14:val="tx1"/>
                  </w14:solidFill>
                </w14:textFill>
              </w:rPr>
              <w:drawing>
                <wp:inline distT="0" distB="0" distL="114300" distR="114300">
                  <wp:extent cx="5266690" cy="484505"/>
                  <wp:effectExtent l="0" t="0" r="10160" b="10795"/>
                  <wp:docPr id="7" name="图片 2" descr="微信截图_2021090111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微信截图_20210901111639"/>
                          <pic:cNvPicPr>
                            <a:picLocks noChangeAspect="1"/>
                          </pic:cNvPicPr>
                        </pic:nvPicPr>
                        <pic:blipFill>
                          <a:blip r:embed="rId18"/>
                          <a:stretch>
                            <a:fillRect/>
                          </a:stretch>
                        </pic:blipFill>
                        <pic:spPr>
                          <a:xfrm>
                            <a:off x="0" y="0"/>
                            <a:ext cx="5266690" cy="484505"/>
                          </a:xfrm>
                          <a:prstGeom prst="rect">
                            <a:avLst/>
                          </a:prstGeom>
                          <a:noFill/>
                          <a:ln>
                            <a:noFill/>
                          </a:ln>
                        </pic:spPr>
                      </pic:pic>
                    </a:graphicData>
                  </a:graphic>
                </wp:inline>
              </w:drawing>
            </w:r>
          </w:p>
          <w:p w14:paraId="33D995A7">
            <w:pPr>
              <w:pStyle w:val="9"/>
              <w:keepNext w:val="0"/>
              <w:keepLines w:val="0"/>
              <w:pageBreakBefore w:val="0"/>
              <w:widowControl w:val="0"/>
              <w:kinsoku/>
              <w:wordWrap w:val="0"/>
              <w:overflowPunct/>
              <w:topLinePunct w:val="0"/>
              <w:autoSpaceDE/>
              <w:autoSpaceDN/>
              <w:bidi w:val="0"/>
              <w:adjustRightInd/>
              <w:snapToGrid/>
              <w:spacing w:line="480" w:lineRule="exact"/>
              <w:ind w:right="0" w:rightChars="0" w:firstLine="420" w:firstLineChars="2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式中：P指颗粒物产生量（单位：吨）；</w:t>
            </w:r>
          </w:p>
          <w:p w14:paraId="490288C3">
            <w:pPr>
              <w:pStyle w:val="9"/>
              <w:keepNext w:val="0"/>
              <w:keepLines w:val="0"/>
              <w:pageBreakBefore w:val="0"/>
              <w:widowControl w:val="0"/>
              <w:kinsoku/>
              <w:wordWrap w:val="0"/>
              <w:overflowPunct/>
              <w:topLinePunct w:val="0"/>
              <w:autoSpaceDE/>
              <w:autoSpaceDN/>
              <w:bidi w:val="0"/>
              <w:adjustRightInd/>
              <w:snapToGrid/>
              <w:spacing w:line="480" w:lineRule="exact"/>
              <w:ind w:right="0" w:rightChars="0" w:firstLine="1050" w:firstLineChars="5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Zcy：指装卸扬尘产生量（单位：吨）；</w:t>
            </w:r>
          </w:p>
          <w:p w14:paraId="74570CA7">
            <w:pPr>
              <w:pStyle w:val="9"/>
              <w:keepNext w:val="0"/>
              <w:keepLines w:val="0"/>
              <w:pageBreakBefore w:val="0"/>
              <w:widowControl w:val="0"/>
              <w:kinsoku/>
              <w:wordWrap w:val="0"/>
              <w:overflowPunct/>
              <w:topLinePunct w:val="0"/>
              <w:autoSpaceDE/>
              <w:autoSpaceDN/>
              <w:bidi w:val="0"/>
              <w:adjustRightInd/>
              <w:snapToGrid/>
              <w:spacing w:line="480" w:lineRule="exact"/>
              <w:ind w:right="0" w:rightChars="0" w:firstLine="1050" w:firstLineChars="5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FCy：指风蚀扬尘产生量（单位：吨）；</w:t>
            </w:r>
          </w:p>
          <w:p w14:paraId="0007470E">
            <w:pPr>
              <w:pStyle w:val="9"/>
              <w:keepNext w:val="0"/>
              <w:keepLines w:val="0"/>
              <w:pageBreakBefore w:val="0"/>
              <w:widowControl w:val="0"/>
              <w:kinsoku/>
              <w:wordWrap w:val="0"/>
              <w:overflowPunct/>
              <w:topLinePunct w:val="0"/>
              <w:autoSpaceDE/>
              <w:autoSpaceDN/>
              <w:bidi w:val="0"/>
              <w:adjustRightInd/>
              <w:snapToGrid/>
              <w:spacing w:line="480" w:lineRule="exact"/>
              <w:ind w:right="0" w:rightChars="0" w:firstLine="1050" w:firstLineChars="5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Nc：指年物料运载车次（单位：车）；</w:t>
            </w:r>
          </w:p>
          <w:p w14:paraId="0AD2AC8A">
            <w:pPr>
              <w:pStyle w:val="9"/>
              <w:keepNext w:val="0"/>
              <w:keepLines w:val="0"/>
              <w:pageBreakBefore w:val="0"/>
              <w:widowControl w:val="0"/>
              <w:kinsoku/>
              <w:wordWrap w:val="0"/>
              <w:overflowPunct/>
              <w:topLinePunct w:val="0"/>
              <w:autoSpaceDE/>
              <w:autoSpaceDN/>
              <w:bidi w:val="0"/>
              <w:adjustRightInd/>
              <w:snapToGrid/>
              <w:spacing w:line="480" w:lineRule="exact"/>
              <w:ind w:right="0" w:rightChars="0" w:firstLine="1050" w:firstLineChars="5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D：指单车平均运载量（单位：吨/车）（单车运输按最大核载</w: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40</w:t>
            </w: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吨计算）；</w:t>
            </w:r>
          </w:p>
          <w:p w14:paraId="5B353269">
            <w:pPr>
              <w:pStyle w:val="9"/>
              <w:keepNext w:val="0"/>
              <w:keepLines w:val="0"/>
              <w:pageBreakBefore w:val="0"/>
              <w:widowControl w:val="0"/>
              <w:kinsoku/>
              <w:wordWrap w:val="0"/>
              <w:overflowPunct/>
              <w:topLinePunct w:val="0"/>
              <w:autoSpaceDE/>
              <w:autoSpaceDN/>
              <w:bidi w:val="0"/>
              <w:adjustRightInd/>
              <w:snapToGrid/>
              <w:spacing w:line="480" w:lineRule="exact"/>
              <w:ind w:right="0" w:rightChars="0" w:firstLine="840" w:firstLineChars="4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（a/b）指装卸扬尘概化系数（单位：千克/吨），a指各省风速概化系数，b指物料含水率概化系数；</w:t>
            </w:r>
          </w:p>
          <w:p w14:paraId="1347863C">
            <w:pPr>
              <w:pStyle w:val="9"/>
              <w:pageBreakBefore w:val="0"/>
              <w:widowControl w:val="0"/>
              <w:kinsoku/>
              <w:wordWrap w:val="0"/>
              <w:overflowPunct/>
              <w:topLinePunct w:val="0"/>
              <w:autoSpaceDE/>
              <w:autoSpaceDN/>
              <w:bidi w:val="0"/>
              <w:spacing w:line="480" w:lineRule="exact"/>
              <w:ind w:firstLine="1050" w:firstLineChars="5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Ef：指堆场风蚀扬尘概化系数，（单位：千克/平方米）；</w:t>
            </w:r>
          </w:p>
          <w:p w14:paraId="4DCAD6AF">
            <w:pPr>
              <w:pStyle w:val="9"/>
              <w:pageBreakBefore w:val="0"/>
              <w:widowControl w:val="0"/>
              <w:kinsoku/>
              <w:wordWrap w:val="0"/>
              <w:overflowPunct/>
              <w:topLinePunct w:val="0"/>
              <w:autoSpaceDE/>
              <w:autoSpaceDN/>
              <w:bidi w:val="0"/>
              <w:spacing w:line="480" w:lineRule="exact"/>
              <w:ind w:firstLine="1050" w:firstLineChars="5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S：指堆场占地面积（单位：平方米）。</w:t>
            </w:r>
          </w:p>
          <w:p w14:paraId="2CEC5BD1">
            <w:pPr>
              <w:pStyle w:val="9"/>
              <w:pageBreakBefore w:val="0"/>
              <w:widowControl w:val="0"/>
              <w:kinsoku/>
              <w:wordWrap w:val="0"/>
              <w:overflowPunct/>
              <w:topLinePunct w:val="0"/>
              <w:autoSpaceDE/>
              <w:autoSpaceDN/>
              <w:bidi w:val="0"/>
              <w:spacing w:line="480" w:lineRule="exact"/>
              <w:ind w:firstLine="420" w:firstLineChars="2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（二）颗粒物排放量核算</w:t>
            </w:r>
          </w:p>
          <w:p w14:paraId="2D4EA4F6">
            <w:pPr>
              <w:pStyle w:val="9"/>
              <w:pageBreakBefore w:val="0"/>
              <w:widowControl w:val="0"/>
              <w:kinsoku/>
              <w:wordWrap w:val="0"/>
              <w:overflowPunct/>
              <w:topLinePunct w:val="0"/>
              <w:autoSpaceDE/>
              <w:autoSpaceDN/>
              <w:bidi w:val="0"/>
              <w:spacing w:line="480" w:lineRule="exact"/>
              <w:ind w:firstLine="420" w:firstLineChars="200"/>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257175</wp:posOffset>
                  </wp:positionH>
                  <wp:positionV relativeFrom="paragraph">
                    <wp:posOffset>415290</wp:posOffset>
                  </wp:positionV>
                  <wp:extent cx="4048125" cy="381000"/>
                  <wp:effectExtent l="0" t="0" r="9525" b="0"/>
                  <wp:wrapTopAndBottom/>
                  <wp:docPr id="10" name="图片 3" descr="微信截图_202109011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微信截图_20210901112050"/>
                          <pic:cNvPicPr>
                            <a:picLocks noChangeAspect="1"/>
                          </pic:cNvPicPr>
                        </pic:nvPicPr>
                        <pic:blipFill>
                          <a:blip r:embed="rId19"/>
                          <a:stretch>
                            <a:fillRect/>
                          </a:stretch>
                        </pic:blipFill>
                        <pic:spPr>
                          <a:xfrm>
                            <a:off x="0" y="0"/>
                            <a:ext cx="4048125" cy="381000"/>
                          </a:xfrm>
                          <a:prstGeom prst="rect">
                            <a:avLst/>
                          </a:prstGeom>
                          <a:noFill/>
                          <a:ln>
                            <a:noFill/>
                          </a:ln>
                        </pic:spPr>
                      </pic:pic>
                    </a:graphicData>
                  </a:graphic>
                </wp:anchor>
              </w:drawing>
            </w:r>
            <w:r>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工业企业固体物料堆场颗粒物排放量核算公式如下：</w:t>
            </w:r>
          </w:p>
          <w:p w14:paraId="41D3F24C">
            <w:pPr>
              <w:pStyle w:val="8"/>
              <w:keepNext w:val="0"/>
              <w:keepLines w:val="0"/>
              <w:pageBreakBefore w:val="0"/>
              <w:widowControl w:val="0"/>
              <w:numPr>
                <w:ilvl w:val="3"/>
                <w:numId w:val="0"/>
              </w:numPr>
              <w:tabs>
                <w:tab w:val="clear" w:pos="480"/>
                <w:tab w:val="clear" w:pos="864"/>
              </w:tabs>
              <w:kinsoku/>
              <w:wordWrap w:val="0"/>
              <w:overflowPunct/>
              <w:topLinePunct w:val="0"/>
              <w:autoSpaceDE/>
              <w:autoSpaceDN/>
              <w:bidi w:val="0"/>
              <w:adjustRightInd/>
              <w:snapToGrid/>
              <w:spacing w:before="0" w:beforeLines="0" w:after="0" w:line="480" w:lineRule="exact"/>
              <w:ind w:left="0" w:leftChars="0" w:firstLine="420" w:firstLineChars="200"/>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式中：P：指颗粒物产生量（单位：吨）；</w:t>
            </w:r>
          </w:p>
          <w:p w14:paraId="5A57BC1E">
            <w:pPr>
              <w:pStyle w:val="8"/>
              <w:keepNext w:val="0"/>
              <w:keepLines w:val="0"/>
              <w:pageBreakBefore w:val="0"/>
              <w:widowControl w:val="0"/>
              <w:numPr>
                <w:ilvl w:val="3"/>
                <w:numId w:val="0"/>
              </w:numPr>
              <w:tabs>
                <w:tab w:val="clear" w:pos="480"/>
                <w:tab w:val="clear" w:pos="864"/>
              </w:tabs>
              <w:kinsoku/>
              <w:wordWrap w:val="0"/>
              <w:overflowPunct/>
              <w:topLinePunct w:val="0"/>
              <w:autoSpaceDE/>
              <w:autoSpaceDN/>
              <w:bidi w:val="0"/>
              <w:adjustRightInd/>
              <w:snapToGrid/>
              <w:spacing w:before="0" w:beforeLines="0" w:after="0" w:line="480" w:lineRule="exact"/>
              <w:ind w:left="0" w:leftChars="0" w:firstLine="1050" w:firstLineChars="500"/>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Uc：指颗粒物排放量（单位：吨）；</w:t>
            </w:r>
          </w:p>
          <w:p w14:paraId="569922E6">
            <w:pPr>
              <w:pStyle w:val="8"/>
              <w:keepNext w:val="0"/>
              <w:keepLines w:val="0"/>
              <w:pageBreakBefore w:val="0"/>
              <w:widowControl w:val="0"/>
              <w:numPr>
                <w:ilvl w:val="3"/>
                <w:numId w:val="0"/>
              </w:numPr>
              <w:tabs>
                <w:tab w:val="clear" w:pos="480"/>
                <w:tab w:val="clear" w:pos="864"/>
              </w:tabs>
              <w:kinsoku/>
              <w:wordWrap w:val="0"/>
              <w:overflowPunct/>
              <w:topLinePunct w:val="0"/>
              <w:autoSpaceDE/>
              <w:autoSpaceDN/>
              <w:bidi w:val="0"/>
              <w:adjustRightInd/>
              <w:snapToGrid/>
              <w:spacing w:before="0" w:beforeLines="0" w:after="0" w:line="480" w:lineRule="exact"/>
              <w:ind w:left="0" w:leftChars="0" w:firstLine="1050" w:firstLineChars="500"/>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Cm：指颗粒物控制措施控制效率（单位：%）；</w:t>
            </w:r>
          </w:p>
          <w:p w14:paraId="336D2DC1">
            <w:pPr>
              <w:pStyle w:val="8"/>
              <w:keepNext w:val="0"/>
              <w:keepLines w:val="0"/>
              <w:pageBreakBefore w:val="0"/>
              <w:widowControl w:val="0"/>
              <w:numPr>
                <w:ilvl w:val="3"/>
                <w:numId w:val="0"/>
              </w:numPr>
              <w:tabs>
                <w:tab w:val="clear" w:pos="480"/>
                <w:tab w:val="clear" w:pos="864"/>
              </w:tabs>
              <w:kinsoku/>
              <w:wordWrap w:val="0"/>
              <w:overflowPunct/>
              <w:topLinePunct w:val="0"/>
              <w:autoSpaceDE/>
              <w:autoSpaceDN/>
              <w:bidi w:val="0"/>
              <w:adjustRightInd/>
              <w:snapToGrid/>
              <w:spacing w:before="0" w:beforeLines="0" w:after="0" w:line="480" w:lineRule="exact"/>
              <w:ind w:left="0" w:leftChars="0" w:firstLine="1050" w:firstLineChars="500"/>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Tm：指堆场类型控制效率（单位：%）。</w:t>
            </w:r>
          </w:p>
          <w:p w14:paraId="3CBC3EAD">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本项目铣刨沥青、骨料和矿粉的总用量为48100t，原料采用40t的渣土车进行运输。</w:t>
            </w:r>
          </w:p>
          <w:p w14:paraId="48875A02">
            <w:pPr>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val="0"/>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highlight w:val="none"/>
                <w14:textFill>
                  <w14:solidFill>
                    <w14:schemeClr w14:val="tx1"/>
                  </w14:solidFill>
                </w14:textFill>
              </w:rPr>
              <w:t>项目所需各系数及</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排放量</w:t>
            </w:r>
          </w:p>
          <w:tbl>
            <w:tblPr>
              <w:tblStyle w:val="30"/>
              <w:tblW w:w="85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643"/>
              <w:gridCol w:w="479"/>
              <w:gridCol w:w="1335"/>
              <w:gridCol w:w="825"/>
              <w:gridCol w:w="863"/>
              <w:gridCol w:w="601"/>
              <w:gridCol w:w="601"/>
              <w:gridCol w:w="1106"/>
              <w:gridCol w:w="1109"/>
            </w:tblGrid>
            <w:tr w14:paraId="044C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77" w:type="pct"/>
                  <w:tcBorders>
                    <w:top w:val="single" w:color="auto" w:sz="4" w:space="0"/>
                    <w:left w:val="single" w:color="auto" w:sz="4" w:space="0"/>
                    <w:bottom w:val="single" w:color="auto" w:sz="4" w:space="0"/>
                    <w:right w:val="single" w:color="auto" w:sz="4" w:space="0"/>
                  </w:tcBorders>
                  <w:noWrap w:val="0"/>
                  <w:vAlign w:val="center"/>
                </w:tcPr>
                <w:p w14:paraId="06AF73C1">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项目</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374BF6EA">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Nc</w:t>
                  </w:r>
                </w:p>
              </w:tc>
              <w:tc>
                <w:tcPr>
                  <w:tcW w:w="280" w:type="pct"/>
                  <w:tcBorders>
                    <w:top w:val="single" w:color="auto" w:sz="4" w:space="0"/>
                    <w:left w:val="single" w:color="auto" w:sz="4" w:space="0"/>
                    <w:bottom w:val="single" w:color="auto" w:sz="4" w:space="0"/>
                    <w:right w:val="single" w:color="auto" w:sz="4" w:space="0"/>
                  </w:tcBorders>
                  <w:noWrap w:val="0"/>
                  <w:vAlign w:val="center"/>
                </w:tcPr>
                <w:p w14:paraId="148693E1">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D</w:t>
                  </w:r>
                </w:p>
              </w:tc>
              <w:tc>
                <w:tcPr>
                  <w:tcW w:w="780" w:type="pct"/>
                  <w:tcBorders>
                    <w:top w:val="single" w:color="auto" w:sz="4" w:space="0"/>
                    <w:left w:val="single" w:color="auto" w:sz="4" w:space="0"/>
                    <w:bottom w:val="single" w:color="auto" w:sz="4" w:space="0"/>
                    <w:right w:val="single" w:color="auto" w:sz="4" w:space="0"/>
                  </w:tcBorders>
                  <w:noWrap w:val="0"/>
                  <w:vAlign w:val="center"/>
                </w:tcPr>
                <w:p w14:paraId="6D3068A9">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（a/b）</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631B5AE6">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Ef</w:t>
                  </w:r>
                </w:p>
              </w:tc>
              <w:tc>
                <w:tcPr>
                  <w:tcW w:w="504" w:type="pct"/>
                  <w:tcBorders>
                    <w:top w:val="single" w:color="auto" w:sz="4" w:space="0"/>
                    <w:left w:val="single" w:color="auto" w:sz="4" w:space="0"/>
                    <w:bottom w:val="single" w:color="auto" w:sz="4" w:space="0"/>
                    <w:right w:val="single" w:color="auto" w:sz="4" w:space="0"/>
                  </w:tcBorders>
                  <w:noWrap w:val="0"/>
                  <w:vAlign w:val="center"/>
                </w:tcPr>
                <w:p w14:paraId="44A2C625">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S</w:t>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3347548C">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Cm</w:t>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17C61F78">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Tm</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44527DF1">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 xml:space="preserve">产生量 </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67BA5520">
                  <w:pPr>
                    <w:pStyle w:val="92"/>
                    <w:keepNext w:val="0"/>
                    <w:keepLines w:val="0"/>
                    <w:pageBreakBefore w:val="0"/>
                    <w:widowControl w:val="0"/>
                    <w:kinsoku/>
                    <w:wordWrap w:val="0"/>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排放量</w:t>
                  </w:r>
                </w:p>
              </w:tc>
            </w:tr>
            <w:tr w14:paraId="79BF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pct"/>
                  <w:tcBorders>
                    <w:top w:val="single" w:color="auto" w:sz="4" w:space="0"/>
                    <w:left w:val="single" w:color="auto" w:sz="4" w:space="0"/>
                    <w:bottom w:val="single" w:color="auto" w:sz="4" w:space="0"/>
                    <w:right w:val="single" w:color="auto" w:sz="4" w:space="0"/>
                  </w:tcBorders>
                  <w:noWrap w:val="0"/>
                  <w:vAlign w:val="center"/>
                </w:tcPr>
                <w:p w14:paraId="3598EE81">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原料装卸</w:t>
                  </w:r>
                </w:p>
              </w:tc>
              <w:tc>
                <w:tcPr>
                  <w:tcW w:w="376" w:type="pct"/>
                  <w:tcBorders>
                    <w:top w:val="single" w:color="auto" w:sz="4" w:space="0"/>
                    <w:left w:val="single" w:color="auto" w:sz="4" w:space="0"/>
                    <w:bottom w:val="single" w:color="auto" w:sz="4" w:space="0"/>
                    <w:right w:val="single" w:color="auto" w:sz="4" w:space="0"/>
                  </w:tcBorders>
                  <w:noWrap w:val="0"/>
                  <w:vAlign w:val="center"/>
                </w:tcPr>
                <w:p w14:paraId="4EECB146">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1203</w:t>
                  </w:r>
                </w:p>
              </w:tc>
              <w:tc>
                <w:tcPr>
                  <w:tcW w:w="280" w:type="pct"/>
                  <w:tcBorders>
                    <w:top w:val="single" w:color="auto" w:sz="4" w:space="0"/>
                    <w:left w:val="single" w:color="auto" w:sz="4" w:space="0"/>
                    <w:bottom w:val="single" w:color="auto" w:sz="4" w:space="0"/>
                    <w:right w:val="single" w:color="auto" w:sz="4" w:space="0"/>
                  </w:tcBorders>
                  <w:noWrap w:val="0"/>
                  <w:vAlign w:val="center"/>
                </w:tcPr>
                <w:p w14:paraId="2F466936">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40</w:t>
                  </w:r>
                </w:p>
              </w:tc>
              <w:tc>
                <w:tcPr>
                  <w:tcW w:w="780" w:type="pct"/>
                  <w:tcBorders>
                    <w:top w:val="single" w:color="auto" w:sz="4" w:space="0"/>
                    <w:left w:val="single" w:color="auto" w:sz="4" w:space="0"/>
                    <w:bottom w:val="single" w:color="auto" w:sz="4" w:space="0"/>
                    <w:right w:val="single" w:color="auto" w:sz="4" w:space="0"/>
                  </w:tcBorders>
                  <w:noWrap w:val="0"/>
                  <w:vAlign w:val="center"/>
                </w:tcPr>
                <w:p w14:paraId="20B8FCCA">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0.001/0.00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17</w:t>
                  </w:r>
                </w:p>
              </w:tc>
              <w:tc>
                <w:tcPr>
                  <w:tcW w:w="482" w:type="pct"/>
                  <w:tcBorders>
                    <w:top w:val="single" w:color="auto" w:sz="4" w:space="0"/>
                    <w:left w:val="single" w:color="auto" w:sz="4" w:space="0"/>
                    <w:bottom w:val="single" w:color="auto" w:sz="4" w:space="0"/>
                    <w:right w:val="single" w:color="auto" w:sz="4" w:space="0"/>
                  </w:tcBorders>
                  <w:noWrap w:val="0"/>
                  <w:vAlign w:val="center"/>
                </w:tcPr>
                <w:p w14:paraId="3A9C0B5D">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3.6062</w:t>
                  </w:r>
                </w:p>
              </w:tc>
              <w:tc>
                <w:tcPr>
                  <w:tcW w:w="504" w:type="pct"/>
                  <w:tcBorders>
                    <w:top w:val="single" w:color="auto" w:sz="4" w:space="0"/>
                    <w:left w:val="single" w:color="auto" w:sz="4" w:space="0"/>
                    <w:bottom w:val="single" w:color="auto" w:sz="4" w:space="0"/>
                    <w:right w:val="single" w:color="auto" w:sz="4" w:space="0"/>
                  </w:tcBorders>
                  <w:noWrap w:val="0"/>
                  <w:vAlign w:val="center"/>
                </w:tcPr>
                <w:p w14:paraId="2867CDBA">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5400</w:t>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65833417">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74%</w:t>
                  </w:r>
                </w:p>
              </w:tc>
              <w:tc>
                <w:tcPr>
                  <w:tcW w:w="351" w:type="pct"/>
                  <w:tcBorders>
                    <w:top w:val="single" w:color="auto" w:sz="4" w:space="0"/>
                    <w:left w:val="single" w:color="auto" w:sz="4" w:space="0"/>
                    <w:bottom w:val="single" w:color="auto" w:sz="4" w:space="0"/>
                    <w:right w:val="single" w:color="auto" w:sz="4" w:space="0"/>
                  </w:tcBorders>
                  <w:noWrap w:val="0"/>
                  <w:vAlign w:val="center"/>
                </w:tcPr>
                <w:p w14:paraId="38F6D274">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99%</w:t>
                  </w:r>
                </w:p>
              </w:tc>
              <w:tc>
                <w:tcPr>
                  <w:tcW w:w="646" w:type="pct"/>
                  <w:tcBorders>
                    <w:top w:val="single" w:color="auto" w:sz="4" w:space="0"/>
                    <w:left w:val="single" w:color="auto" w:sz="4" w:space="0"/>
                    <w:bottom w:val="single" w:color="auto" w:sz="4" w:space="0"/>
                    <w:right w:val="single" w:color="auto" w:sz="4" w:space="0"/>
                  </w:tcBorders>
                  <w:noWrap w:val="0"/>
                  <w:vAlign w:val="center"/>
                </w:tcPr>
                <w:p w14:paraId="20455A8F">
                  <w:pPr>
                    <w:pStyle w:val="92"/>
                    <w:keepNext w:val="0"/>
                    <w:keepLines w:val="0"/>
                    <w:pageBreakBefore w:val="0"/>
                    <w:widowControl w:val="0"/>
                    <w:kinsoku/>
                    <w:wordWrap w:val="0"/>
                    <w:overflowPunct/>
                    <w:topLinePunct w:val="0"/>
                    <w:autoSpaceDE w:val="0"/>
                    <w:autoSpaceDN w:val="0"/>
                    <w:bidi w:val="0"/>
                    <w:adjustRightInd/>
                    <w:snapToGrid/>
                    <w:spacing w:line="320" w:lineRule="exact"/>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67.252t/a</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0873F166">
                  <w:pPr>
                    <w:pStyle w:val="92"/>
                    <w:keepNext w:val="0"/>
                    <w:keepLines w:val="0"/>
                    <w:pageBreakBefore w:val="0"/>
                    <w:widowControl w:val="0"/>
                    <w:kinsoku/>
                    <w:wordWrap w:val="0"/>
                    <w:overflowPunct/>
                    <w:topLinePunct w:val="0"/>
                    <w:autoSpaceDE w:val="0"/>
                    <w:autoSpaceDN w:val="0"/>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0.175</w:t>
                  </w:r>
                  <w:r>
                    <w:rPr>
                      <w:rFonts w:hint="default" w:ascii="Times New Roman" w:hAnsi="Times New Roman" w:cs="Times New Roman"/>
                      <w:color w:val="000000" w:themeColor="text1"/>
                      <w:highlight w:val="none"/>
                      <w14:textFill>
                        <w14:solidFill>
                          <w14:schemeClr w14:val="tx1"/>
                        </w14:solidFill>
                      </w14:textFill>
                    </w:rPr>
                    <w:t>t/a</w:t>
                  </w:r>
                </w:p>
              </w:tc>
            </w:tr>
          </w:tbl>
          <w:p w14:paraId="51CB51E8">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②铣刨沥青破碎筛分产生的有组织粉尘</w:t>
            </w:r>
          </w:p>
          <w:p w14:paraId="6FEEA7E6">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新增铣刨沥青20000吨，铣刨沥青破碎筛分会产生一部分的颗粒物，在破碎和筛分的入料口和出料口均设有集气罩，集气罩的收集效率为90%，收集后的废气经布袋除尘器处理后由一根15m高的排气筒排放。布袋除尘器的除尘效率为99%，风机风量为30000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/h。</w:t>
            </w:r>
          </w:p>
          <w:p w14:paraId="19FC7292">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参考《逸散性工业粉尘控制技术》中的系数，类比碎石一级破碎和筛分排放因子计算，</w:t>
            </w:r>
            <w:r>
              <w:rPr>
                <w:rFonts w:hint="eastAsia" w:eastAsia="宋体" w:cs="Times New Roman"/>
                <w:color w:val="000000" w:themeColor="text1"/>
                <w:sz w:val="21"/>
                <w:szCs w:val="21"/>
                <w:highlight w:val="none"/>
                <w:lang w:val="en-US" w:eastAsia="zh-CN"/>
                <w14:textFill>
                  <w14:solidFill>
                    <w14:schemeClr w14:val="tx1"/>
                  </w14:solidFill>
                </w14:textFill>
              </w:rPr>
              <w:t>铣刨沥青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破碎和筛分粉尘的排放因子为0.25kg/t-原料，本项目年用铣刨沥青20000吨，故铣刨沥青破碎筛分产生的颗粒物为5t/a，本项目破碎筛分工序年运行时间约为800h，</w:t>
            </w:r>
            <w:r>
              <w:rPr>
                <w:rFonts w:hint="eastAsia" w:eastAsia="宋体" w:cs="Times New Roman"/>
                <w:color w:val="000000" w:themeColor="text1"/>
                <w:sz w:val="21"/>
                <w:szCs w:val="21"/>
                <w:highlight w:val="none"/>
                <w:lang w:val="en-US" w:eastAsia="zh-CN"/>
                <w14:textFill>
                  <w14:solidFill>
                    <w14:schemeClr w14:val="tx1"/>
                  </w14:solidFill>
                </w14:textFill>
              </w:rPr>
              <w:t>该工段颗粒物的产生量为5t/a，产生速率为6.25kg/h，产生浓度为208.333mg/m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，经布袋除尘器处理后，该工段颗粒物的排放量为0.045t/a，排放速率为0.056kg/h，排放浓度为1.875mg/m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，除尘灰的产生量为4.455t/a。</w:t>
            </w:r>
          </w:p>
          <w:p w14:paraId="37905A1D">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③铣刨沥青破碎筛分产生的无组织粉尘</w:t>
            </w:r>
          </w:p>
          <w:p w14:paraId="7B097363">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本项目铣刨沥青在破碎筛分时污染物的产生量为5t/a，其中有10%的粉尘逃逸，粉尘无组织的排放量为0.5t/a，通过车间阻隔</w:t>
            </w:r>
            <w:r>
              <w:rPr>
                <w:rFonts w:hint="eastAsia" w:eastAsia="宋体" w:cs="Times New Roman"/>
                <w:color w:val="000000" w:themeColor="text1"/>
                <w:sz w:val="21"/>
                <w:szCs w:val="21"/>
                <w:highlight w:val="none"/>
                <w:lang w:val="en-US" w:eastAsia="zh-CN"/>
                <w14:textFill>
                  <w14:solidFill>
                    <w14:schemeClr w14:val="tx1"/>
                  </w14:solidFill>
                </w14:textFill>
              </w:rPr>
              <w:t>和洒水降尘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可以达到</w:t>
            </w:r>
            <w:r>
              <w:rPr>
                <w:rFonts w:hint="eastAsia" w:eastAsia="宋体" w:cs="Times New Roman"/>
                <w:color w:val="000000" w:themeColor="text1"/>
                <w:sz w:val="21"/>
                <w:szCs w:val="21"/>
                <w:highlight w:val="none"/>
                <w:lang w:val="en-US" w:eastAsia="zh-CN"/>
                <w14:textFill>
                  <w14:solidFill>
                    <w14:schemeClr w14:val="tx1"/>
                  </w14:solidFill>
                </w14:textFill>
              </w:rPr>
              <w:t>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0%的降尘效率，故铣刨沥青在破碎筛分工段产生的无组织粉尘排放量为0.</w:t>
            </w:r>
            <w:r>
              <w:rPr>
                <w:rFonts w:hint="eastAsia" w:eastAsia="宋体" w:cs="Times New Roman"/>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t/a，排放速率为</w:t>
            </w:r>
            <w:r>
              <w:rPr>
                <w:rFonts w:hint="eastAsia" w:eastAsia="宋体" w:cs="Times New Roman"/>
                <w:color w:val="000000" w:themeColor="text1"/>
                <w:sz w:val="21"/>
                <w:szCs w:val="21"/>
                <w:highlight w:val="none"/>
                <w:lang w:val="en-US" w:eastAsia="zh-CN"/>
                <w14:textFill>
                  <w14:solidFill>
                    <w14:schemeClr w14:val="tx1"/>
                  </w14:solidFill>
                </w14:textFill>
              </w:rPr>
              <w:t>0.125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kg/h。</w:t>
            </w:r>
          </w:p>
          <w:p w14:paraId="4C5A0D64">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④铣刨沥青烘干产生的有组织废气</w:t>
            </w:r>
          </w:p>
          <w:p w14:paraId="7D61AECE">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本项目铣刨沥青在进入搅拌楼之前需进行加热处理，通过密闭的</w:t>
            </w:r>
            <w:r>
              <w:rPr>
                <w:rFonts w:hint="eastAsia" w:eastAsia="宋体" w:cs="Times New Roman"/>
                <w:color w:val="000000" w:themeColor="text1"/>
                <w:sz w:val="21"/>
                <w:szCs w:val="21"/>
                <w:highlight w:val="none"/>
                <w:lang w:val="en-US" w:eastAsia="zh-CN"/>
                <w14:textFill>
                  <w14:solidFill>
                    <w14:schemeClr w14:val="tx1"/>
                  </w14:solidFill>
                </w14:textFill>
              </w:rPr>
              <w:t>干燥滚筒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不停转动以使</w:t>
            </w:r>
            <w:r>
              <w:rPr>
                <w:rFonts w:hint="eastAsia" w:eastAsia="宋体" w:cs="Times New Roman"/>
                <w:color w:val="000000" w:themeColor="text1"/>
                <w:sz w:val="21"/>
                <w:szCs w:val="21"/>
                <w:highlight w:val="none"/>
                <w:lang w:val="en-US" w:eastAsia="zh-CN"/>
                <w14:textFill>
                  <w14:solidFill>
                    <w14:schemeClr w14:val="tx1"/>
                  </w14:solidFill>
                </w14:textFill>
              </w:rPr>
              <w:t>铣刨沥青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受热均匀，项目</w:t>
            </w:r>
            <w:r>
              <w:rPr>
                <w:rFonts w:hint="eastAsia" w:eastAsia="宋体" w:cs="Times New Roman"/>
                <w:color w:val="000000" w:themeColor="text1"/>
                <w:sz w:val="21"/>
                <w:szCs w:val="21"/>
                <w:highlight w:val="none"/>
                <w:lang w:val="en-US" w:eastAsia="zh-CN"/>
                <w14:textFill>
                  <w14:solidFill>
                    <w14:schemeClr w14:val="tx1"/>
                  </w14:solidFill>
                </w14:textFill>
              </w:rPr>
              <w:t>干燥滚筒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配套安装天然气燃烧器。</w:t>
            </w:r>
            <w:r>
              <w:rPr>
                <w:rFonts w:hint="eastAsia" w:eastAsia="宋体" w:cs="Times New Roman"/>
                <w:color w:val="000000" w:themeColor="text1"/>
                <w:sz w:val="21"/>
                <w:szCs w:val="21"/>
                <w:highlight w:val="none"/>
                <w:lang w:val="en-US" w:eastAsia="zh-CN"/>
                <w14:textFill>
                  <w14:solidFill>
                    <w14:schemeClr w14:val="tx1"/>
                  </w14:solidFill>
                </w14:textFill>
              </w:rPr>
              <w:t>干燥滚筒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内加热时有烟气产生，主要污染因子为颗粒物、二氧化硫、氮氧化物、沥青烟、非甲烷总烃和苯并[a]芘。</w:t>
            </w:r>
          </w:p>
          <w:p w14:paraId="6D7C07C5">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A、铣刨沥青烘干颗粒物</w:t>
            </w:r>
          </w:p>
          <w:p w14:paraId="3F8A1049">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根据类比同类型建设项目，项目</w:t>
            </w:r>
            <w:r>
              <w:rPr>
                <w:rFonts w:hint="eastAsia" w:eastAsia="宋体" w:cs="Times New Roman"/>
                <w:color w:val="000000" w:themeColor="text1"/>
                <w:sz w:val="21"/>
                <w:szCs w:val="21"/>
                <w:highlight w:val="none"/>
                <w:lang w:val="en-US" w:eastAsia="zh-CN"/>
                <w14:textFill>
                  <w14:solidFill>
                    <w14:schemeClr w14:val="tx1"/>
                  </w14:solidFill>
                </w14:textFill>
              </w:rPr>
              <w:t>干燥滚筒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粉尘产生量按烘干物料的5‰估算，本项目新建铣刨沥青生产年用量20000t/a，</w:t>
            </w:r>
            <w:r>
              <w:rPr>
                <w:rFonts w:hint="eastAsia" w:eastAsia="宋体" w:cs="Times New Roman"/>
                <w:color w:val="000000" w:themeColor="text1"/>
                <w:sz w:val="21"/>
                <w:szCs w:val="21"/>
                <w:highlight w:val="none"/>
                <w:lang w:val="en-US" w:eastAsia="zh-CN"/>
                <w14:textFill>
                  <w14:solidFill>
                    <w14:schemeClr w14:val="tx1"/>
                  </w14:solidFill>
                </w14:textFill>
              </w:rPr>
              <w:t>干燥滚筒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年运行时间为</w:t>
            </w:r>
            <w:r>
              <w:rPr>
                <w:rFonts w:hint="eastAsia" w:eastAsia="宋体" w:cs="Times New Roman"/>
                <w:color w:val="000000" w:themeColor="text1"/>
                <w:sz w:val="21"/>
                <w:szCs w:val="21"/>
                <w:highlight w:val="none"/>
                <w:lang w:val="en-US" w:eastAsia="zh-CN"/>
                <w14:textFill>
                  <w14:solidFill>
                    <w14:schemeClr w14:val="tx1"/>
                  </w14:solidFill>
                </w14:textFill>
              </w:rPr>
              <w:t>800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h，粉尘产生量为100t/a，粉尘产生速率为</w:t>
            </w:r>
            <w:r>
              <w:rPr>
                <w:rFonts w:hint="eastAsia" w:eastAsia="宋体" w:cs="Times New Roman"/>
                <w:color w:val="000000" w:themeColor="text1"/>
                <w:sz w:val="21"/>
                <w:szCs w:val="21"/>
                <w:highlight w:val="none"/>
                <w:lang w:val="en-US" w:eastAsia="zh-CN"/>
                <w14:textFill>
                  <w14:solidFill>
                    <w14:schemeClr w14:val="tx1"/>
                  </w14:solidFill>
                </w14:textFill>
              </w:rPr>
              <w:t>125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kg/h。</w:t>
            </w:r>
          </w:p>
          <w:p w14:paraId="4737BCA0">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B、铣刨沥青烘干产生的二氧化硫、氮氧化物</w:t>
            </w:r>
            <w:r>
              <w:rPr>
                <w:rFonts w:hint="eastAsia" w:eastAsia="宋体" w:cs="Times New Roman"/>
                <w:color w:val="000000" w:themeColor="text1"/>
                <w:sz w:val="21"/>
                <w:szCs w:val="21"/>
                <w:highlight w:val="none"/>
                <w:lang w:val="en-US" w:eastAsia="zh-CN"/>
                <w14:textFill>
                  <w14:solidFill>
                    <w14:schemeClr w14:val="tx1"/>
                  </w14:solidFill>
                </w14:textFill>
              </w:rPr>
              <w:t>、颗粒物</w:t>
            </w:r>
          </w:p>
          <w:p w14:paraId="20102EB2">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参照《北京大气污染物控制对策研究》中天然气燃烧颗粒物的产生系数为0.45kg/万m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-天然气，则产生量=14万m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×0.45kg/万m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t/kg=0.006t/a；</w:t>
            </w:r>
          </w:p>
          <w:p w14:paraId="750C17EF">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本项目烘干热源为天然气，类别同类报告，铣刨沥青</w:t>
            </w:r>
            <w:r>
              <w:rPr>
                <w:rFonts w:hint="eastAsia" w:eastAsia="宋体" w:cs="Times New Roman"/>
                <w:color w:val="000000" w:themeColor="text1"/>
                <w:sz w:val="21"/>
                <w:szCs w:val="21"/>
                <w:highlight w:val="none"/>
                <w:lang w:val="en-US" w:eastAsia="zh-CN"/>
                <w14:textFill>
                  <w14:solidFill>
                    <w14:schemeClr w14:val="tx1"/>
                  </w14:solidFill>
                </w14:textFill>
              </w:rPr>
              <w:t>干燥滚筒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年消耗天然气1</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万m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。根据《排放源统计调查产排污核算方法和系数手册》中“4430 锅炉产排污量核算系数手册”燃气锅炉（天然气）的工业废气量为107753标立方米/万立方米-原料，经核算，铣刨沥青烘干筒废气产生量为</w:t>
            </w:r>
            <w:r>
              <w:rPr>
                <w:rFonts w:hint="eastAsia" w:eastAsia="宋体" w:cs="Times New Roman"/>
                <w:color w:val="000000" w:themeColor="text1"/>
                <w:sz w:val="21"/>
                <w:szCs w:val="21"/>
                <w:highlight w:val="none"/>
                <w:lang w:val="en-US" w:eastAsia="zh-CN"/>
                <w14:textFill>
                  <w14:solidFill>
                    <w14:schemeClr w14:val="tx1"/>
                  </w14:solidFill>
                </w14:textFill>
              </w:rPr>
              <w:t>1508542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/a，相关计算参数详见下表所示：</w:t>
            </w:r>
          </w:p>
          <w:p w14:paraId="58B5FDCD">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 xml:space="preserve"> 天然气锅炉产排污系数一览表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682"/>
              <w:gridCol w:w="1682"/>
              <w:gridCol w:w="1682"/>
              <w:gridCol w:w="1685"/>
            </w:tblGrid>
            <w:tr w14:paraId="67E3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9" w:type="pct"/>
                  <w:vAlign w:val="center"/>
                </w:tcPr>
                <w:p w14:paraId="12C05FD1">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999" w:type="pct"/>
                  <w:vAlign w:val="center"/>
                </w:tcPr>
                <w:p w14:paraId="707ECD8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污染物指标</w:t>
                  </w:r>
                </w:p>
              </w:tc>
              <w:tc>
                <w:tcPr>
                  <w:tcW w:w="999" w:type="pct"/>
                  <w:vAlign w:val="center"/>
                </w:tcPr>
                <w:p w14:paraId="2317FB6B">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单位</w:t>
                  </w:r>
                </w:p>
              </w:tc>
              <w:tc>
                <w:tcPr>
                  <w:tcW w:w="999" w:type="pct"/>
                  <w:vAlign w:val="center"/>
                </w:tcPr>
                <w:p w14:paraId="36D2707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产污系数</w:t>
                  </w:r>
                </w:p>
              </w:tc>
              <w:tc>
                <w:tcPr>
                  <w:tcW w:w="1001" w:type="pct"/>
                  <w:vAlign w:val="center"/>
                </w:tcPr>
                <w:p w14:paraId="5422D37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去除效率（%）</w:t>
                  </w:r>
                </w:p>
              </w:tc>
            </w:tr>
            <w:tr w14:paraId="5F76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9" w:type="pct"/>
                  <w:vAlign w:val="center"/>
                </w:tcPr>
                <w:p w14:paraId="08499BF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999" w:type="pct"/>
                  <w:vAlign w:val="center"/>
                </w:tcPr>
                <w:p w14:paraId="1F6E896E">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二氧化硫</w:t>
                  </w:r>
                </w:p>
              </w:tc>
              <w:tc>
                <w:tcPr>
                  <w:tcW w:w="999" w:type="pct"/>
                  <w:vAlign w:val="center"/>
                </w:tcPr>
                <w:p w14:paraId="183B4AC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千克/万立方米-原料</w:t>
                  </w:r>
                </w:p>
              </w:tc>
              <w:tc>
                <w:tcPr>
                  <w:tcW w:w="999" w:type="pct"/>
                  <w:vAlign w:val="center"/>
                </w:tcPr>
                <w:p w14:paraId="1531108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0.02S</w:t>
                  </w:r>
                </w:p>
              </w:tc>
              <w:tc>
                <w:tcPr>
                  <w:tcW w:w="1001" w:type="pct"/>
                  <w:vAlign w:val="center"/>
                </w:tcPr>
                <w:p w14:paraId="1E07E36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p>
              </w:tc>
            </w:tr>
            <w:tr w14:paraId="34B0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9" w:type="pct"/>
                  <w:vAlign w:val="center"/>
                </w:tcPr>
                <w:p w14:paraId="6B68F9A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999" w:type="pct"/>
                  <w:vAlign w:val="center"/>
                </w:tcPr>
                <w:p w14:paraId="5756EA1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氮氧化物</w:t>
                  </w:r>
                </w:p>
              </w:tc>
              <w:tc>
                <w:tcPr>
                  <w:tcW w:w="999" w:type="pct"/>
                  <w:vAlign w:val="center"/>
                </w:tcPr>
                <w:p w14:paraId="35C31B7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千克/万立方米-原料</w:t>
                  </w:r>
                </w:p>
              </w:tc>
              <w:tc>
                <w:tcPr>
                  <w:tcW w:w="999" w:type="pct"/>
                  <w:vAlign w:val="center"/>
                </w:tcPr>
                <w:p w14:paraId="2110B756">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15.87</w:t>
                  </w:r>
                </w:p>
              </w:tc>
              <w:tc>
                <w:tcPr>
                  <w:tcW w:w="1001" w:type="pct"/>
                  <w:vAlign w:val="center"/>
                </w:tcPr>
                <w:p w14:paraId="4CE98295">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w:t>
                  </w:r>
                </w:p>
              </w:tc>
            </w:tr>
          </w:tbl>
          <w:p w14:paraId="4D935E81">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注：产污系数表中气体燃料的二氧化硫的产污系数是以含硫量（S）的形式表示的，其中含硫量（S）是指气体燃料中的硫含量，单位为毫克/立方米。例如燃料中含硫量（S） 为 200 毫克/立方米，则S=200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1016A3A4">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根据企业提供的资料，本项目所用天然气为民用天然气，技术指标为二类，S取值为50mg/m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，从而计算拟建项目</w:t>
            </w:r>
            <w:r>
              <w:rPr>
                <w:rFonts w:hint="eastAsia" w:eastAsia="宋体" w:cs="Times New Roman"/>
                <w:color w:val="000000" w:themeColor="text1"/>
                <w:sz w:val="21"/>
                <w:szCs w:val="21"/>
                <w:highlight w:val="none"/>
                <w:lang w:val="en-US" w:eastAsia="zh-CN"/>
                <w14:textFill>
                  <w14:solidFill>
                    <w14:schemeClr w14:val="tx1"/>
                  </w14:solidFill>
                </w14:textFill>
              </w:rPr>
              <w:t>干燥滚筒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燃烧废气源强，污染物产生与排放情况见下表：</w:t>
            </w:r>
          </w:p>
          <w:p w14:paraId="08325BFB">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 xml:space="preserve"> 项目</w:t>
            </w:r>
            <w:r>
              <w:rPr>
                <w:rFonts w:hint="eastAsia" w:eastAsia="宋体" w:cs="Times New Roman"/>
                <w:b/>
                <w:bCs/>
                <w:color w:val="000000" w:themeColor="text1"/>
                <w:spacing w:val="0"/>
                <w:position w:val="0"/>
                <w:sz w:val="21"/>
                <w:szCs w:val="21"/>
                <w:highlight w:val="none"/>
                <w:lang w:val="en-US" w:eastAsia="zh-CN"/>
                <w14:textFill>
                  <w14:solidFill>
                    <w14:schemeClr w14:val="tx1"/>
                  </w14:solidFill>
                </w14:textFill>
              </w:rPr>
              <w:t>干燥滚筒</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燃气废气污染物产生情况一览表</w:t>
            </w:r>
          </w:p>
          <w:tbl>
            <w:tblPr>
              <w:tblStyle w:val="31"/>
              <w:tblW w:w="83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305"/>
              <w:gridCol w:w="1125"/>
              <w:gridCol w:w="1350"/>
              <w:gridCol w:w="1440"/>
              <w:gridCol w:w="2080"/>
            </w:tblGrid>
            <w:tr w14:paraId="05AB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56" w:type="dxa"/>
                  <w:vAlign w:val="center"/>
                </w:tcPr>
                <w:p w14:paraId="0A0046F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污染源</w:t>
                  </w:r>
                </w:p>
              </w:tc>
              <w:tc>
                <w:tcPr>
                  <w:tcW w:w="1305" w:type="dxa"/>
                  <w:vAlign w:val="center"/>
                </w:tcPr>
                <w:p w14:paraId="7F7F58C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天然气用量</w:t>
                  </w:r>
                </w:p>
              </w:tc>
              <w:tc>
                <w:tcPr>
                  <w:tcW w:w="1125" w:type="dxa"/>
                  <w:vAlign w:val="center"/>
                </w:tcPr>
                <w:p w14:paraId="55422A2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项目</w:t>
                  </w:r>
                </w:p>
              </w:tc>
              <w:tc>
                <w:tcPr>
                  <w:tcW w:w="1350" w:type="dxa"/>
                  <w:vAlign w:val="center"/>
                </w:tcPr>
                <w:p w14:paraId="3F4C6E5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二氧化硫</w:t>
                  </w:r>
                </w:p>
              </w:tc>
              <w:tc>
                <w:tcPr>
                  <w:tcW w:w="1440" w:type="dxa"/>
                  <w:vAlign w:val="center"/>
                </w:tcPr>
                <w:p w14:paraId="1B5EB7CE">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氮氧化物</w:t>
                  </w:r>
                </w:p>
              </w:tc>
              <w:tc>
                <w:tcPr>
                  <w:tcW w:w="2080" w:type="dxa"/>
                  <w:vAlign w:val="center"/>
                </w:tcPr>
                <w:p w14:paraId="541FF3B9">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颗粒物</w:t>
                  </w:r>
                </w:p>
              </w:tc>
            </w:tr>
            <w:tr w14:paraId="1952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56" w:type="dxa"/>
                  <w:vMerge w:val="restart"/>
                  <w:vAlign w:val="center"/>
                </w:tcPr>
                <w:p w14:paraId="4A18D14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铣刨沥青</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干燥滚筒</w:t>
                  </w:r>
                </w:p>
              </w:tc>
              <w:tc>
                <w:tcPr>
                  <w:tcW w:w="1305" w:type="dxa"/>
                  <w:vMerge w:val="restart"/>
                  <w:vAlign w:val="center"/>
                </w:tcPr>
                <w:p w14:paraId="6B68CAD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14</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125" w:type="dxa"/>
                  <w:vAlign w:val="center"/>
                </w:tcPr>
                <w:p w14:paraId="2C3F24C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产生量</w:t>
                  </w:r>
                </w:p>
              </w:tc>
              <w:tc>
                <w:tcPr>
                  <w:tcW w:w="1350" w:type="dxa"/>
                  <w:vAlign w:val="center"/>
                </w:tcPr>
                <w:p w14:paraId="32E2C2E6">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t/a</w:t>
                  </w:r>
                </w:p>
              </w:tc>
              <w:tc>
                <w:tcPr>
                  <w:tcW w:w="1440" w:type="dxa"/>
                  <w:vAlign w:val="center"/>
                </w:tcPr>
                <w:p w14:paraId="4AF1B2E5">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22</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t/a</w:t>
                  </w:r>
                </w:p>
              </w:tc>
              <w:tc>
                <w:tcPr>
                  <w:tcW w:w="2080" w:type="dxa"/>
                  <w:vAlign w:val="center"/>
                </w:tcPr>
                <w:p w14:paraId="1DBCEEB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0.006t/a</w:t>
                  </w:r>
                </w:p>
              </w:tc>
            </w:tr>
            <w:tr w14:paraId="5D4A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56" w:type="dxa"/>
                  <w:vMerge w:val="continue"/>
                  <w:vAlign w:val="center"/>
                </w:tcPr>
                <w:p w14:paraId="0F62343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05" w:type="dxa"/>
                  <w:vMerge w:val="continue"/>
                  <w:vAlign w:val="center"/>
                </w:tcPr>
                <w:p w14:paraId="007E10C6">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25" w:type="dxa"/>
                  <w:vAlign w:val="center"/>
                </w:tcPr>
                <w:p w14:paraId="7E9FA811">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产生速率</w:t>
                  </w:r>
                </w:p>
              </w:tc>
              <w:tc>
                <w:tcPr>
                  <w:tcW w:w="1350" w:type="dxa"/>
                  <w:vAlign w:val="center"/>
                </w:tcPr>
                <w:p w14:paraId="19655C0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0.018kg/h</w:t>
                  </w:r>
                </w:p>
              </w:tc>
              <w:tc>
                <w:tcPr>
                  <w:tcW w:w="1440" w:type="dxa"/>
                  <w:vAlign w:val="center"/>
                </w:tcPr>
                <w:p w14:paraId="6E20D5E3">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0.277kg/h</w:t>
                  </w:r>
                </w:p>
              </w:tc>
              <w:tc>
                <w:tcPr>
                  <w:tcW w:w="2080" w:type="dxa"/>
                  <w:vAlign w:val="center"/>
                </w:tcPr>
                <w:p w14:paraId="5AE65EEA">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0.008kg/h</w:t>
                  </w:r>
                </w:p>
              </w:tc>
            </w:tr>
            <w:tr w14:paraId="15F9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056" w:type="dxa"/>
                  <w:vMerge w:val="continue"/>
                  <w:vAlign w:val="center"/>
                </w:tcPr>
                <w:p w14:paraId="7009DE9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05" w:type="dxa"/>
                  <w:vMerge w:val="continue"/>
                  <w:vAlign w:val="center"/>
                </w:tcPr>
                <w:p w14:paraId="4A95F97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125" w:type="dxa"/>
                  <w:vAlign w:val="center"/>
                </w:tcPr>
                <w:p w14:paraId="4E31E26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产生浓度</w:t>
                  </w:r>
                </w:p>
              </w:tc>
              <w:tc>
                <w:tcPr>
                  <w:tcW w:w="1350" w:type="dxa"/>
                  <w:vAlign w:val="center"/>
                </w:tcPr>
                <w:p w14:paraId="4B0B206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0.200mg/m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440" w:type="dxa"/>
                  <w:vAlign w:val="center"/>
                </w:tcPr>
                <w:p w14:paraId="117AE53B">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3.077mg/m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2080" w:type="dxa"/>
                  <w:vAlign w:val="center"/>
                </w:tcPr>
                <w:p w14:paraId="66FFA80B">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0.089mg/m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r>
          </w:tbl>
          <w:p w14:paraId="24210D45">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铣刨沥青烘干产生的</w:t>
            </w:r>
            <w:r>
              <w:rPr>
                <w:rFonts w:hint="eastAsia" w:eastAsia="宋体" w:cs="Times New Roman"/>
                <w:color w:val="000000" w:themeColor="text1"/>
                <w:sz w:val="21"/>
                <w:szCs w:val="21"/>
                <w:highlight w:val="none"/>
                <w:lang w:val="en-US" w:eastAsia="zh-CN"/>
                <w14:textFill>
                  <w14:solidFill>
                    <w14:schemeClr w14:val="tx1"/>
                  </w14:solidFill>
                </w14:textFill>
              </w:rPr>
              <w:t>非甲烷总烃</w:t>
            </w:r>
          </w:p>
          <w:p w14:paraId="0E82CD99">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铣刨沥青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在烘干时沥青加热会产生非甲烷总烃，</w:t>
            </w:r>
            <w:r>
              <w:rPr>
                <w:rFonts w:hint="eastAsia" w:eastAsia="宋体" w:cs="Times New Roman"/>
                <w:color w:val="000000" w:themeColor="text1"/>
                <w:sz w:val="21"/>
                <w:szCs w:val="21"/>
                <w:highlight w:val="none"/>
                <w:lang w:val="en-US" w:eastAsia="zh-CN"/>
                <w14:textFill>
                  <w14:solidFill>
                    <w14:schemeClr w14:val="tx1"/>
                  </w14:solidFill>
                </w14:textFill>
              </w:rPr>
              <w:t>铣刨沥青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中沥青含量为</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铣刨沥青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用量为</w:t>
            </w:r>
            <w:r>
              <w:rPr>
                <w:rFonts w:hint="eastAsia" w:eastAsia="宋体" w:cs="Times New Roman"/>
                <w:color w:val="000000" w:themeColor="text1"/>
                <w:sz w:val="21"/>
                <w:szCs w:val="21"/>
                <w:highlight w:val="none"/>
                <w:lang w:val="en-US" w:eastAsia="zh-CN"/>
                <w14:textFill>
                  <w14:solidFill>
                    <w14:schemeClr w14:val="tx1"/>
                  </w14:solidFill>
                </w14:textFill>
              </w:rPr>
              <w:t>20000t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/a，其中沥青含量为</w:t>
            </w:r>
            <w:r>
              <w:rPr>
                <w:rFonts w:hint="eastAsia" w:eastAsia="宋体" w:cs="Times New Roman"/>
                <w:color w:val="000000" w:themeColor="text1"/>
                <w:sz w:val="21"/>
                <w:szCs w:val="21"/>
                <w:highlight w:val="none"/>
                <w:lang w:val="en-US" w:eastAsia="zh-CN"/>
                <w14:textFill>
                  <w14:solidFill>
                    <w14:schemeClr w14:val="tx1"/>
                  </w14:solidFill>
                </w14:textFill>
              </w:rPr>
              <w:t>800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w:t>
            </w:r>
          </w:p>
          <w:p w14:paraId="74C4092A">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参照《壳牌沥青手册》（壳牌大中华集团，1995年9月版），每吨石油沥青在加热（150℃~170℃）过程中可产生非甲烷总烃气体2.5g/t，则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铣刨沥青在烘干工程非甲烷总烃的年产生量为</w:t>
            </w:r>
            <w:r>
              <w:rPr>
                <w:rFonts w:hint="eastAsia" w:eastAsia="宋体" w:cs="Times New Roman"/>
                <w:color w:val="000000" w:themeColor="text1"/>
                <w:sz w:val="21"/>
                <w:szCs w:val="21"/>
                <w:highlight w:val="none"/>
                <w:lang w:val="en-US" w:eastAsia="zh-CN"/>
                <w14:textFill>
                  <w14:solidFill>
                    <w14:schemeClr w14:val="tx1"/>
                  </w14:solidFill>
                </w14:textFill>
              </w:rPr>
              <w:t>0.002t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产生速率为0.003kg/h，</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产生的非甲烷总烃经引风机（风机风量为90000m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/h）引入“</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”装置（去除效率为90%）处理后，由一根15m高的排气筒排放。</w:t>
            </w:r>
          </w:p>
          <w:p w14:paraId="4454FFCF">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D、铣刨沥青烘干产生的苯并[a]芘和沥青烟</w:t>
            </w:r>
          </w:p>
          <w:p w14:paraId="2E2E32EA">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铣刨沥青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在烘干时沥青加热会产生</w:t>
            </w:r>
            <w:r>
              <w:rPr>
                <w:rFonts w:hint="eastAsia" w:eastAsia="宋体" w:cs="Times New Roman"/>
                <w:color w:val="000000" w:themeColor="text1"/>
                <w:sz w:val="21"/>
                <w:szCs w:val="21"/>
                <w:highlight w:val="none"/>
                <w:lang w:val="en-US" w:eastAsia="zh-CN"/>
                <w14:textFill>
                  <w14:solidFill>
                    <w14:schemeClr w14:val="tx1"/>
                  </w14:solidFill>
                </w14:textFill>
              </w:rPr>
              <w:t>苯并[a]芘和沥青烟，铣刨沥青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中沥青含量为</w:t>
            </w:r>
            <w:r>
              <w:rPr>
                <w:rFonts w:hint="eastAsia" w:eastAsia="宋体" w:cs="Times New Roman"/>
                <w:color w:val="000000" w:themeColor="text1"/>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铣刨沥青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用量为</w:t>
            </w:r>
            <w:r>
              <w:rPr>
                <w:rFonts w:hint="eastAsia" w:eastAsia="宋体" w:cs="Times New Roman"/>
                <w:color w:val="000000" w:themeColor="text1"/>
                <w:sz w:val="21"/>
                <w:szCs w:val="21"/>
                <w:highlight w:val="none"/>
                <w:lang w:val="en-US" w:eastAsia="zh-CN"/>
                <w14:textFill>
                  <w14:solidFill>
                    <w14:schemeClr w14:val="tx1"/>
                  </w14:solidFill>
                </w14:textFill>
              </w:rPr>
              <w:t>20000t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/a，其中沥青含量为</w:t>
            </w:r>
            <w:r>
              <w:rPr>
                <w:rFonts w:hint="eastAsia" w:eastAsia="宋体" w:cs="Times New Roman"/>
                <w:color w:val="000000" w:themeColor="text1"/>
                <w:sz w:val="21"/>
                <w:szCs w:val="21"/>
                <w:highlight w:val="none"/>
                <w:lang w:val="en-US" w:eastAsia="zh-CN"/>
                <w14:textFill>
                  <w14:solidFill>
                    <w14:schemeClr w14:val="tx1"/>
                  </w14:solidFill>
                </w14:textFill>
              </w:rPr>
              <w:t>800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w:t>
            </w:r>
          </w:p>
          <w:p w14:paraId="47B565F3">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参考前苏联拉扎列夫主编的《工业生产中有害物物质手册》第一卷（化学工业出版社，1987年12月出版）及金相灿主编的《有机化合物污染化学》（清华大学出版社，1990年8月出版），每吨石油沥青在加热过程中可产生苯并[a]芘气体0.006g、沥青烟56.25g。</w:t>
            </w:r>
          </w:p>
          <w:p w14:paraId="64142BB6">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铣刨沥青烘干时产生的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苯并[a]芘</w:t>
            </w:r>
            <w:r>
              <w:rPr>
                <w:rFonts w:hint="eastAsia" w:eastAsia="宋体" w:cs="Times New Roman"/>
                <w:color w:val="000000" w:themeColor="text1"/>
                <w:sz w:val="21"/>
                <w:szCs w:val="21"/>
                <w:highlight w:val="none"/>
                <w:lang w:val="en-US" w:eastAsia="zh-CN"/>
                <w14:textFill>
                  <w14:solidFill>
                    <w14:schemeClr w14:val="tx1"/>
                  </w14:solidFill>
                </w14:textFill>
              </w:rPr>
              <w:t>量为4.8</w:t>
            </w:r>
            <w:r>
              <w:rPr>
                <w:rFonts w:hint="eastAsia" w:ascii="Times New Roman" w:hAnsi="Times New Roman"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t>×10</w:t>
            </w:r>
            <w:r>
              <w:rPr>
                <w:rFonts w:hint="eastAsia" w:ascii="Times New Roman" w:hAnsi="Times New Roman" w:cs="Times New Roman"/>
                <w:b w:val="0"/>
                <w:bCs w:val="0"/>
                <w:color w:val="000000" w:themeColor="text1"/>
                <w:spacing w:val="0"/>
                <w:kern w:val="2"/>
                <w:sz w:val="21"/>
                <w:szCs w:val="21"/>
                <w:highlight w:val="none"/>
                <w:vertAlign w:val="superscript"/>
                <w:lang w:val="en-US" w:eastAsia="zh-CN" w:bidi="ar-SA"/>
                <w14:textFill>
                  <w14:solidFill>
                    <w14:schemeClr w14:val="tx1"/>
                  </w14:solidFill>
                </w14:textFill>
              </w:rPr>
              <w:t>-6</w:t>
            </w:r>
            <w:r>
              <w:rPr>
                <w:rFonts w:hint="eastAsia" w:ascii="Times New Roman" w:hAnsi="Times New Roman"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t>t</w:t>
            </w:r>
            <w:r>
              <w:rPr>
                <w:rFonts w:hint="eastAsia" w:eastAsia="宋体" w:cs="Times New Roman"/>
                <w:color w:val="000000" w:themeColor="text1"/>
                <w:sz w:val="21"/>
                <w:szCs w:val="21"/>
                <w:highlight w:val="none"/>
                <w:lang w:val="en-US" w:eastAsia="zh-CN"/>
                <w14:textFill>
                  <w14:solidFill>
                    <w14:schemeClr w14:val="tx1"/>
                  </w14:solidFill>
                </w14:textFill>
              </w:rPr>
              <w:t>，产生速率为</w:t>
            </w:r>
            <w:r>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t>6</w:t>
            </w:r>
            <w:r>
              <w:rPr>
                <w:rFonts w:hint="eastAsia" w:ascii="Times New Roman" w:hAnsi="Times New Roman"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t>×10</w:t>
            </w:r>
            <w:r>
              <w:rPr>
                <w:rFonts w:hint="eastAsia" w:ascii="Times New Roman" w:hAnsi="Times New Roman" w:cs="Times New Roman"/>
                <w:b w:val="0"/>
                <w:bCs w:val="0"/>
                <w:color w:val="000000" w:themeColor="text1"/>
                <w:spacing w:val="0"/>
                <w:kern w:val="2"/>
                <w:sz w:val="21"/>
                <w:szCs w:val="21"/>
                <w:highlight w:val="none"/>
                <w:vertAlign w:val="superscript"/>
                <w:lang w:val="en-US" w:eastAsia="zh-CN" w:bidi="ar-SA"/>
                <w14:textFill>
                  <w14:solidFill>
                    <w14:schemeClr w14:val="tx1"/>
                  </w14:solidFill>
                </w14:textFill>
              </w:rPr>
              <w:t>-6</w:t>
            </w:r>
            <w:r>
              <w:rPr>
                <w:rFonts w:hint="eastAsia" w:eastAsia="宋体" w:cs="Times New Roman"/>
                <w:color w:val="000000" w:themeColor="text1"/>
                <w:sz w:val="21"/>
                <w:szCs w:val="21"/>
                <w:highlight w:val="none"/>
                <w:lang w:val="en-US" w:eastAsia="zh-CN"/>
                <w14:textFill>
                  <w14:solidFill>
                    <w14:schemeClr w14:val="tx1"/>
                  </w14:solidFill>
                </w14:textFill>
              </w:rPr>
              <w:t>kg/h，沥青烟的产生量为0.045t，产生速率为</w:t>
            </w:r>
            <w:r>
              <w:rPr>
                <w:rFonts w:hint="eastAsia" w:ascii="Times New Roman" w:hAnsi="Times New Roman" w:eastAsia="宋体"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t>0.056kg/h。</w:t>
            </w:r>
            <w:r>
              <w:rPr>
                <w:rFonts w:hint="eastAsia" w:eastAsia="宋体" w:cs="Times New Roman"/>
                <w:color w:val="000000" w:themeColor="text1"/>
                <w:sz w:val="21"/>
                <w:szCs w:val="21"/>
                <w:highlight w:val="none"/>
                <w:lang w:val="en-US" w:eastAsia="zh-CN"/>
                <w14:textFill>
                  <w14:solidFill>
                    <w14:schemeClr w14:val="tx1"/>
                  </w14:solidFill>
                </w14:textFill>
              </w:rPr>
              <w:t>产生沥青烟和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苯并[a]芘经引风机（风机风量为90000m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/h）引入</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装置</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（去除效率为90%）处理后，由一根15m高的排气筒排放。</w:t>
            </w:r>
          </w:p>
          <w:p w14:paraId="54171CB0">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 xml:space="preserve">⑤筒仓废气 </w:t>
            </w:r>
          </w:p>
          <w:p w14:paraId="67465A0F">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eastAsia="宋体" w:cs="Times New Roman"/>
                <w:b w:val="0"/>
                <w:bCs w:val="0"/>
                <w:color w:val="000000" w:themeColor="text1"/>
                <w:sz w:val="21"/>
                <w:szCs w:val="21"/>
                <w:highlight w:val="none"/>
                <w:vertAlign w:val="superscript"/>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由于矿粉的储存方式和物料状态与水泥类似，其系数参照水泥系数取值，根据《散装水泥车技术条件及性能试验方法》（QC/T 20560-2010），水泥平均卸料速度≥1.2t/min。矿粉筒仓最大储存量100t，则单座筒仓理想卸料时间为1.39h，但考虑到车辆加压以及替换等因素，实际一般为1.86h。本项目矿粉年使用量1100t，年冲料共计11次，年冲料时间为20.46h，由于矿粉的储存方式和物料状态与水泥类似，其系数参照水泥系数取值。参照《工业源产排污核算方法和系数手册（2010修订）》3121水泥制品制造业中物料输送储存工序工业粉尘产污系数为2.09kg/t-水泥、废气量产污系数为460m</w:t>
            </w:r>
            <w:r>
              <w:rPr>
                <w:rFonts w:hint="eastAsia"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b w:val="0"/>
                <w:bCs w:val="0"/>
                <w:color w:val="000000" w:themeColor="text1"/>
                <w:sz w:val="21"/>
                <w:szCs w:val="21"/>
                <w:highlight w:val="none"/>
                <w:lang w:val="en-US" w:eastAsia="zh-CN"/>
                <w14:textFill>
                  <w14:solidFill>
                    <w14:schemeClr w14:val="tx1"/>
                  </w14:solidFill>
                </w14:textFill>
              </w:rPr>
              <w:t>/t-水泥，矿粉用量为1100t/a，经计算矿粉筒仓粉尘的产生量为2.299t/a，废气产生量为506000m</w:t>
            </w:r>
            <w:r>
              <w:rPr>
                <w:rFonts w:hint="eastAsia"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b w:val="0"/>
                <w:bCs w:val="0"/>
                <w:color w:val="000000" w:themeColor="text1"/>
                <w:sz w:val="21"/>
                <w:szCs w:val="21"/>
                <w:highlight w:val="none"/>
                <w:lang w:val="en-US" w:eastAsia="zh-CN"/>
                <w14:textFill>
                  <w14:solidFill>
                    <w14:schemeClr w14:val="tx1"/>
                  </w14:solidFill>
                </w14:textFill>
              </w:rPr>
              <w:t>，产生速率为112.36kg/h，产生浓度为220.553mg/m</w:t>
            </w:r>
            <w:r>
              <w:rPr>
                <w:rFonts w:hint="eastAsia"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b w:val="0"/>
                <w:bCs w:val="0"/>
                <w:color w:val="000000" w:themeColor="text1"/>
                <w:sz w:val="21"/>
                <w:szCs w:val="21"/>
                <w:highlight w:val="none"/>
                <w:vertAlign w:val="baseline"/>
                <w:lang w:val="en-US" w:eastAsia="zh-CN"/>
                <w14:textFill>
                  <w14:solidFill>
                    <w14:schemeClr w14:val="tx1"/>
                  </w14:solidFill>
                </w14:textFill>
              </w:rPr>
              <w:t>。</w:t>
            </w:r>
          </w:p>
          <w:p w14:paraId="3078AF52">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⑥砂石骨料加热产生的有组织废气</w:t>
            </w:r>
          </w:p>
          <w:p w14:paraId="4D29BDDB">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A、砂石骨料加热产生的颗粒物</w:t>
            </w:r>
          </w:p>
          <w:p w14:paraId="2A1B862C">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原有生产线砂石骨料在进行搅拌前需进行加热，通过密闭的干燥滚筒不停转动以使骨料受热均匀，项目干燥滚筒配套安装天然气燃烧器，火焰与骨料直接接触，烘烤骨料，使骨料干燥。干燥滚筒内加热时有烟气产生，主要污染因子为颗粒物、二氧化硫和氮氧化物。</w:t>
            </w:r>
          </w:p>
          <w:p w14:paraId="355202D6">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根据类比同类型建设项目，项目干燥滚筒粉尘产生量按烘干物料的5‰估算，由于原料中新增铣刨沥青，故原有项目使用砂石骨料的量减少，年用量约为27000t，已知砂石骨料干燥滚筒年运行小时数为800h，粉尘产生量为135t/a，产生速率为168.75kg/h。</w:t>
            </w:r>
          </w:p>
          <w:p w14:paraId="7C29145F">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B、砂石骨料烘干产生的二氧化硫、氮氧化物和颗粒物有组织废气</w:t>
            </w:r>
          </w:p>
          <w:p w14:paraId="7C9758AD">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参照《北京大气污染物控制对策研究》中天然气燃烧颗粒物的产生系数为0.45kg/万m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-天然气，则产生量=10万m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×0.45kg/万m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t/kg=0.005t/a；</w:t>
            </w:r>
          </w:p>
          <w:p w14:paraId="069EC583">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本项目烘干热源为天然气，干燥滚筒年消耗天然气的量为10万m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根据《排放源统计调查产排污核算方法和系数手册》中“4430 锅炉产排污量核算系数手册”燃气锅炉（天然气）的工业废气量为107753标立方米/万立方米-原料，经核算，</w:t>
            </w:r>
            <w:r>
              <w:rPr>
                <w:rFonts w:hint="eastAsia" w:eastAsia="宋体" w:cs="Times New Roman"/>
                <w:color w:val="000000" w:themeColor="text1"/>
                <w:sz w:val="21"/>
                <w:szCs w:val="21"/>
                <w:highlight w:val="none"/>
                <w:lang w:val="en-US" w:eastAsia="zh-CN"/>
                <w14:textFill>
                  <w14:solidFill>
                    <w14:schemeClr w14:val="tx1"/>
                  </w14:solidFill>
                </w14:textFill>
              </w:rPr>
              <w:t>砂石骨料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烘干筒废气产生量为</w:t>
            </w:r>
            <w:r>
              <w:rPr>
                <w:rFonts w:hint="eastAsia" w:eastAsia="宋体" w:cs="Times New Roman"/>
                <w:color w:val="000000" w:themeColor="text1"/>
                <w:sz w:val="21"/>
                <w:szCs w:val="21"/>
                <w:highlight w:val="none"/>
                <w:lang w:val="en-US" w:eastAsia="zh-CN"/>
                <w14:textFill>
                  <w14:solidFill>
                    <w14:schemeClr w14:val="tx1"/>
                  </w14:solidFill>
                </w14:textFill>
              </w:rPr>
              <w:t>1293036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/a，相关计算参数详见表</w:t>
            </w:r>
            <w:r>
              <w:rPr>
                <w:rFonts w:hint="eastAsia" w:eastAsia="宋体" w:cs="Times New Roman"/>
                <w:color w:val="000000" w:themeColor="text1"/>
                <w:sz w:val="21"/>
                <w:szCs w:val="21"/>
                <w:highlight w:val="none"/>
                <w:lang w:val="en-US" w:eastAsia="zh-CN"/>
                <w14:textFill>
                  <w14:solidFill>
                    <w14:schemeClr w14:val="tx1"/>
                  </w14:solidFill>
                </w14:textFill>
              </w:rPr>
              <w:t>4-3。</w:t>
            </w:r>
          </w:p>
          <w:p w14:paraId="522BA64A">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根据企业提供的资料，本项目所用天然气为民用天然气，技术指标为二类，S取值为50mg/m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，从而计算拟建项目</w:t>
            </w:r>
            <w:r>
              <w:rPr>
                <w:rFonts w:hint="eastAsia" w:eastAsia="宋体" w:cs="Times New Roman"/>
                <w:color w:val="000000" w:themeColor="text1"/>
                <w:sz w:val="21"/>
                <w:szCs w:val="21"/>
                <w:highlight w:val="none"/>
                <w:lang w:val="en-US" w:eastAsia="zh-CN"/>
                <w14:textFill>
                  <w14:solidFill>
                    <w14:schemeClr w14:val="tx1"/>
                  </w14:solidFill>
                </w14:textFill>
              </w:rPr>
              <w:t>干燥滚筒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燃烧废气源强，污染物产生见下表：</w:t>
            </w:r>
          </w:p>
          <w:p w14:paraId="52EB7DDD">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eastAsia="宋体" w:cs="Times New Roman"/>
                <w:b/>
                <w:bCs/>
                <w:color w:val="000000" w:themeColor="text1"/>
                <w:spacing w:val="0"/>
                <w:position w:val="0"/>
                <w:sz w:val="2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 xml:space="preserve"> 项目</w:t>
            </w:r>
            <w:r>
              <w:rPr>
                <w:rFonts w:hint="eastAsia" w:eastAsia="宋体" w:cs="Times New Roman"/>
                <w:b/>
                <w:bCs/>
                <w:color w:val="000000" w:themeColor="text1"/>
                <w:spacing w:val="0"/>
                <w:position w:val="0"/>
                <w:sz w:val="21"/>
                <w:szCs w:val="21"/>
                <w:highlight w:val="none"/>
                <w:lang w:val="en-US" w:eastAsia="zh-CN"/>
                <w14:textFill>
                  <w14:solidFill>
                    <w14:schemeClr w14:val="tx1"/>
                  </w14:solidFill>
                </w14:textFill>
              </w:rPr>
              <w:t>干燥滚筒</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燃气废气污染物产生情况一览表</w:t>
            </w:r>
          </w:p>
          <w:tbl>
            <w:tblPr>
              <w:tblStyle w:val="31"/>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403"/>
              <w:gridCol w:w="1403"/>
              <w:gridCol w:w="1403"/>
              <w:gridCol w:w="1403"/>
              <w:gridCol w:w="1403"/>
            </w:tblGrid>
            <w:tr w14:paraId="0889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1403" w:type="dxa"/>
                  <w:vAlign w:val="center"/>
                </w:tcPr>
                <w:p w14:paraId="4872B1E9">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污染源</w:t>
                  </w:r>
                </w:p>
              </w:tc>
              <w:tc>
                <w:tcPr>
                  <w:tcW w:w="1403" w:type="dxa"/>
                  <w:vAlign w:val="center"/>
                </w:tcPr>
                <w:p w14:paraId="30ED98F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天然气用量</w:t>
                  </w:r>
                </w:p>
              </w:tc>
              <w:tc>
                <w:tcPr>
                  <w:tcW w:w="1403" w:type="dxa"/>
                  <w:vAlign w:val="center"/>
                </w:tcPr>
                <w:p w14:paraId="2C5911F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项目</w:t>
                  </w:r>
                </w:p>
              </w:tc>
              <w:tc>
                <w:tcPr>
                  <w:tcW w:w="1403" w:type="dxa"/>
                  <w:vAlign w:val="center"/>
                </w:tcPr>
                <w:p w14:paraId="5E6B249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二氧化硫</w:t>
                  </w:r>
                </w:p>
              </w:tc>
              <w:tc>
                <w:tcPr>
                  <w:tcW w:w="1403" w:type="dxa"/>
                  <w:vAlign w:val="center"/>
                </w:tcPr>
                <w:p w14:paraId="3AC36DFA">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氮氧化物</w:t>
                  </w:r>
                </w:p>
              </w:tc>
              <w:tc>
                <w:tcPr>
                  <w:tcW w:w="1403" w:type="dxa"/>
                  <w:vAlign w:val="center"/>
                </w:tcPr>
                <w:p w14:paraId="68D141A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颗粒物</w:t>
                  </w:r>
                </w:p>
              </w:tc>
            </w:tr>
            <w:tr w14:paraId="15D9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03" w:type="dxa"/>
                  <w:vMerge w:val="restart"/>
                  <w:vAlign w:val="center"/>
                </w:tcPr>
                <w:p w14:paraId="18C9052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砂石骨料干燥滚筒</w:t>
                  </w:r>
                </w:p>
              </w:tc>
              <w:tc>
                <w:tcPr>
                  <w:tcW w:w="1403" w:type="dxa"/>
                  <w:vMerge w:val="restart"/>
                  <w:vAlign w:val="center"/>
                </w:tcPr>
                <w:p w14:paraId="444976E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403" w:type="dxa"/>
                  <w:vAlign w:val="center"/>
                </w:tcPr>
                <w:p w14:paraId="1ADAF59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产生量</w:t>
                  </w:r>
                </w:p>
              </w:tc>
              <w:tc>
                <w:tcPr>
                  <w:tcW w:w="1403" w:type="dxa"/>
                  <w:vAlign w:val="center"/>
                </w:tcPr>
                <w:p w14:paraId="7A71918B">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0.010t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w:t>
                  </w:r>
                </w:p>
              </w:tc>
              <w:tc>
                <w:tcPr>
                  <w:tcW w:w="1403" w:type="dxa"/>
                  <w:vAlign w:val="center"/>
                </w:tcPr>
                <w:p w14:paraId="2066F1BA">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0.159</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t/a</w:t>
                  </w:r>
                </w:p>
              </w:tc>
              <w:tc>
                <w:tcPr>
                  <w:tcW w:w="1403" w:type="dxa"/>
                  <w:vAlign w:val="center"/>
                </w:tcPr>
                <w:p w14:paraId="3590C47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0.005t/a</w:t>
                  </w:r>
                </w:p>
              </w:tc>
            </w:tr>
            <w:tr w14:paraId="072C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403" w:type="dxa"/>
                  <w:vMerge w:val="continue"/>
                  <w:vAlign w:val="center"/>
                </w:tcPr>
                <w:p w14:paraId="0B0BBDB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403" w:type="dxa"/>
                  <w:vMerge w:val="continue"/>
                  <w:vAlign w:val="center"/>
                </w:tcPr>
                <w:p w14:paraId="3A9B7B6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403" w:type="dxa"/>
                  <w:vAlign w:val="center"/>
                </w:tcPr>
                <w:p w14:paraId="5FAFADB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产生速率</w:t>
                  </w:r>
                </w:p>
              </w:tc>
              <w:tc>
                <w:tcPr>
                  <w:tcW w:w="1403" w:type="dxa"/>
                  <w:vAlign w:val="center"/>
                </w:tcPr>
                <w:p w14:paraId="71604E1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color w:val="000000" w:themeColor="text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0.013kg/h</w:t>
                  </w:r>
                </w:p>
              </w:tc>
              <w:tc>
                <w:tcPr>
                  <w:tcW w:w="1403" w:type="dxa"/>
                  <w:vAlign w:val="center"/>
                </w:tcPr>
                <w:p w14:paraId="0AD278B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0.198kg/h</w:t>
                  </w:r>
                </w:p>
              </w:tc>
              <w:tc>
                <w:tcPr>
                  <w:tcW w:w="1403" w:type="dxa"/>
                  <w:vAlign w:val="center"/>
                </w:tcPr>
                <w:p w14:paraId="77C1460E">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0.006kg/h</w:t>
                  </w:r>
                </w:p>
              </w:tc>
            </w:tr>
            <w:tr w14:paraId="537A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403" w:type="dxa"/>
                  <w:vMerge w:val="continue"/>
                  <w:vAlign w:val="center"/>
                </w:tcPr>
                <w:p w14:paraId="107F935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403" w:type="dxa"/>
                  <w:vMerge w:val="continue"/>
                  <w:vAlign w:val="center"/>
                </w:tcPr>
                <w:p w14:paraId="7B7BB446">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403" w:type="dxa"/>
                  <w:vAlign w:val="center"/>
                </w:tcPr>
                <w:p w14:paraId="3589DE15">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产生浓度</w:t>
                  </w:r>
                </w:p>
              </w:tc>
              <w:tc>
                <w:tcPr>
                  <w:tcW w:w="1403" w:type="dxa"/>
                  <w:vAlign w:val="center"/>
                </w:tcPr>
                <w:p w14:paraId="5DD2121B">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0.144mg/m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403" w:type="dxa"/>
                  <w:vAlign w:val="center"/>
                </w:tcPr>
                <w:p w14:paraId="07A8B52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2.204mg/m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403" w:type="dxa"/>
                  <w:vAlign w:val="center"/>
                </w:tcPr>
                <w:p w14:paraId="1DB2A063">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0.069mg/m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r>
          </w:tbl>
          <w:p w14:paraId="38EB1E3B">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已知本项目砂石骨料烘干产生的二氧化硫和氮氧化物同铣刨沥青烘干采用低氮燃烧器，产生的二氧化硫和氮氧化物均经过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引风机（风机风量为90000m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w:t>
            </w:r>
            <w:r>
              <w:rPr>
                <w:rFonts w:hint="eastAsia" w:eastAsia="宋体" w:cs="Times New Roman"/>
                <w:color w:val="000000" w:themeColor="text1"/>
                <w:sz w:val="21"/>
                <w:szCs w:val="21"/>
                <w:highlight w:val="none"/>
                <w:lang w:val="en-US" w:eastAsia="zh-CN"/>
                <w14:textFill>
                  <w14:solidFill>
                    <w14:schemeClr w14:val="tx1"/>
                  </w14:solidFill>
                </w14:textFill>
              </w:rPr>
              <w:t>经布袋除尘器处理后通过一根15m高的排气筒排放（DA001），两道工序二氧化硫的排放量为0.024t/a，排放速率为0.030kg/h，排放浓度为0.333</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，氮氧化物的排放量为0.381t/a，排放速率为0.476kg/h，排放浓度为5.291</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w:t>
            </w:r>
          </w:p>
          <w:p w14:paraId="4EDBABBA">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筒仓废气、砂石骨料烘干燃烧器和铣刨沥青烘干燃烧器产生的颗粒物同铣刨沥青烘干滚筒内所产生的颗粒物和砂石骨料烘干内部产生的颗粒物均通过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引风机（风机风量为90000m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/h）引入</w:t>
            </w:r>
            <w:r>
              <w:rPr>
                <w:rFonts w:hint="eastAsia" w:eastAsia="宋体" w:cs="Times New Roman"/>
                <w:color w:val="000000" w:themeColor="text1"/>
                <w:sz w:val="21"/>
                <w:szCs w:val="21"/>
                <w:highlight w:val="none"/>
                <w:lang w:val="en-US" w:eastAsia="zh-CN"/>
                <w14:textFill>
                  <w14:solidFill>
                    <w14:schemeClr w14:val="tx1"/>
                  </w14:solidFill>
                </w14:textFill>
              </w:rPr>
              <w:t>布袋除尘器（除尘效率为99.5%）处理后，通过一根15m高的排气筒排放（DA001）。故上述五个工序颗粒物的产生量为237.31t/a，经核算颗粒物的排放量为1.175t/a，排放速率为1.469kg/h，排放浓度为16.319mg/m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经过治理后其颗粒物、二氧化硫和氮氧化物的排放满足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《工业炉窑大气污染物排放标准》（DB13/1640-2012）表1、表2中新建炉窑标准并同时满足《承德市工业炉窑综合治理实施方案》（承环办[2020]72 号）中相关限值中的相关要求</w:t>
            </w: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w:t>
            </w:r>
          </w:p>
          <w:p w14:paraId="24C13FAD">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⑦导热油炉加热沥青产生的有组织废气</w:t>
            </w:r>
          </w:p>
          <w:p w14:paraId="77E738E6">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导热油炉热源为天然气，由于年用沥青量相应减少，根据企业提供资料进行类比，锅炉年消耗天然气约为16万立，年运行小时数为800h。项目锅炉进气口天然气燃烧器配套安装1台低氮燃烧器，可降低火焰温度，减少热力型氮氧化物的产生量。</w:t>
            </w:r>
          </w:p>
          <w:p w14:paraId="48E0CF0A">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参照《北京大气污染物控制对策研究》中天然气燃烧颗粒物的产生系数为0.45kg/万m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-天然气，则产生量=16万m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×0.45kg/万m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t/kg=0.007t/a；</w:t>
            </w:r>
          </w:p>
          <w:p w14:paraId="1F60F83E">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根据《排放源统计调查产排污核算方法和系数手册》中“4430 锅炉</w:t>
            </w:r>
            <w:r>
              <w:rPr>
                <w:rFonts w:hint="eastAsia" w:eastAsia="宋体" w:cs="Times New Roman"/>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产排污量核算系数手册”</w:t>
            </w:r>
            <w:r>
              <w:rPr>
                <w:rFonts w:hint="eastAsia" w:eastAsia="宋体" w:cs="Times New Roman"/>
                <w:color w:val="000000" w:themeColor="text1"/>
                <w:sz w:val="21"/>
                <w:szCs w:val="21"/>
                <w:highlight w:val="none"/>
                <w:lang w:val="en-US" w:eastAsia="zh-CN"/>
                <w14:textFill>
                  <w14:solidFill>
                    <w14:schemeClr w14:val="tx1"/>
                  </w14:solidFill>
                </w14:textFill>
              </w:rPr>
              <w:t>可知本项目二氧化硫和氮氧化物的产污系数，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根据企业提供的资料，本项目所用天然气为民用天然气，技术指标为二类，S取值为50mg/m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，从而计算拟建项目</w:t>
            </w:r>
            <w:r>
              <w:rPr>
                <w:rFonts w:hint="eastAsia" w:eastAsia="宋体" w:cs="Times New Roman"/>
                <w:color w:val="000000" w:themeColor="text1"/>
                <w:sz w:val="21"/>
                <w:szCs w:val="21"/>
                <w:highlight w:val="none"/>
                <w:lang w:val="en-US" w:eastAsia="zh-CN"/>
                <w14:textFill>
                  <w14:solidFill>
                    <w14:schemeClr w14:val="tx1"/>
                  </w14:solidFill>
                </w14:textFill>
              </w:rPr>
              <w:t>干燥滚筒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燃烧废气源强，污染物产生与排放情况见下表：</w:t>
            </w:r>
          </w:p>
          <w:p w14:paraId="3D5F48E3">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eastAsia="宋体" w:cs="Times New Roman"/>
                <w:b/>
                <w:bCs/>
                <w:color w:val="000000" w:themeColor="text1"/>
                <w:spacing w:val="0"/>
                <w:position w:val="0"/>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 xml:space="preserve"> 项目</w:t>
            </w:r>
            <w:r>
              <w:rPr>
                <w:rFonts w:hint="eastAsia" w:eastAsia="宋体" w:cs="Times New Roman"/>
                <w:b/>
                <w:bCs/>
                <w:color w:val="000000" w:themeColor="text1"/>
                <w:spacing w:val="0"/>
                <w:position w:val="0"/>
                <w:sz w:val="21"/>
                <w:szCs w:val="21"/>
                <w:highlight w:val="none"/>
                <w:lang w:val="en-US" w:eastAsia="zh-CN"/>
                <w14:textFill>
                  <w14:solidFill>
                    <w14:schemeClr w14:val="tx1"/>
                  </w14:solidFill>
                </w14:textFill>
              </w:rPr>
              <w:t>干燥滚筒</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燃气废气污染物产生</w:t>
            </w:r>
            <w:r>
              <w:rPr>
                <w:rFonts w:hint="eastAsia" w:eastAsia="宋体" w:cs="Times New Roman"/>
                <w:b/>
                <w:bCs/>
                <w:color w:val="000000" w:themeColor="text1"/>
                <w:spacing w:val="0"/>
                <w:position w:val="0"/>
                <w:sz w:val="21"/>
                <w:szCs w:val="21"/>
                <w:highlight w:val="none"/>
                <w:lang w:val="en-US" w:eastAsia="zh-CN"/>
                <w14:textFill>
                  <w14:solidFill>
                    <w14:schemeClr w14:val="tx1"/>
                  </w14:solidFill>
                </w14:textFill>
              </w:rPr>
              <w:t>与排放</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情况一览表</w:t>
            </w:r>
          </w:p>
          <w:tbl>
            <w:tblPr>
              <w:tblStyle w:val="31"/>
              <w:tblW w:w="8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399"/>
              <w:gridCol w:w="1399"/>
              <w:gridCol w:w="1399"/>
              <w:gridCol w:w="1400"/>
              <w:gridCol w:w="1400"/>
            </w:tblGrid>
            <w:tr w14:paraId="715A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9" w:type="dxa"/>
                  <w:vAlign w:val="center"/>
                </w:tcPr>
                <w:p w14:paraId="58E060A1">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污染源</w:t>
                  </w:r>
                </w:p>
              </w:tc>
              <w:tc>
                <w:tcPr>
                  <w:tcW w:w="1399" w:type="dxa"/>
                  <w:vAlign w:val="center"/>
                </w:tcPr>
                <w:p w14:paraId="03A36FA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天然气用量</w:t>
                  </w:r>
                </w:p>
              </w:tc>
              <w:tc>
                <w:tcPr>
                  <w:tcW w:w="1399" w:type="dxa"/>
                  <w:vAlign w:val="center"/>
                </w:tcPr>
                <w:p w14:paraId="300A454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项目</w:t>
                  </w:r>
                </w:p>
              </w:tc>
              <w:tc>
                <w:tcPr>
                  <w:tcW w:w="1399" w:type="dxa"/>
                  <w:vAlign w:val="center"/>
                </w:tcPr>
                <w:p w14:paraId="306C66A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二氧化硫</w:t>
                  </w:r>
                </w:p>
              </w:tc>
              <w:tc>
                <w:tcPr>
                  <w:tcW w:w="1400" w:type="dxa"/>
                  <w:vAlign w:val="center"/>
                </w:tcPr>
                <w:p w14:paraId="5498198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氮氧化物</w:t>
                  </w:r>
                </w:p>
              </w:tc>
              <w:tc>
                <w:tcPr>
                  <w:tcW w:w="1400" w:type="dxa"/>
                  <w:vAlign w:val="center"/>
                </w:tcPr>
                <w:p w14:paraId="615D4C0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颗粒物</w:t>
                  </w:r>
                </w:p>
              </w:tc>
            </w:tr>
            <w:tr w14:paraId="5B1A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9" w:type="dxa"/>
                  <w:vMerge w:val="restart"/>
                  <w:vAlign w:val="center"/>
                </w:tcPr>
                <w:p w14:paraId="3D02FD4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导热油炉</w:t>
                  </w:r>
                </w:p>
              </w:tc>
              <w:tc>
                <w:tcPr>
                  <w:tcW w:w="1399" w:type="dxa"/>
                  <w:vMerge w:val="restart"/>
                  <w:vAlign w:val="center"/>
                </w:tcPr>
                <w:p w14:paraId="5D5EC325">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16</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399" w:type="dxa"/>
                  <w:vAlign w:val="center"/>
                </w:tcPr>
                <w:p w14:paraId="76CBE179">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产生量</w:t>
                  </w:r>
                </w:p>
              </w:tc>
              <w:tc>
                <w:tcPr>
                  <w:tcW w:w="1399" w:type="dxa"/>
                  <w:vAlign w:val="center"/>
                </w:tcPr>
                <w:p w14:paraId="45DFCBC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t/a</w:t>
                  </w:r>
                </w:p>
              </w:tc>
              <w:tc>
                <w:tcPr>
                  <w:tcW w:w="1400" w:type="dxa"/>
                  <w:vAlign w:val="center"/>
                </w:tcPr>
                <w:p w14:paraId="1DCFFE9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0.048t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w:t>
                  </w:r>
                </w:p>
              </w:tc>
              <w:tc>
                <w:tcPr>
                  <w:tcW w:w="1400" w:type="dxa"/>
                  <w:vAlign w:val="center"/>
                </w:tcPr>
                <w:p w14:paraId="464CA7B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0.007t/a</w:t>
                  </w:r>
                </w:p>
              </w:tc>
            </w:tr>
            <w:tr w14:paraId="54DD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9" w:type="dxa"/>
                  <w:vMerge w:val="continue"/>
                  <w:vAlign w:val="center"/>
                </w:tcPr>
                <w:p w14:paraId="6A298EB3">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Merge w:val="continue"/>
                  <w:vAlign w:val="center"/>
                </w:tcPr>
                <w:p w14:paraId="7F3DE62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Align w:val="center"/>
                </w:tcPr>
                <w:p w14:paraId="2ED3A54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产生速率</w:t>
                  </w:r>
                </w:p>
              </w:tc>
              <w:tc>
                <w:tcPr>
                  <w:tcW w:w="1399" w:type="dxa"/>
                  <w:vAlign w:val="center"/>
                </w:tcPr>
                <w:p w14:paraId="018EB851">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color w:val="000000" w:themeColor="text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0.020kg/h</w:t>
                  </w:r>
                </w:p>
              </w:tc>
              <w:tc>
                <w:tcPr>
                  <w:tcW w:w="1400" w:type="dxa"/>
                  <w:vAlign w:val="center"/>
                </w:tcPr>
                <w:p w14:paraId="3763CE16">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0.060kg/h</w:t>
                  </w:r>
                </w:p>
              </w:tc>
              <w:tc>
                <w:tcPr>
                  <w:tcW w:w="1400" w:type="dxa"/>
                  <w:vAlign w:val="center"/>
                </w:tcPr>
                <w:p w14:paraId="16484AB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0.009kg/a</w:t>
                  </w:r>
                </w:p>
              </w:tc>
            </w:tr>
            <w:tr w14:paraId="1114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9" w:type="dxa"/>
                  <w:vMerge w:val="continue"/>
                  <w:vAlign w:val="center"/>
                </w:tcPr>
                <w:p w14:paraId="44B703B9">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Merge w:val="continue"/>
                  <w:vAlign w:val="center"/>
                </w:tcPr>
                <w:p w14:paraId="014542F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Align w:val="center"/>
                </w:tcPr>
                <w:p w14:paraId="0007F0A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产生浓度</w:t>
                  </w:r>
                </w:p>
              </w:tc>
              <w:tc>
                <w:tcPr>
                  <w:tcW w:w="1399" w:type="dxa"/>
                  <w:vAlign w:val="center"/>
                </w:tcPr>
                <w:p w14:paraId="6198464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2.000mg/m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400" w:type="dxa"/>
                  <w:vAlign w:val="center"/>
                </w:tcPr>
                <w:p w14:paraId="0809E04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6.000mg/m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400" w:type="dxa"/>
                  <w:vAlign w:val="center"/>
                </w:tcPr>
                <w:p w14:paraId="210C968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0.9mg/m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4B09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9" w:type="dxa"/>
                  <w:vMerge w:val="continue"/>
                  <w:vAlign w:val="center"/>
                </w:tcPr>
                <w:p w14:paraId="3AD3CD0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Merge w:val="continue"/>
                  <w:vAlign w:val="center"/>
                </w:tcPr>
                <w:p w14:paraId="29ED3555">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Align w:val="center"/>
                </w:tcPr>
                <w:p w14:paraId="00414BE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排放量</w:t>
                  </w:r>
                </w:p>
              </w:tc>
              <w:tc>
                <w:tcPr>
                  <w:tcW w:w="1399" w:type="dxa"/>
                  <w:vAlign w:val="center"/>
                </w:tcPr>
                <w:p w14:paraId="7E947781">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0.01</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t/a</w:t>
                  </w:r>
                </w:p>
              </w:tc>
              <w:tc>
                <w:tcPr>
                  <w:tcW w:w="1400" w:type="dxa"/>
                  <w:vAlign w:val="center"/>
                </w:tcPr>
                <w:p w14:paraId="3CFFC39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0.048t</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/a</w:t>
                  </w:r>
                </w:p>
              </w:tc>
              <w:tc>
                <w:tcPr>
                  <w:tcW w:w="1400" w:type="dxa"/>
                  <w:shd w:val="clear" w:color="auto" w:fill="auto"/>
                  <w:vAlign w:val="center"/>
                </w:tcPr>
                <w:p w14:paraId="3B69011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0.007t/a</w:t>
                  </w:r>
                </w:p>
              </w:tc>
            </w:tr>
            <w:tr w14:paraId="4BA2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399" w:type="dxa"/>
                  <w:vMerge w:val="continue"/>
                  <w:vAlign w:val="center"/>
                </w:tcPr>
                <w:p w14:paraId="55E2B2DE">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Merge w:val="continue"/>
                  <w:vAlign w:val="center"/>
                </w:tcPr>
                <w:p w14:paraId="358D025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Align w:val="center"/>
                </w:tcPr>
                <w:p w14:paraId="3D7C6B03">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排放速率</w:t>
                  </w:r>
                </w:p>
              </w:tc>
              <w:tc>
                <w:tcPr>
                  <w:tcW w:w="1399" w:type="dxa"/>
                  <w:vAlign w:val="center"/>
                </w:tcPr>
                <w:p w14:paraId="6C14EFE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0.020kg/h</w:t>
                  </w:r>
                </w:p>
              </w:tc>
              <w:tc>
                <w:tcPr>
                  <w:tcW w:w="1400" w:type="dxa"/>
                  <w:vAlign w:val="center"/>
                </w:tcPr>
                <w:p w14:paraId="0D85F93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0.060kg/h</w:t>
                  </w:r>
                </w:p>
              </w:tc>
              <w:tc>
                <w:tcPr>
                  <w:tcW w:w="1400" w:type="dxa"/>
                  <w:shd w:val="clear" w:color="auto" w:fill="auto"/>
                  <w:vAlign w:val="center"/>
                </w:tcPr>
                <w:p w14:paraId="65813703">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0.009kg/a</w:t>
                  </w:r>
                </w:p>
              </w:tc>
            </w:tr>
            <w:tr w14:paraId="0A50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399" w:type="dxa"/>
                  <w:vMerge w:val="continue"/>
                  <w:vAlign w:val="center"/>
                </w:tcPr>
                <w:p w14:paraId="7312BC8E">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Merge w:val="continue"/>
                  <w:vAlign w:val="center"/>
                </w:tcPr>
                <w:p w14:paraId="2881391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399" w:type="dxa"/>
                  <w:vAlign w:val="center"/>
                </w:tcPr>
                <w:p w14:paraId="3D0626A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排放浓度</w:t>
                  </w:r>
                </w:p>
              </w:tc>
              <w:tc>
                <w:tcPr>
                  <w:tcW w:w="1399" w:type="dxa"/>
                  <w:vAlign w:val="center"/>
                </w:tcPr>
                <w:p w14:paraId="4D54F226">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2.000mg/m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400" w:type="dxa"/>
                  <w:vAlign w:val="center"/>
                </w:tcPr>
                <w:p w14:paraId="317F155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6.000mg/m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c>
                <w:tcPr>
                  <w:tcW w:w="1400" w:type="dxa"/>
                  <w:shd w:val="clear" w:color="auto" w:fill="auto"/>
                  <w:vAlign w:val="center"/>
                </w:tcPr>
                <w:p w14:paraId="1C3F4D3E">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0.9mg/m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p>
              </w:tc>
            </w:tr>
          </w:tbl>
          <w:p w14:paraId="5297C0F0">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本项目扩建后，导热油炉排气筒二氧化硫的排放量为0.016t/a，排放速率为0.020kg/h，排放浓度为2.000</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，氮氧化物的排放量为0.048t/a，排放速率为0.060kg/h，排放浓度为6.000</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经过治理后其二氧化硫和氮氧化物的排放满足《锅炉大气污染物排放标准》（DB13/5161-2020）中相关限值要求。根据源强核算，本项二氧化硫的排放量为0.040t/a，氮氧化物的排放量为0.429t/a，均为超过原有环评所购买的总量：二氧化硫：0.045t/a，氮氧化物：0.440t/a。</w:t>
            </w:r>
          </w:p>
          <w:p w14:paraId="26B8FECD">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根据上述分析，本项目导热油炉排气筒（DA002）颗粒物、二氧化硫、氮氧化物的排放浓度符合</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《锅炉大气污染物排放标准》（DB13/5161-2020）中相关限值要求</w:t>
            </w: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w:t>
            </w:r>
          </w:p>
          <w:p w14:paraId="2AA54979">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⑧原有沥青加热产生的有组织废气</w:t>
            </w:r>
          </w:p>
          <w:p w14:paraId="296DE1AA">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沥青</w:t>
            </w:r>
            <w:r>
              <w:rPr>
                <w:rFonts w:hint="eastAsia" w:eastAsia="宋体" w:cs="Times New Roman"/>
                <w:color w:val="000000" w:themeColor="text1"/>
                <w:sz w:val="21"/>
                <w:szCs w:val="21"/>
                <w:highlight w:val="none"/>
                <w:lang w:val="en-US" w:eastAsia="zh-CN"/>
                <w14:textFill>
                  <w14:solidFill>
                    <w14:schemeClr w14:val="tx1"/>
                  </w14:solidFill>
                </w14:textFill>
              </w:rPr>
              <w:t>加热</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产生的</w:t>
            </w:r>
            <w:r>
              <w:rPr>
                <w:rFonts w:hint="eastAsia" w:eastAsia="宋体" w:cs="Times New Roman"/>
                <w:color w:val="000000" w:themeColor="text1"/>
                <w:sz w:val="21"/>
                <w:szCs w:val="21"/>
                <w:highlight w:val="none"/>
                <w:lang w:val="en-US" w:eastAsia="zh-CN"/>
                <w14:textFill>
                  <w14:solidFill>
                    <w14:schemeClr w14:val="tx1"/>
                  </w14:solidFill>
                </w14:textFill>
              </w:rPr>
              <w:t>非甲烷总烃</w:t>
            </w:r>
          </w:p>
          <w:p w14:paraId="0D3E4CD6">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w:t>
            </w:r>
            <w:r>
              <w:rPr>
                <w:rFonts w:hint="eastAsia" w:eastAsia="宋体" w:cs="Times New Roman"/>
                <w:color w:val="000000" w:themeColor="text1"/>
                <w:sz w:val="21"/>
                <w:szCs w:val="21"/>
                <w:highlight w:val="none"/>
                <w:lang w:val="en-US" w:eastAsia="zh-CN"/>
                <w14:textFill>
                  <w14:solidFill>
                    <w14:schemeClr w14:val="tx1"/>
                  </w14:solidFill>
                </w14:textFill>
              </w:rPr>
              <w:t>加热保温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时</w:t>
            </w:r>
            <w:r>
              <w:rPr>
                <w:rFonts w:hint="eastAsia" w:eastAsia="宋体" w:cs="Times New Roman"/>
                <w:color w:val="000000" w:themeColor="text1"/>
                <w:sz w:val="21"/>
                <w:szCs w:val="21"/>
                <w:highlight w:val="none"/>
                <w:lang w:val="en-US" w:eastAsia="zh-CN"/>
                <w14:textFill>
                  <w14:solidFill>
                    <w14:schemeClr w14:val="tx1"/>
                  </w14:solidFill>
                </w14:textFill>
              </w:rPr>
              <w:t>会</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产生非甲烷总烃，</w:t>
            </w:r>
            <w:r>
              <w:rPr>
                <w:rFonts w:hint="eastAsia" w:eastAsia="宋体" w:cs="Times New Roman"/>
                <w:color w:val="000000" w:themeColor="text1"/>
                <w:sz w:val="21"/>
                <w:szCs w:val="21"/>
                <w:highlight w:val="none"/>
                <w:lang w:val="en-US" w:eastAsia="zh-CN"/>
                <w14:textFill>
                  <w14:solidFill>
                    <w14:schemeClr w14:val="tx1"/>
                  </w14:solidFill>
                </w14:textFill>
              </w:rPr>
              <w:t>由于原料中铣刨沥青的增加，相应沥青的用量相应减少，企业年用沥青量2700。</w:t>
            </w:r>
          </w:p>
          <w:p w14:paraId="4F28D805">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参照《壳牌沥青手册》（壳牌大中华集团，1995年9月版），每吨石油沥青在加热（150℃~170℃）过程中可产生非甲烷总烃气体2.5g/t，则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铣刨沥青在烘干工程非甲烷总烃的年产生量为</w:t>
            </w:r>
            <w:r>
              <w:rPr>
                <w:rFonts w:hint="eastAsia" w:eastAsia="宋体" w:cs="Times New Roman"/>
                <w:color w:val="000000" w:themeColor="text1"/>
                <w:sz w:val="21"/>
                <w:szCs w:val="21"/>
                <w:highlight w:val="none"/>
                <w:lang w:val="en-US" w:eastAsia="zh-CN"/>
                <w14:textFill>
                  <w14:solidFill>
                    <w14:schemeClr w14:val="tx1"/>
                  </w14:solidFill>
                </w14:textFill>
              </w:rPr>
              <w:t>0.006t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产生速率为0.007kg/h，</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产生的非甲烷总烃经引风机（风机风量为90000m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/h）引入“</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”装置（去除效率为90%）处理后，由一根15m高的排气筒排放。</w:t>
            </w:r>
          </w:p>
          <w:p w14:paraId="694EF234">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B、沥青烘干产生的苯并[a]芘和沥青烟</w:t>
            </w:r>
          </w:p>
          <w:p w14:paraId="696CB494">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沥青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w:t>
            </w:r>
            <w:r>
              <w:rPr>
                <w:rFonts w:hint="eastAsia" w:eastAsia="宋体" w:cs="Times New Roman"/>
                <w:color w:val="000000" w:themeColor="text1"/>
                <w:sz w:val="21"/>
                <w:szCs w:val="21"/>
                <w:highlight w:val="none"/>
                <w:lang w:val="en-US" w:eastAsia="zh-CN"/>
                <w14:textFill>
                  <w14:solidFill>
                    <w14:schemeClr w14:val="tx1"/>
                  </w14:solidFill>
                </w14:textFill>
              </w:rPr>
              <w:t>加热保温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加热会产生</w:t>
            </w:r>
            <w:r>
              <w:rPr>
                <w:rFonts w:hint="eastAsia" w:eastAsia="宋体" w:cs="Times New Roman"/>
                <w:color w:val="000000" w:themeColor="text1"/>
                <w:sz w:val="21"/>
                <w:szCs w:val="21"/>
                <w:highlight w:val="none"/>
                <w:lang w:val="en-US" w:eastAsia="zh-CN"/>
                <w14:textFill>
                  <w14:solidFill>
                    <w14:schemeClr w14:val="tx1"/>
                  </w14:solidFill>
                </w14:textFill>
              </w:rPr>
              <w:t>苯并[a]芘和沥青烟，由于原料中铣刨沥青的增加，相应沥青的用量相应减少，企业年用沥青量2700t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p w14:paraId="2A747747">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参考前苏联拉扎列夫主编的《工业生产中有害物物质手册》第一卷（化学工业出版社，1987年12月出版）及金相灿主编的《有机化合物污染化学》（清华大学出版社，1990年8月出版），每吨石油沥青在加热过程中可产生苯并[a]芘气体0.006g、沥青烟56.25g。</w:t>
            </w:r>
          </w:p>
          <w:p w14:paraId="5AC241E7">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沥青烘干时产生的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苯并[a]芘</w:t>
            </w:r>
            <w:r>
              <w:rPr>
                <w:rFonts w:hint="eastAsia" w:eastAsia="宋体" w:cs="Times New Roman"/>
                <w:color w:val="000000" w:themeColor="text1"/>
                <w:sz w:val="21"/>
                <w:szCs w:val="21"/>
                <w:highlight w:val="none"/>
                <w:lang w:val="en-US" w:eastAsia="zh-CN"/>
                <w14:textFill>
                  <w14:solidFill>
                    <w14:schemeClr w14:val="tx1"/>
                  </w14:solidFill>
                </w14:textFill>
              </w:rPr>
              <w:t>量为1.17</w:t>
            </w:r>
            <w:r>
              <w:rPr>
                <w:rFonts w:hint="eastAsia" w:ascii="Times New Roman" w:hAnsi="Times New Roman"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t>×10</w:t>
            </w:r>
            <w:r>
              <w:rPr>
                <w:rFonts w:hint="eastAsia" w:ascii="Times New Roman" w:hAnsi="Times New Roman" w:cs="Times New Roman"/>
                <w:b w:val="0"/>
                <w:bCs w:val="0"/>
                <w:color w:val="000000" w:themeColor="text1"/>
                <w:spacing w:val="0"/>
                <w:kern w:val="2"/>
                <w:sz w:val="21"/>
                <w:szCs w:val="21"/>
                <w:highlight w:val="none"/>
                <w:vertAlign w:val="superscript"/>
                <w:lang w:val="en-US" w:eastAsia="zh-CN" w:bidi="ar-SA"/>
                <w14:textFill>
                  <w14:solidFill>
                    <w14:schemeClr w14:val="tx1"/>
                  </w14:solidFill>
                </w14:textFill>
              </w:rPr>
              <w:t>-5</w:t>
            </w:r>
            <w:r>
              <w:rPr>
                <w:rFonts w:hint="eastAsia" w:eastAsia="宋体" w:cs="Times New Roman"/>
                <w:color w:val="000000" w:themeColor="text1"/>
                <w:sz w:val="21"/>
                <w:szCs w:val="21"/>
                <w:highlight w:val="none"/>
                <w:lang w:val="en-US" w:eastAsia="zh-CN"/>
                <w14:textFill>
                  <w14:solidFill>
                    <w14:schemeClr w14:val="tx1"/>
                  </w14:solidFill>
                </w14:textFill>
              </w:rPr>
              <w:t>t，产生速率为</w:t>
            </w:r>
            <w:r>
              <w:rPr>
                <w:rFonts w:hint="eastAsia" w:ascii="Times New Roman" w:hAnsi="Times New Roman" w:cs="Times New Roman"/>
                <w:b w:val="0"/>
                <w:bCs w:val="0"/>
                <w:color w:val="000000" w:themeColor="text1"/>
                <w:spacing w:val="0"/>
                <w:kern w:val="2"/>
                <w:sz w:val="21"/>
                <w:szCs w:val="21"/>
                <w:highlight w:val="none"/>
                <w:vertAlign w:val="baseline"/>
                <w:lang w:val="en-US" w:eastAsia="zh-CN" w:bidi="ar-SA"/>
                <w14:textFill>
                  <w14:solidFill>
                    <w14:schemeClr w14:val="tx1"/>
                  </w14:solidFill>
                </w14:textFill>
              </w:rPr>
              <w:t>1.17×10</w:t>
            </w:r>
            <w:r>
              <w:rPr>
                <w:rFonts w:hint="eastAsia" w:ascii="Times New Roman" w:hAnsi="Times New Roman" w:cs="Times New Roman"/>
                <w:b w:val="0"/>
                <w:bCs w:val="0"/>
                <w:color w:val="000000" w:themeColor="text1"/>
                <w:spacing w:val="0"/>
                <w:kern w:val="2"/>
                <w:sz w:val="21"/>
                <w:szCs w:val="21"/>
                <w:highlight w:val="none"/>
                <w:vertAlign w:val="superscript"/>
                <w:lang w:val="en-US" w:eastAsia="zh-CN" w:bidi="ar-SA"/>
                <w14:textFill>
                  <w14:solidFill>
                    <w14:schemeClr w14:val="tx1"/>
                  </w14:solidFill>
                </w14:textFill>
              </w:rPr>
              <w:t>-5</w:t>
            </w:r>
            <w:r>
              <w:rPr>
                <w:rFonts w:hint="eastAsia" w:eastAsia="宋体" w:cs="Times New Roman"/>
                <w:color w:val="000000" w:themeColor="text1"/>
                <w:sz w:val="21"/>
                <w:szCs w:val="21"/>
                <w:highlight w:val="none"/>
                <w:lang w:val="en-US" w:eastAsia="zh-CN"/>
                <w14:textFill>
                  <w14:solidFill>
                    <w14:schemeClr w14:val="tx1"/>
                  </w14:solidFill>
                </w14:textFill>
              </w:rPr>
              <w:t>kg/h，沥青烟的产生量为0.110t/a，产生速率为0.137kg/h，产生沥青烟和</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苯并[a]芘经引风机（风机风量为90000m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/h）引入</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装置</w:t>
            </w:r>
            <w:r>
              <w:rPr>
                <w:rFonts w:hint="eastAsia"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（去除效率为90%）处理后，由一根15m高的排气筒排放。</w:t>
            </w:r>
          </w:p>
          <w:p w14:paraId="352F2D88">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⑨搅拌器搅拌和搅拌楼卸料产生的有组织废气</w:t>
            </w:r>
          </w:p>
          <w:p w14:paraId="0AAD70FF">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根据工艺流程，搅拌器搅拌的沥青来源于铣刨沥青和原有的纯沥青，根据前文计算结果烘干沥青产生的废气分别为：非甲烷总烃0.007t，苯并[a]芘1.65×10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-5</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t</w:t>
            </w:r>
            <w:r>
              <w:rPr>
                <w:rFonts w:hint="eastAsia" w:eastAsia="宋体" w:cs="Times New Roman"/>
                <w:color w:val="000000" w:themeColor="text1"/>
                <w:sz w:val="21"/>
                <w:szCs w:val="21"/>
                <w:highlight w:val="none"/>
                <w:lang w:val="en-US" w:eastAsia="zh-CN"/>
                <w14:textFill>
                  <w14:solidFill>
                    <w14:schemeClr w14:val="tx1"/>
                  </w14:solidFill>
                </w14:textFill>
              </w:rPr>
              <w:t>，沥青烟0.155t。</w:t>
            </w:r>
          </w:p>
          <w:p w14:paraId="7A4948C3">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类比同类报告，搅拌器、搅拌楼卸料产生的废气按沥青烘干加热产生量的40%计，故搅拌器搅拌沥青废气中非甲烷总烃、苯并[a]芘、沥青烟的产生量分别为：0.003t、6.6×10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eastAsia="宋体" w:cs="Times New Roman"/>
                <w:color w:val="000000" w:themeColor="text1"/>
                <w:sz w:val="21"/>
                <w:szCs w:val="21"/>
                <w:highlight w:val="none"/>
                <w:lang w:val="en-US" w:eastAsia="zh-CN"/>
                <w14:textFill>
                  <w14:solidFill>
                    <w14:schemeClr w14:val="tx1"/>
                  </w14:solidFill>
                </w14:textFill>
              </w:rPr>
              <w:t>t、0.062t；搅拌楼卸料产生的废气按总产生量的20%计，故搅拌楼搅拌沥青废气中非甲烷总烃、苯并[a]芘、沥青烟的产生量分别为：0.0014t、3.3×10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eastAsia="宋体" w:cs="Times New Roman"/>
                <w:color w:val="000000" w:themeColor="text1"/>
                <w:sz w:val="21"/>
                <w:szCs w:val="21"/>
                <w:highlight w:val="none"/>
                <w:lang w:val="en-US" w:eastAsia="zh-CN"/>
                <w14:textFill>
                  <w14:solidFill>
                    <w14:schemeClr w14:val="tx1"/>
                  </w14:solidFill>
                </w14:textFill>
              </w:rPr>
              <w:t>t、0.031t。拌楼封闭，设置废气收集装置，收集效率按90%，故搅拌楼有组织沥青废气的收集量为：0.0012t、2.97×10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eastAsia="宋体" w:cs="Times New Roman"/>
                <w:color w:val="000000" w:themeColor="text1"/>
                <w:sz w:val="21"/>
                <w:szCs w:val="21"/>
                <w:highlight w:val="none"/>
                <w:lang w:val="en-US" w:eastAsia="zh-CN"/>
                <w14:textFill>
                  <w14:solidFill>
                    <w14:schemeClr w14:val="tx1"/>
                  </w14:solidFill>
                </w14:textFill>
              </w:rPr>
              <w:t>t、0.028t。</w:t>
            </w:r>
          </w:p>
          <w:p w14:paraId="60BB9EC4">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color w:val="000000" w:themeColor="text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根据企业提供资料，搅拌楼年运行800h，非甲烷总烃、苯并[a]芘、沥青烟的产生量分别为：0.011t、2.607×10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-5</w:t>
            </w:r>
            <w:r>
              <w:rPr>
                <w:rFonts w:hint="eastAsia" w:eastAsia="宋体" w:cs="Times New Roman"/>
                <w:color w:val="000000" w:themeColor="text1"/>
                <w:sz w:val="21"/>
                <w:szCs w:val="21"/>
                <w:highlight w:val="none"/>
                <w:lang w:val="en-US" w:eastAsia="zh-CN"/>
                <w14:textFill>
                  <w14:solidFill>
                    <w14:schemeClr w14:val="tx1"/>
                  </w14:solidFill>
                </w14:textFill>
              </w:rPr>
              <w:t>t、0.244t；产生速率分别为：0.014kg/h，3.259×10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-5</w:t>
            </w:r>
            <w:r>
              <w:rPr>
                <w:rFonts w:hint="eastAsia" w:eastAsia="宋体" w:cs="Times New Roman"/>
                <w:color w:val="000000" w:themeColor="text1"/>
                <w:sz w:val="21"/>
                <w:szCs w:val="21"/>
                <w:highlight w:val="none"/>
                <w:lang w:val="en-US" w:eastAsia="zh-CN"/>
                <w14:textFill>
                  <w14:solidFill>
                    <w14:schemeClr w14:val="tx1"/>
                  </w14:solidFill>
                </w14:textFill>
              </w:rPr>
              <w:t>kg/h，0.306kg/</w:t>
            </w:r>
            <w:r>
              <w:rPr>
                <w:rFonts w:hint="eastAsia" w:cs="Times New Roman"/>
                <w:color w:val="000000" w:themeColor="text1"/>
                <w:sz w:val="21"/>
                <w:szCs w:val="21"/>
                <w:highlight w:val="none"/>
                <w:lang w:val="en-US" w:eastAsia="zh-CN"/>
                <w14:textFill>
                  <w14:solidFill>
                    <w14:schemeClr w14:val="tx1"/>
                  </w14:solidFill>
                </w14:textFill>
              </w:rPr>
              <w:t>h。</w:t>
            </w:r>
          </w:p>
          <w:p w14:paraId="0EE12190">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除尘器对沥青烟的去除效率以99%计，二级活性炭吸附对非甲烷总烃、苯并[a]芘的净化效率以90%计算，除尘器废气排放中非甲烷总烃、苯并[a]芘、沥青烟的排放量分别为：0.001t、2.607×10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eastAsia="宋体" w:cs="Times New Roman"/>
                <w:color w:val="000000" w:themeColor="text1"/>
                <w:sz w:val="21"/>
                <w:szCs w:val="21"/>
                <w:highlight w:val="none"/>
                <w:lang w:val="en-US" w:eastAsia="zh-CN"/>
                <w14:textFill>
                  <w14:solidFill>
                    <w14:schemeClr w14:val="tx1"/>
                  </w14:solidFill>
                </w14:textFill>
              </w:rPr>
              <w:t>t、0.002t，排放速率分别为：0.001kg/h，3.259×10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eastAsia="宋体" w:cs="Times New Roman"/>
                <w:color w:val="000000" w:themeColor="text1"/>
                <w:sz w:val="21"/>
                <w:szCs w:val="21"/>
                <w:highlight w:val="none"/>
                <w:lang w:val="en-US" w:eastAsia="zh-CN"/>
                <w14:textFill>
                  <w14:solidFill>
                    <w14:schemeClr w14:val="tx1"/>
                  </w14:solidFill>
                </w14:textFill>
              </w:rPr>
              <w:t>kg/h、0.003kg/h。根据企业提供资料除尘器的风机风量为90000m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/h，故非甲烷总烃、苯并[a]芘、沥青烟的排放浓度分别为：0.002mg/m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、3.621×10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eastAsia="宋体" w:cs="Times New Roman"/>
                <w:color w:val="000000" w:themeColor="text1"/>
                <w:sz w:val="21"/>
                <w:szCs w:val="21"/>
                <w:highlight w:val="none"/>
                <w:lang w:val="en-US" w:eastAsia="zh-CN"/>
                <w14:textFill>
                  <w14:solidFill>
                    <w14:schemeClr w14:val="tx1"/>
                  </w14:solidFill>
                </w14:textFill>
              </w:rPr>
              <w:t>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、0.003</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mg/m</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eastAsia="宋体" w:cs="Times New Roman"/>
                <w:color w:val="000000" w:themeColor="text1"/>
                <w:sz w:val="21"/>
                <w:szCs w:val="21"/>
                <w:highlight w:val="none"/>
                <w:lang w:val="en-US" w:eastAsia="zh-CN"/>
                <w14:textFill>
                  <w14:solidFill>
                    <w14:schemeClr w14:val="tx1"/>
                  </w14:solidFill>
                </w14:textFill>
              </w:rPr>
              <w:t>。</w:t>
            </w:r>
          </w:p>
          <w:p w14:paraId="14D7B450">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综上所述，本项目铣刨沥青加热、沥青加热保温、冷骨料加热、搅拌楼搅拌等工序产生的废气，经“电捕焦油器+活性炭吸附”装置处理后，由一根15m高的排气筒排出（DA001），经计算：</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颗粒物</w:t>
            </w:r>
            <w:r>
              <w:rPr>
                <w:rFonts w:hint="eastAsia" w:cs="Times New Roman" w:eastAsiaTheme="minorEastAsia"/>
                <w:color w:val="000000" w:themeColor="text1"/>
                <w:sz w:val="21"/>
                <w:szCs w:val="21"/>
                <w:highlight w:val="none"/>
                <w:lang w:val="en-US" w:eastAsia="zh-CN"/>
                <w14:textFill>
                  <w14:solidFill>
                    <w14:schemeClr w14:val="tx1"/>
                  </w14:solidFill>
                </w14:textFill>
              </w:rPr>
              <w:t>的排放浓度为：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16.319mg/m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排放速率为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1.469kg/h；</w:t>
            </w:r>
            <w:r>
              <w:rPr>
                <w:rFonts w:hint="eastAsia" w:cs="Times New Roman" w:eastAsiaTheme="minorEastAsia"/>
                <w:color w:val="000000" w:themeColor="text1"/>
                <w:sz w:val="21"/>
                <w:szCs w:val="21"/>
                <w:highlight w:val="none"/>
                <w:lang w:val="en-US" w:eastAsia="zh-CN"/>
                <w14:textFill>
                  <w14:solidFill>
                    <w14:schemeClr w14:val="tx1"/>
                  </w14:solidFill>
                </w14:textFill>
              </w:rPr>
              <w:t>排放量为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1.175t/a；二氧化硫</w:t>
            </w:r>
            <w:r>
              <w:rPr>
                <w:rFonts w:hint="eastAsia" w:cs="Times New Roman" w:eastAsiaTheme="minorEastAsia"/>
                <w:color w:val="000000" w:themeColor="text1"/>
                <w:sz w:val="21"/>
                <w:szCs w:val="21"/>
                <w:highlight w:val="none"/>
                <w:lang w:val="en-US" w:eastAsia="zh-CN"/>
                <w14:textFill>
                  <w14:solidFill>
                    <w14:schemeClr w14:val="tx1"/>
                  </w14:solidFill>
                </w14:textFill>
              </w:rPr>
              <w:t>的排放浓度为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0.333mg/m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排放速率为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0.030kg/h，</w:t>
            </w:r>
            <w:r>
              <w:rPr>
                <w:rFonts w:hint="eastAsia" w:cs="Times New Roman" w:eastAsiaTheme="minorEastAsia"/>
                <w:color w:val="000000" w:themeColor="text1"/>
                <w:sz w:val="21"/>
                <w:szCs w:val="21"/>
                <w:highlight w:val="none"/>
                <w:lang w:val="en-US" w:eastAsia="zh-CN"/>
                <w14:textFill>
                  <w14:solidFill>
                    <w14:schemeClr w14:val="tx1"/>
                  </w14:solidFill>
                </w14:textFill>
              </w:rPr>
              <w:t>排放量为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0.024t/a；氮氧化物</w:t>
            </w:r>
            <w:r>
              <w:rPr>
                <w:rFonts w:hint="eastAsia" w:cs="Times New Roman" w:eastAsiaTheme="minorEastAsia"/>
                <w:color w:val="000000" w:themeColor="text1"/>
                <w:sz w:val="21"/>
                <w:szCs w:val="21"/>
                <w:highlight w:val="none"/>
                <w:lang w:val="en-US" w:eastAsia="zh-CN"/>
                <w14:textFill>
                  <w14:solidFill>
                    <w14:schemeClr w14:val="tx1"/>
                  </w14:solidFill>
                </w14:textFill>
              </w:rPr>
              <w:t>的排放浓度为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5.291mg/m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排放速率为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0.476kg/h，</w:t>
            </w:r>
            <w:r>
              <w:rPr>
                <w:rFonts w:hint="eastAsia" w:cs="Times New Roman" w:eastAsiaTheme="minorEastAsia"/>
                <w:color w:val="000000" w:themeColor="text1"/>
                <w:sz w:val="21"/>
                <w:szCs w:val="21"/>
                <w:highlight w:val="none"/>
                <w:lang w:val="en-US" w:eastAsia="zh-CN"/>
                <w14:textFill>
                  <w14:solidFill>
                    <w14:schemeClr w14:val="tx1"/>
                  </w14:solidFill>
                </w14:textFill>
              </w:rPr>
              <w:t>排放量为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0.381/a；非甲烷总烃</w:t>
            </w:r>
            <w:r>
              <w:rPr>
                <w:rFonts w:hint="eastAsia" w:cs="Times New Roman" w:eastAsiaTheme="minorEastAsia"/>
                <w:color w:val="000000" w:themeColor="text1"/>
                <w:sz w:val="21"/>
                <w:szCs w:val="21"/>
                <w:highlight w:val="none"/>
                <w:lang w:val="en-US" w:eastAsia="zh-CN"/>
                <w14:textFill>
                  <w14:solidFill>
                    <w14:schemeClr w14:val="tx1"/>
                  </w14:solidFill>
                </w14:textFill>
              </w:rPr>
              <w:t>排放浓度为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0.002mg/m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排放速率为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0.001kg/h，</w:t>
            </w:r>
            <w:r>
              <w:rPr>
                <w:rFonts w:hint="eastAsia" w:cs="Times New Roman" w:eastAsiaTheme="minorEastAsia"/>
                <w:color w:val="000000" w:themeColor="text1"/>
                <w:sz w:val="21"/>
                <w:szCs w:val="21"/>
                <w:highlight w:val="none"/>
                <w:lang w:val="en-US" w:eastAsia="zh-CN"/>
                <w14:textFill>
                  <w14:solidFill>
                    <w14:schemeClr w14:val="tx1"/>
                  </w14:solidFill>
                </w14:textFill>
              </w:rPr>
              <w:t>排放量为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0.001t/a；苯并[a]芘</w:t>
            </w:r>
            <w:r>
              <w:rPr>
                <w:rFonts w:hint="eastAsia" w:cs="Times New Roman" w:eastAsiaTheme="minorEastAsia"/>
                <w:color w:val="000000" w:themeColor="text1"/>
                <w:sz w:val="21"/>
                <w:szCs w:val="21"/>
                <w:highlight w:val="none"/>
                <w:lang w:val="en-US" w:eastAsia="zh-CN"/>
                <w14:textFill>
                  <w14:solidFill>
                    <w14:schemeClr w14:val="tx1"/>
                  </w14:solidFill>
                </w14:textFill>
              </w:rPr>
              <w:t>的排放浓度为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2.607×10</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排放速率为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3.259×10</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kg/h，</w:t>
            </w:r>
            <w:r>
              <w:rPr>
                <w:rFonts w:hint="eastAsia" w:cs="Times New Roman" w:eastAsiaTheme="minorEastAsia"/>
                <w:color w:val="000000" w:themeColor="text1"/>
                <w:sz w:val="21"/>
                <w:szCs w:val="21"/>
                <w:highlight w:val="none"/>
                <w:lang w:val="en-US" w:eastAsia="zh-CN"/>
                <w14:textFill>
                  <w14:solidFill>
                    <w14:schemeClr w14:val="tx1"/>
                  </w14:solidFill>
                </w14:textFill>
              </w:rPr>
              <w:t>排放量为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2.607×10</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t/a；沥青烟</w:t>
            </w:r>
            <w:r>
              <w:rPr>
                <w:rFonts w:hint="eastAsia" w:cs="Times New Roman" w:eastAsiaTheme="minorEastAsia"/>
                <w:color w:val="000000" w:themeColor="text1"/>
                <w:sz w:val="21"/>
                <w:szCs w:val="21"/>
                <w:highlight w:val="none"/>
                <w:lang w:val="en-US" w:eastAsia="zh-CN"/>
                <w14:textFill>
                  <w14:solidFill>
                    <w14:schemeClr w14:val="tx1"/>
                  </w14:solidFill>
                </w14:textFill>
              </w:rPr>
              <w:t>的排放浓度为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0.003mg/m</w:t>
            </w:r>
            <w:r>
              <w:rPr>
                <w:rFonts w:hint="default"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w:t>
            </w:r>
            <w:r>
              <w:rPr>
                <w:rFonts w:hint="eastAsia" w:cs="Times New Roman" w:eastAsiaTheme="minorEastAsia"/>
                <w:color w:val="000000" w:themeColor="text1"/>
                <w:sz w:val="21"/>
                <w:szCs w:val="21"/>
                <w:highlight w:val="none"/>
                <w:lang w:val="en-US" w:eastAsia="zh-CN"/>
                <w14:textFill>
                  <w14:solidFill>
                    <w14:schemeClr w14:val="tx1"/>
                  </w14:solidFill>
                </w14:textFill>
              </w:rPr>
              <w:t>排放速率为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0.003kg/h，</w:t>
            </w:r>
            <w:r>
              <w:rPr>
                <w:rFonts w:hint="eastAsia" w:cs="Times New Roman" w:eastAsiaTheme="minorEastAsia"/>
                <w:color w:val="000000" w:themeColor="text1"/>
                <w:sz w:val="21"/>
                <w:szCs w:val="21"/>
                <w:highlight w:val="none"/>
                <w:lang w:val="en-US" w:eastAsia="zh-CN"/>
                <w14:textFill>
                  <w14:solidFill>
                    <w14:schemeClr w14:val="tx1"/>
                  </w14:solidFill>
                </w14:textFill>
              </w:rPr>
              <w:t>排放量为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0.002t/a。</w:t>
            </w:r>
            <w:r>
              <w:rPr>
                <w:rFonts w:hint="eastAsia" w:cs="Times New Roman" w:eastAsiaTheme="minorEastAsia"/>
                <w:color w:val="000000" w:themeColor="text1"/>
                <w:sz w:val="21"/>
                <w:szCs w:val="21"/>
                <w:highlight w:val="none"/>
                <w:lang w:val="en-US" w:eastAsia="zh-CN"/>
                <w14:textFill>
                  <w14:solidFill>
                    <w14:schemeClr w14:val="tx1"/>
                  </w14:solidFill>
                </w14:textFill>
              </w:rPr>
              <w:t>故颗粒物、二氧化硫和氮氧化物的排放满足《工业炉窑大气污染物排放标准》（DB13/1640-2012）表1、表2中新建炉窑标准并同时满足《承德市工业炉窑综合治理实施方案》（承环办[2020]72 号）中相关限值中的相关要求；</w:t>
            </w:r>
            <w:r>
              <w:rPr>
                <w:rFonts w:hint="eastAsia" w:eastAsia="宋体" w:cs="Times New Roman"/>
                <w:color w:val="000000" w:themeColor="text1"/>
                <w:sz w:val="21"/>
                <w:szCs w:val="21"/>
                <w:highlight w:val="none"/>
                <w:lang w:val="en-US" w:eastAsia="zh-CN"/>
                <w14:textFill>
                  <w14:solidFill>
                    <w14:schemeClr w14:val="tx1"/>
                  </w14:solidFill>
                </w14:textFill>
              </w:rPr>
              <w:t>非甲烷总烃的排放浓度符合</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《工业企业挥发性有机物排放控制标准》（DB13/2322-2016）表1其他行业标准</w:t>
            </w: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w:t>
            </w:r>
            <w:r>
              <w:rPr>
                <w:rFonts w:hint="eastAsia" w:eastAsia="宋体" w:cs="Times New Roman"/>
                <w:color w:val="000000" w:themeColor="text1"/>
                <w:sz w:val="21"/>
                <w:szCs w:val="21"/>
                <w:highlight w:val="none"/>
                <w:lang w:val="en-US" w:eastAsia="zh-CN"/>
                <w14:textFill>
                  <w14:solidFill>
                    <w14:schemeClr w14:val="tx1"/>
                  </w14:solidFill>
                </w14:textFill>
              </w:rPr>
              <w:t>苯并[a]芘和沥青烟的排放浓度和排放速率满足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r>
              <w:rPr>
                <w:rFonts w:hint="eastAsia" w:eastAsia="宋体" w:cs="Times New Roman"/>
                <w:b w:val="0"/>
                <w:bCs w:val="0"/>
                <w:color w:val="000000" w:themeColor="text1"/>
                <w:kern w:val="2"/>
                <w:sz w:val="21"/>
                <w:szCs w:val="21"/>
                <w:highlight w:val="none"/>
                <w:lang w:val="en-US" w:eastAsia="zh-CN" w:bidi="ar-SA"/>
                <w14:textFill>
                  <w14:solidFill>
                    <w14:schemeClr w14:val="tx1"/>
                  </w14:solidFill>
                </w14:textFill>
              </w:rPr>
              <w:t>。</w:t>
            </w:r>
          </w:p>
          <w:p w14:paraId="3330825D">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⑩搅拌楼卸料产生的无组织废气</w:t>
            </w:r>
          </w:p>
          <w:p w14:paraId="3B33353C">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搅拌楼卸料</w:t>
            </w:r>
            <w:r>
              <w:rPr>
                <w:rFonts w:hint="eastAsia" w:eastAsia="宋体" w:cs="Times New Roman"/>
                <w:color w:val="000000" w:themeColor="text1"/>
                <w:sz w:val="21"/>
                <w:szCs w:val="21"/>
                <w:highlight w:val="none"/>
                <w:lang w:val="en-US" w:eastAsia="zh-CN"/>
                <w14:textFill>
                  <w14:solidFill>
                    <w14:schemeClr w14:val="tx1"/>
                  </w14:solidFill>
                </w14:textFill>
              </w:rPr>
              <w:t>产生的沥青废气量按沥青废气的20%计，搅拌楼卸料产生的非甲烷总烃、苯并[a]芘、沥青烟量为：0.0014t、3.3×10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eastAsia="宋体" w:cs="Times New Roman"/>
                <w:color w:val="000000" w:themeColor="text1"/>
                <w:sz w:val="21"/>
                <w:szCs w:val="21"/>
                <w:highlight w:val="none"/>
                <w:lang w:val="en-US" w:eastAsia="zh-CN"/>
                <w14:textFill>
                  <w14:solidFill>
                    <w14:schemeClr w14:val="tx1"/>
                  </w14:solidFill>
                </w14:textFill>
              </w:rPr>
              <w:t>t、0.031t。搅拌楼封闭，出料口设置侧吸式集气罩收集废气，收集效率按90%，故搅拌楼卸料产生的无组织沥青烟废气中非甲烷总烃、苯并[a]芘排放量分别为：0.0001t、3.3×10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-7</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t。无组织</w:t>
            </w:r>
            <w:r>
              <w:rPr>
                <w:rFonts w:hint="eastAsia" w:eastAsia="宋体" w:cs="Times New Roman"/>
                <w:color w:val="000000" w:themeColor="text1"/>
                <w:sz w:val="21"/>
                <w:szCs w:val="21"/>
                <w:highlight w:val="none"/>
                <w:lang w:val="en-US" w:eastAsia="zh-CN"/>
                <w14:textFill>
                  <w14:solidFill>
                    <w14:schemeClr w14:val="tx1"/>
                  </w14:solidFill>
                </w14:textFill>
              </w:rPr>
              <w:t>沥青烟废气中非甲烷总烃、苯并[a]芘排放速率分别为：0.0001kg/h、4.125×10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-7</w:t>
            </w:r>
            <w:r>
              <w:rPr>
                <w:rFonts w:hint="eastAsia" w:eastAsia="宋体" w:cs="Times New Roman"/>
                <w:color w:val="000000" w:themeColor="text1"/>
                <w:sz w:val="21"/>
                <w:szCs w:val="21"/>
                <w:highlight w:val="none"/>
                <w:vertAlign w:val="baseline"/>
                <w:lang w:val="en-US" w:eastAsia="zh-CN"/>
                <w14:textFill>
                  <w14:solidFill>
                    <w14:schemeClr w14:val="tx1"/>
                  </w14:solidFill>
                </w14:textFill>
              </w:rPr>
              <w:t>kg/h。</w:t>
            </w:r>
          </w:p>
          <w:p w14:paraId="732BDE4D">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eastAsia"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（2）项目新增生产线前后污染物排放“三本账”</w:t>
            </w:r>
          </w:p>
          <w:p w14:paraId="33A2165A">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p>
          <w:p w14:paraId="1F01E622">
            <w:pPr>
              <w:pStyle w:val="71"/>
              <w:keepNext w:val="0"/>
              <w:keepLines w:val="0"/>
              <w:pageBreakBefore w:val="0"/>
              <w:widowControl w:val="0"/>
              <w:kinsoku/>
              <w:wordWrap w:val="0"/>
              <w:overflowPunct/>
              <w:topLinePunct w:val="0"/>
              <w:autoSpaceDE/>
              <w:autoSpaceDN/>
              <w:bidi w:val="0"/>
              <w:adjustRightInd/>
              <w:snapToGrid/>
              <w:spacing w:after="0" w:line="48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eastAsia="宋体" w:cs="Times New Roman"/>
                <w:b/>
                <w:bCs/>
                <w:color w:val="000000" w:themeColor="text1"/>
                <w:spacing w:val="0"/>
                <w:position w:val="0"/>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eastAsia="宋体" w:cs="Times New Roman"/>
                <w:b/>
                <w:bCs/>
                <w:color w:val="000000" w:themeColor="text1"/>
                <w:sz w:val="21"/>
                <w:szCs w:val="21"/>
                <w:highlight w:val="none"/>
                <w:lang w:val="en-US" w:eastAsia="zh-CN"/>
                <w14:textFill>
                  <w14:solidFill>
                    <w14:schemeClr w14:val="tx1"/>
                  </w14:solidFill>
                </w14:textFill>
              </w:rPr>
              <w:t>项目新增生产线前后污染物排放“三本账”</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情况一览表</w:t>
            </w:r>
          </w:p>
          <w:tbl>
            <w:tblPr>
              <w:tblStyle w:val="31"/>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721"/>
              <w:gridCol w:w="959"/>
              <w:gridCol w:w="660"/>
              <w:gridCol w:w="1005"/>
              <w:gridCol w:w="1230"/>
              <w:gridCol w:w="1230"/>
              <w:gridCol w:w="1335"/>
              <w:gridCol w:w="907"/>
            </w:tblGrid>
            <w:tr w14:paraId="5E39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0" w:type="dxa"/>
                  <w:vAlign w:val="center"/>
                </w:tcPr>
                <w:p w14:paraId="5CCA1481">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分类项目</w:t>
                  </w:r>
                </w:p>
              </w:tc>
              <w:tc>
                <w:tcPr>
                  <w:tcW w:w="721" w:type="dxa"/>
                  <w:vAlign w:val="center"/>
                </w:tcPr>
                <w:p w14:paraId="68D3C19B">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污染物名称</w:t>
                  </w:r>
                </w:p>
              </w:tc>
              <w:tc>
                <w:tcPr>
                  <w:tcW w:w="959" w:type="dxa"/>
                  <w:vAlign w:val="center"/>
                </w:tcPr>
                <w:p w14:paraId="6D5F46E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现有工程排放量（固体废物产生量）</w:t>
                  </w:r>
                </w:p>
              </w:tc>
              <w:tc>
                <w:tcPr>
                  <w:tcW w:w="660" w:type="dxa"/>
                  <w:vAlign w:val="center"/>
                </w:tcPr>
                <w:p w14:paraId="579B3CB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现有工程许可排放量</w:t>
                  </w:r>
                </w:p>
              </w:tc>
              <w:tc>
                <w:tcPr>
                  <w:tcW w:w="1005" w:type="dxa"/>
                  <w:vAlign w:val="center"/>
                </w:tcPr>
                <w:p w14:paraId="18EF9A4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在建工程排放量（固体废物产生量）</w:t>
                  </w:r>
                </w:p>
              </w:tc>
              <w:tc>
                <w:tcPr>
                  <w:tcW w:w="1230" w:type="dxa"/>
                  <w:vAlign w:val="center"/>
                </w:tcPr>
                <w:p w14:paraId="081E309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本项目排放量（固体废物产生量）</w:t>
                  </w:r>
                </w:p>
              </w:tc>
              <w:tc>
                <w:tcPr>
                  <w:tcW w:w="1230" w:type="dxa"/>
                  <w:vAlign w:val="center"/>
                </w:tcPr>
                <w:p w14:paraId="7928ECFA">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以新带老消减量（新建项目不填）</w:t>
                  </w:r>
                </w:p>
              </w:tc>
              <w:tc>
                <w:tcPr>
                  <w:tcW w:w="1335" w:type="dxa"/>
                  <w:vAlign w:val="center"/>
                </w:tcPr>
                <w:p w14:paraId="4614397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highlight w:val="none"/>
                      <w:vertAlign w:val="baseline"/>
                      <w:lang w:val="en-US" w:eastAsia="zh-CN" w:bidi="ar-SA"/>
                      <w14:textFill>
                        <w14:solidFill>
                          <w14:schemeClr w14:val="tx1"/>
                        </w14:solidFill>
                      </w14:textFill>
                    </w:rPr>
                    <w:t>本项目建成后全厂排放量（固体废物产生量）</w:t>
                  </w:r>
                </w:p>
              </w:tc>
              <w:tc>
                <w:tcPr>
                  <w:tcW w:w="907" w:type="dxa"/>
                  <w:vAlign w:val="center"/>
                </w:tcPr>
                <w:p w14:paraId="5412288B">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b/>
                      <w:bCs/>
                      <w:color w:val="000000" w:themeColor="text1"/>
                      <w:sz w:val="21"/>
                      <w:szCs w:val="21"/>
                      <w:highlight w:val="none"/>
                      <w:vertAlign w:val="baseline"/>
                      <w:lang w:val="en-US" w:eastAsia="zh-CN"/>
                      <w14:textFill>
                        <w14:solidFill>
                          <w14:schemeClr w14:val="tx1"/>
                        </w14:solidFill>
                      </w14:textFill>
                    </w:rPr>
                    <w:t>变化量</w:t>
                  </w:r>
                </w:p>
              </w:tc>
            </w:tr>
            <w:tr w14:paraId="21D4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dxa"/>
                  <w:vMerge w:val="restart"/>
                  <w:vAlign w:val="center"/>
                </w:tcPr>
                <w:p w14:paraId="5D23555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废气</w:t>
                  </w:r>
                </w:p>
              </w:tc>
              <w:tc>
                <w:tcPr>
                  <w:tcW w:w="721" w:type="dxa"/>
                  <w:vAlign w:val="center"/>
                </w:tcPr>
                <w:p w14:paraId="6AAD0B51">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颗粒物</w:t>
                  </w:r>
                </w:p>
              </w:tc>
              <w:tc>
                <w:tcPr>
                  <w:tcW w:w="959" w:type="dxa"/>
                  <w:vAlign w:val="center"/>
                </w:tcPr>
                <w:p w14:paraId="39400C0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660" w:type="dxa"/>
                  <w:vAlign w:val="center"/>
                </w:tcPr>
                <w:p w14:paraId="0EBFFB9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005" w:type="dxa"/>
                  <w:shd w:val="clear" w:color="auto" w:fill="auto"/>
                  <w:vAlign w:val="center"/>
                </w:tcPr>
                <w:p w14:paraId="1B02218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30" w:type="dxa"/>
                  <w:vAlign w:val="center"/>
                </w:tcPr>
                <w:p w14:paraId="1838394B">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1.227</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30" w:type="dxa"/>
                  <w:vAlign w:val="center"/>
                </w:tcPr>
                <w:p w14:paraId="6911296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335" w:type="dxa"/>
                  <w:vAlign w:val="center"/>
                </w:tcPr>
                <w:p w14:paraId="3786DB8C">
                  <w:pPr>
                    <w:pageBreakBefore w:val="0"/>
                    <w:kinsoku/>
                    <w:wordWrap w:val="0"/>
                    <w:overflowPunct/>
                    <w:bidi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1.227</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907" w:type="dxa"/>
                  <w:vAlign w:val="center"/>
                </w:tcPr>
                <w:p w14:paraId="1D18C718">
                  <w:pPr>
                    <w:pStyle w:val="58"/>
                    <w:pageBreakBefore w:val="0"/>
                    <w:kinsoku/>
                    <w:wordWrap w:val="0"/>
                    <w:overflowPunct/>
                    <w:bidi w:val="0"/>
                    <w:spacing w:line="240" w:lineRule="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+1.226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6499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dxa"/>
                  <w:vMerge w:val="continue"/>
                  <w:vAlign w:val="center"/>
                </w:tcPr>
                <w:p w14:paraId="4170646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721" w:type="dxa"/>
                  <w:vAlign w:val="center"/>
                </w:tcPr>
                <w:p w14:paraId="7DF075C5">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二氧化硫</w:t>
                  </w:r>
                </w:p>
              </w:tc>
              <w:tc>
                <w:tcPr>
                  <w:tcW w:w="959" w:type="dxa"/>
                  <w:vAlign w:val="center"/>
                </w:tcPr>
                <w:p w14:paraId="4A99E35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660" w:type="dxa"/>
                  <w:vAlign w:val="center"/>
                </w:tcPr>
                <w:p w14:paraId="01BD1759">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0.045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05" w:type="dxa"/>
                  <w:shd w:val="clear" w:color="auto" w:fill="auto"/>
                  <w:vAlign w:val="center"/>
                </w:tcPr>
                <w:p w14:paraId="452FF6E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30" w:type="dxa"/>
                  <w:vAlign w:val="center"/>
                </w:tcPr>
                <w:p w14:paraId="0B28C40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0.040</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30" w:type="dxa"/>
                  <w:vAlign w:val="center"/>
                </w:tcPr>
                <w:p w14:paraId="7D8BF2F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color w:val="000000" w:themeColor="text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335" w:type="dxa"/>
                  <w:vAlign w:val="center"/>
                </w:tcPr>
                <w:p w14:paraId="2074B234">
                  <w:pPr>
                    <w:pageBreakBefore w:val="0"/>
                    <w:kinsoku/>
                    <w:wordWrap w:val="0"/>
                    <w:overflowPunct/>
                    <w:bidi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0.040</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907" w:type="dxa"/>
                  <w:vAlign w:val="center"/>
                </w:tcPr>
                <w:p w14:paraId="0C9C5BB1">
                  <w:pPr>
                    <w:pStyle w:val="58"/>
                    <w:pageBreakBefore w:val="0"/>
                    <w:kinsoku/>
                    <w:wordWrap w:val="0"/>
                    <w:overflowPunct/>
                    <w:bidi w:val="0"/>
                    <w:spacing w:line="240" w:lineRule="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+0.039</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220E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0" w:type="dxa"/>
                  <w:vMerge w:val="continue"/>
                  <w:vAlign w:val="center"/>
                </w:tcPr>
                <w:p w14:paraId="5749012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721" w:type="dxa"/>
                  <w:vAlign w:val="center"/>
                </w:tcPr>
                <w:p w14:paraId="20ABDDD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氮氧化物</w:t>
                  </w:r>
                </w:p>
              </w:tc>
              <w:tc>
                <w:tcPr>
                  <w:tcW w:w="959" w:type="dxa"/>
                  <w:vAlign w:val="center"/>
                </w:tcPr>
                <w:p w14:paraId="33291CD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0.003</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660" w:type="dxa"/>
                  <w:vAlign w:val="center"/>
                </w:tcPr>
                <w:p w14:paraId="27ACA2B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0.440</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05" w:type="dxa"/>
                  <w:shd w:val="clear" w:color="auto" w:fill="auto"/>
                  <w:vAlign w:val="center"/>
                </w:tcPr>
                <w:p w14:paraId="24A7DC4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30" w:type="dxa"/>
                  <w:vAlign w:val="center"/>
                </w:tcPr>
                <w:p w14:paraId="67D8867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0.429</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30" w:type="dxa"/>
                  <w:vAlign w:val="center"/>
                </w:tcPr>
                <w:p w14:paraId="122A3539">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0.003</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335" w:type="dxa"/>
                  <w:vAlign w:val="center"/>
                </w:tcPr>
                <w:p w14:paraId="1936C679">
                  <w:pPr>
                    <w:pageBreakBefore w:val="0"/>
                    <w:kinsoku/>
                    <w:wordWrap w:val="0"/>
                    <w:overflowPunct/>
                    <w:bidi w:val="0"/>
                    <w:spacing w:line="240" w:lineRule="auto"/>
                    <w:ind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0.429</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907" w:type="dxa"/>
                  <w:vAlign w:val="center"/>
                </w:tcPr>
                <w:p w14:paraId="127AFFAA">
                  <w:pPr>
                    <w:pStyle w:val="58"/>
                    <w:pageBreakBefore w:val="0"/>
                    <w:kinsoku/>
                    <w:wordWrap w:val="0"/>
                    <w:overflowPunct/>
                    <w:bidi w:val="0"/>
                    <w:spacing w:line="240" w:lineRule="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+0.426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256B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0" w:type="dxa"/>
                  <w:vMerge w:val="continue"/>
                  <w:vAlign w:val="center"/>
                </w:tcPr>
                <w:p w14:paraId="006CC4B6">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721" w:type="dxa"/>
                  <w:vAlign w:val="center"/>
                </w:tcPr>
                <w:p w14:paraId="5B94C26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非甲烷总烃</w:t>
                  </w:r>
                </w:p>
              </w:tc>
              <w:tc>
                <w:tcPr>
                  <w:tcW w:w="959" w:type="dxa"/>
                  <w:vAlign w:val="center"/>
                </w:tcPr>
                <w:p w14:paraId="2E2CC7C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660" w:type="dxa"/>
                  <w:vAlign w:val="center"/>
                </w:tcPr>
                <w:p w14:paraId="2DEA7CF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005" w:type="dxa"/>
                  <w:shd w:val="clear" w:color="auto" w:fill="auto"/>
                  <w:vAlign w:val="center"/>
                </w:tcPr>
                <w:p w14:paraId="3E85B99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30" w:type="dxa"/>
                  <w:vAlign w:val="center"/>
                </w:tcPr>
                <w:p w14:paraId="4D82F6C5">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30" w:type="dxa"/>
                  <w:vAlign w:val="center"/>
                </w:tcPr>
                <w:p w14:paraId="35928ED3">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黑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335" w:type="dxa"/>
                  <w:vAlign w:val="center"/>
                </w:tcPr>
                <w:p w14:paraId="15C43C7C">
                  <w:pPr>
                    <w:pStyle w:val="25"/>
                    <w:pageBreakBefore w:val="0"/>
                    <w:kinsoku/>
                    <w:wordWrap w:val="0"/>
                    <w:overflowPunct/>
                    <w:bidi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907" w:type="dxa"/>
                  <w:vAlign w:val="center"/>
                </w:tcPr>
                <w:p w14:paraId="52DD0955">
                  <w:pPr>
                    <w:pStyle w:val="25"/>
                    <w:pageBreakBefore w:val="0"/>
                    <w:kinsoku/>
                    <w:wordWrap w:val="0"/>
                    <w:overflowPunct/>
                    <w:bidi w:val="0"/>
                    <w:spacing w:line="240" w:lineRule="auto"/>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snapToGrid w:val="0"/>
                      <w:color w:val="000000" w:themeColor="text1"/>
                      <w:spacing w:val="0"/>
                      <w:kern w:val="21"/>
                      <w:position w:val="0"/>
                      <w:szCs w:val="21"/>
                      <w:highlight w:val="no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51C6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0" w:type="dxa"/>
                  <w:vMerge w:val="continue"/>
                  <w:vAlign w:val="center"/>
                </w:tcPr>
                <w:p w14:paraId="721EEDCA">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721" w:type="dxa"/>
                  <w:vAlign w:val="center"/>
                </w:tcPr>
                <w:p w14:paraId="4BD2460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苯并[a]芘</w:t>
                  </w:r>
                </w:p>
              </w:tc>
              <w:tc>
                <w:tcPr>
                  <w:tcW w:w="959" w:type="dxa"/>
                  <w:vAlign w:val="center"/>
                </w:tcPr>
                <w:p w14:paraId="2A26E791">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660" w:type="dxa"/>
                  <w:vAlign w:val="center"/>
                </w:tcPr>
                <w:p w14:paraId="5BD8EC1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005" w:type="dxa"/>
                  <w:shd w:val="clear" w:color="auto" w:fill="auto"/>
                  <w:vAlign w:val="center"/>
                </w:tcPr>
                <w:p w14:paraId="49AF7629">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30" w:type="dxa"/>
                  <w:vAlign w:val="center"/>
                </w:tcPr>
                <w:p w14:paraId="44FD4E11">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2.607×10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30" w:type="dxa"/>
                  <w:vAlign w:val="center"/>
                </w:tcPr>
                <w:p w14:paraId="7A4764B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335" w:type="dxa"/>
                  <w:vAlign w:val="center"/>
                </w:tcPr>
                <w:p w14:paraId="0C0F1B0A">
                  <w:pPr>
                    <w:pStyle w:val="25"/>
                    <w:pageBreakBefore w:val="0"/>
                    <w:kinsoku/>
                    <w:wordWrap w:val="0"/>
                    <w:overflowPunct/>
                    <w:bidi w:val="0"/>
                    <w:spacing w:line="240" w:lineRule="auto"/>
                    <w:ind w:left="0" w:leftChars="0" w:firstLine="0" w:firstLineChars="0"/>
                    <w:jc w:val="cente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2.607×10</w:t>
                  </w:r>
                  <w:r>
                    <w:rPr>
                      <w:rFonts w:hint="eastAsia"/>
                      <w:color w:val="000000" w:themeColor="text1"/>
                      <w:sz w:val="21"/>
                      <w:szCs w:val="21"/>
                      <w:highlight w:val="none"/>
                      <w:vertAlign w:val="superscript"/>
                      <w:lang w:val="en-US" w:eastAsia="zh-CN"/>
                      <w14:textFill>
                        <w14:solidFill>
                          <w14:schemeClr w14:val="tx1"/>
                        </w14:solidFill>
                      </w14:textFill>
                    </w:rPr>
                    <w:t>-6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907" w:type="dxa"/>
                  <w:vAlign w:val="center"/>
                </w:tcPr>
                <w:p w14:paraId="4AEEDD6C">
                  <w:pPr>
                    <w:pStyle w:val="25"/>
                    <w:pageBreakBefore w:val="0"/>
                    <w:kinsoku/>
                    <w:wordWrap w:val="0"/>
                    <w:overflowPunct/>
                    <w:bidi w:val="0"/>
                    <w:spacing w:line="240" w:lineRule="auto"/>
                    <w:ind w:left="0" w:leftChars="0" w:firstLine="0" w:firstLineChars="0"/>
                    <w:jc w:val="center"/>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snapToGrid w:val="0"/>
                      <w:color w:val="000000" w:themeColor="text1"/>
                      <w:spacing w:val="0"/>
                      <w:kern w:val="21"/>
                      <w:position w:val="0"/>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2.607×10</w:t>
                  </w:r>
                  <w:r>
                    <w:rPr>
                      <w:rFonts w:hint="eastAsia"/>
                      <w:color w:val="000000" w:themeColor="text1"/>
                      <w:sz w:val="21"/>
                      <w:szCs w:val="21"/>
                      <w:highlight w:val="none"/>
                      <w:vertAlign w:val="superscript"/>
                      <w:lang w:val="en-US" w:eastAsia="zh-CN"/>
                      <w14:textFill>
                        <w14:solidFill>
                          <w14:schemeClr w14:val="tx1"/>
                        </w14:solidFill>
                      </w14:textFill>
                    </w:rPr>
                    <w:t>-6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22B1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0" w:type="dxa"/>
                  <w:vMerge w:val="continue"/>
                  <w:vAlign w:val="center"/>
                </w:tcPr>
                <w:p w14:paraId="0655DB2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721" w:type="dxa"/>
                  <w:vAlign w:val="center"/>
                </w:tcPr>
                <w:p w14:paraId="58B442F5">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沥青烟</w:t>
                  </w:r>
                </w:p>
              </w:tc>
              <w:tc>
                <w:tcPr>
                  <w:tcW w:w="959" w:type="dxa"/>
                  <w:vAlign w:val="center"/>
                </w:tcPr>
                <w:p w14:paraId="008E167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0.015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660" w:type="dxa"/>
                  <w:vAlign w:val="center"/>
                </w:tcPr>
                <w:p w14:paraId="56A2FB8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005" w:type="dxa"/>
                  <w:shd w:val="clear" w:color="auto" w:fill="auto"/>
                  <w:vAlign w:val="center"/>
                </w:tcPr>
                <w:p w14:paraId="01EB131E">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30" w:type="dxa"/>
                  <w:vAlign w:val="center"/>
                </w:tcPr>
                <w:p w14:paraId="21ABD459">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0.002</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30" w:type="dxa"/>
                  <w:vAlign w:val="center"/>
                </w:tcPr>
                <w:p w14:paraId="4E8365E8">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0.015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335" w:type="dxa"/>
                  <w:vAlign w:val="center"/>
                </w:tcPr>
                <w:p w14:paraId="230006A3">
                  <w:pPr>
                    <w:pStyle w:val="25"/>
                    <w:pageBreakBefore w:val="0"/>
                    <w:kinsoku/>
                    <w:wordWrap w:val="0"/>
                    <w:overflowPunct/>
                    <w:bidi w:val="0"/>
                    <w:spacing w:line="240" w:lineRule="auto"/>
                    <w:ind w:left="0" w:leftChars="0" w:firstLine="0" w:firstLineChars="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0.002</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907" w:type="dxa"/>
                  <w:vAlign w:val="center"/>
                </w:tcPr>
                <w:p w14:paraId="6527257F">
                  <w:pPr>
                    <w:pStyle w:val="25"/>
                    <w:pageBreakBefore w:val="0"/>
                    <w:kinsoku/>
                    <w:wordWrap w:val="0"/>
                    <w:overflowPunct/>
                    <w:bidi w:val="0"/>
                    <w:spacing w:line="240" w:lineRule="auto"/>
                    <w:ind w:left="0" w:leftChars="0" w:firstLine="0" w:firstLineChars="0"/>
                    <w:jc w:val="center"/>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s="Times New Roman"/>
                      <w:snapToGrid w:val="0"/>
                      <w:color w:val="000000" w:themeColor="text1"/>
                      <w:spacing w:val="0"/>
                      <w:kern w:val="21"/>
                      <w:position w:val="0"/>
                      <w:szCs w:val="21"/>
                      <w:highlight w:val="none"/>
                      <w:lang w:val="en-US" w:eastAsia="zh-CN"/>
                      <w14:textFill>
                        <w14:solidFill>
                          <w14:schemeClr w14:val="tx1"/>
                        </w14:solidFill>
                      </w14:textFill>
                    </w:rPr>
                    <w:t>-0.013</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bl>
          <w:p w14:paraId="48EE6B8E">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2" w:firstLineChars="20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eastAsia="宋体" w:cs="Times New Roman"/>
                <w:b/>
                <w:bCs/>
                <w:color w:val="000000" w:themeColor="text1"/>
                <w:sz w:val="21"/>
                <w:szCs w:val="21"/>
                <w:highlight w:val="none"/>
                <w:lang w:val="en-US" w:eastAsia="zh-CN"/>
                <w14:textFill>
                  <w14:solidFill>
                    <w14:schemeClr w14:val="tx1"/>
                  </w14:solidFill>
                </w14:textFill>
              </w:rPr>
              <w:t>（3）排放口的基本情况</w:t>
            </w:r>
          </w:p>
          <w:p w14:paraId="1008B9EE">
            <w:pPr>
              <w:pStyle w:val="71"/>
              <w:keepNext w:val="0"/>
              <w:keepLines w:val="0"/>
              <w:pageBreakBefore w:val="0"/>
              <w:widowControl w:val="0"/>
              <w:kinsoku/>
              <w:wordWrap w:val="0"/>
              <w:overflowPunct/>
              <w:topLinePunct w:val="0"/>
              <w:autoSpaceDE/>
              <w:autoSpaceDN/>
              <w:bidi w:val="0"/>
              <w:adjustRightInd/>
              <w:snapToGrid/>
              <w:spacing w:after="0" w:line="480" w:lineRule="exact"/>
              <w:ind w:firstLine="420" w:firstLineChars="200"/>
              <w:jc w:val="left"/>
              <w:textAlignment w:val="auto"/>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本项目共设置三根排气筒，其中DA001和DA002为企业原有排气筒，DA003为本项目新建排气筒，具体信息详见下表所示：</w:t>
            </w:r>
          </w:p>
          <w:p w14:paraId="2E0FED18">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表</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4-</w:t>
            </w:r>
            <w:r>
              <w:rPr>
                <w:rFonts w:hint="eastAsia" w:cs="Times New Roman"/>
                <w:b/>
                <w:bCs/>
                <w:color w:val="000000" w:themeColor="text1"/>
                <w:szCs w:val="21"/>
                <w:highlight w:val="none"/>
                <w:lang w:val="en-US" w:eastAsia="zh-CN"/>
                <w14:textFill>
                  <w14:solidFill>
                    <w14:schemeClr w14:val="tx1"/>
                  </w14:solidFill>
                </w14:textFill>
              </w:rPr>
              <w:t>8</w:t>
            </w:r>
            <w:r>
              <w:rPr>
                <w:rFonts w:ascii="Times New Roman" w:hAnsi="Times New Roman" w:cs="Times New Roman"/>
                <w:b/>
                <w:bCs/>
                <w:color w:val="000000" w:themeColor="text1"/>
                <w:szCs w:val="21"/>
                <w:highlight w:val="none"/>
                <w14:textFill>
                  <w14:solidFill>
                    <w14:schemeClr w14:val="tx1"/>
                  </w14:solidFill>
                </w14:textFill>
              </w:rPr>
              <w:t xml:space="preserve">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大气污染物排放口基本情况</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418"/>
              <w:gridCol w:w="1547"/>
              <w:gridCol w:w="1470"/>
              <w:gridCol w:w="975"/>
              <w:gridCol w:w="1135"/>
              <w:gridCol w:w="1051"/>
            </w:tblGrid>
            <w:tr w14:paraId="1884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7" w:type="pct"/>
                  <w:vMerge w:val="restart"/>
                  <w:noWrap w:val="0"/>
                  <w:vAlign w:val="center"/>
                </w:tcPr>
                <w:p w14:paraId="51BCDBB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编号</w:t>
                  </w:r>
                </w:p>
              </w:tc>
              <w:tc>
                <w:tcPr>
                  <w:tcW w:w="842" w:type="pct"/>
                  <w:vMerge w:val="restart"/>
                  <w:noWrap w:val="0"/>
                  <w:vAlign w:val="center"/>
                </w:tcPr>
                <w:p w14:paraId="34CB461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名称</w:t>
                  </w:r>
                </w:p>
              </w:tc>
              <w:tc>
                <w:tcPr>
                  <w:tcW w:w="1792" w:type="pct"/>
                  <w:gridSpan w:val="2"/>
                  <w:noWrap w:val="0"/>
                  <w:vAlign w:val="center"/>
                </w:tcPr>
                <w:p w14:paraId="41BEE09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排气筒底部中心坐标</w:t>
                  </w:r>
                </w:p>
              </w:tc>
              <w:tc>
                <w:tcPr>
                  <w:tcW w:w="579" w:type="pct"/>
                  <w:vMerge w:val="restart"/>
                  <w:noWrap w:val="0"/>
                  <w:vAlign w:val="center"/>
                </w:tcPr>
                <w:p w14:paraId="60BD763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排气筒高度/m</w:t>
                  </w:r>
                </w:p>
              </w:tc>
              <w:tc>
                <w:tcPr>
                  <w:tcW w:w="674" w:type="pct"/>
                  <w:vMerge w:val="restart"/>
                  <w:noWrap w:val="0"/>
                  <w:vAlign w:val="center"/>
                </w:tcPr>
                <w:p w14:paraId="5624EE7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排气筒出口内径/m</w:t>
                  </w:r>
                </w:p>
              </w:tc>
              <w:tc>
                <w:tcPr>
                  <w:tcW w:w="624" w:type="pct"/>
                  <w:vMerge w:val="restart"/>
                  <w:noWrap w:val="0"/>
                  <w:vAlign w:val="center"/>
                </w:tcPr>
                <w:p w14:paraId="6578FB5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烟气温度/℃</w:t>
                  </w:r>
                </w:p>
              </w:tc>
            </w:tr>
            <w:tr w14:paraId="66A6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7" w:type="pct"/>
                  <w:vMerge w:val="continue"/>
                  <w:noWrap w:val="0"/>
                  <w:vAlign w:val="center"/>
                </w:tcPr>
                <w:p w14:paraId="32AA6A5B">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b/>
                      <w:bCs w:val="0"/>
                      <w:color w:val="000000" w:themeColor="text1"/>
                      <w:highlight w:val="none"/>
                      <w14:textFill>
                        <w14:solidFill>
                          <w14:schemeClr w14:val="tx1"/>
                        </w14:solidFill>
                      </w14:textFill>
                    </w:rPr>
                  </w:pPr>
                </w:p>
              </w:tc>
              <w:tc>
                <w:tcPr>
                  <w:tcW w:w="842" w:type="pct"/>
                  <w:vMerge w:val="continue"/>
                  <w:noWrap w:val="0"/>
                  <w:vAlign w:val="center"/>
                </w:tcPr>
                <w:p w14:paraId="5274E4EC">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b/>
                      <w:bCs w:val="0"/>
                      <w:color w:val="000000" w:themeColor="text1"/>
                      <w:highlight w:val="none"/>
                      <w14:textFill>
                        <w14:solidFill>
                          <w14:schemeClr w14:val="tx1"/>
                        </w14:solidFill>
                      </w14:textFill>
                    </w:rPr>
                  </w:pPr>
                </w:p>
              </w:tc>
              <w:tc>
                <w:tcPr>
                  <w:tcW w:w="919" w:type="pct"/>
                  <w:noWrap w:val="0"/>
                  <w:vAlign w:val="center"/>
                </w:tcPr>
                <w:p w14:paraId="62C5623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E</w:t>
                  </w:r>
                </w:p>
              </w:tc>
              <w:tc>
                <w:tcPr>
                  <w:tcW w:w="873" w:type="pct"/>
                  <w:noWrap w:val="0"/>
                  <w:vAlign w:val="center"/>
                </w:tcPr>
                <w:p w14:paraId="38FE08B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N</w:t>
                  </w:r>
                </w:p>
              </w:tc>
              <w:tc>
                <w:tcPr>
                  <w:tcW w:w="579" w:type="pct"/>
                  <w:vMerge w:val="continue"/>
                  <w:noWrap w:val="0"/>
                  <w:vAlign w:val="center"/>
                </w:tcPr>
                <w:p w14:paraId="1F0CE1C2">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674" w:type="pct"/>
                  <w:vMerge w:val="continue"/>
                  <w:noWrap w:val="0"/>
                  <w:vAlign w:val="center"/>
                </w:tcPr>
                <w:p w14:paraId="3D8A6AF6">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624" w:type="pct"/>
                  <w:vMerge w:val="continue"/>
                  <w:noWrap w:val="0"/>
                  <w:vAlign w:val="center"/>
                </w:tcPr>
                <w:p w14:paraId="001BDFC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p>
              </w:tc>
            </w:tr>
            <w:tr w14:paraId="208E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7" w:type="pct"/>
                  <w:noWrap w:val="0"/>
                  <w:vAlign w:val="center"/>
                </w:tcPr>
                <w:p w14:paraId="037F0E9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DA001</w:t>
                  </w:r>
                </w:p>
              </w:tc>
              <w:tc>
                <w:tcPr>
                  <w:tcW w:w="842" w:type="pct"/>
                  <w:noWrap w:val="0"/>
                  <w:vAlign w:val="center"/>
                </w:tcPr>
                <w:p w14:paraId="16D08E9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1#</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生产废气排放口</w:t>
                  </w:r>
                </w:p>
              </w:tc>
              <w:tc>
                <w:tcPr>
                  <w:tcW w:w="919" w:type="pct"/>
                  <w:noWrap w:val="0"/>
                  <w:vAlign w:val="center"/>
                </w:tcPr>
                <w:p w14:paraId="5C04C05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117.41504°</w:t>
                  </w:r>
                </w:p>
              </w:tc>
              <w:tc>
                <w:tcPr>
                  <w:tcW w:w="873" w:type="pct"/>
                  <w:noWrap w:val="0"/>
                  <w:vAlign w:val="center"/>
                </w:tcPr>
                <w:p w14:paraId="43DCF09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41.94657°</w:t>
                  </w:r>
                </w:p>
              </w:tc>
              <w:tc>
                <w:tcPr>
                  <w:tcW w:w="579" w:type="pct"/>
                  <w:noWrap w:val="0"/>
                  <w:vAlign w:val="center"/>
                </w:tcPr>
                <w:p w14:paraId="0449225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15</w:t>
                  </w:r>
                </w:p>
              </w:tc>
              <w:tc>
                <w:tcPr>
                  <w:tcW w:w="674" w:type="pct"/>
                  <w:noWrap w:val="0"/>
                  <w:vAlign w:val="center"/>
                </w:tcPr>
                <w:p w14:paraId="6B460E5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0.8</w:t>
                  </w:r>
                </w:p>
              </w:tc>
              <w:tc>
                <w:tcPr>
                  <w:tcW w:w="624" w:type="pct"/>
                  <w:noWrap w:val="0"/>
                  <w:vAlign w:val="center"/>
                </w:tcPr>
                <w:p w14:paraId="30ABA9C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pacing w:val="0"/>
                      <w:position w:val="0"/>
                      <w:sz w:val="21"/>
                      <w:szCs w:val="21"/>
                      <w:highlight w:val="none"/>
                      <w:vertAlign w:val="baseline"/>
                      <w:lang w:val="en-US" w:eastAsia="zh-CN"/>
                      <w14:textFill>
                        <w14:solidFill>
                          <w14:schemeClr w14:val="tx1"/>
                        </w14:solidFill>
                      </w14:textFill>
                    </w:rPr>
                    <w:t>70</w:t>
                  </w:r>
                </w:p>
              </w:tc>
            </w:tr>
            <w:tr w14:paraId="7AB9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7" w:type="pct"/>
                  <w:noWrap w:val="0"/>
                  <w:vAlign w:val="center"/>
                </w:tcPr>
                <w:p w14:paraId="5C9ECD6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DA002</w:t>
                  </w:r>
                </w:p>
              </w:tc>
              <w:tc>
                <w:tcPr>
                  <w:tcW w:w="842" w:type="pct"/>
                  <w:noWrap w:val="0"/>
                  <w:vAlign w:val="center"/>
                </w:tcPr>
                <w:p w14:paraId="6ED9E56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2#锅炉废气排气筒</w:t>
                  </w:r>
                </w:p>
              </w:tc>
              <w:tc>
                <w:tcPr>
                  <w:tcW w:w="919" w:type="pct"/>
                  <w:noWrap w:val="0"/>
                  <w:vAlign w:val="center"/>
                </w:tcPr>
                <w:p w14:paraId="36EE557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117.41511°</w:t>
                  </w:r>
                </w:p>
              </w:tc>
              <w:tc>
                <w:tcPr>
                  <w:tcW w:w="873" w:type="pct"/>
                  <w:noWrap w:val="0"/>
                  <w:vAlign w:val="center"/>
                </w:tcPr>
                <w:p w14:paraId="697577A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41.94645°</w:t>
                  </w:r>
                </w:p>
              </w:tc>
              <w:tc>
                <w:tcPr>
                  <w:tcW w:w="579" w:type="pct"/>
                  <w:noWrap w:val="0"/>
                  <w:vAlign w:val="center"/>
                </w:tcPr>
                <w:p w14:paraId="45C25A8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16</w:t>
                  </w:r>
                </w:p>
              </w:tc>
              <w:tc>
                <w:tcPr>
                  <w:tcW w:w="674" w:type="pct"/>
                  <w:noWrap w:val="0"/>
                  <w:vAlign w:val="center"/>
                </w:tcPr>
                <w:p w14:paraId="3E511AE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0.45</w:t>
                  </w:r>
                </w:p>
              </w:tc>
              <w:tc>
                <w:tcPr>
                  <w:tcW w:w="624" w:type="pct"/>
                  <w:noWrap w:val="0"/>
                  <w:vAlign w:val="center"/>
                </w:tcPr>
                <w:p w14:paraId="4CB3480A">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55</w:t>
                  </w:r>
                </w:p>
              </w:tc>
            </w:tr>
            <w:tr w14:paraId="5F35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7" w:type="pct"/>
                  <w:noWrap w:val="0"/>
                  <w:vAlign w:val="center"/>
                </w:tcPr>
                <w:p w14:paraId="0804CF0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DA003</w:t>
                  </w:r>
                </w:p>
              </w:tc>
              <w:tc>
                <w:tcPr>
                  <w:tcW w:w="842" w:type="pct"/>
                  <w:noWrap w:val="0"/>
                  <w:vAlign w:val="center"/>
                </w:tcPr>
                <w:p w14:paraId="3D03EB2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3#破碎筛分排气筒</w:t>
                  </w:r>
                </w:p>
              </w:tc>
              <w:tc>
                <w:tcPr>
                  <w:tcW w:w="919" w:type="pct"/>
                  <w:noWrap w:val="0"/>
                  <w:vAlign w:val="center"/>
                </w:tcPr>
                <w:p w14:paraId="128A926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117.41527°</w:t>
                  </w:r>
                </w:p>
              </w:tc>
              <w:tc>
                <w:tcPr>
                  <w:tcW w:w="873" w:type="pct"/>
                  <w:noWrap w:val="0"/>
                  <w:vAlign w:val="center"/>
                </w:tcPr>
                <w:p w14:paraId="6B0EFE7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41.94645°</w:t>
                  </w:r>
                </w:p>
              </w:tc>
              <w:tc>
                <w:tcPr>
                  <w:tcW w:w="579" w:type="pct"/>
                  <w:noWrap w:val="0"/>
                  <w:vAlign w:val="center"/>
                </w:tcPr>
                <w:p w14:paraId="0EF5A93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15</w:t>
                  </w:r>
                </w:p>
              </w:tc>
              <w:tc>
                <w:tcPr>
                  <w:tcW w:w="674" w:type="pct"/>
                  <w:noWrap w:val="0"/>
                  <w:vAlign w:val="center"/>
                </w:tcPr>
                <w:p w14:paraId="7A5F10A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0.2</w:t>
                  </w:r>
                </w:p>
              </w:tc>
              <w:tc>
                <w:tcPr>
                  <w:tcW w:w="624" w:type="pct"/>
                  <w:noWrap w:val="0"/>
                  <w:vAlign w:val="center"/>
                </w:tcPr>
                <w:p w14:paraId="78E61E6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常温</w:t>
                  </w:r>
                </w:p>
              </w:tc>
            </w:tr>
          </w:tbl>
          <w:p w14:paraId="7F47C0BF">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2" w:firstLineChars="200"/>
              <w:jc w:val="both"/>
              <w:textAlignment w:val="auto"/>
              <w:rPr>
                <w:rFonts w:hint="eastAsia" w:ascii="Times New Roman" w:hAnsi="Times New Roman" w:cs="Times New Roman"/>
                <w:b/>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lang w:val="en-US" w:eastAsia="zh-CN"/>
                <w14:textFill>
                  <w14:solidFill>
                    <w14:schemeClr w14:val="tx1"/>
                  </w14:solidFill>
                </w14:textFill>
              </w:rPr>
              <w:t>（4）污染物排放达标分析</w:t>
            </w:r>
          </w:p>
          <w:p w14:paraId="02612078">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①有组织废气排放达标分析</w:t>
            </w:r>
          </w:p>
          <w:p w14:paraId="1FA3B59D">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根据上述计算结果，本项目废气有组织排放情况详见下表：</w:t>
            </w:r>
          </w:p>
          <w:p w14:paraId="6992142C">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表</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4-</w:t>
            </w:r>
            <w:r>
              <w:rPr>
                <w:rFonts w:hint="eastAsia" w:cs="Times New Roman"/>
                <w:b/>
                <w:bCs/>
                <w:color w:val="000000" w:themeColor="text1"/>
                <w:szCs w:val="21"/>
                <w:highlight w:val="none"/>
                <w:lang w:val="en-US" w:eastAsia="zh-CN"/>
                <w14:textFill>
                  <w14:solidFill>
                    <w14:schemeClr w14:val="tx1"/>
                  </w14:solidFill>
                </w14:textFill>
              </w:rPr>
              <w:t>9</w:t>
            </w:r>
            <w:r>
              <w:rPr>
                <w:rFonts w:ascii="Times New Roman" w:hAnsi="Times New Roman" w:cs="Times New Roman"/>
                <w:b/>
                <w:bCs/>
                <w:color w:val="000000" w:themeColor="text1"/>
                <w:szCs w:val="21"/>
                <w:highlight w:val="none"/>
                <w14:textFill>
                  <w14:solidFill>
                    <w14:schemeClr w14:val="tx1"/>
                  </w14:solidFill>
                </w14:textFill>
              </w:rPr>
              <w:t xml:space="preserve">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大气污染物有组织排放情况详见下表</w:t>
            </w:r>
          </w:p>
          <w:tbl>
            <w:tblPr>
              <w:tblStyle w:val="30"/>
              <w:tblW w:w="8520" w:type="dxa"/>
              <w:tblInd w:w="-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0"/>
              <w:gridCol w:w="750"/>
              <w:gridCol w:w="1582"/>
              <w:gridCol w:w="1598"/>
              <w:gridCol w:w="765"/>
              <w:gridCol w:w="1208"/>
              <w:gridCol w:w="1237"/>
              <w:gridCol w:w="680"/>
            </w:tblGrid>
            <w:tr w14:paraId="642BA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C2B40F">
                  <w:pPr>
                    <w:keepNext w:val="0"/>
                    <w:keepLines w:val="0"/>
                    <w:pageBreakBefore w:val="0"/>
                    <w:widowControl/>
                    <w:suppressLineNumbers w:val="0"/>
                    <w:kinsoku/>
                    <w:wordWrap w:val="0"/>
                    <w:overflowPunct/>
                    <w:bidi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排放口编号</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5C32FF">
                  <w:pPr>
                    <w:keepNext w:val="0"/>
                    <w:keepLines w:val="0"/>
                    <w:pageBreakBefore w:val="0"/>
                    <w:widowControl/>
                    <w:suppressLineNumbers w:val="0"/>
                    <w:kinsoku/>
                    <w:wordWrap w:val="0"/>
                    <w:overflowPunct/>
                    <w:bidi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污染物</w:t>
                  </w:r>
                </w:p>
              </w:tc>
              <w:tc>
                <w:tcPr>
                  <w:tcW w:w="158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213E5E">
                  <w:pPr>
                    <w:keepNext w:val="0"/>
                    <w:keepLines w:val="0"/>
                    <w:pageBreakBefore w:val="0"/>
                    <w:widowControl/>
                    <w:suppressLineNumbers w:val="0"/>
                    <w:kinsoku/>
                    <w:wordWrap w:val="0"/>
                    <w:overflowPunct/>
                    <w:bidi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有组织排放值排放浓度</w:t>
                  </w:r>
                </w:p>
              </w:tc>
              <w:tc>
                <w:tcPr>
                  <w:tcW w:w="15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EF560F">
                  <w:pPr>
                    <w:keepNext w:val="0"/>
                    <w:keepLines w:val="0"/>
                    <w:pageBreakBefore w:val="0"/>
                    <w:widowControl/>
                    <w:suppressLineNumbers w:val="0"/>
                    <w:kinsoku/>
                    <w:wordWrap w:val="0"/>
                    <w:overflowPunct/>
                    <w:bidi w:val="0"/>
                    <w:jc w:val="center"/>
                    <w:textAlignment w:val="center"/>
                    <w:rPr>
                      <w:rFonts w:hint="eastAsia" w:ascii="宋体" w:hAnsi="宋体" w:eastAsia="宋体" w:cs="宋体"/>
                      <w:b/>
                      <w:bCs/>
                      <w:i w:val="0"/>
                      <w:iCs w:val="0"/>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有组织排放浓度</w:t>
                  </w:r>
                  <w:r>
                    <w:rPr>
                      <w:rFonts w:hint="eastAsia"/>
                      <w:b/>
                      <w:bCs/>
                      <w:color w:val="000000" w:themeColor="text1"/>
                      <w:highlight w:val="none"/>
                      <w:lang w:val="en-US" w:eastAsia="zh-CN"/>
                      <w14:textFill>
                        <w14:solidFill>
                          <w14:schemeClr w14:val="tx1"/>
                        </w14:solidFill>
                      </w14:textFill>
                    </w:rPr>
                    <w:t>限值</w:t>
                  </w:r>
                </w:p>
              </w:tc>
              <w:tc>
                <w:tcPr>
                  <w:tcW w:w="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9BE596">
                  <w:pPr>
                    <w:keepNext w:val="0"/>
                    <w:keepLines w:val="0"/>
                    <w:pageBreakBefore w:val="0"/>
                    <w:widowControl/>
                    <w:suppressLineNumbers w:val="0"/>
                    <w:kinsoku/>
                    <w:wordWrap w:val="0"/>
                    <w:overflowPunct/>
                    <w:bidi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是否达标</w:t>
                  </w:r>
                </w:p>
              </w:tc>
              <w:tc>
                <w:tcPr>
                  <w:tcW w:w="120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1CF02C">
                  <w:pPr>
                    <w:keepNext w:val="0"/>
                    <w:keepLines w:val="0"/>
                    <w:pageBreakBefore w:val="0"/>
                    <w:widowControl/>
                    <w:suppressLineNumbers w:val="0"/>
                    <w:kinsoku/>
                    <w:wordWrap w:val="0"/>
                    <w:overflowPunct/>
                    <w:bidi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有组织排放值排放速率</w:t>
                  </w:r>
                </w:p>
              </w:tc>
              <w:tc>
                <w:tcPr>
                  <w:tcW w:w="12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75F3C9">
                  <w:pPr>
                    <w:keepNext w:val="0"/>
                    <w:keepLines w:val="0"/>
                    <w:pageBreakBefore w:val="0"/>
                    <w:widowControl/>
                    <w:suppressLineNumbers w:val="0"/>
                    <w:kinsoku/>
                    <w:wordWrap w:val="0"/>
                    <w:overflowPunct/>
                    <w:bidi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标准排放值排放速率</w:t>
                  </w:r>
                </w:p>
              </w:tc>
              <w:tc>
                <w:tcPr>
                  <w:tcW w:w="6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75AA56">
                  <w:pPr>
                    <w:keepNext w:val="0"/>
                    <w:keepLines w:val="0"/>
                    <w:pageBreakBefore w:val="0"/>
                    <w:widowControl/>
                    <w:suppressLineNumbers w:val="0"/>
                    <w:kinsoku/>
                    <w:wordWrap w:val="0"/>
                    <w:overflowPunct/>
                    <w:bidi w:val="0"/>
                    <w:jc w:val="center"/>
                    <w:textAlignment w:val="center"/>
                    <w:rPr>
                      <w:rFonts w:hint="eastAsia" w:ascii="宋体" w:hAnsi="宋体" w:eastAsia="宋体" w:cs="宋体"/>
                      <w:b/>
                      <w:bCs/>
                      <w:i w:val="0"/>
                      <w:iCs w:val="0"/>
                      <w:color w:val="000000" w:themeColor="text1"/>
                      <w:sz w:val="21"/>
                      <w:szCs w:val="21"/>
                      <w:highlight w:val="none"/>
                      <w:u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是否达标</w:t>
                  </w:r>
                </w:p>
              </w:tc>
            </w:tr>
            <w:tr w14:paraId="486A6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00" w:type="dxa"/>
                  <w:vMerge w:val="restart"/>
                  <w:tcBorders>
                    <w:top w:val="nil"/>
                    <w:left w:val="single" w:color="000000" w:sz="8" w:space="0"/>
                    <w:bottom w:val="single" w:color="000000" w:sz="8" w:space="0"/>
                    <w:right w:val="single" w:color="000000" w:sz="8" w:space="0"/>
                  </w:tcBorders>
                  <w:shd w:val="clear" w:color="auto" w:fill="auto"/>
                  <w:vAlign w:val="center"/>
                </w:tcPr>
                <w:p w14:paraId="5597263C">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DA001</w:t>
                  </w:r>
                </w:p>
              </w:tc>
              <w:tc>
                <w:tcPr>
                  <w:tcW w:w="750" w:type="dxa"/>
                  <w:tcBorders>
                    <w:top w:val="nil"/>
                    <w:left w:val="single" w:color="000000" w:sz="8" w:space="0"/>
                    <w:bottom w:val="single" w:color="000000" w:sz="8" w:space="0"/>
                    <w:right w:val="single" w:color="000000" w:sz="8" w:space="0"/>
                  </w:tcBorders>
                  <w:shd w:val="clear" w:color="auto" w:fill="auto"/>
                  <w:vAlign w:val="center"/>
                </w:tcPr>
                <w:p w14:paraId="0DF226A8">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6CC6E6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319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5C881B74">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708DC67C">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61364C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1.469kg/h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750A6DC8">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4B92A91F">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23513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0" w:type="dxa"/>
                  <w:vMerge w:val="continue"/>
                  <w:tcBorders>
                    <w:top w:val="nil"/>
                    <w:left w:val="single" w:color="000000" w:sz="8" w:space="0"/>
                    <w:bottom w:val="single" w:color="000000" w:sz="8" w:space="0"/>
                    <w:right w:val="single" w:color="000000" w:sz="8" w:space="0"/>
                  </w:tcBorders>
                  <w:shd w:val="clear" w:color="auto" w:fill="auto"/>
                  <w:vAlign w:val="center"/>
                </w:tcPr>
                <w:p w14:paraId="35EFFEA5">
                  <w:pPr>
                    <w:pageBreakBefore w:val="0"/>
                    <w:kinsoku/>
                    <w:wordWrap w:val="0"/>
                    <w:overflowPunct/>
                    <w:bidi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50" w:type="dxa"/>
                  <w:tcBorders>
                    <w:top w:val="nil"/>
                    <w:left w:val="single" w:color="000000" w:sz="8" w:space="0"/>
                    <w:bottom w:val="single" w:color="000000" w:sz="8" w:space="0"/>
                    <w:right w:val="single" w:color="000000" w:sz="8" w:space="0"/>
                  </w:tcBorders>
                  <w:shd w:val="clear" w:color="auto" w:fill="auto"/>
                  <w:vAlign w:val="center"/>
                </w:tcPr>
                <w:p w14:paraId="0A6D184D">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二氧化硫</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06C0B4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0.144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17026D00">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28B3070F">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1A2648D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0.030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78CFEA48">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708463B0">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5EFDA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vMerge w:val="continue"/>
                  <w:tcBorders>
                    <w:top w:val="nil"/>
                    <w:left w:val="single" w:color="000000" w:sz="8" w:space="0"/>
                    <w:bottom w:val="single" w:color="000000" w:sz="8" w:space="0"/>
                    <w:right w:val="single" w:color="000000" w:sz="8" w:space="0"/>
                  </w:tcBorders>
                  <w:shd w:val="clear" w:color="auto" w:fill="auto"/>
                  <w:vAlign w:val="center"/>
                </w:tcPr>
                <w:p w14:paraId="7042E3A3">
                  <w:pPr>
                    <w:pageBreakBefore w:val="0"/>
                    <w:kinsoku/>
                    <w:wordWrap w:val="0"/>
                    <w:overflowPunct/>
                    <w:bidi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50" w:type="dxa"/>
                  <w:tcBorders>
                    <w:top w:val="nil"/>
                    <w:left w:val="single" w:color="000000" w:sz="8" w:space="0"/>
                    <w:bottom w:val="single" w:color="000000" w:sz="8" w:space="0"/>
                    <w:right w:val="single" w:color="000000" w:sz="8" w:space="0"/>
                  </w:tcBorders>
                  <w:shd w:val="clear" w:color="auto" w:fill="auto"/>
                  <w:vAlign w:val="center"/>
                </w:tcPr>
                <w:p w14:paraId="2E69EBEB">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氮氧化物</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72524D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5.291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00B36F71">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4FEAF006">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7EBCFD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0.476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71BFE6FD">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21005D47">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4B27E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700" w:type="dxa"/>
                  <w:vMerge w:val="continue"/>
                  <w:tcBorders>
                    <w:top w:val="nil"/>
                    <w:left w:val="single" w:color="000000" w:sz="8" w:space="0"/>
                    <w:bottom w:val="single" w:color="000000" w:sz="8" w:space="0"/>
                    <w:right w:val="single" w:color="000000" w:sz="8" w:space="0"/>
                  </w:tcBorders>
                  <w:shd w:val="clear" w:color="auto" w:fill="auto"/>
                  <w:vAlign w:val="center"/>
                </w:tcPr>
                <w:p w14:paraId="0FC7CD8A">
                  <w:pPr>
                    <w:pageBreakBefore w:val="0"/>
                    <w:kinsoku/>
                    <w:wordWrap w:val="0"/>
                    <w:overflowPunct/>
                    <w:bidi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50" w:type="dxa"/>
                  <w:tcBorders>
                    <w:top w:val="nil"/>
                    <w:left w:val="single" w:color="000000" w:sz="8" w:space="0"/>
                    <w:bottom w:val="single" w:color="000000" w:sz="8" w:space="0"/>
                    <w:right w:val="single" w:color="000000" w:sz="8" w:space="0"/>
                  </w:tcBorders>
                  <w:shd w:val="clear" w:color="auto" w:fill="auto"/>
                  <w:vAlign w:val="center"/>
                </w:tcPr>
                <w:p w14:paraId="6386859D">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非甲烷总烃</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6DC9A3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2642B1E8">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0B71CE29">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2A20E2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2F2ACC5F">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567DE022">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5D36D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700" w:type="dxa"/>
                  <w:vMerge w:val="continue"/>
                  <w:tcBorders>
                    <w:top w:val="nil"/>
                    <w:left w:val="single" w:color="000000" w:sz="8" w:space="0"/>
                    <w:bottom w:val="single" w:color="000000" w:sz="8" w:space="0"/>
                    <w:right w:val="single" w:color="000000" w:sz="8" w:space="0"/>
                  </w:tcBorders>
                  <w:shd w:val="clear" w:color="auto" w:fill="auto"/>
                  <w:vAlign w:val="center"/>
                </w:tcPr>
                <w:p w14:paraId="47D04E54">
                  <w:pPr>
                    <w:pageBreakBefore w:val="0"/>
                    <w:kinsoku/>
                    <w:wordWrap w:val="0"/>
                    <w:overflowPunct/>
                    <w:bidi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50" w:type="dxa"/>
                  <w:tcBorders>
                    <w:top w:val="nil"/>
                    <w:left w:val="single" w:color="000000" w:sz="8" w:space="0"/>
                    <w:bottom w:val="single" w:color="000000" w:sz="8" w:space="0"/>
                    <w:right w:val="single" w:color="000000" w:sz="8" w:space="0"/>
                  </w:tcBorders>
                  <w:shd w:val="clear" w:color="auto" w:fill="auto"/>
                  <w:vAlign w:val="center"/>
                </w:tcPr>
                <w:p w14:paraId="40D87A9B">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苯并</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[a]</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芘</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374F79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2.607</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r>
                    <w:rPr>
                      <w:rStyle w:val="97"/>
                      <w:rFonts w:hint="eastAsia" w:eastAsia="宋体"/>
                      <w:color w:val="000000" w:themeColor="text1"/>
                      <w:highlight w:val="none"/>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6BD2F552">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Style w:val="97"/>
                      <w:rFonts w:eastAsia="宋体"/>
                      <w:color w:val="000000" w:themeColor="text1"/>
                      <w:highlight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48D35CAE">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3290BA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259</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w:t>
                  </w:r>
                  <w:r>
                    <w:rPr>
                      <w:rStyle w:val="97"/>
                      <w:rFonts w:eastAsia="宋体"/>
                      <w:color w:val="000000" w:themeColor="text1"/>
                      <w:highlight w:val="none"/>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1F0DCD3A">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Style w:val="97"/>
                      <w:rFonts w:eastAsia="宋体"/>
                      <w:color w:val="000000" w:themeColor="text1"/>
                      <w:highlight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2C7C5FD5">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r>
            <w:tr w14:paraId="7FFF3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700" w:type="dxa"/>
                  <w:vMerge w:val="continue"/>
                  <w:tcBorders>
                    <w:top w:val="nil"/>
                    <w:left w:val="single" w:color="000000" w:sz="8" w:space="0"/>
                    <w:bottom w:val="single" w:color="000000" w:sz="8" w:space="0"/>
                    <w:right w:val="single" w:color="000000" w:sz="8" w:space="0"/>
                  </w:tcBorders>
                  <w:shd w:val="clear" w:color="auto" w:fill="auto"/>
                  <w:vAlign w:val="center"/>
                </w:tcPr>
                <w:p w14:paraId="5CBF3162">
                  <w:pPr>
                    <w:pageBreakBefore w:val="0"/>
                    <w:kinsoku/>
                    <w:wordWrap w:val="0"/>
                    <w:overflowPunct/>
                    <w:bidi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50" w:type="dxa"/>
                  <w:tcBorders>
                    <w:top w:val="nil"/>
                    <w:left w:val="single" w:color="000000" w:sz="8" w:space="0"/>
                    <w:bottom w:val="single" w:color="000000" w:sz="8" w:space="0"/>
                    <w:right w:val="single" w:color="000000" w:sz="8" w:space="0"/>
                  </w:tcBorders>
                  <w:shd w:val="clear" w:color="auto" w:fill="auto"/>
                  <w:vAlign w:val="center"/>
                </w:tcPr>
                <w:p w14:paraId="6651CCAD">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沥青烟</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6C21BA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4A6FBA10">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75mg/m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61EB76BF">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62895E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28EA6440">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0.18kg/h</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4ADB1629">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r>
            <w:tr w14:paraId="7224E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0" w:type="dxa"/>
                  <w:vMerge w:val="restart"/>
                  <w:tcBorders>
                    <w:top w:val="nil"/>
                    <w:left w:val="single" w:color="000000" w:sz="8" w:space="0"/>
                    <w:bottom w:val="single" w:color="000000" w:sz="8" w:space="0"/>
                    <w:right w:val="single" w:color="000000" w:sz="8" w:space="0"/>
                  </w:tcBorders>
                  <w:shd w:val="clear" w:color="auto" w:fill="auto"/>
                  <w:vAlign w:val="center"/>
                </w:tcPr>
                <w:p w14:paraId="45E69CF8">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DA002</w:t>
                  </w:r>
                </w:p>
              </w:tc>
              <w:tc>
                <w:tcPr>
                  <w:tcW w:w="750" w:type="dxa"/>
                  <w:tcBorders>
                    <w:top w:val="nil"/>
                    <w:left w:val="single" w:color="000000" w:sz="8" w:space="0"/>
                    <w:bottom w:val="single" w:color="000000" w:sz="8" w:space="0"/>
                    <w:right w:val="single" w:color="000000" w:sz="8" w:space="0"/>
                  </w:tcBorders>
                  <w:shd w:val="clear" w:color="auto" w:fill="auto"/>
                  <w:vAlign w:val="center"/>
                </w:tcPr>
                <w:p w14:paraId="4DDC3DCB">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1FD30E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231F066A">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7E897A52">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5CB695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6B9D0C1A">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4B88913F">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7C75C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0" w:type="dxa"/>
                  <w:vMerge w:val="continue"/>
                  <w:tcBorders>
                    <w:top w:val="nil"/>
                    <w:left w:val="single" w:color="000000" w:sz="8" w:space="0"/>
                    <w:bottom w:val="single" w:color="000000" w:sz="8" w:space="0"/>
                    <w:right w:val="single" w:color="000000" w:sz="8" w:space="0"/>
                  </w:tcBorders>
                  <w:shd w:val="clear" w:color="auto" w:fill="auto"/>
                  <w:vAlign w:val="center"/>
                </w:tcPr>
                <w:p w14:paraId="3BD56D01">
                  <w:pPr>
                    <w:pageBreakBefore w:val="0"/>
                    <w:kinsoku/>
                    <w:wordWrap w:val="0"/>
                    <w:overflowPunct/>
                    <w:bidi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50" w:type="dxa"/>
                  <w:tcBorders>
                    <w:top w:val="nil"/>
                    <w:left w:val="single" w:color="000000" w:sz="8" w:space="0"/>
                    <w:bottom w:val="single" w:color="000000" w:sz="8" w:space="0"/>
                    <w:right w:val="single" w:color="000000" w:sz="8" w:space="0"/>
                  </w:tcBorders>
                  <w:shd w:val="clear" w:color="auto" w:fill="auto"/>
                  <w:vAlign w:val="center"/>
                </w:tcPr>
                <w:p w14:paraId="598BB46E">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二氧化硫</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18335B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097FC561">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079894C0">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7B45AC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7FC83845">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7E378D9E">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3E00C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0" w:type="dxa"/>
                  <w:vMerge w:val="continue"/>
                  <w:tcBorders>
                    <w:top w:val="nil"/>
                    <w:left w:val="single" w:color="000000" w:sz="8" w:space="0"/>
                    <w:bottom w:val="single" w:color="000000" w:sz="8" w:space="0"/>
                    <w:right w:val="single" w:color="000000" w:sz="8" w:space="0"/>
                  </w:tcBorders>
                  <w:shd w:val="clear" w:color="auto" w:fill="auto"/>
                  <w:vAlign w:val="center"/>
                </w:tcPr>
                <w:p w14:paraId="58D3986B">
                  <w:pPr>
                    <w:pageBreakBefore w:val="0"/>
                    <w:kinsoku/>
                    <w:wordWrap w:val="0"/>
                    <w:overflowPunct/>
                    <w:bidi w:val="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750" w:type="dxa"/>
                  <w:tcBorders>
                    <w:top w:val="nil"/>
                    <w:left w:val="single" w:color="000000" w:sz="8" w:space="0"/>
                    <w:bottom w:val="single" w:color="000000" w:sz="8" w:space="0"/>
                    <w:right w:val="single" w:color="000000" w:sz="8" w:space="0"/>
                  </w:tcBorders>
                  <w:shd w:val="clear" w:color="auto" w:fill="auto"/>
                  <w:vAlign w:val="center"/>
                </w:tcPr>
                <w:p w14:paraId="3399140A">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氮氧化物</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2147F2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2602BA0F">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3CB94A2B">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0B6996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60</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10D54CA6">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415482B3">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w:t>
                  </w:r>
                </w:p>
              </w:tc>
            </w:tr>
            <w:tr w14:paraId="0BA5B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00" w:type="dxa"/>
                  <w:tcBorders>
                    <w:top w:val="nil"/>
                    <w:left w:val="single" w:color="000000" w:sz="8" w:space="0"/>
                    <w:bottom w:val="single" w:color="000000" w:sz="8" w:space="0"/>
                    <w:right w:val="single" w:color="000000" w:sz="8" w:space="0"/>
                  </w:tcBorders>
                  <w:shd w:val="clear" w:color="auto" w:fill="auto"/>
                  <w:vAlign w:val="center"/>
                </w:tcPr>
                <w:p w14:paraId="4919214D">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DA003</w:t>
                  </w:r>
                </w:p>
              </w:tc>
              <w:tc>
                <w:tcPr>
                  <w:tcW w:w="750" w:type="dxa"/>
                  <w:tcBorders>
                    <w:top w:val="nil"/>
                    <w:left w:val="single" w:color="000000" w:sz="8" w:space="0"/>
                    <w:bottom w:val="single" w:color="000000" w:sz="8" w:space="0"/>
                    <w:right w:val="single" w:color="000000" w:sz="8" w:space="0"/>
                  </w:tcBorders>
                  <w:shd w:val="clear" w:color="auto" w:fill="auto"/>
                  <w:vAlign w:val="center"/>
                </w:tcPr>
                <w:p w14:paraId="7A9A7024">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1582" w:type="dxa"/>
                  <w:tcBorders>
                    <w:top w:val="nil"/>
                    <w:left w:val="single" w:color="000000" w:sz="8" w:space="0"/>
                    <w:bottom w:val="single" w:color="000000" w:sz="8" w:space="0"/>
                    <w:right w:val="single" w:color="000000" w:sz="8" w:space="0"/>
                  </w:tcBorders>
                  <w:shd w:val="clear" w:color="auto" w:fill="auto"/>
                  <w:vAlign w:val="center"/>
                </w:tcPr>
                <w:p w14:paraId="6536ED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1.875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mg/m</w:t>
                  </w:r>
                  <w:r>
                    <w:rPr>
                      <w:rStyle w:val="97"/>
                      <w:rFonts w:eastAsia="宋体"/>
                      <w:color w:val="000000" w:themeColor="text1"/>
                      <w:highlight w:val="none"/>
                      <w:lang w:val="en-US" w:eastAsia="zh-CN" w:bidi="ar"/>
                      <w14:textFill>
                        <w14:solidFill>
                          <w14:schemeClr w14:val="tx1"/>
                        </w14:solidFill>
                      </w14:textFill>
                    </w:rPr>
                    <w:t>3</w:t>
                  </w:r>
                </w:p>
              </w:tc>
              <w:tc>
                <w:tcPr>
                  <w:tcW w:w="1598" w:type="dxa"/>
                  <w:tcBorders>
                    <w:top w:val="nil"/>
                    <w:left w:val="single" w:color="000000" w:sz="8" w:space="0"/>
                    <w:bottom w:val="single" w:color="000000" w:sz="8" w:space="0"/>
                    <w:right w:val="single" w:color="000000" w:sz="8" w:space="0"/>
                  </w:tcBorders>
                  <w:shd w:val="clear" w:color="auto" w:fill="auto"/>
                  <w:vAlign w:val="center"/>
                </w:tcPr>
                <w:p w14:paraId="3BA47D5F">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120mg/m</w:t>
                  </w:r>
                  <w:r>
                    <w:rPr>
                      <w:rStyle w:val="97"/>
                      <w:rFonts w:eastAsia="宋体"/>
                      <w:color w:val="000000" w:themeColor="text1"/>
                      <w:highlight w:val="none"/>
                      <w:lang w:val="en-US" w:eastAsia="zh-CN" w:bidi="ar"/>
                      <w14:textFill>
                        <w14:solidFill>
                          <w14:schemeClr w14:val="tx1"/>
                        </w14:solidFill>
                      </w14:textFill>
                    </w:rPr>
                    <w:t>3</w:t>
                  </w:r>
                </w:p>
              </w:tc>
              <w:tc>
                <w:tcPr>
                  <w:tcW w:w="765" w:type="dxa"/>
                  <w:tcBorders>
                    <w:top w:val="nil"/>
                    <w:left w:val="single" w:color="000000" w:sz="8" w:space="0"/>
                    <w:bottom w:val="single" w:color="000000" w:sz="8" w:space="0"/>
                    <w:right w:val="single" w:color="000000" w:sz="8" w:space="0"/>
                  </w:tcBorders>
                  <w:shd w:val="clear" w:color="auto" w:fill="auto"/>
                  <w:vAlign w:val="center"/>
                </w:tcPr>
                <w:p w14:paraId="036D87F9">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c>
                <w:tcPr>
                  <w:tcW w:w="1208" w:type="dxa"/>
                  <w:tcBorders>
                    <w:top w:val="nil"/>
                    <w:left w:val="single" w:color="000000" w:sz="8" w:space="0"/>
                    <w:bottom w:val="single" w:color="000000" w:sz="8" w:space="0"/>
                    <w:right w:val="single" w:color="000000" w:sz="8" w:space="0"/>
                  </w:tcBorders>
                  <w:shd w:val="clear" w:color="auto" w:fill="auto"/>
                  <w:vAlign w:val="center"/>
                </w:tcPr>
                <w:p w14:paraId="78AF98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kg/h</w:t>
                  </w:r>
                </w:p>
              </w:tc>
              <w:tc>
                <w:tcPr>
                  <w:tcW w:w="1237" w:type="dxa"/>
                  <w:tcBorders>
                    <w:top w:val="nil"/>
                    <w:left w:val="single" w:color="000000" w:sz="8" w:space="0"/>
                    <w:bottom w:val="single" w:color="000000" w:sz="8" w:space="0"/>
                    <w:right w:val="single" w:color="000000" w:sz="8" w:space="0"/>
                  </w:tcBorders>
                  <w:shd w:val="clear" w:color="auto" w:fill="auto"/>
                  <w:vAlign w:val="center"/>
                </w:tcPr>
                <w:p w14:paraId="5A31C577">
                  <w:pPr>
                    <w:keepNext w:val="0"/>
                    <w:keepLines w:val="0"/>
                    <w:pageBreakBefore w:val="0"/>
                    <w:widowControl/>
                    <w:suppressLineNumbers w:val="0"/>
                    <w:kinsoku/>
                    <w:wordWrap w:val="0"/>
                    <w:overflowPunct/>
                    <w:bidi w:val="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3.5kg/h</w:t>
                  </w:r>
                </w:p>
              </w:tc>
              <w:tc>
                <w:tcPr>
                  <w:tcW w:w="680" w:type="dxa"/>
                  <w:tcBorders>
                    <w:top w:val="nil"/>
                    <w:left w:val="single" w:color="000000" w:sz="8" w:space="0"/>
                    <w:bottom w:val="single" w:color="000000" w:sz="8" w:space="0"/>
                    <w:right w:val="single" w:color="000000" w:sz="8" w:space="0"/>
                  </w:tcBorders>
                  <w:shd w:val="clear" w:color="auto" w:fill="auto"/>
                  <w:vAlign w:val="center"/>
                </w:tcPr>
                <w:p w14:paraId="0553F959">
                  <w:pPr>
                    <w:keepNext w:val="0"/>
                    <w:keepLines w:val="0"/>
                    <w:pageBreakBefore w:val="0"/>
                    <w:widowControl/>
                    <w:suppressLineNumbers w:val="0"/>
                    <w:kinsoku/>
                    <w:wordWrap w:val="0"/>
                    <w:overflowPunct/>
                    <w:bidi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达标</w:t>
                  </w:r>
                </w:p>
              </w:tc>
            </w:tr>
          </w:tbl>
          <w:p w14:paraId="01EB0F1C">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综上所述，本项目有组织排放的污染物均为达标排放。</w:t>
            </w:r>
          </w:p>
          <w:p w14:paraId="7384B316">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②无组织废气排放达标分析</w:t>
            </w:r>
          </w:p>
          <w:p w14:paraId="02EDB334">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本项目设置原料库一座，为彩钢结构，原料库内定期洒水降尘，故本项目砂石骨料和铣刨沥青堆存产生的无组织颗粒物大部分在库房内沉降，可以较好的控制无组织粉尘。铣刨沥青破碎和筛分产生的逃逸无组织粉尘，经车间阻隔和定期洒水降尘的措施后，逸散至外界的无组织粉尘量较少。出料口设置侧吸式集气罩收集废气，收集效率为90%，还有10%的非甲烷总烃、苯并[a]芘和沥青烟无组织逸散。车辆运输道路扬尘通过采取厂区内道路地面硬化、及时清扫、定期洒水、车辆减速慢行、物料遮盖等措施。</w:t>
            </w:r>
          </w:p>
          <w:p w14:paraId="0F0447B9">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项目无组织排放源及各源相对厂界的距离情况列表如下：</w:t>
            </w:r>
          </w:p>
          <w:p w14:paraId="5A6077C2">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ascii="Times New Roman" w:hAnsi="Times New Roman" w:cs="Times New Roman"/>
                <w:b/>
                <w:bCs/>
                <w:color w:val="000000" w:themeColor="text1"/>
                <w:szCs w:val="21"/>
                <w:highlight w:val="none"/>
                <w14:textFill>
                  <w14:solidFill>
                    <w14:schemeClr w14:val="tx1"/>
                  </w14:solidFill>
                </w14:textFill>
              </w:rPr>
            </w:pPr>
          </w:p>
          <w:p w14:paraId="7B76BAFB">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ascii="Times New Roman" w:hAnsi="Times New Roman" w:cs="Times New Roman"/>
                <w:b/>
                <w:bCs/>
                <w:color w:val="000000" w:themeColor="text1"/>
                <w:szCs w:val="21"/>
                <w:highlight w:val="none"/>
                <w14:textFill>
                  <w14:solidFill>
                    <w14:schemeClr w14:val="tx1"/>
                  </w14:solidFill>
                </w14:textFill>
              </w:rPr>
            </w:pPr>
          </w:p>
          <w:p w14:paraId="702AF944">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表</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4-</w:t>
            </w:r>
            <w:r>
              <w:rPr>
                <w:rFonts w:hint="eastAsia" w:cs="Times New Roman"/>
                <w:b/>
                <w:bCs/>
                <w:color w:val="000000" w:themeColor="text1"/>
                <w:szCs w:val="21"/>
                <w:highlight w:val="none"/>
                <w:lang w:val="en-US" w:eastAsia="zh-CN"/>
                <w14:textFill>
                  <w14:solidFill>
                    <w14:schemeClr w14:val="tx1"/>
                  </w14:solidFill>
                </w14:textFill>
              </w:rPr>
              <w:t>10</w:t>
            </w:r>
            <w:r>
              <w:rPr>
                <w:rFonts w:ascii="Times New Roman" w:hAnsi="Times New Roman" w:cs="Times New Roman"/>
                <w:b/>
                <w:bCs/>
                <w:color w:val="000000" w:themeColor="text1"/>
                <w:szCs w:val="21"/>
                <w:highlight w:val="none"/>
                <w14:textFill>
                  <w14:solidFill>
                    <w14:schemeClr w14:val="tx1"/>
                  </w14:solidFill>
                </w14:textFill>
              </w:rPr>
              <w:t xml:space="preserve"> </w:t>
            </w:r>
            <w:r>
              <w:rPr>
                <w:b/>
                <w:color w:val="000000" w:themeColor="text1"/>
                <w:sz w:val="21"/>
                <w:highlight w:val="none"/>
                <w14:textFill>
                  <w14:solidFill>
                    <w14:schemeClr w14:val="tx1"/>
                  </w14:solidFill>
                </w14:textFill>
              </w:rPr>
              <w:t>项目各无组织源距厂界的最近距离</w:t>
            </w:r>
            <w:r>
              <w:rPr>
                <w:b/>
                <w:color w:val="000000" w:themeColor="text1"/>
                <w:spacing w:val="-4"/>
                <w:sz w:val="21"/>
                <w:highlight w:val="none"/>
                <w14:textFill>
                  <w14:solidFill>
                    <w14:schemeClr w14:val="tx1"/>
                  </w14:solidFill>
                </w14:textFill>
              </w:rPr>
              <w:t>一览表</w:t>
            </w:r>
          </w:p>
          <w:tbl>
            <w:tblPr>
              <w:tblStyle w:val="31"/>
              <w:tblW w:w="84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50"/>
              <w:gridCol w:w="750"/>
              <w:gridCol w:w="748"/>
              <w:gridCol w:w="746"/>
              <w:gridCol w:w="540"/>
              <w:gridCol w:w="615"/>
              <w:gridCol w:w="555"/>
              <w:gridCol w:w="1095"/>
              <w:gridCol w:w="1275"/>
              <w:gridCol w:w="729"/>
            </w:tblGrid>
            <w:tr w14:paraId="1122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Merge w:val="restart"/>
                  <w:noWrap w:val="0"/>
                  <w:vAlign w:val="center"/>
                </w:tcPr>
                <w:p w14:paraId="794CA99D">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面源名称</w:t>
                  </w:r>
                </w:p>
              </w:tc>
              <w:tc>
                <w:tcPr>
                  <w:tcW w:w="750" w:type="dxa"/>
                  <w:vMerge w:val="restart"/>
                  <w:noWrap w:val="0"/>
                  <w:vAlign w:val="center"/>
                </w:tcPr>
                <w:p w14:paraId="2BAA6DC5">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长度（m）</w:t>
                  </w:r>
                </w:p>
              </w:tc>
              <w:tc>
                <w:tcPr>
                  <w:tcW w:w="750" w:type="dxa"/>
                  <w:vMerge w:val="restart"/>
                  <w:noWrap w:val="0"/>
                  <w:vAlign w:val="center"/>
                </w:tcPr>
                <w:p w14:paraId="55636262">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宽度（m）</w:t>
                  </w:r>
                </w:p>
              </w:tc>
              <w:tc>
                <w:tcPr>
                  <w:tcW w:w="748" w:type="dxa"/>
                  <w:vMerge w:val="restart"/>
                  <w:noWrap w:val="0"/>
                  <w:vAlign w:val="center"/>
                </w:tcPr>
                <w:p w14:paraId="163C7C33">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排放高度（m）</w:t>
                  </w:r>
                </w:p>
              </w:tc>
              <w:tc>
                <w:tcPr>
                  <w:tcW w:w="2456" w:type="dxa"/>
                  <w:gridSpan w:val="4"/>
                  <w:noWrap w:val="0"/>
                  <w:vAlign w:val="center"/>
                </w:tcPr>
                <w:p w14:paraId="0071D826">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距厂界最近距离（m）</w:t>
                  </w:r>
                </w:p>
              </w:tc>
              <w:tc>
                <w:tcPr>
                  <w:tcW w:w="3099" w:type="dxa"/>
                  <w:gridSpan w:val="3"/>
                  <w:noWrap w:val="0"/>
                  <w:vAlign w:val="center"/>
                </w:tcPr>
                <w:p w14:paraId="5407A08E">
                  <w:pPr>
                    <w:pageBreakBefore w:val="0"/>
                    <w:kinsoku/>
                    <w:wordWrap w:val="0"/>
                    <w:overflowPunct/>
                    <w:bidi w:val="0"/>
                    <w:spacing w:line="320" w:lineRule="exact"/>
                    <w:ind w:firstLine="0" w:firstLineChars="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污染物排放速率（kg/h）</w:t>
                  </w:r>
                </w:p>
              </w:tc>
            </w:tr>
            <w:tr w14:paraId="2C37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vMerge w:val="continue"/>
                  <w:noWrap w:val="0"/>
                  <w:vAlign w:val="center"/>
                </w:tcPr>
                <w:p w14:paraId="7B2D9390">
                  <w:pPr>
                    <w:pageBreakBefore w:val="0"/>
                    <w:kinsoku/>
                    <w:wordWrap w:val="0"/>
                    <w:overflowPunct/>
                    <w:bidi w:val="0"/>
                    <w:spacing w:line="320" w:lineRule="exact"/>
                    <w:ind w:firstLine="0" w:firstLineChars="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750" w:type="dxa"/>
                  <w:vMerge w:val="continue"/>
                  <w:noWrap w:val="0"/>
                  <w:vAlign w:val="center"/>
                </w:tcPr>
                <w:p w14:paraId="5AA811DF">
                  <w:pPr>
                    <w:pageBreakBefore w:val="0"/>
                    <w:kinsoku/>
                    <w:wordWrap w:val="0"/>
                    <w:overflowPunct/>
                    <w:bidi w:val="0"/>
                    <w:spacing w:line="320" w:lineRule="exact"/>
                    <w:ind w:firstLine="0" w:firstLineChars="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750" w:type="dxa"/>
                  <w:vMerge w:val="continue"/>
                  <w:noWrap w:val="0"/>
                  <w:vAlign w:val="center"/>
                </w:tcPr>
                <w:p w14:paraId="64D140A4">
                  <w:pPr>
                    <w:pageBreakBefore w:val="0"/>
                    <w:kinsoku/>
                    <w:wordWrap w:val="0"/>
                    <w:overflowPunct/>
                    <w:bidi w:val="0"/>
                    <w:spacing w:line="320" w:lineRule="exact"/>
                    <w:ind w:firstLine="0" w:firstLineChars="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748" w:type="dxa"/>
                  <w:vMerge w:val="continue"/>
                  <w:noWrap w:val="0"/>
                  <w:vAlign w:val="center"/>
                </w:tcPr>
                <w:p w14:paraId="0EB9E8B0">
                  <w:pPr>
                    <w:pageBreakBefore w:val="0"/>
                    <w:kinsoku/>
                    <w:wordWrap w:val="0"/>
                    <w:overflowPunct/>
                    <w:bidi w:val="0"/>
                    <w:spacing w:line="320" w:lineRule="exact"/>
                    <w:ind w:firstLine="0" w:firstLineChars="0"/>
                    <w:jc w:val="center"/>
                    <w:rPr>
                      <w:rFonts w:ascii="Times New Roman" w:hAnsi="Times New Roman" w:eastAsia="宋体" w:cs="Times New Roman"/>
                      <w:b/>
                      <w:bCs/>
                      <w:color w:val="000000" w:themeColor="text1"/>
                      <w:sz w:val="21"/>
                      <w:szCs w:val="21"/>
                      <w:highlight w:val="none"/>
                      <w14:textFill>
                        <w14:solidFill>
                          <w14:schemeClr w14:val="tx1"/>
                        </w14:solidFill>
                      </w14:textFill>
                    </w:rPr>
                  </w:pPr>
                </w:p>
              </w:tc>
              <w:tc>
                <w:tcPr>
                  <w:tcW w:w="746" w:type="dxa"/>
                  <w:noWrap w:val="0"/>
                  <w:vAlign w:val="center"/>
                </w:tcPr>
                <w:p w14:paraId="46879908">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东</w:t>
                  </w:r>
                </w:p>
              </w:tc>
              <w:tc>
                <w:tcPr>
                  <w:tcW w:w="540" w:type="dxa"/>
                  <w:noWrap w:val="0"/>
                  <w:vAlign w:val="center"/>
                </w:tcPr>
                <w:p w14:paraId="37729D09">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南</w:t>
                  </w:r>
                </w:p>
              </w:tc>
              <w:tc>
                <w:tcPr>
                  <w:tcW w:w="615" w:type="dxa"/>
                  <w:noWrap w:val="0"/>
                  <w:vAlign w:val="center"/>
                </w:tcPr>
                <w:p w14:paraId="791648B7">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西</w:t>
                  </w:r>
                </w:p>
              </w:tc>
              <w:tc>
                <w:tcPr>
                  <w:tcW w:w="555" w:type="dxa"/>
                  <w:noWrap w:val="0"/>
                  <w:vAlign w:val="center"/>
                </w:tcPr>
                <w:p w14:paraId="4460B70D">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北</w:t>
                  </w:r>
                </w:p>
              </w:tc>
              <w:tc>
                <w:tcPr>
                  <w:tcW w:w="1095" w:type="dxa"/>
                  <w:noWrap w:val="0"/>
                  <w:vAlign w:val="center"/>
                </w:tcPr>
                <w:p w14:paraId="06D1C6EE">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苯并[a]芘</w:t>
                  </w:r>
                </w:p>
              </w:tc>
              <w:tc>
                <w:tcPr>
                  <w:tcW w:w="1275" w:type="dxa"/>
                  <w:noWrap w:val="0"/>
                  <w:vAlign w:val="center"/>
                </w:tcPr>
                <w:p w14:paraId="5433FE2C">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非甲烷总烃</w:t>
                  </w:r>
                </w:p>
              </w:tc>
              <w:tc>
                <w:tcPr>
                  <w:tcW w:w="729" w:type="dxa"/>
                  <w:noWrap w:val="0"/>
                  <w:vAlign w:val="center"/>
                </w:tcPr>
                <w:p w14:paraId="02159067">
                  <w:pPr>
                    <w:pageBreakBefore w:val="0"/>
                    <w:kinsoku/>
                    <w:wordWrap w:val="0"/>
                    <w:overflowPunct/>
                    <w:bidi w:val="0"/>
                    <w:spacing w:line="320" w:lineRule="exac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TSP</w:t>
                  </w:r>
                </w:p>
              </w:tc>
            </w:tr>
            <w:tr w14:paraId="712C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noWrap w:val="0"/>
                  <w:vAlign w:val="center"/>
                </w:tcPr>
                <w:p w14:paraId="4558305D">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搅拌楼卸料</w:t>
                  </w:r>
                </w:p>
              </w:tc>
              <w:tc>
                <w:tcPr>
                  <w:tcW w:w="750" w:type="dxa"/>
                  <w:noWrap w:val="0"/>
                  <w:vAlign w:val="center"/>
                </w:tcPr>
                <w:p w14:paraId="00AB20BC">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750" w:type="dxa"/>
                  <w:noWrap w:val="0"/>
                  <w:vAlign w:val="center"/>
                </w:tcPr>
                <w:p w14:paraId="09BB9CF4">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748" w:type="dxa"/>
                  <w:noWrap w:val="0"/>
                  <w:vAlign w:val="center"/>
                </w:tcPr>
                <w:p w14:paraId="407CCD41">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746" w:type="dxa"/>
                  <w:noWrap w:val="0"/>
                  <w:vAlign w:val="center"/>
                </w:tcPr>
                <w:p w14:paraId="2F7F0B8B">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103</w:t>
                  </w:r>
                </w:p>
              </w:tc>
              <w:tc>
                <w:tcPr>
                  <w:tcW w:w="540" w:type="dxa"/>
                  <w:noWrap w:val="0"/>
                  <w:vAlign w:val="center"/>
                </w:tcPr>
                <w:p w14:paraId="2CECBD56">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98</w:t>
                  </w:r>
                </w:p>
              </w:tc>
              <w:tc>
                <w:tcPr>
                  <w:tcW w:w="615" w:type="dxa"/>
                  <w:noWrap w:val="0"/>
                  <w:vAlign w:val="center"/>
                </w:tcPr>
                <w:p w14:paraId="042E87EB">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78</w:t>
                  </w:r>
                </w:p>
              </w:tc>
              <w:tc>
                <w:tcPr>
                  <w:tcW w:w="555" w:type="dxa"/>
                  <w:noWrap w:val="0"/>
                  <w:vAlign w:val="center"/>
                </w:tcPr>
                <w:p w14:paraId="22338A3A">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1095" w:type="dxa"/>
                  <w:noWrap w:val="0"/>
                  <w:vAlign w:val="center"/>
                </w:tcPr>
                <w:p w14:paraId="4FEF2AF2">
                  <w:pPr>
                    <w:pageBreakBefore w:val="0"/>
                    <w:kinsoku/>
                    <w:wordWrap w:val="0"/>
                    <w:overflowPunct/>
                    <w:bidi w:val="0"/>
                    <w:spacing w:line="320" w:lineRule="exact"/>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4.125×</w:t>
                  </w:r>
                </w:p>
                <w:p w14:paraId="7C8CB4E7">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1275" w:type="dxa"/>
                  <w:noWrap w:val="0"/>
                  <w:vAlign w:val="center"/>
                </w:tcPr>
                <w:p w14:paraId="04C64513">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0.0002</w:t>
                  </w:r>
                </w:p>
              </w:tc>
              <w:tc>
                <w:tcPr>
                  <w:tcW w:w="729" w:type="dxa"/>
                  <w:noWrap w:val="0"/>
                  <w:vAlign w:val="center"/>
                </w:tcPr>
                <w:p w14:paraId="05499052">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1507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94" w:type="dxa"/>
                  <w:noWrap w:val="0"/>
                  <w:vAlign w:val="center"/>
                </w:tcPr>
                <w:p w14:paraId="1C40ABAA">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原料库</w:t>
                  </w:r>
                </w:p>
              </w:tc>
              <w:tc>
                <w:tcPr>
                  <w:tcW w:w="750" w:type="dxa"/>
                  <w:noWrap w:val="0"/>
                  <w:vAlign w:val="center"/>
                </w:tcPr>
                <w:p w14:paraId="4FCFE91E">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w:t>
                  </w:r>
                </w:p>
              </w:tc>
              <w:tc>
                <w:tcPr>
                  <w:tcW w:w="750" w:type="dxa"/>
                  <w:noWrap w:val="0"/>
                  <w:vAlign w:val="center"/>
                </w:tcPr>
                <w:p w14:paraId="179932A5">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748" w:type="dxa"/>
                  <w:noWrap w:val="0"/>
                  <w:vAlign w:val="center"/>
                </w:tcPr>
                <w:p w14:paraId="4F207B50">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746" w:type="dxa"/>
                  <w:noWrap w:val="0"/>
                  <w:vAlign w:val="center"/>
                </w:tcPr>
                <w:p w14:paraId="3F58875D">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w:t>
                  </w:r>
                </w:p>
              </w:tc>
              <w:tc>
                <w:tcPr>
                  <w:tcW w:w="540" w:type="dxa"/>
                  <w:noWrap w:val="0"/>
                  <w:vAlign w:val="center"/>
                </w:tcPr>
                <w:p w14:paraId="692D0139">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w:t>
                  </w:r>
                </w:p>
              </w:tc>
              <w:tc>
                <w:tcPr>
                  <w:tcW w:w="615" w:type="dxa"/>
                  <w:noWrap w:val="0"/>
                  <w:vAlign w:val="center"/>
                </w:tcPr>
                <w:p w14:paraId="5DAEF9A6">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122</w:t>
                  </w:r>
                </w:p>
              </w:tc>
              <w:tc>
                <w:tcPr>
                  <w:tcW w:w="555" w:type="dxa"/>
                  <w:noWrap w:val="0"/>
                  <w:vAlign w:val="center"/>
                </w:tcPr>
                <w:p w14:paraId="037F9F7D">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095" w:type="dxa"/>
                  <w:noWrap w:val="0"/>
                  <w:vAlign w:val="center"/>
                </w:tcPr>
                <w:p w14:paraId="64846F8C">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275" w:type="dxa"/>
                  <w:noWrap w:val="0"/>
                  <w:vAlign w:val="center"/>
                </w:tcPr>
                <w:p w14:paraId="3385F937">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29" w:type="dxa"/>
                  <w:noWrap w:val="0"/>
                  <w:vAlign w:val="center"/>
                </w:tcPr>
                <w:p w14:paraId="6604EF11">
                  <w:pPr>
                    <w:pageBreakBefore w:val="0"/>
                    <w:kinsoku/>
                    <w:wordWrap w:val="0"/>
                    <w:overflowPunct/>
                    <w:bidi w:val="0"/>
                    <w:spacing w:line="320" w:lineRule="exac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0.125</w:t>
                  </w:r>
                </w:p>
              </w:tc>
            </w:tr>
          </w:tbl>
          <w:p w14:paraId="1B63C7A9">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表</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4-1</w:t>
            </w:r>
            <w:r>
              <w:rPr>
                <w:rFonts w:hint="eastAsia" w:cs="Times New Roman"/>
                <w:b/>
                <w:bCs/>
                <w:color w:val="000000" w:themeColor="text1"/>
                <w:szCs w:val="21"/>
                <w:highlight w:val="none"/>
                <w:lang w:val="en-US" w:eastAsia="zh-CN"/>
                <w14:textFill>
                  <w14:solidFill>
                    <w14:schemeClr w14:val="tx1"/>
                  </w14:solidFill>
                </w14:textFill>
              </w:rPr>
              <w:t>1</w:t>
            </w:r>
            <w:r>
              <w:rPr>
                <w:rFonts w:ascii="Times New Roman" w:hAnsi="Times New Roman" w:cs="Times New Roman"/>
                <w:b/>
                <w:bCs/>
                <w:color w:val="000000" w:themeColor="text1"/>
                <w:szCs w:val="21"/>
                <w:highlight w:val="none"/>
                <w14:textFill>
                  <w14:solidFill>
                    <w14:schemeClr w14:val="tx1"/>
                  </w14:solidFill>
                </w14:textFill>
              </w:rPr>
              <w:t xml:space="preserve"> 项目厂界达标排放情况一览表</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1541"/>
              <w:gridCol w:w="1030"/>
              <w:gridCol w:w="3"/>
              <w:gridCol w:w="1026"/>
              <w:gridCol w:w="7"/>
              <w:gridCol w:w="1023"/>
              <w:gridCol w:w="10"/>
              <w:gridCol w:w="1038"/>
            </w:tblGrid>
            <w:tr w14:paraId="4B9A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624" w:type="pct"/>
                  <w:vMerge w:val="restart"/>
                  <w:noWrap w:val="0"/>
                  <w:vAlign w:val="center"/>
                </w:tcPr>
                <w:p w14:paraId="35567D47">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类别</w:t>
                  </w:r>
                </w:p>
              </w:tc>
              <w:tc>
                <w:tcPr>
                  <w:tcW w:w="916" w:type="pct"/>
                  <w:vMerge w:val="restart"/>
                  <w:noWrap w:val="0"/>
                  <w:vAlign w:val="center"/>
                </w:tcPr>
                <w:p w14:paraId="4395B79F">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w:t>
                  </w:r>
                </w:p>
              </w:tc>
              <w:tc>
                <w:tcPr>
                  <w:tcW w:w="2459" w:type="pct"/>
                  <w:gridSpan w:val="7"/>
                  <w:noWrap w:val="0"/>
                  <w:vAlign w:val="center"/>
                </w:tcPr>
                <w:p w14:paraId="17A13B03">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距离最近场界处浓度（mg/m</w:t>
                  </w:r>
                  <w:r>
                    <w:rPr>
                      <w:rFonts w:hint="eastAsia"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c>
            </w:tr>
            <w:tr w14:paraId="1030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vMerge w:val="continue"/>
                  <w:noWrap w:val="0"/>
                  <w:vAlign w:val="center"/>
                </w:tcPr>
                <w:p w14:paraId="504AAA5C">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b/>
                      <w:bCs/>
                      <w:color w:val="000000" w:themeColor="text1"/>
                      <w:highlight w:val="none"/>
                      <w14:textFill>
                        <w14:solidFill>
                          <w14:schemeClr w14:val="tx1"/>
                        </w14:solidFill>
                      </w14:textFill>
                    </w:rPr>
                  </w:pPr>
                </w:p>
              </w:tc>
              <w:tc>
                <w:tcPr>
                  <w:tcW w:w="916" w:type="pct"/>
                  <w:vMerge w:val="continue"/>
                  <w:noWrap w:val="0"/>
                  <w:vAlign w:val="center"/>
                </w:tcPr>
                <w:p w14:paraId="3F5AA442">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b/>
                      <w:bCs/>
                      <w:color w:val="000000" w:themeColor="text1"/>
                      <w:highlight w:val="none"/>
                      <w14:textFill>
                        <w14:solidFill>
                          <w14:schemeClr w14:val="tx1"/>
                        </w14:solidFill>
                      </w14:textFill>
                    </w:rPr>
                  </w:pPr>
                </w:p>
              </w:tc>
              <w:tc>
                <w:tcPr>
                  <w:tcW w:w="612" w:type="pct"/>
                  <w:noWrap w:val="0"/>
                  <w:vAlign w:val="center"/>
                </w:tcPr>
                <w:p w14:paraId="3A2B93D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东厂界</w:t>
                  </w:r>
                </w:p>
              </w:tc>
              <w:tc>
                <w:tcPr>
                  <w:tcW w:w="612" w:type="pct"/>
                  <w:gridSpan w:val="2"/>
                  <w:noWrap w:val="0"/>
                  <w:vAlign w:val="center"/>
                </w:tcPr>
                <w:p w14:paraId="45512DD7">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南厂界</w:t>
                  </w:r>
                </w:p>
              </w:tc>
              <w:tc>
                <w:tcPr>
                  <w:tcW w:w="612" w:type="pct"/>
                  <w:gridSpan w:val="2"/>
                  <w:noWrap w:val="0"/>
                  <w:vAlign w:val="center"/>
                </w:tcPr>
                <w:p w14:paraId="6680475E">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西厂界</w:t>
                  </w:r>
                </w:p>
              </w:tc>
              <w:tc>
                <w:tcPr>
                  <w:tcW w:w="622" w:type="pct"/>
                  <w:gridSpan w:val="2"/>
                  <w:noWrap w:val="0"/>
                  <w:vAlign w:val="center"/>
                </w:tcPr>
                <w:p w14:paraId="2A40B073">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北厂界</w:t>
                  </w:r>
                </w:p>
              </w:tc>
            </w:tr>
            <w:tr w14:paraId="626BF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729A97BB">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搅拌楼卸料</w:t>
                  </w:r>
                </w:p>
              </w:tc>
              <w:tc>
                <w:tcPr>
                  <w:tcW w:w="916" w:type="pct"/>
                  <w:vMerge w:val="restart"/>
                  <w:noWrap w:val="0"/>
                  <w:vAlign w:val="center"/>
                </w:tcPr>
                <w:p w14:paraId="2EE27EE5">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非甲烷总烃</w:t>
                  </w:r>
                </w:p>
              </w:tc>
              <w:tc>
                <w:tcPr>
                  <w:tcW w:w="612" w:type="pct"/>
                  <w:noWrap w:val="0"/>
                  <w:vAlign w:val="center"/>
                </w:tcPr>
                <w:p w14:paraId="4F2BFA4F">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eastAsia" w:cs="Times New Roman"/>
                      <w:color w:val="000000" w:themeColor="text1"/>
                      <w:sz w:val="21"/>
                      <w:szCs w:val="21"/>
                      <w:highlight w:val="none"/>
                      <w:vertAlign w:val="baseline"/>
                      <w:lang w:val="en-US" w:eastAsia="zh-CN"/>
                      <w14:textFill>
                        <w14:solidFill>
                          <w14:schemeClr w14:val="tx1"/>
                        </w14:solidFill>
                      </w14:textFill>
                    </w:rPr>
                    <w:t>0001</w:t>
                  </w:r>
                </w:p>
              </w:tc>
              <w:tc>
                <w:tcPr>
                  <w:tcW w:w="612" w:type="pct"/>
                  <w:gridSpan w:val="2"/>
                  <w:noWrap w:val="0"/>
                  <w:vAlign w:val="center"/>
                </w:tcPr>
                <w:p w14:paraId="489C7BDD">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eastAsia" w:cs="Times New Roman"/>
                      <w:color w:val="000000" w:themeColor="text1"/>
                      <w:sz w:val="21"/>
                      <w:szCs w:val="21"/>
                      <w:highlight w:val="none"/>
                      <w:vertAlign w:val="baseline"/>
                      <w:lang w:val="en-US" w:eastAsia="zh-CN"/>
                      <w14:textFill>
                        <w14:solidFill>
                          <w14:schemeClr w14:val="tx1"/>
                        </w14:solidFill>
                      </w14:textFill>
                    </w:rPr>
                    <w:t>0001</w:t>
                  </w:r>
                </w:p>
              </w:tc>
              <w:tc>
                <w:tcPr>
                  <w:tcW w:w="612" w:type="pct"/>
                  <w:gridSpan w:val="2"/>
                  <w:noWrap w:val="0"/>
                  <w:vAlign w:val="center"/>
                </w:tcPr>
                <w:p w14:paraId="3930901A">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eastAsia" w:cs="Times New Roman"/>
                      <w:color w:val="000000" w:themeColor="text1"/>
                      <w:sz w:val="21"/>
                      <w:szCs w:val="21"/>
                      <w:highlight w:val="none"/>
                      <w:vertAlign w:val="baseline"/>
                      <w:lang w:val="en-US" w:eastAsia="zh-CN"/>
                      <w14:textFill>
                        <w14:solidFill>
                          <w14:schemeClr w14:val="tx1"/>
                        </w14:solidFill>
                      </w14:textFill>
                    </w:rPr>
                    <w:t>0001</w:t>
                  </w:r>
                </w:p>
              </w:tc>
              <w:tc>
                <w:tcPr>
                  <w:tcW w:w="622" w:type="pct"/>
                  <w:gridSpan w:val="2"/>
                  <w:noWrap w:val="0"/>
                  <w:vAlign w:val="center"/>
                </w:tcPr>
                <w:p w14:paraId="72C6A156">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w:t>
                  </w:r>
                  <w:r>
                    <w:rPr>
                      <w:rFonts w:hint="eastAsia" w:cs="Times New Roman"/>
                      <w:color w:val="000000" w:themeColor="text1"/>
                      <w:sz w:val="21"/>
                      <w:szCs w:val="21"/>
                      <w:highlight w:val="none"/>
                      <w:vertAlign w:val="baseline"/>
                      <w:lang w:val="en-US" w:eastAsia="zh-CN"/>
                      <w14:textFill>
                        <w14:solidFill>
                          <w14:schemeClr w14:val="tx1"/>
                        </w14:solidFill>
                      </w14:textFill>
                    </w:rPr>
                    <w:t>0001</w:t>
                  </w:r>
                </w:p>
              </w:tc>
            </w:tr>
            <w:tr w14:paraId="3CEA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0E5D4B1C">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背景值（mg/m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16" w:type="pct"/>
                  <w:vMerge w:val="continue"/>
                  <w:noWrap w:val="0"/>
                  <w:vAlign w:val="center"/>
                </w:tcPr>
                <w:p w14:paraId="207A473F">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2" w:type="pct"/>
                  <w:noWrap w:val="0"/>
                  <w:vAlign w:val="center"/>
                </w:tcPr>
                <w:p w14:paraId="1F14D376">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1.13</w:t>
                  </w:r>
                </w:p>
              </w:tc>
              <w:tc>
                <w:tcPr>
                  <w:tcW w:w="612" w:type="pct"/>
                  <w:gridSpan w:val="2"/>
                  <w:noWrap w:val="0"/>
                  <w:vAlign w:val="center"/>
                </w:tcPr>
                <w:p w14:paraId="2EE4333C">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1.13</w:t>
                  </w:r>
                </w:p>
              </w:tc>
              <w:tc>
                <w:tcPr>
                  <w:tcW w:w="612" w:type="pct"/>
                  <w:gridSpan w:val="2"/>
                  <w:noWrap w:val="0"/>
                  <w:vAlign w:val="center"/>
                </w:tcPr>
                <w:p w14:paraId="7A148F02">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1.13</w:t>
                  </w:r>
                </w:p>
              </w:tc>
              <w:tc>
                <w:tcPr>
                  <w:tcW w:w="622" w:type="pct"/>
                  <w:gridSpan w:val="2"/>
                  <w:noWrap w:val="0"/>
                  <w:vAlign w:val="center"/>
                </w:tcPr>
                <w:p w14:paraId="5091E53B">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1.13</w:t>
                  </w:r>
                </w:p>
              </w:tc>
            </w:tr>
            <w:tr w14:paraId="67D5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13860D33">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厂界叠加值（mg/m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16" w:type="pct"/>
                  <w:vMerge w:val="continue"/>
                  <w:noWrap w:val="0"/>
                  <w:vAlign w:val="center"/>
                </w:tcPr>
                <w:p w14:paraId="2080B97F">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2" w:type="pct"/>
                  <w:noWrap w:val="0"/>
                  <w:vAlign w:val="center"/>
                </w:tcPr>
                <w:p w14:paraId="20AD1B53">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1.1301</w:t>
                  </w:r>
                </w:p>
              </w:tc>
              <w:tc>
                <w:tcPr>
                  <w:tcW w:w="612" w:type="pct"/>
                  <w:gridSpan w:val="2"/>
                  <w:noWrap w:val="0"/>
                  <w:vAlign w:val="center"/>
                </w:tcPr>
                <w:p w14:paraId="56615C6C">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1.1301</w:t>
                  </w:r>
                </w:p>
              </w:tc>
              <w:tc>
                <w:tcPr>
                  <w:tcW w:w="612" w:type="pct"/>
                  <w:gridSpan w:val="2"/>
                  <w:noWrap w:val="0"/>
                  <w:vAlign w:val="center"/>
                </w:tcPr>
                <w:p w14:paraId="699B79D6">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1.1301</w:t>
                  </w:r>
                </w:p>
              </w:tc>
              <w:tc>
                <w:tcPr>
                  <w:tcW w:w="622" w:type="pct"/>
                  <w:gridSpan w:val="2"/>
                  <w:noWrap w:val="0"/>
                  <w:vAlign w:val="center"/>
                </w:tcPr>
                <w:p w14:paraId="7C2FDBDE">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1.1301</w:t>
                  </w:r>
                </w:p>
              </w:tc>
            </w:tr>
            <w:tr w14:paraId="3C3E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57E52BF4">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排放标准（mg/m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16" w:type="pct"/>
                  <w:vMerge w:val="continue"/>
                  <w:noWrap w:val="0"/>
                  <w:vAlign w:val="center"/>
                </w:tcPr>
                <w:p w14:paraId="7AB6053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59" w:type="pct"/>
                  <w:gridSpan w:val="7"/>
                  <w:noWrap w:val="0"/>
                  <w:vAlign w:val="center"/>
                </w:tcPr>
                <w:p w14:paraId="476492A4">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2.0</w:t>
                  </w:r>
                </w:p>
              </w:tc>
            </w:tr>
            <w:tr w14:paraId="40DD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419F99D6">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搅拌楼卸料</w:t>
                  </w:r>
                </w:p>
              </w:tc>
              <w:tc>
                <w:tcPr>
                  <w:tcW w:w="916" w:type="pct"/>
                  <w:vMerge w:val="restart"/>
                  <w:noWrap w:val="0"/>
                  <w:vAlign w:val="center"/>
                </w:tcPr>
                <w:p w14:paraId="226BC774">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苯并[a]芘</w:t>
                  </w:r>
                </w:p>
              </w:tc>
              <w:tc>
                <w:tcPr>
                  <w:tcW w:w="614" w:type="pct"/>
                  <w:gridSpan w:val="2"/>
                  <w:noWrap w:val="0"/>
                  <w:vAlign w:val="center"/>
                </w:tcPr>
                <w:p w14:paraId="2E2D72F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614" w:type="pct"/>
                  <w:gridSpan w:val="2"/>
                  <w:noWrap w:val="0"/>
                  <w:vAlign w:val="center"/>
                </w:tcPr>
                <w:p w14:paraId="1CDE94B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614" w:type="pct"/>
                  <w:gridSpan w:val="2"/>
                  <w:noWrap w:val="0"/>
                  <w:vAlign w:val="center"/>
                </w:tcPr>
                <w:p w14:paraId="1577D064">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615" w:type="pct"/>
                  <w:noWrap w:val="0"/>
                  <w:vAlign w:val="center"/>
                </w:tcPr>
                <w:p w14:paraId="0232E42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r>
            <w:tr w14:paraId="63C7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372DD86D">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背景值（mg/m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16" w:type="pct"/>
                  <w:vMerge w:val="continue"/>
                  <w:noWrap w:val="0"/>
                  <w:vAlign w:val="center"/>
                </w:tcPr>
                <w:p w14:paraId="0DD68EFA">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4" w:type="pct"/>
                  <w:gridSpan w:val="2"/>
                  <w:noWrap w:val="0"/>
                  <w:vAlign w:val="center"/>
                </w:tcPr>
                <w:p w14:paraId="5577B205">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r>
                    <w:rPr>
                      <w:rFonts w:hint="eastAsia" w:cs="Times New Roman"/>
                      <w:color w:val="000000" w:themeColor="text1"/>
                      <w:sz w:val="21"/>
                      <w:szCs w:val="21"/>
                      <w:highlight w:val="none"/>
                      <w:vertAlign w:val="baseli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614" w:type="pct"/>
                  <w:gridSpan w:val="2"/>
                  <w:noWrap w:val="0"/>
                  <w:vAlign w:val="center"/>
                </w:tcPr>
                <w:p w14:paraId="13CFF89B">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614" w:type="pct"/>
                  <w:gridSpan w:val="2"/>
                  <w:noWrap w:val="0"/>
                  <w:vAlign w:val="center"/>
                </w:tcPr>
                <w:p w14:paraId="2BACAB2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615" w:type="pct"/>
                  <w:noWrap w:val="0"/>
                  <w:vAlign w:val="center"/>
                </w:tcPr>
                <w:p w14:paraId="528DAA79">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r>
            <w:tr w14:paraId="4933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719217B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厂界叠加值（mg/m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16" w:type="pct"/>
                  <w:vMerge w:val="continue"/>
                  <w:noWrap w:val="0"/>
                  <w:vAlign w:val="center"/>
                </w:tcPr>
                <w:p w14:paraId="66D0028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4" w:type="pct"/>
                  <w:gridSpan w:val="2"/>
                  <w:noWrap w:val="0"/>
                  <w:vAlign w:val="center"/>
                </w:tcPr>
                <w:p w14:paraId="460C1B56">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614" w:type="pct"/>
                  <w:gridSpan w:val="2"/>
                  <w:noWrap w:val="0"/>
                  <w:vAlign w:val="center"/>
                </w:tcPr>
                <w:p w14:paraId="37A98BA7">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614" w:type="pct"/>
                  <w:gridSpan w:val="2"/>
                  <w:noWrap w:val="0"/>
                  <w:vAlign w:val="center"/>
                </w:tcPr>
                <w:p w14:paraId="0B6A5F07">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c>
                <w:tcPr>
                  <w:tcW w:w="615" w:type="pct"/>
                  <w:noWrap w:val="0"/>
                  <w:vAlign w:val="center"/>
                </w:tcPr>
                <w:p w14:paraId="3481F769">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-7</w:t>
                  </w:r>
                </w:p>
              </w:tc>
            </w:tr>
            <w:tr w14:paraId="7933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695FCA1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排放标准（mg/m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16" w:type="pct"/>
                  <w:vMerge w:val="continue"/>
                  <w:noWrap w:val="0"/>
                  <w:vAlign w:val="center"/>
                </w:tcPr>
                <w:p w14:paraId="49987C1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59" w:type="pct"/>
                  <w:gridSpan w:val="7"/>
                  <w:noWrap w:val="0"/>
                  <w:vAlign w:val="center"/>
                </w:tcPr>
                <w:p w14:paraId="1943DE8A">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-6</w:t>
                  </w:r>
                </w:p>
              </w:tc>
            </w:tr>
            <w:tr w14:paraId="746A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40" w:type="pct"/>
                  <w:gridSpan w:val="2"/>
                  <w:noWrap w:val="0"/>
                  <w:vAlign w:val="center"/>
                </w:tcPr>
                <w:p w14:paraId="73D6993A">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达标情况</w:t>
                  </w:r>
                </w:p>
              </w:tc>
              <w:tc>
                <w:tcPr>
                  <w:tcW w:w="612" w:type="pct"/>
                  <w:noWrap w:val="0"/>
                  <w:vAlign w:val="center"/>
                </w:tcPr>
                <w:p w14:paraId="744011C9">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c>
                <w:tcPr>
                  <w:tcW w:w="612" w:type="pct"/>
                  <w:gridSpan w:val="2"/>
                  <w:noWrap w:val="0"/>
                  <w:vAlign w:val="center"/>
                </w:tcPr>
                <w:p w14:paraId="6A8B840F">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c>
                <w:tcPr>
                  <w:tcW w:w="612" w:type="pct"/>
                  <w:gridSpan w:val="2"/>
                  <w:noWrap w:val="0"/>
                  <w:vAlign w:val="center"/>
                </w:tcPr>
                <w:p w14:paraId="5D057838">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c>
                <w:tcPr>
                  <w:tcW w:w="622" w:type="pct"/>
                  <w:gridSpan w:val="2"/>
                  <w:noWrap w:val="0"/>
                  <w:vAlign w:val="center"/>
                </w:tcPr>
                <w:p w14:paraId="78F9626D">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r w14:paraId="62BB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342A6EAA">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原料库</w:t>
                  </w:r>
                </w:p>
              </w:tc>
              <w:tc>
                <w:tcPr>
                  <w:tcW w:w="916" w:type="pct"/>
                  <w:vMerge w:val="restart"/>
                  <w:noWrap w:val="0"/>
                  <w:vAlign w:val="center"/>
                </w:tcPr>
                <w:p w14:paraId="1D7EC964">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颗粒物</w:t>
                  </w:r>
                </w:p>
              </w:tc>
              <w:tc>
                <w:tcPr>
                  <w:tcW w:w="612" w:type="pct"/>
                  <w:noWrap w:val="0"/>
                  <w:vAlign w:val="center"/>
                </w:tcPr>
                <w:p w14:paraId="7A1E1F4F">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0.078</w:t>
                  </w:r>
                </w:p>
              </w:tc>
              <w:tc>
                <w:tcPr>
                  <w:tcW w:w="612" w:type="pct"/>
                  <w:gridSpan w:val="2"/>
                  <w:noWrap w:val="0"/>
                  <w:vAlign w:val="center"/>
                </w:tcPr>
                <w:p w14:paraId="3F084465">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0.071</w:t>
                  </w:r>
                </w:p>
              </w:tc>
              <w:tc>
                <w:tcPr>
                  <w:tcW w:w="612" w:type="pct"/>
                  <w:gridSpan w:val="2"/>
                  <w:noWrap w:val="0"/>
                  <w:vAlign w:val="center"/>
                </w:tcPr>
                <w:p w14:paraId="31604FF0">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0.037</w:t>
                  </w:r>
                </w:p>
              </w:tc>
              <w:tc>
                <w:tcPr>
                  <w:tcW w:w="622" w:type="pct"/>
                  <w:gridSpan w:val="2"/>
                  <w:noWrap w:val="0"/>
                  <w:vAlign w:val="center"/>
                </w:tcPr>
                <w:p w14:paraId="6D37E568">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0.072</w:t>
                  </w:r>
                </w:p>
              </w:tc>
            </w:tr>
            <w:tr w14:paraId="7AC5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2D2AF093">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背景值（mg/m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16" w:type="pct"/>
                  <w:vMerge w:val="continue"/>
                  <w:noWrap w:val="0"/>
                  <w:vAlign w:val="center"/>
                </w:tcPr>
                <w:p w14:paraId="1EB24C3B">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2" w:type="pct"/>
                  <w:noWrap w:val="0"/>
                  <w:vAlign w:val="center"/>
                </w:tcPr>
                <w:p w14:paraId="37D498BD">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612" w:type="pct"/>
                  <w:gridSpan w:val="2"/>
                  <w:noWrap w:val="0"/>
                  <w:vAlign w:val="center"/>
                </w:tcPr>
                <w:p w14:paraId="083987A5">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612" w:type="pct"/>
                  <w:gridSpan w:val="2"/>
                  <w:noWrap w:val="0"/>
                  <w:vAlign w:val="center"/>
                </w:tcPr>
                <w:p w14:paraId="67973C95">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c>
                <w:tcPr>
                  <w:tcW w:w="622" w:type="pct"/>
                  <w:gridSpan w:val="2"/>
                  <w:noWrap w:val="0"/>
                  <w:vAlign w:val="center"/>
                </w:tcPr>
                <w:p w14:paraId="5F1F9999">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0.09</w:t>
                  </w:r>
                </w:p>
              </w:tc>
            </w:tr>
            <w:tr w14:paraId="08D9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4B74B836">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厂界叠加值（mg/m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16" w:type="pct"/>
                  <w:vMerge w:val="continue"/>
                  <w:noWrap w:val="0"/>
                  <w:vAlign w:val="center"/>
                </w:tcPr>
                <w:p w14:paraId="32A962B9">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2" w:type="pct"/>
                  <w:noWrap w:val="0"/>
                  <w:vAlign w:val="center"/>
                </w:tcPr>
                <w:p w14:paraId="24D4800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0.168</w:t>
                  </w:r>
                </w:p>
              </w:tc>
              <w:tc>
                <w:tcPr>
                  <w:tcW w:w="612" w:type="pct"/>
                  <w:gridSpan w:val="2"/>
                  <w:noWrap w:val="0"/>
                  <w:vAlign w:val="center"/>
                </w:tcPr>
                <w:p w14:paraId="70B9F9A8">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0.161</w:t>
                  </w:r>
                </w:p>
              </w:tc>
              <w:tc>
                <w:tcPr>
                  <w:tcW w:w="612" w:type="pct"/>
                  <w:gridSpan w:val="2"/>
                  <w:noWrap w:val="0"/>
                  <w:vAlign w:val="center"/>
                </w:tcPr>
                <w:p w14:paraId="7CF91F88">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0.127</w:t>
                  </w:r>
                </w:p>
              </w:tc>
              <w:tc>
                <w:tcPr>
                  <w:tcW w:w="622" w:type="pct"/>
                  <w:gridSpan w:val="2"/>
                  <w:noWrap w:val="0"/>
                  <w:vAlign w:val="center"/>
                </w:tcPr>
                <w:p w14:paraId="1E01FE5E">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0.162</w:t>
                  </w:r>
                </w:p>
              </w:tc>
            </w:tr>
            <w:tr w14:paraId="7552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24" w:type="pct"/>
                  <w:noWrap w:val="0"/>
                  <w:vAlign w:val="center"/>
                </w:tcPr>
                <w:p w14:paraId="438761E8">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排放标准（mg/m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916" w:type="pct"/>
                  <w:vMerge w:val="continue"/>
                  <w:noWrap w:val="0"/>
                  <w:vAlign w:val="center"/>
                </w:tcPr>
                <w:p w14:paraId="1F3AAD93">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459" w:type="pct"/>
                  <w:gridSpan w:val="7"/>
                  <w:noWrap w:val="0"/>
                  <w:vAlign w:val="center"/>
                </w:tcPr>
                <w:p w14:paraId="22AA176E">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r>
            <w:tr w14:paraId="7E56B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540" w:type="pct"/>
                  <w:gridSpan w:val="2"/>
                  <w:noWrap w:val="0"/>
                  <w:vAlign w:val="center"/>
                </w:tcPr>
                <w:p w14:paraId="0C90E843">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达标情况</w:t>
                  </w:r>
                </w:p>
              </w:tc>
              <w:tc>
                <w:tcPr>
                  <w:tcW w:w="612" w:type="pct"/>
                  <w:noWrap w:val="0"/>
                  <w:vAlign w:val="center"/>
                </w:tcPr>
                <w:p w14:paraId="768461F3">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c>
                <w:tcPr>
                  <w:tcW w:w="612" w:type="pct"/>
                  <w:gridSpan w:val="2"/>
                  <w:noWrap w:val="0"/>
                  <w:vAlign w:val="center"/>
                </w:tcPr>
                <w:p w14:paraId="5950CC59">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c>
                <w:tcPr>
                  <w:tcW w:w="612" w:type="pct"/>
                  <w:gridSpan w:val="2"/>
                  <w:noWrap w:val="0"/>
                  <w:vAlign w:val="center"/>
                </w:tcPr>
                <w:p w14:paraId="25A7C6C1">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c>
                <w:tcPr>
                  <w:tcW w:w="622" w:type="pct"/>
                  <w:gridSpan w:val="2"/>
                  <w:noWrap w:val="0"/>
                  <w:vAlign w:val="center"/>
                </w:tcPr>
                <w:p w14:paraId="2594F415">
                  <w:pPr>
                    <w:keepNext w:val="0"/>
                    <w:keepLines w:val="0"/>
                    <w:pageBreakBefore w:val="0"/>
                    <w:widowControl/>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达标</w:t>
                  </w:r>
                </w:p>
              </w:tc>
            </w:tr>
          </w:tbl>
          <w:p w14:paraId="480D71D5">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根据预测结果分析可知：</w:t>
            </w:r>
            <w:r>
              <w:rPr>
                <w:rFonts w:hint="eastAsia" w:cs="Times New Roman"/>
                <w:b w:val="0"/>
                <w:bCs/>
                <w:color w:val="000000" w:themeColor="text1"/>
                <w:spacing w:val="0"/>
                <w:position w:val="0"/>
                <w:sz w:val="21"/>
                <w:szCs w:val="21"/>
                <w:highlight w:val="none"/>
                <w:lang w:val="en-US" w:eastAsia="zh-CN"/>
                <w14:textFill>
                  <w14:solidFill>
                    <w14:schemeClr w14:val="tx1"/>
                  </w14:solidFill>
                </w14:textFill>
              </w:rPr>
              <w:t>通过采取措施非甲烷总烃</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在各厂界处叠加浓度均小于2.0mg/m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，满足《工业企业挥发性有机物排放控制标准》（DB13/2322-2016）表2企业边界大气污染物浓度限值要求；颗粒物在各厂界处叠加浓度均小于1.0mg/m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，满足《大气污染物综合排放标准》（GB16297-1996）无组织排放监控浓度限值；苯并[a]芘在各厂界处叠加浓度均小于</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8×10</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，满足</w:t>
            </w: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p w14:paraId="2FFA6CEF">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2" w:firstLineChars="200"/>
              <w:jc w:val="both"/>
              <w:textAlignment w:val="auto"/>
              <w:rPr>
                <w:rFonts w:hint="default" w:ascii="Times New Roman" w:hAnsi="Times New Roman" w:cs="Times New Roman"/>
                <w:b/>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bCs w:val="0"/>
                <w:color w:val="000000" w:themeColor="text1"/>
                <w:spacing w:val="0"/>
                <w:position w:val="0"/>
                <w:sz w:val="21"/>
                <w:szCs w:val="21"/>
                <w:highlight w:val="none"/>
                <w:lang w:val="en-US" w:eastAsia="zh-CN"/>
                <w14:textFill>
                  <w14:solidFill>
                    <w14:schemeClr w14:val="tx1"/>
                  </w14:solidFill>
                </w14:textFill>
              </w:rPr>
              <w:t>（5）环保设施措施可行性分析</w:t>
            </w:r>
          </w:p>
          <w:p w14:paraId="7983ED03">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本项目大气污染源主要为铣刨沥青破碎产生的颗粒物；铣刨沥青烘干产生的二氧化硫、氮氧化物、颗粒物、沥青烟、非甲烷总烃、苯并[a]芘；搅拌器搅拌和搅拌楼卸料产生的沥青烟、非甲烷总烃、苯并[a]芘；导热油炉加热产生的颗粒物、二氧化硫和氮氧化物；原有冷骨料烘干产生颗粒物、二氧化硫、氮氧化物；沥青加热产生的沥青烟、非甲烷总烃、苯并[a]芘；原料堆存和车辆运输产生的颗粒物。</w:t>
            </w:r>
          </w:p>
          <w:p w14:paraId="1F282377">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铣刨沥青产生的颗粒物经集气罩收集后，经过布袋除尘器处理通过一根15m高的排气筒排出。布袋除尘器是一种干式滤尘装置，它适用于捕集细小、干燥、非纤维性</w: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fldChar w:fldCharType="begin"/>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instrText xml:space="preserve"> HYPERLINK "https://baike.so.com/doc/662388-701218.html" \t "_blank" </w:instrTex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fldChar w:fldCharType="separate"/>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粉尘</w: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fldChar w:fldCharType="end"/>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滤袋采用纺织的滤布或非纺织的毡制成，利用纤维织物的过滤作用对含尘气体进行过滤，当含尘气体进入袋式除尘器后，比重大的粉尘，由于重力的作用沉降下来，落入灰斗，含有较细小粉尘的气体在通过滤布时，粉尘被阻留，使气体得到净化。布袋除尘器除尘效率可达99%以上。</w:t>
            </w:r>
          </w:p>
          <w:p w14:paraId="40594413">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铣刨沥青烘干产生沥青烟、非甲烷总烃、苯并[a]芘以及搅拌器搅拌和搅拌楼卸料产生沥青烟、非甲烷总烃、苯并[a]芘以及沥青加热产生的沥青烟、非甲烷总烃、苯并[a]芘通过管路收集后，进入“电捕焦油器+活性炭吸附”装置进行性处理，由一根15m高的排气筒排出。</w:t>
            </w:r>
          </w:p>
          <w:p w14:paraId="1F72A1A9">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电捕焦油器采用静电净化法，主要依靠放电极和沉淀极两个系统来完成对焦油粉尘的捕集。当设备运行时，在两极间接入高压直流电，电极在空间产生阴、阳离子并使其作用于带电粒子，并吸附于静电场中的焦油粉尘颗粒表面，使焦油粉尘颗粒带电。在电场力的作用下，带电焦油粉尘颗粒向其极性相反的电极移动，最终沉积于电极表面，达到收尘的目的。极板上装有电动刮板，当电极表面的粉尘和焦油沉积到一定数量时，电动刮板动作，对极板进行清理。在高温和刮板的作用下，沉积的粉尘和焦油落入灰斗。定期打开灰斗下面阀门，使灰渣排入渣箱运走。净化后的烟气经排烟风机送入烟囱，最终排入大气。</w:t>
            </w:r>
          </w:p>
          <w:p w14:paraId="4C01B6D0">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活性炭吸附区工作原理：由于固体表面上存在着未平衡和未饱和的分子引力或化学键力，当此固体表面与气体接触时，就能吸引气体分子，使其浓聚并保持在固体表面，此现象称为吸附。由于活性炭固体表面上存在着未平衡和未饱和的分子引力或化学健力，因此，当此固体表面与气体接触时，就能吸引气体分子，使其浓聚并保持在固体表面，污染物质从而被吸附，废气经过滤器吸附后，进入设备排尘系统，净化气体高空达标排放。</w:t>
            </w:r>
          </w:p>
          <w:p w14:paraId="15238FB0">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铣刨沥青烘干，该工序通过燃气燃烧器为</w:t>
            </w:r>
            <w:r>
              <w:rPr>
                <w:rFonts w:hint="eastAsia" w:cs="Times New Roman"/>
                <w:b w:val="0"/>
                <w:bCs/>
                <w:color w:val="000000" w:themeColor="text1"/>
                <w:spacing w:val="0"/>
                <w:position w:val="0"/>
                <w:sz w:val="21"/>
                <w:szCs w:val="21"/>
                <w:highlight w:val="none"/>
                <w:lang w:val="en-US" w:eastAsia="zh-CN"/>
                <w14:textFill>
                  <w14:solidFill>
                    <w14:schemeClr w14:val="tx1"/>
                  </w14:solidFill>
                </w14:textFill>
              </w:rPr>
              <w:t>干燥滚筒</w: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提供热量，燃烧气体为天然气，在该过程中会产生颗粒物、二氧化硫、氮氧化物；原有冷骨料烘干，同理该工序通过燃气燃烧器为</w:t>
            </w:r>
            <w:r>
              <w:rPr>
                <w:rFonts w:hint="eastAsia" w:cs="Times New Roman"/>
                <w:b w:val="0"/>
                <w:bCs/>
                <w:color w:val="000000" w:themeColor="text1"/>
                <w:spacing w:val="0"/>
                <w:position w:val="0"/>
                <w:sz w:val="21"/>
                <w:szCs w:val="21"/>
                <w:highlight w:val="none"/>
                <w:lang w:val="en-US" w:eastAsia="zh-CN"/>
                <w14:textFill>
                  <w14:solidFill>
                    <w14:schemeClr w14:val="tx1"/>
                  </w14:solidFill>
                </w14:textFill>
              </w:rPr>
              <w:t>干燥滚筒</w: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提供热量，燃烧气体为天然气，在该过程中会产生颗粒物、二氧化硫、氮氧化物；天然气燃烧器采用低氮燃烧器，产生的废气进入布袋除尘器处理后由一根15m高的排气筒排出。</w:t>
            </w:r>
          </w:p>
          <w:p w14:paraId="4692EB80">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导热油炉加热</w:t>
            </w:r>
            <w:r>
              <w:rPr>
                <w:rFonts w:hint="eastAsia" w:cs="Times New Roman"/>
                <w:b w:val="0"/>
                <w:bCs/>
                <w:color w:val="000000" w:themeColor="text1"/>
                <w:spacing w:val="0"/>
                <w:position w:val="0"/>
                <w:sz w:val="21"/>
                <w:szCs w:val="21"/>
                <w:highlight w:val="none"/>
                <w:lang w:val="en-US" w:eastAsia="zh-CN"/>
                <w14:textFill>
                  <w14:solidFill>
                    <w14:schemeClr w14:val="tx1"/>
                  </w14:solidFill>
                </w14:textFill>
              </w:rPr>
              <w:t>采用低氮燃烧器</w: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产生的颗粒物、二氧化硫、氮氧化物</w:t>
            </w:r>
            <w:r>
              <w:rPr>
                <w:rFonts w:hint="eastAsia" w:cs="Times New Roman"/>
                <w:color w:val="000000" w:themeColor="text1"/>
                <w:sz w:val="21"/>
                <w:szCs w:val="21"/>
                <w:highlight w:val="none"/>
                <w:lang w:val="en-US" w:eastAsia="zh-CN"/>
                <w14:textFill>
                  <w14:solidFill>
                    <w14:schemeClr w14:val="tx1"/>
                  </w14:solidFill>
                </w14:textFill>
              </w:rPr>
              <w:t>进入</w:t>
            </w:r>
            <w:r>
              <w:rPr>
                <w:rFonts w:hint="default" w:eastAsia="宋体" w:cs="Times New Roman"/>
                <w:color w:val="000000" w:themeColor="text1"/>
                <w:sz w:val="21"/>
                <w:szCs w:val="21"/>
                <w:highlight w:val="none"/>
                <w:lang w:val="en-US" w:eastAsia="zh-CN"/>
                <w14:textFill>
                  <w14:solidFill>
                    <w14:schemeClr w14:val="tx1"/>
                  </w14:solidFill>
                </w14:textFill>
              </w:rPr>
              <w:t>布袋除尘器</w:t>
            </w:r>
            <w:r>
              <w:rPr>
                <w:rFonts w:hint="eastAsia" w:cs="Times New Roman"/>
                <w:color w:val="000000" w:themeColor="text1"/>
                <w:sz w:val="21"/>
                <w:szCs w:val="21"/>
                <w:highlight w:val="none"/>
                <w:lang w:val="en-US" w:eastAsia="zh-CN"/>
                <w14:textFill>
                  <w14:solidFill>
                    <w14:schemeClr w14:val="tx1"/>
                  </w14:solidFill>
                </w14:textFill>
              </w:rPr>
              <w:t>处理后</w: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由一根16m高的排气筒排出。低氮燃烧器可降低火焰温度，减少热力学氮氧化物的产生量，高空排放可有利于大气污染物稀释扩散，最终使得落地浓度降低，达到减小对环境空气质量影响的目的。</w:t>
            </w:r>
          </w:p>
          <w:p w14:paraId="58692970">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原料库扬尘，封闭厂房内运行，洒水降尘，降低扬尘的产生与排放；车辆运输扬尘通过车辆减速慢行、地面硬化、洒水降尘方式抑制。上述措施操作简单，成本较低，且处理效率能够满足相关要求。</w:t>
            </w:r>
          </w:p>
          <w:p w14:paraId="786AB87D">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本项目尽管采取了相应的有机废气收集和处理措施，但仍不可避免地会有少量的废气无组织排放，针对工程的特点，本项目尽可能增加废气收集率，加强对生产及环保设备的检修力度，加强管理。另外，厂区边界增加绿化面积，通过植物的阻隔和吸收作用，对无组织废气进行进一步的削减。</w:t>
            </w:r>
          </w:p>
          <w:p w14:paraId="7C68ECF2">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项目大气污染物防治措施的环境保护投入资金为20万元，资金来源为本项目投资，措施经济上合理。</w:t>
            </w:r>
          </w:p>
          <w:p w14:paraId="37469FBA">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2" w:firstLineChars="200"/>
              <w:jc w:val="both"/>
              <w:textAlignment w:val="auto"/>
              <w:rPr>
                <w:rFonts w:hint="default" w:ascii="Times New Roman" w:hAnsi="Times New Roman" w:cs="Times New Roman"/>
                <w:b/>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lang w:val="en-US" w:eastAsia="zh-CN"/>
                <w14:textFill>
                  <w14:solidFill>
                    <w14:schemeClr w14:val="tx1"/>
                  </w14:solidFill>
                </w14:textFill>
              </w:rPr>
              <w:t>（</w:t>
            </w:r>
            <w:r>
              <w:rPr>
                <w:rFonts w:hint="eastAsia" w:cs="Times New Roman"/>
                <w:b/>
                <w:bCs w:val="0"/>
                <w:color w:val="000000" w:themeColor="text1"/>
                <w:spacing w:val="0"/>
                <w:position w:val="0"/>
                <w:sz w:val="21"/>
                <w:szCs w:val="21"/>
                <w:highlight w:val="none"/>
                <w:lang w:val="en-US" w:eastAsia="zh-CN"/>
                <w14:textFill>
                  <w14:solidFill>
                    <w14:schemeClr w14:val="tx1"/>
                  </w14:solidFill>
                </w14:textFill>
              </w:rPr>
              <w:t>6</w:t>
            </w:r>
            <w:r>
              <w:rPr>
                <w:rFonts w:hint="eastAsia" w:ascii="Times New Roman" w:hAnsi="Times New Roman" w:cs="Times New Roman"/>
                <w:b/>
                <w:bCs w:val="0"/>
                <w:color w:val="000000" w:themeColor="text1"/>
                <w:spacing w:val="0"/>
                <w:position w:val="0"/>
                <w:sz w:val="21"/>
                <w:szCs w:val="21"/>
                <w:highlight w:val="none"/>
                <w:lang w:val="en-US" w:eastAsia="zh-CN"/>
                <w14:textFill>
                  <w14:solidFill>
                    <w14:schemeClr w14:val="tx1"/>
                  </w14:solidFill>
                </w14:textFill>
              </w:rPr>
              <w:t>）监测要求</w:t>
            </w:r>
          </w:p>
          <w:p w14:paraId="17887B55">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20" w:firstLineChars="200"/>
              <w:jc w:val="both"/>
              <w:textAlignment w:val="auto"/>
              <w:rPr>
                <w:rFonts w:hint="default"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根据《排污许可证申请与核发技术规范石墨及其他非金属矿物</w:t>
            </w:r>
            <w:r>
              <w:rPr>
                <w:rFonts w:hint="eastAsia" w:cs="Times New Roman"/>
                <w:b w:val="0"/>
                <w:bCs/>
                <w:color w:val="000000" w:themeColor="text1"/>
                <w:spacing w:val="0"/>
                <w:position w:val="0"/>
                <w:sz w:val="21"/>
                <w:szCs w:val="21"/>
                <w:highlight w:val="none"/>
                <w:lang w:val="en-US" w:eastAsia="zh-CN"/>
                <w14:textFill>
                  <w14:solidFill>
                    <w14:schemeClr w14:val="tx1"/>
                  </w14:solidFill>
                </w14:textFill>
              </w:rPr>
              <w:t>制品</w: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制造》（HJ 1119-2020）</w:t>
            </w:r>
            <w:r>
              <w:rPr>
                <w:rFonts w:hint="eastAsia"/>
                <w:color w:val="000000" w:themeColor="text1"/>
                <w:highlight w:val="none"/>
                <w:lang w:val="en-US" w:eastAsia="zh-CN"/>
                <w14:textFill>
                  <w14:solidFill>
                    <w14:schemeClr w14:val="tx1"/>
                  </w14:solidFill>
                </w14:textFill>
              </w:rPr>
              <w:t>和《排污单位自行监测技术指南 火力发电及锅炉》（HJ820-2017）中的相关要求</w:t>
            </w:r>
            <w:r>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t>，本项目大气污染源监测要求详见下表：</w:t>
            </w:r>
          </w:p>
          <w:p w14:paraId="23E0E888">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表</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4-1</w:t>
            </w:r>
            <w:r>
              <w:rPr>
                <w:rFonts w:hint="eastAsia" w:cs="Times New Roman"/>
                <w:b/>
                <w:bCs/>
                <w:color w:val="000000" w:themeColor="text1"/>
                <w:szCs w:val="21"/>
                <w:highlight w:val="none"/>
                <w:lang w:val="en-US" w:eastAsia="zh-CN"/>
                <w14:textFill>
                  <w14:solidFill>
                    <w14:schemeClr w14:val="tx1"/>
                  </w14:solidFill>
                </w14:textFill>
              </w:rPr>
              <w:t>2</w:t>
            </w:r>
            <w:r>
              <w:rPr>
                <w:rFonts w:ascii="Times New Roman" w:hAnsi="Times New Roman" w:cs="Times New Roman"/>
                <w:b/>
                <w:bCs/>
                <w:color w:val="000000" w:themeColor="text1"/>
                <w:szCs w:val="21"/>
                <w:highlight w:val="none"/>
                <w14:textFill>
                  <w14:solidFill>
                    <w14:schemeClr w14:val="tx1"/>
                  </w14:solidFill>
                </w14:textFill>
              </w:rPr>
              <w:t xml:space="preserve">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废气监测方案</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1336"/>
              <w:gridCol w:w="1528"/>
              <w:gridCol w:w="4258"/>
            </w:tblGrid>
            <w:tr w14:paraId="0793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noWrap w:val="0"/>
                  <w:vAlign w:val="center"/>
                </w:tcPr>
                <w:p w14:paraId="76B083F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监测点位</w:t>
                  </w:r>
                </w:p>
              </w:tc>
              <w:tc>
                <w:tcPr>
                  <w:tcW w:w="794" w:type="pct"/>
                  <w:noWrap w:val="0"/>
                  <w:vAlign w:val="center"/>
                </w:tcPr>
                <w:p w14:paraId="24613DA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监测指标</w:t>
                  </w:r>
                </w:p>
              </w:tc>
              <w:tc>
                <w:tcPr>
                  <w:tcW w:w="908" w:type="pct"/>
                  <w:noWrap w:val="0"/>
                  <w:vAlign w:val="center"/>
                </w:tcPr>
                <w:p w14:paraId="00AB247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监测频次</w:t>
                  </w:r>
                </w:p>
              </w:tc>
              <w:tc>
                <w:tcPr>
                  <w:tcW w:w="2530" w:type="pct"/>
                  <w:noWrap w:val="0"/>
                  <w:vAlign w:val="center"/>
                </w:tcPr>
                <w:p w14:paraId="17972F8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pacing w:val="0"/>
                      <w:position w:val="0"/>
                      <w:sz w:val="21"/>
                      <w:szCs w:val="21"/>
                      <w:highlight w:val="none"/>
                      <w:vertAlign w:val="baseline"/>
                      <w:lang w:val="en-US" w:eastAsia="zh-CN"/>
                      <w14:textFill>
                        <w14:solidFill>
                          <w14:schemeClr w14:val="tx1"/>
                        </w14:solidFill>
                      </w14:textFill>
                    </w:rPr>
                    <w:t>执行排放标准</w:t>
                  </w:r>
                </w:p>
              </w:tc>
            </w:tr>
            <w:tr w14:paraId="22E1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67" w:type="pct"/>
                  <w:vMerge w:val="restart"/>
                  <w:noWrap w:val="0"/>
                  <w:vAlign w:val="center"/>
                </w:tcPr>
                <w:p w14:paraId="1AC3220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生产废气排气筒</w:t>
                  </w:r>
                </w:p>
              </w:tc>
              <w:tc>
                <w:tcPr>
                  <w:tcW w:w="794" w:type="pct"/>
                  <w:noWrap w:val="0"/>
                  <w:vAlign w:val="center"/>
                </w:tcPr>
                <w:p w14:paraId="17BF9D3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颗粒物</w:t>
                  </w:r>
                </w:p>
              </w:tc>
              <w:tc>
                <w:tcPr>
                  <w:tcW w:w="908" w:type="pct"/>
                  <w:vMerge w:val="restart"/>
                  <w:noWrap w:val="0"/>
                  <w:vAlign w:val="center"/>
                </w:tcPr>
                <w:p w14:paraId="013A806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半年一次</w:t>
                  </w:r>
                </w:p>
              </w:tc>
              <w:tc>
                <w:tcPr>
                  <w:tcW w:w="2530" w:type="pct"/>
                  <w:vMerge w:val="restart"/>
                  <w:noWrap w:val="0"/>
                  <w:vAlign w:val="center"/>
                </w:tcPr>
                <w:p w14:paraId="3170D4C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《工业炉窑大气污染物排放标准》（DB13/1640-2012）表1、表2中新建炉窑标准并同时满足《承德市工业炉窑综合治理实施方案》（承环办[2020]72 号）中相关限值中的相关要求</w:t>
                  </w:r>
                </w:p>
              </w:tc>
            </w:tr>
            <w:tr w14:paraId="0696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1FB0BE6D">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22F81D7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二氧化硫</w:t>
                  </w:r>
                </w:p>
              </w:tc>
              <w:tc>
                <w:tcPr>
                  <w:tcW w:w="908" w:type="pct"/>
                  <w:vMerge w:val="continue"/>
                  <w:noWrap w:val="0"/>
                  <w:vAlign w:val="center"/>
                </w:tcPr>
                <w:p w14:paraId="187E1D0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2530" w:type="pct"/>
                  <w:vMerge w:val="continue"/>
                  <w:noWrap w:val="0"/>
                  <w:vAlign w:val="center"/>
                </w:tcPr>
                <w:p w14:paraId="124E297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r>
            <w:tr w14:paraId="5F52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654E0C7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7E6A1F5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氮氧化物</w:t>
                  </w:r>
                </w:p>
              </w:tc>
              <w:tc>
                <w:tcPr>
                  <w:tcW w:w="908" w:type="pct"/>
                  <w:vMerge w:val="continue"/>
                  <w:noWrap w:val="0"/>
                  <w:vAlign w:val="center"/>
                </w:tcPr>
                <w:p w14:paraId="36C360A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2530" w:type="pct"/>
                  <w:vMerge w:val="continue"/>
                  <w:noWrap w:val="0"/>
                  <w:vAlign w:val="center"/>
                </w:tcPr>
                <w:p w14:paraId="7EAE629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r>
            <w:tr w14:paraId="4DE8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32B340D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6F43172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pacing w:val="0"/>
                      <w:position w:val="0"/>
                      <w:sz w:val="21"/>
                      <w:szCs w:val="21"/>
                      <w:highlight w:val="none"/>
                      <w:vertAlign w:val="baseline"/>
                      <w:lang w:val="en-US" w:eastAsia="zh-CN"/>
                      <w14:textFill>
                        <w14:solidFill>
                          <w14:schemeClr w14:val="tx1"/>
                        </w14:solidFill>
                      </w14:textFill>
                    </w:rPr>
                    <w:t>烟气黑度</w:t>
                  </w:r>
                </w:p>
              </w:tc>
              <w:tc>
                <w:tcPr>
                  <w:tcW w:w="908" w:type="pct"/>
                  <w:noWrap w:val="0"/>
                  <w:vAlign w:val="center"/>
                </w:tcPr>
                <w:p w14:paraId="352BB91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color w:val="000000" w:themeColor="text1"/>
                      <w:spacing w:val="0"/>
                      <w:position w:val="0"/>
                      <w:sz w:val="21"/>
                      <w:szCs w:val="21"/>
                      <w:highlight w:val="none"/>
                      <w:vertAlign w:val="baseline"/>
                      <w:lang w:val="en-US" w:eastAsia="zh-CN"/>
                      <w14:textFill>
                        <w14:solidFill>
                          <w14:schemeClr w14:val="tx1"/>
                        </w14:solidFill>
                      </w14:textFill>
                    </w:rPr>
                    <w:t>一年一次</w:t>
                  </w:r>
                </w:p>
              </w:tc>
              <w:tc>
                <w:tcPr>
                  <w:tcW w:w="2530" w:type="pct"/>
                  <w:vMerge w:val="continue"/>
                  <w:noWrap w:val="0"/>
                  <w:vAlign w:val="center"/>
                </w:tcPr>
                <w:p w14:paraId="424D9F3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r>
            <w:tr w14:paraId="5C5B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431EC57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155016C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非甲烷总烃</w:t>
                  </w:r>
                </w:p>
              </w:tc>
              <w:tc>
                <w:tcPr>
                  <w:tcW w:w="908" w:type="pct"/>
                  <w:vMerge w:val="restart"/>
                  <w:noWrap w:val="0"/>
                  <w:vAlign w:val="center"/>
                </w:tcPr>
                <w:p w14:paraId="5B23DED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一年一次</w:t>
                  </w:r>
                </w:p>
              </w:tc>
              <w:tc>
                <w:tcPr>
                  <w:tcW w:w="2530" w:type="pct"/>
                  <w:noWrap w:val="0"/>
                  <w:vAlign w:val="center"/>
                </w:tcPr>
                <w:p w14:paraId="4A3D4B8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执行《工业企业挥发性有机物排放控制标准》（DB13/2322-2016）表1其他行业标准</w:t>
                  </w:r>
                </w:p>
              </w:tc>
            </w:tr>
            <w:tr w14:paraId="3E50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2F26C15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3D211FF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苯并[a]芘</w:t>
                  </w:r>
                </w:p>
              </w:tc>
              <w:tc>
                <w:tcPr>
                  <w:tcW w:w="908" w:type="pct"/>
                  <w:vMerge w:val="continue"/>
                  <w:noWrap w:val="0"/>
                  <w:vAlign w:val="center"/>
                </w:tcPr>
                <w:p w14:paraId="7FFB39C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2530" w:type="pct"/>
                  <w:vMerge w:val="restart"/>
                  <w:noWrap w:val="0"/>
                  <w:vAlign w:val="center"/>
                </w:tcPr>
                <w:p w14:paraId="298A66B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执行《大气污染物综合排放标准》（GB16297-1996）表2中二级标准</w:t>
                  </w:r>
                </w:p>
              </w:tc>
            </w:tr>
            <w:tr w14:paraId="2C83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17958DA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442E7A5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沥青烟</w:t>
                  </w:r>
                </w:p>
              </w:tc>
              <w:tc>
                <w:tcPr>
                  <w:tcW w:w="908" w:type="pct"/>
                  <w:vMerge w:val="continue"/>
                  <w:noWrap w:val="0"/>
                  <w:vAlign w:val="center"/>
                </w:tcPr>
                <w:p w14:paraId="3E8501C0">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2530" w:type="pct"/>
                  <w:vMerge w:val="continue"/>
                  <w:noWrap w:val="0"/>
                  <w:vAlign w:val="center"/>
                </w:tcPr>
                <w:p w14:paraId="0CED618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r>
            <w:tr w14:paraId="29BA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restart"/>
                  <w:noWrap w:val="0"/>
                  <w:vAlign w:val="center"/>
                </w:tcPr>
                <w:p w14:paraId="61CF33B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锅炉废气排气筒</w:t>
                  </w:r>
                </w:p>
              </w:tc>
              <w:tc>
                <w:tcPr>
                  <w:tcW w:w="794" w:type="pct"/>
                  <w:noWrap w:val="0"/>
                  <w:vAlign w:val="center"/>
                </w:tcPr>
                <w:p w14:paraId="3D68656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pacing w:val="0"/>
                      <w:position w:val="0"/>
                      <w:sz w:val="21"/>
                      <w:szCs w:val="21"/>
                      <w:highlight w:val="none"/>
                      <w:vertAlign w:val="baseline"/>
                      <w:lang w:val="en-US" w:eastAsia="zh-CN"/>
                      <w14:textFill>
                        <w14:solidFill>
                          <w14:schemeClr w14:val="tx1"/>
                        </w14:solidFill>
                      </w14:textFill>
                    </w:rPr>
                    <w:t>烟气黑度</w:t>
                  </w:r>
                </w:p>
              </w:tc>
              <w:tc>
                <w:tcPr>
                  <w:tcW w:w="908" w:type="pct"/>
                  <w:vMerge w:val="restart"/>
                  <w:noWrap w:val="0"/>
                  <w:vAlign w:val="center"/>
                </w:tcPr>
                <w:p w14:paraId="48102EE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一年一次</w:t>
                  </w:r>
                </w:p>
              </w:tc>
              <w:tc>
                <w:tcPr>
                  <w:tcW w:w="2530" w:type="pct"/>
                  <w:vMerge w:val="restart"/>
                  <w:noWrap w:val="0"/>
                  <w:vAlign w:val="center"/>
                </w:tcPr>
                <w:p w14:paraId="750F13BB">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《锅炉大气污染物排放标准》（DB13/5161-2020）中相关限值要求</w:t>
                  </w:r>
                </w:p>
              </w:tc>
            </w:tr>
            <w:tr w14:paraId="77E0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79CEB73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7A594A2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颗粒物</w:t>
                  </w:r>
                </w:p>
              </w:tc>
              <w:tc>
                <w:tcPr>
                  <w:tcW w:w="908" w:type="pct"/>
                  <w:vMerge w:val="continue"/>
                  <w:noWrap w:val="0"/>
                  <w:vAlign w:val="center"/>
                </w:tcPr>
                <w:p w14:paraId="5EFDAF8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2530" w:type="pct"/>
                  <w:vMerge w:val="continue"/>
                  <w:noWrap w:val="0"/>
                  <w:vAlign w:val="center"/>
                </w:tcPr>
                <w:p w14:paraId="103B51FC">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r>
            <w:tr w14:paraId="5100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37145AC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4FF4696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二氧化硫</w:t>
                  </w:r>
                </w:p>
              </w:tc>
              <w:tc>
                <w:tcPr>
                  <w:tcW w:w="908" w:type="pct"/>
                  <w:vMerge w:val="continue"/>
                  <w:noWrap w:val="0"/>
                  <w:vAlign w:val="center"/>
                </w:tcPr>
                <w:p w14:paraId="712FA5C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2530" w:type="pct"/>
                  <w:vMerge w:val="continue"/>
                  <w:noWrap w:val="0"/>
                  <w:vAlign w:val="center"/>
                </w:tcPr>
                <w:p w14:paraId="1A6115B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olor w:val="000000" w:themeColor="text1"/>
                      <w:sz w:val="21"/>
                      <w:szCs w:val="21"/>
                      <w:highlight w:val="none"/>
                      <w:lang w:val="en-US" w:eastAsia="zh-CN"/>
                      <w14:textFill>
                        <w14:solidFill>
                          <w14:schemeClr w14:val="tx1"/>
                        </w14:solidFill>
                      </w14:textFill>
                    </w:rPr>
                  </w:pPr>
                </w:p>
              </w:tc>
            </w:tr>
            <w:tr w14:paraId="2F74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76F0F51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0C5621F8">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氮氧化物</w:t>
                  </w:r>
                </w:p>
              </w:tc>
              <w:tc>
                <w:tcPr>
                  <w:tcW w:w="908" w:type="pct"/>
                  <w:noWrap w:val="0"/>
                  <w:vAlign w:val="center"/>
                </w:tcPr>
                <w:p w14:paraId="3254594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一月一次</w:t>
                  </w:r>
                </w:p>
              </w:tc>
              <w:tc>
                <w:tcPr>
                  <w:tcW w:w="2530" w:type="pct"/>
                  <w:vMerge w:val="continue"/>
                  <w:noWrap w:val="0"/>
                  <w:vAlign w:val="center"/>
                </w:tcPr>
                <w:p w14:paraId="68E1304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olor w:val="000000" w:themeColor="text1"/>
                      <w:sz w:val="21"/>
                      <w:szCs w:val="21"/>
                      <w:highlight w:val="none"/>
                      <w:lang w:val="en-US" w:eastAsia="zh-CN"/>
                      <w14:textFill>
                        <w14:solidFill>
                          <w14:schemeClr w14:val="tx1"/>
                        </w14:solidFill>
                      </w14:textFill>
                    </w:rPr>
                  </w:pPr>
                </w:p>
              </w:tc>
            </w:tr>
            <w:tr w14:paraId="3DB0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noWrap w:val="0"/>
                  <w:vAlign w:val="center"/>
                </w:tcPr>
                <w:p w14:paraId="02FCF233">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破碎筛分排气筒</w:t>
                  </w:r>
                </w:p>
              </w:tc>
              <w:tc>
                <w:tcPr>
                  <w:tcW w:w="794" w:type="pct"/>
                  <w:noWrap w:val="0"/>
                  <w:vAlign w:val="center"/>
                </w:tcPr>
                <w:p w14:paraId="4A5EE02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颗粒物</w:t>
                  </w:r>
                </w:p>
              </w:tc>
              <w:tc>
                <w:tcPr>
                  <w:tcW w:w="908" w:type="pct"/>
                  <w:noWrap w:val="0"/>
                  <w:vAlign w:val="center"/>
                </w:tcPr>
                <w:p w14:paraId="46DE74B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一年1次</w:t>
                  </w:r>
                </w:p>
              </w:tc>
              <w:tc>
                <w:tcPr>
                  <w:tcW w:w="2530" w:type="pct"/>
                  <w:noWrap w:val="0"/>
                  <w:vAlign w:val="center"/>
                </w:tcPr>
                <w:p w14:paraId="15244836">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tc>
            </w:tr>
            <w:tr w14:paraId="4779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67" w:type="pct"/>
                  <w:vMerge w:val="restart"/>
                  <w:noWrap w:val="0"/>
                  <w:vAlign w:val="center"/>
                </w:tcPr>
                <w:p w14:paraId="37EA6D0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厂界</w:t>
                  </w:r>
                </w:p>
              </w:tc>
              <w:tc>
                <w:tcPr>
                  <w:tcW w:w="794" w:type="pct"/>
                  <w:noWrap w:val="0"/>
                  <w:vAlign w:val="center"/>
                </w:tcPr>
                <w:p w14:paraId="177343A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颗粒物</w:t>
                  </w:r>
                </w:p>
              </w:tc>
              <w:tc>
                <w:tcPr>
                  <w:tcW w:w="908" w:type="pct"/>
                  <w:vMerge w:val="restart"/>
                  <w:noWrap w:val="0"/>
                  <w:vAlign w:val="center"/>
                </w:tcPr>
                <w:p w14:paraId="5C158871">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一年一次</w:t>
                  </w:r>
                </w:p>
              </w:tc>
              <w:tc>
                <w:tcPr>
                  <w:tcW w:w="2530" w:type="pct"/>
                  <w:noWrap w:val="0"/>
                  <w:vAlign w:val="center"/>
                </w:tcPr>
                <w:p w14:paraId="5C356FA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《大气污染物综合排放标准》（GB16297-1996）表2中无组织排放监控浓度限值</w:t>
                  </w:r>
                </w:p>
              </w:tc>
            </w:tr>
            <w:tr w14:paraId="1269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529572F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2C1A9922">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非甲烷总烃</w:t>
                  </w:r>
                </w:p>
              </w:tc>
              <w:tc>
                <w:tcPr>
                  <w:tcW w:w="908" w:type="pct"/>
                  <w:vMerge w:val="continue"/>
                  <w:noWrap w:val="0"/>
                  <w:vAlign w:val="center"/>
                </w:tcPr>
                <w:p w14:paraId="4149CF3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2530" w:type="pct"/>
                  <w:noWrap w:val="0"/>
                  <w:vAlign w:val="center"/>
                </w:tcPr>
                <w:p w14:paraId="575135E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《工业企业挥发性有机物排放控制标准》（DB13/2322-2016）表2其他行业标准</w:t>
                  </w:r>
                </w:p>
              </w:tc>
            </w:tr>
            <w:tr w14:paraId="44CE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6182930F">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3E47A75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苯并[a]芘</w:t>
                  </w:r>
                </w:p>
              </w:tc>
              <w:tc>
                <w:tcPr>
                  <w:tcW w:w="908" w:type="pct"/>
                  <w:vMerge w:val="continue"/>
                  <w:noWrap w:val="0"/>
                  <w:vAlign w:val="center"/>
                </w:tcPr>
                <w:p w14:paraId="4336759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2530" w:type="pct"/>
                  <w:vMerge w:val="restart"/>
                  <w:noWrap w:val="0"/>
                  <w:vAlign w:val="center"/>
                </w:tcPr>
                <w:p w14:paraId="6EEF06D5">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《大气污染物综合排放标准》（GB16297-1996）表2中无组织排放监控浓度限值</w:t>
                  </w:r>
                </w:p>
              </w:tc>
            </w:tr>
            <w:tr w14:paraId="1B3A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7" w:type="pct"/>
                  <w:vMerge w:val="continue"/>
                  <w:noWrap w:val="0"/>
                  <w:vAlign w:val="center"/>
                </w:tcPr>
                <w:p w14:paraId="5514E817">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794" w:type="pct"/>
                  <w:noWrap w:val="0"/>
                  <w:vAlign w:val="center"/>
                </w:tcPr>
                <w:p w14:paraId="5DE591A4">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沥青烟</w:t>
                  </w:r>
                </w:p>
              </w:tc>
              <w:tc>
                <w:tcPr>
                  <w:tcW w:w="908" w:type="pct"/>
                  <w:vMerge w:val="continue"/>
                  <w:noWrap w:val="0"/>
                  <w:vAlign w:val="center"/>
                </w:tcPr>
                <w:p w14:paraId="6134B1B9">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c>
                <w:tcPr>
                  <w:tcW w:w="2530" w:type="pct"/>
                  <w:vMerge w:val="continue"/>
                  <w:noWrap w:val="0"/>
                  <w:vAlign w:val="center"/>
                </w:tcPr>
                <w:p w14:paraId="19B1A0EE">
                  <w:pPr>
                    <w:keepNext w:val="0"/>
                    <w:keepLines w:val="0"/>
                    <w:pageBreakBefore w:val="0"/>
                    <w:widowControl w:val="0"/>
                    <w:numPr>
                      <w:ilvl w:val="0"/>
                      <w:numId w:val="0"/>
                    </w:numPr>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pPr>
                </w:p>
              </w:tc>
            </w:tr>
          </w:tbl>
          <w:p w14:paraId="16026AA1">
            <w:pPr>
              <w:keepNext w:val="0"/>
              <w:keepLines w:val="0"/>
              <w:pageBreakBefore w:val="0"/>
              <w:widowControl w:val="0"/>
              <w:kinsoku/>
              <w:wordWrap w:val="0"/>
              <w:overflowPunct/>
              <w:topLinePunct w:val="0"/>
              <w:autoSpaceDE/>
              <w:autoSpaceDN/>
              <w:bidi w:val="0"/>
              <w:adjustRightInd/>
              <w:snapToGrid w:val="0"/>
              <w:spacing w:line="480" w:lineRule="exact"/>
              <w:ind w:firstLine="422"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2.废水</w:t>
            </w:r>
          </w:p>
          <w:p w14:paraId="637D9CF6">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本项目生产过程中无生产废水产生，无新增劳动定员，无新增生活污水产生。</w:t>
            </w:r>
          </w:p>
          <w:p w14:paraId="2A8A65B5">
            <w:pPr>
              <w:pStyle w:val="9"/>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highlight w:val="none"/>
                <w:lang w:val="en-US" w:eastAsia="zh-CN"/>
                <w14:textFill>
                  <w14:solidFill>
                    <w14:schemeClr w14:val="tx1"/>
                  </w14:solidFill>
                </w14:textFill>
              </w:rPr>
              <w:t>3.噪声</w:t>
            </w:r>
          </w:p>
          <w:p w14:paraId="3E018A86">
            <w:pPr>
              <w:keepNext w:val="0"/>
              <w:keepLines w:val="0"/>
              <w:pageBreakBefore w:val="0"/>
              <w:widowControl w:val="0"/>
              <w:kinsoku/>
              <w:wordWrap w:val="0"/>
              <w:overflowPunct/>
              <w:topLinePunct w:val="0"/>
              <w:bidi w:val="0"/>
              <w:snapToGrid/>
              <w:spacing w:line="480" w:lineRule="exact"/>
              <w:ind w:firstLine="422" w:firstLineChars="200"/>
              <w:textAlignment w:val="auto"/>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cs="Times New Roman"/>
                <w:b/>
                <w:bCs/>
                <w:color w:val="000000" w:themeColor="text1"/>
                <w:spacing w:val="0"/>
                <w:position w:val="0"/>
                <w:sz w:val="21"/>
                <w:szCs w:val="21"/>
                <w:highlight w:val="none"/>
                <w:lang w:val="en-US" w:eastAsia="zh-CN"/>
                <w14:textFill>
                  <w14:solidFill>
                    <w14:schemeClr w14:val="tx1"/>
                  </w14:solidFill>
                </w14:textFill>
              </w:rPr>
              <w:t>（1）噪声源强分析</w:t>
            </w:r>
          </w:p>
          <w:p w14:paraId="057DBF2D">
            <w:pPr>
              <w:keepNext w:val="0"/>
              <w:keepLines w:val="0"/>
              <w:pageBreakBefore w:val="0"/>
              <w:widowControl w:val="0"/>
              <w:kinsoku/>
              <w:wordWrap w:val="0"/>
              <w:overflowPunct/>
              <w:topLinePunct w:val="0"/>
              <w:bidi w:val="0"/>
              <w:snapToGrid/>
              <w:spacing w:line="480" w:lineRule="exact"/>
              <w:ind w:firstLine="420" w:firstLineChars="200"/>
              <w:textAlignment w:val="auto"/>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本项目运营期每天生产8小时，产生噪声的主要为生产设备运转产生的噪声以及车辆运输噪声，其噪声级在</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80</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~9</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dB（A）之间，为连续排放噪声。封闭厂房、选用低噪声设备、基础减震等措施后，噪声值可降低2</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0</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dB(A)，噪声排放情况如下表所示：</w:t>
            </w:r>
          </w:p>
          <w:p w14:paraId="7FA1F37F">
            <w:pPr>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hint="eastAsia" w:ascii="Times New Roman" w:hAnsi="Times New Roman" w:cs="Times New Roman"/>
                <w:b w:val="0"/>
                <w:bCs/>
                <w:color w:val="000000" w:themeColor="text1"/>
                <w:spacing w:val="0"/>
                <w:position w:val="0"/>
                <w:sz w:val="21"/>
                <w:szCs w:val="21"/>
                <w:highlight w:val="none"/>
                <w:lang w:val="en-US" w:eastAsia="zh-CN"/>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表</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4-</w:t>
            </w:r>
            <w:r>
              <w:rPr>
                <w:rFonts w:hint="eastAsia" w:cs="Times New Roman"/>
                <w:b/>
                <w:bCs/>
                <w:color w:val="000000" w:themeColor="text1"/>
                <w:szCs w:val="21"/>
                <w:highlight w:val="none"/>
                <w:lang w:val="en-US" w:eastAsia="zh-CN"/>
                <w14:textFill>
                  <w14:solidFill>
                    <w14:schemeClr w14:val="tx1"/>
                  </w14:solidFill>
                </w14:textFill>
              </w:rPr>
              <w:t>13</w:t>
            </w:r>
            <w:r>
              <w:rPr>
                <w:rFonts w:ascii="Times New Roman" w:hAnsi="Times New Roman" w:cs="Times New Roman"/>
                <w:b/>
                <w:bCs/>
                <w:color w:val="000000" w:themeColor="text1"/>
                <w:szCs w:val="21"/>
                <w:highlight w:val="none"/>
                <w14:textFill>
                  <w14:solidFill>
                    <w14:schemeClr w14:val="tx1"/>
                  </w14:solidFill>
                </w14:textFill>
              </w:rPr>
              <w:t xml:space="preserve"> </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主要生产设备噪声源强一览</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表</w:t>
            </w:r>
          </w:p>
          <w:tbl>
            <w:tblPr>
              <w:tblStyle w:val="31"/>
              <w:tblW w:w="8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781"/>
              <w:gridCol w:w="1607"/>
              <w:gridCol w:w="660"/>
              <w:gridCol w:w="1229"/>
              <w:gridCol w:w="1033"/>
              <w:gridCol w:w="1259"/>
              <w:gridCol w:w="707"/>
              <w:gridCol w:w="707"/>
            </w:tblGrid>
            <w:tr w14:paraId="23F4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9" w:type="dxa"/>
                  <w:noWrap w:val="0"/>
                  <w:vAlign w:val="center"/>
                </w:tcPr>
                <w:p w14:paraId="738FF6E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t>序号</w:t>
                  </w:r>
                </w:p>
              </w:tc>
              <w:tc>
                <w:tcPr>
                  <w:tcW w:w="781" w:type="dxa"/>
                  <w:noWrap w:val="0"/>
                  <w:vAlign w:val="center"/>
                </w:tcPr>
                <w:p w14:paraId="7F033F8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t>位置</w:t>
                  </w:r>
                </w:p>
              </w:tc>
              <w:tc>
                <w:tcPr>
                  <w:tcW w:w="1607" w:type="dxa"/>
                  <w:noWrap w:val="0"/>
                  <w:vAlign w:val="center"/>
                </w:tcPr>
                <w:p w14:paraId="111C4C4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t>污染源</w:t>
                  </w:r>
                </w:p>
              </w:tc>
              <w:tc>
                <w:tcPr>
                  <w:tcW w:w="660" w:type="dxa"/>
                  <w:noWrap w:val="0"/>
                  <w:vAlign w:val="center"/>
                </w:tcPr>
                <w:p w14:paraId="031DA95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t>数量</w:t>
                  </w:r>
                </w:p>
              </w:tc>
              <w:tc>
                <w:tcPr>
                  <w:tcW w:w="1229" w:type="dxa"/>
                  <w:noWrap w:val="0"/>
                  <w:vAlign w:val="center"/>
                </w:tcPr>
                <w:p w14:paraId="6F45C824">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t>源强（dB（A））</w:t>
                  </w:r>
                </w:p>
              </w:tc>
              <w:tc>
                <w:tcPr>
                  <w:tcW w:w="1033" w:type="dxa"/>
                  <w:noWrap w:val="0"/>
                  <w:vAlign w:val="center"/>
                </w:tcPr>
                <w:p w14:paraId="0E6BF716">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t>降噪措施</w:t>
                  </w:r>
                </w:p>
              </w:tc>
              <w:tc>
                <w:tcPr>
                  <w:tcW w:w="1259" w:type="dxa"/>
                  <w:noWrap w:val="0"/>
                  <w:vAlign w:val="center"/>
                </w:tcPr>
                <w:p w14:paraId="374DB57C">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t>排放强度（dB（A））</w:t>
                  </w:r>
                </w:p>
              </w:tc>
              <w:tc>
                <w:tcPr>
                  <w:tcW w:w="707" w:type="dxa"/>
                  <w:noWrap w:val="0"/>
                  <w:vAlign w:val="center"/>
                </w:tcPr>
                <w:p w14:paraId="3E0CB453">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t>持续时间</w:t>
                  </w:r>
                </w:p>
              </w:tc>
              <w:tc>
                <w:tcPr>
                  <w:tcW w:w="707" w:type="dxa"/>
                  <w:noWrap w:val="0"/>
                  <w:vAlign w:val="center"/>
                </w:tcPr>
                <w:p w14:paraId="2F5AAAA3">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bCs/>
                      <w:color w:val="000000" w:themeColor="text1"/>
                      <w:spacing w:val="0"/>
                      <w:position w:val="0"/>
                      <w:sz w:val="21"/>
                      <w:szCs w:val="21"/>
                      <w:highlight w:val="none"/>
                      <w:vertAlign w:val="baseline"/>
                      <w:lang w:val="en-US" w:eastAsia="zh-CN"/>
                      <w14:textFill>
                        <w14:solidFill>
                          <w14:schemeClr w14:val="tx1"/>
                        </w14:solidFill>
                      </w14:textFill>
                    </w:rPr>
                    <w:t>备注</w:t>
                  </w:r>
                </w:p>
              </w:tc>
            </w:tr>
            <w:tr w14:paraId="088B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9" w:type="dxa"/>
                  <w:noWrap w:val="0"/>
                  <w:vAlign w:val="center"/>
                </w:tcPr>
                <w:p w14:paraId="42CA0EF3">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1</w:t>
                  </w:r>
                </w:p>
              </w:tc>
              <w:tc>
                <w:tcPr>
                  <w:tcW w:w="781" w:type="dxa"/>
                  <w:vMerge w:val="restart"/>
                  <w:noWrap w:val="0"/>
                  <w:vAlign w:val="center"/>
                </w:tcPr>
                <w:p w14:paraId="64D1B15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原料库</w:t>
                  </w:r>
                </w:p>
              </w:tc>
              <w:tc>
                <w:tcPr>
                  <w:tcW w:w="1607" w:type="dxa"/>
                  <w:noWrap w:val="0"/>
                  <w:vAlign w:val="center"/>
                </w:tcPr>
                <w:p w14:paraId="3E51F1D8">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破碎机</w:t>
                  </w:r>
                </w:p>
              </w:tc>
              <w:tc>
                <w:tcPr>
                  <w:tcW w:w="660" w:type="dxa"/>
                  <w:noWrap w:val="0"/>
                  <w:vAlign w:val="center"/>
                </w:tcPr>
                <w:p w14:paraId="13D05E10">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1</w:t>
                  </w:r>
                </w:p>
              </w:tc>
              <w:tc>
                <w:tcPr>
                  <w:tcW w:w="1229" w:type="dxa"/>
                  <w:noWrap w:val="0"/>
                  <w:vAlign w:val="center"/>
                </w:tcPr>
                <w:p w14:paraId="4E2B924C">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90</w:t>
                  </w:r>
                </w:p>
              </w:tc>
              <w:tc>
                <w:tcPr>
                  <w:tcW w:w="1033" w:type="dxa"/>
                  <w:vMerge w:val="restart"/>
                  <w:noWrap w:val="0"/>
                  <w:vAlign w:val="center"/>
                </w:tcPr>
                <w:p w14:paraId="008BB4B3">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厂房封闭、选用低噪声设备、基础减震</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；预计噪声可降低2</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dB</w:t>
                  </w:r>
                  <w:r>
                    <w:rPr>
                      <w:rFonts w:hint="eastAsia" w:ascii="宋体" w:hAnsi="宋体" w:eastAsia="宋体" w:cs="宋体"/>
                      <w:b w:val="0"/>
                      <w:bCs w:val="0"/>
                      <w:color w:val="000000" w:themeColor="text1"/>
                      <w:spacing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A</w:t>
                  </w:r>
                  <w:r>
                    <w:rPr>
                      <w:rFonts w:hint="eastAsia" w:ascii="宋体" w:hAnsi="宋体" w:eastAsia="宋体" w:cs="宋体"/>
                      <w:b w:val="0"/>
                      <w:bCs w:val="0"/>
                      <w:color w:val="000000" w:themeColor="text1"/>
                      <w:spacing w:val="0"/>
                      <w:position w:val="0"/>
                      <w:sz w:val="21"/>
                      <w:szCs w:val="21"/>
                      <w:highlight w:val="none"/>
                      <w:lang w:val="en-US" w:eastAsia="zh-CN"/>
                      <w14:textFill>
                        <w14:solidFill>
                          <w14:schemeClr w14:val="tx1"/>
                        </w14:solidFill>
                      </w14:textFill>
                    </w:rPr>
                    <w:t>)</w:t>
                  </w:r>
                </w:p>
              </w:tc>
              <w:tc>
                <w:tcPr>
                  <w:tcW w:w="1259" w:type="dxa"/>
                  <w:noWrap w:val="0"/>
                  <w:vAlign w:val="center"/>
                </w:tcPr>
                <w:p w14:paraId="0452C636">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70</w:t>
                  </w:r>
                </w:p>
              </w:tc>
              <w:tc>
                <w:tcPr>
                  <w:tcW w:w="707" w:type="dxa"/>
                  <w:vMerge w:val="restart"/>
                  <w:noWrap w:val="0"/>
                  <w:vAlign w:val="center"/>
                </w:tcPr>
                <w:p w14:paraId="4A79724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每天一班，每班8小时，</w:t>
                  </w: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100天</w:t>
                  </w:r>
                  <w:r>
                    <w:rPr>
                      <w:rFonts w:hint="eastAsia"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/a</w:t>
                  </w:r>
                </w:p>
              </w:tc>
              <w:tc>
                <w:tcPr>
                  <w:tcW w:w="707" w:type="dxa"/>
                  <w:vMerge w:val="restart"/>
                  <w:noWrap w:val="0"/>
                  <w:vAlign w:val="center"/>
                </w:tcPr>
                <w:p w14:paraId="63BCAE59">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本项目</w:t>
                  </w:r>
                </w:p>
              </w:tc>
            </w:tr>
            <w:tr w14:paraId="0853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9" w:type="dxa"/>
                  <w:noWrap w:val="0"/>
                  <w:vAlign w:val="center"/>
                </w:tcPr>
                <w:p w14:paraId="7CAF6CB6">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2</w:t>
                  </w:r>
                </w:p>
              </w:tc>
              <w:tc>
                <w:tcPr>
                  <w:tcW w:w="781" w:type="dxa"/>
                  <w:vMerge w:val="continue"/>
                  <w:noWrap w:val="0"/>
                  <w:vAlign w:val="center"/>
                </w:tcPr>
                <w:p w14:paraId="3FA60866">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1607" w:type="dxa"/>
                  <w:noWrap w:val="0"/>
                  <w:vAlign w:val="center"/>
                </w:tcPr>
                <w:p w14:paraId="381D1A85">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筛分机</w:t>
                  </w:r>
                </w:p>
              </w:tc>
              <w:tc>
                <w:tcPr>
                  <w:tcW w:w="660" w:type="dxa"/>
                  <w:noWrap w:val="0"/>
                  <w:vAlign w:val="center"/>
                </w:tcPr>
                <w:p w14:paraId="0301C484">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1</w:t>
                  </w:r>
                </w:p>
              </w:tc>
              <w:tc>
                <w:tcPr>
                  <w:tcW w:w="1229" w:type="dxa"/>
                  <w:noWrap w:val="0"/>
                  <w:vAlign w:val="center"/>
                </w:tcPr>
                <w:p w14:paraId="39A77A6E">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90</w:t>
                  </w:r>
                </w:p>
              </w:tc>
              <w:tc>
                <w:tcPr>
                  <w:tcW w:w="1033" w:type="dxa"/>
                  <w:vMerge w:val="continue"/>
                  <w:noWrap w:val="0"/>
                  <w:vAlign w:val="center"/>
                </w:tcPr>
                <w:p w14:paraId="76787FF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p>
              </w:tc>
              <w:tc>
                <w:tcPr>
                  <w:tcW w:w="1259" w:type="dxa"/>
                  <w:noWrap w:val="0"/>
                  <w:vAlign w:val="center"/>
                </w:tcPr>
                <w:p w14:paraId="1B7956F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70</w:t>
                  </w:r>
                </w:p>
              </w:tc>
              <w:tc>
                <w:tcPr>
                  <w:tcW w:w="707" w:type="dxa"/>
                  <w:vMerge w:val="continue"/>
                  <w:noWrap w:val="0"/>
                  <w:vAlign w:val="center"/>
                </w:tcPr>
                <w:p w14:paraId="04F9492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707" w:type="dxa"/>
                  <w:vMerge w:val="continue"/>
                  <w:noWrap w:val="0"/>
                  <w:vAlign w:val="center"/>
                </w:tcPr>
                <w:p w14:paraId="764B1B3D">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r>
            <w:tr w14:paraId="2E87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9" w:type="dxa"/>
                  <w:noWrap w:val="0"/>
                  <w:vAlign w:val="center"/>
                </w:tcPr>
                <w:p w14:paraId="6F1C5D0E">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t>3</w:t>
                  </w:r>
                </w:p>
              </w:tc>
              <w:tc>
                <w:tcPr>
                  <w:tcW w:w="781" w:type="dxa"/>
                  <w:vMerge w:val="continue"/>
                  <w:noWrap w:val="0"/>
                  <w:vAlign w:val="center"/>
                </w:tcPr>
                <w:p w14:paraId="0FEBB44E">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1607" w:type="dxa"/>
                  <w:noWrap w:val="0"/>
                  <w:vAlign w:val="center"/>
                </w:tcPr>
                <w:p w14:paraId="26BF6759">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上料斗</w:t>
                  </w:r>
                </w:p>
              </w:tc>
              <w:tc>
                <w:tcPr>
                  <w:tcW w:w="660" w:type="dxa"/>
                  <w:noWrap w:val="0"/>
                  <w:vAlign w:val="center"/>
                </w:tcPr>
                <w:p w14:paraId="41BEF93C">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2</w:t>
                  </w:r>
                </w:p>
              </w:tc>
              <w:tc>
                <w:tcPr>
                  <w:tcW w:w="1229" w:type="dxa"/>
                  <w:noWrap w:val="0"/>
                  <w:vAlign w:val="center"/>
                </w:tcPr>
                <w:p w14:paraId="09D6150C">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85</w:t>
                  </w:r>
                </w:p>
              </w:tc>
              <w:tc>
                <w:tcPr>
                  <w:tcW w:w="1033" w:type="dxa"/>
                  <w:vMerge w:val="continue"/>
                  <w:noWrap w:val="0"/>
                  <w:vAlign w:val="center"/>
                </w:tcPr>
                <w:p w14:paraId="5A55E7E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p>
              </w:tc>
              <w:tc>
                <w:tcPr>
                  <w:tcW w:w="1259" w:type="dxa"/>
                  <w:noWrap w:val="0"/>
                  <w:vAlign w:val="center"/>
                </w:tcPr>
                <w:p w14:paraId="742566DA">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65</w:t>
                  </w:r>
                </w:p>
              </w:tc>
              <w:tc>
                <w:tcPr>
                  <w:tcW w:w="707" w:type="dxa"/>
                  <w:vMerge w:val="continue"/>
                  <w:noWrap w:val="0"/>
                  <w:vAlign w:val="center"/>
                </w:tcPr>
                <w:p w14:paraId="13DC045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707" w:type="dxa"/>
                  <w:vMerge w:val="continue"/>
                  <w:noWrap w:val="0"/>
                  <w:vAlign w:val="center"/>
                </w:tcPr>
                <w:p w14:paraId="24AE8D7C">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r>
            <w:tr w14:paraId="181D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9" w:type="dxa"/>
                  <w:noWrap w:val="0"/>
                  <w:vAlign w:val="center"/>
                </w:tcPr>
                <w:p w14:paraId="40E11EA8">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t>4</w:t>
                  </w:r>
                </w:p>
              </w:tc>
              <w:tc>
                <w:tcPr>
                  <w:tcW w:w="781" w:type="dxa"/>
                  <w:vMerge w:val="continue"/>
                  <w:noWrap w:val="0"/>
                  <w:vAlign w:val="center"/>
                </w:tcPr>
                <w:p w14:paraId="56C6E0A9">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1607" w:type="dxa"/>
                  <w:noWrap w:val="0"/>
                  <w:vAlign w:val="center"/>
                </w:tcPr>
                <w:p w14:paraId="0DA94F0D">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变频调速皮带给料机</w:t>
                  </w:r>
                </w:p>
              </w:tc>
              <w:tc>
                <w:tcPr>
                  <w:tcW w:w="660" w:type="dxa"/>
                  <w:noWrap w:val="0"/>
                  <w:vAlign w:val="center"/>
                </w:tcPr>
                <w:p w14:paraId="035CA249">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2</w:t>
                  </w:r>
                </w:p>
              </w:tc>
              <w:tc>
                <w:tcPr>
                  <w:tcW w:w="1229" w:type="dxa"/>
                  <w:noWrap w:val="0"/>
                  <w:vAlign w:val="center"/>
                </w:tcPr>
                <w:p w14:paraId="2A01C25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85</w:t>
                  </w:r>
                </w:p>
              </w:tc>
              <w:tc>
                <w:tcPr>
                  <w:tcW w:w="1033" w:type="dxa"/>
                  <w:vMerge w:val="continue"/>
                  <w:noWrap w:val="0"/>
                  <w:vAlign w:val="center"/>
                </w:tcPr>
                <w:p w14:paraId="26E579DE">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1259" w:type="dxa"/>
                  <w:noWrap w:val="0"/>
                  <w:vAlign w:val="center"/>
                </w:tcPr>
                <w:p w14:paraId="0D686580">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65</w:t>
                  </w:r>
                </w:p>
              </w:tc>
              <w:tc>
                <w:tcPr>
                  <w:tcW w:w="707" w:type="dxa"/>
                  <w:vMerge w:val="continue"/>
                  <w:noWrap w:val="0"/>
                  <w:vAlign w:val="center"/>
                </w:tcPr>
                <w:p w14:paraId="1E2FFCF0">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707" w:type="dxa"/>
                  <w:vMerge w:val="continue"/>
                  <w:noWrap w:val="0"/>
                  <w:vAlign w:val="center"/>
                </w:tcPr>
                <w:p w14:paraId="63C3FD18">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r>
            <w:tr w14:paraId="3B5C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69" w:type="dxa"/>
                  <w:noWrap w:val="0"/>
                  <w:vAlign w:val="center"/>
                </w:tcPr>
                <w:p w14:paraId="05C3BD4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t>5</w:t>
                  </w:r>
                </w:p>
              </w:tc>
              <w:tc>
                <w:tcPr>
                  <w:tcW w:w="781" w:type="dxa"/>
                  <w:vMerge w:val="restart"/>
                  <w:noWrap w:val="0"/>
                  <w:vAlign w:val="center"/>
                </w:tcPr>
                <w:p w14:paraId="033E5678">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厂区</w:t>
                  </w:r>
                </w:p>
              </w:tc>
              <w:tc>
                <w:tcPr>
                  <w:tcW w:w="1607" w:type="dxa"/>
                  <w:noWrap w:val="0"/>
                  <w:vAlign w:val="center"/>
                </w:tcPr>
                <w:p w14:paraId="12A1B8FD">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燃气燃烧器</w:t>
                  </w:r>
                </w:p>
              </w:tc>
              <w:tc>
                <w:tcPr>
                  <w:tcW w:w="660" w:type="dxa"/>
                  <w:noWrap w:val="0"/>
                  <w:vAlign w:val="center"/>
                </w:tcPr>
                <w:p w14:paraId="50B08741">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1</w:t>
                  </w:r>
                </w:p>
              </w:tc>
              <w:tc>
                <w:tcPr>
                  <w:tcW w:w="1229" w:type="dxa"/>
                  <w:noWrap w:val="0"/>
                  <w:vAlign w:val="center"/>
                </w:tcPr>
                <w:p w14:paraId="0182EA7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80</w:t>
                  </w:r>
                </w:p>
              </w:tc>
              <w:tc>
                <w:tcPr>
                  <w:tcW w:w="1033" w:type="dxa"/>
                  <w:vMerge w:val="continue"/>
                  <w:noWrap w:val="0"/>
                  <w:vAlign w:val="center"/>
                </w:tcPr>
                <w:p w14:paraId="4545A34E">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1259" w:type="dxa"/>
                  <w:noWrap w:val="0"/>
                  <w:vAlign w:val="center"/>
                </w:tcPr>
                <w:p w14:paraId="4948703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60</w:t>
                  </w:r>
                </w:p>
              </w:tc>
              <w:tc>
                <w:tcPr>
                  <w:tcW w:w="707" w:type="dxa"/>
                  <w:vMerge w:val="continue"/>
                  <w:noWrap w:val="0"/>
                  <w:vAlign w:val="center"/>
                </w:tcPr>
                <w:p w14:paraId="58D610EC">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707" w:type="dxa"/>
                  <w:vMerge w:val="continue"/>
                  <w:noWrap w:val="0"/>
                  <w:vAlign w:val="center"/>
                </w:tcPr>
                <w:p w14:paraId="6785DBA2">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r>
            <w:tr w14:paraId="6AED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9" w:type="dxa"/>
                  <w:noWrap w:val="0"/>
                  <w:vAlign w:val="center"/>
                </w:tcPr>
                <w:p w14:paraId="27F1CA3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pPr>
                  <w:r>
                    <w:rPr>
                      <w:rFonts w:hint="eastAsia" w:cs="Times New Roman"/>
                      <w:b w:val="0"/>
                      <w:bCs w:val="0"/>
                      <w:color w:val="000000" w:themeColor="text1"/>
                      <w:spacing w:val="0"/>
                      <w:kern w:val="2"/>
                      <w:position w:val="0"/>
                      <w:sz w:val="21"/>
                      <w:szCs w:val="21"/>
                      <w:highlight w:val="none"/>
                      <w:vertAlign w:val="baseline"/>
                      <w:lang w:val="en-US" w:eastAsia="zh-CN" w:bidi="ar-SA"/>
                      <w14:textFill>
                        <w14:solidFill>
                          <w14:schemeClr w14:val="tx1"/>
                        </w14:solidFill>
                      </w14:textFill>
                    </w:rPr>
                    <w:t>6</w:t>
                  </w:r>
                </w:p>
              </w:tc>
              <w:tc>
                <w:tcPr>
                  <w:tcW w:w="781" w:type="dxa"/>
                  <w:vMerge w:val="continue"/>
                  <w:noWrap w:val="0"/>
                  <w:vAlign w:val="center"/>
                </w:tcPr>
                <w:p w14:paraId="7609A00C">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1607" w:type="dxa"/>
                  <w:noWrap w:val="0"/>
                  <w:vAlign w:val="center"/>
                </w:tcPr>
                <w:p w14:paraId="4A205753">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骨</w:t>
                  </w:r>
                  <w:r>
                    <w:rPr>
                      <w:rFonts w:hint="default" w:ascii="Times New Roman" w:hAnsi="Times New Roman" w:eastAsia="宋体" w:cs="Times New Roman"/>
                      <w:color w:val="000000" w:themeColor="text1"/>
                      <w:sz w:val="21"/>
                      <w:szCs w:val="21"/>
                      <w:highlight w:val="none"/>
                      <w14:textFill>
                        <w14:solidFill>
                          <w14:schemeClr w14:val="tx1"/>
                        </w14:solidFill>
                      </w14:textFill>
                    </w:rPr>
                    <w:t>料提升机</w:t>
                  </w:r>
                </w:p>
              </w:tc>
              <w:tc>
                <w:tcPr>
                  <w:tcW w:w="660" w:type="dxa"/>
                  <w:noWrap w:val="0"/>
                  <w:vAlign w:val="center"/>
                </w:tcPr>
                <w:p w14:paraId="1DC2ED78">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1</w:t>
                  </w:r>
                </w:p>
              </w:tc>
              <w:tc>
                <w:tcPr>
                  <w:tcW w:w="1229" w:type="dxa"/>
                  <w:noWrap w:val="0"/>
                  <w:vAlign w:val="center"/>
                </w:tcPr>
                <w:p w14:paraId="689B2AF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8</w:t>
                  </w: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0</w:t>
                  </w:r>
                </w:p>
              </w:tc>
              <w:tc>
                <w:tcPr>
                  <w:tcW w:w="1033" w:type="dxa"/>
                  <w:vMerge w:val="continue"/>
                  <w:noWrap w:val="0"/>
                  <w:vAlign w:val="center"/>
                </w:tcPr>
                <w:p w14:paraId="2135746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1259" w:type="dxa"/>
                  <w:noWrap w:val="0"/>
                  <w:vAlign w:val="center"/>
                </w:tcPr>
                <w:p w14:paraId="23F7ECB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60</w:t>
                  </w:r>
                </w:p>
              </w:tc>
              <w:tc>
                <w:tcPr>
                  <w:tcW w:w="707" w:type="dxa"/>
                  <w:vMerge w:val="continue"/>
                  <w:noWrap w:val="0"/>
                  <w:vAlign w:val="center"/>
                </w:tcPr>
                <w:p w14:paraId="44471BD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707" w:type="dxa"/>
                  <w:vMerge w:val="continue"/>
                  <w:noWrap w:val="0"/>
                  <w:vAlign w:val="center"/>
                </w:tcPr>
                <w:p w14:paraId="267A88C0">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r>
            <w:tr w14:paraId="7625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69" w:type="dxa"/>
                  <w:noWrap w:val="0"/>
                  <w:vAlign w:val="center"/>
                </w:tcPr>
                <w:p w14:paraId="703B05A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7</w:t>
                  </w:r>
                </w:p>
              </w:tc>
              <w:tc>
                <w:tcPr>
                  <w:tcW w:w="781" w:type="dxa"/>
                  <w:vMerge w:val="continue"/>
                  <w:noWrap w:val="0"/>
                  <w:vAlign w:val="center"/>
                </w:tcPr>
                <w:p w14:paraId="2FD57F7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1607" w:type="dxa"/>
                  <w:noWrap w:val="0"/>
                  <w:vAlign w:val="center"/>
                </w:tcPr>
                <w:p w14:paraId="789D2C83">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干燥滚筒</w:t>
                  </w:r>
                </w:p>
              </w:tc>
              <w:tc>
                <w:tcPr>
                  <w:tcW w:w="660" w:type="dxa"/>
                  <w:noWrap w:val="0"/>
                  <w:vAlign w:val="center"/>
                </w:tcPr>
                <w:p w14:paraId="08118F67">
                  <w:pPr>
                    <w:keepLines w:val="0"/>
                    <w:pageBreakBefore w:val="0"/>
                    <w:widowControl w:val="0"/>
                    <w:kinsoku/>
                    <w:wordWrap w:val="0"/>
                    <w:overflowPunct/>
                    <w:bidi w:val="0"/>
                    <w:snapToGrid w:val="0"/>
                    <w:spacing w:before="0" w:beforeAutospacing="0" w:after="0" w:afterAutospacing="0" w:line="240" w:lineRule="auto"/>
                    <w:ind w:firstLine="0" w:firstLineChars="0"/>
                    <w:jc w:val="center"/>
                    <w:textAlignment w:val="baseline"/>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1</w:t>
                  </w:r>
                </w:p>
              </w:tc>
              <w:tc>
                <w:tcPr>
                  <w:tcW w:w="1229" w:type="dxa"/>
                  <w:noWrap w:val="0"/>
                  <w:vAlign w:val="center"/>
                </w:tcPr>
                <w:p w14:paraId="1C3AB12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80</w:t>
                  </w:r>
                </w:p>
              </w:tc>
              <w:tc>
                <w:tcPr>
                  <w:tcW w:w="1033" w:type="dxa"/>
                  <w:vMerge w:val="continue"/>
                  <w:noWrap w:val="0"/>
                  <w:vAlign w:val="center"/>
                </w:tcPr>
                <w:p w14:paraId="32C696B1">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1259" w:type="dxa"/>
                  <w:noWrap w:val="0"/>
                  <w:vAlign w:val="center"/>
                </w:tcPr>
                <w:p w14:paraId="7C3824A5">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t>60</w:t>
                  </w:r>
                </w:p>
              </w:tc>
              <w:tc>
                <w:tcPr>
                  <w:tcW w:w="707" w:type="dxa"/>
                  <w:vMerge w:val="continue"/>
                  <w:noWrap w:val="0"/>
                  <w:vAlign w:val="center"/>
                </w:tcPr>
                <w:p w14:paraId="7B846A87">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c>
                <w:tcPr>
                  <w:tcW w:w="707" w:type="dxa"/>
                  <w:vMerge w:val="continue"/>
                  <w:noWrap w:val="0"/>
                  <w:vAlign w:val="center"/>
                </w:tcPr>
                <w:p w14:paraId="594DB0CB">
                  <w:pPr>
                    <w:keepNext w:val="0"/>
                    <w:keepLines w:val="0"/>
                    <w:pageBreakBefore w:val="0"/>
                    <w:widowControl w:val="0"/>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vertAlign w:val="baseline"/>
                      <w:lang w:val="en-US" w:eastAsia="zh-CN"/>
                      <w14:textFill>
                        <w14:solidFill>
                          <w14:schemeClr w14:val="tx1"/>
                        </w14:solidFill>
                      </w14:textFill>
                    </w:rPr>
                  </w:pPr>
                </w:p>
              </w:tc>
            </w:tr>
          </w:tbl>
          <w:p w14:paraId="44BA360A">
            <w:pPr>
              <w:keepNext w:val="0"/>
              <w:keepLines w:val="0"/>
              <w:pageBreakBefore w:val="0"/>
              <w:widowControl w:val="0"/>
              <w:kinsoku/>
              <w:wordWrap w:val="0"/>
              <w:overflowPunct/>
              <w:topLinePunct w:val="0"/>
              <w:bidi w:val="0"/>
              <w:snapToGrid/>
              <w:spacing w:line="480" w:lineRule="exact"/>
              <w:ind w:firstLine="422" w:firstLineChars="200"/>
              <w:textAlignment w:val="auto"/>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cs="Times New Roman"/>
                <w:b/>
                <w:bCs/>
                <w:color w:val="000000" w:themeColor="text1"/>
                <w:spacing w:val="0"/>
                <w:position w:val="0"/>
                <w:sz w:val="21"/>
                <w:szCs w:val="21"/>
                <w:highlight w:val="none"/>
                <w:lang w:val="en-US" w:eastAsia="zh-CN"/>
                <w14:textFill>
                  <w14:solidFill>
                    <w14:schemeClr w14:val="tx1"/>
                  </w14:solidFill>
                </w14:textFill>
              </w:rPr>
              <w:t>（2）达标情况分析</w:t>
            </w:r>
          </w:p>
          <w:p w14:paraId="012BFDAF">
            <w:pPr>
              <w:keepNext w:val="0"/>
              <w:keepLines w:val="0"/>
              <w:pageBreakBefore w:val="0"/>
              <w:widowControl w:val="0"/>
              <w:kinsoku/>
              <w:wordWrap w:val="0"/>
              <w:overflowPunct/>
              <w:topLinePunct w:val="0"/>
              <w:bidi w:val="0"/>
              <w:snapToGrid/>
              <w:spacing w:line="480" w:lineRule="exact"/>
              <w:ind w:firstLine="420" w:firstLineChars="20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本项目只在昼间生产，夜间不生产。</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现有项目的生产设备和风机会对项目声环境造成影响</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，本项目采用</w:t>
            </w:r>
            <w:r>
              <w:rPr>
                <w:rFonts w:hint="eastAsia" w:cs="Times New Roman"/>
                <w:color w:val="000000" w:themeColor="text1"/>
                <w:sz w:val="21"/>
                <w:szCs w:val="21"/>
                <w:highlight w:val="none"/>
                <w:lang w:val="en-US" w:eastAsia="zh-CN"/>
                <w14:textFill>
                  <w14:solidFill>
                    <w14:schemeClr w14:val="tx1"/>
                  </w14:solidFill>
                </w14:textFill>
              </w:rPr>
              <w:t>河北承普环境检测有限公司出具的声环境质量监测报告作为噪声预测的现状值（现状监测时原有项目运行），项目声环境影响预测使用石家庄环安科技有限公司的噪声环境影响评价系统进行噪声预测，预测过程中，各噪声设备在一定的距离处可以被视作点源，设备所处位置、与墙壁的距离、房间常数、与预测点的距离、隔墙厚度等均按实际布设确定，同时考虑了地形因素的影响。</w:t>
            </w:r>
          </w:p>
          <w:p w14:paraId="0CB1D611">
            <w:pPr>
              <w:keepNext w:val="0"/>
              <w:keepLines w:val="0"/>
              <w:pageBreakBefore w:val="0"/>
              <w:widowControl w:val="0"/>
              <w:kinsoku/>
              <w:wordWrap w:val="0"/>
              <w:overflowPunct/>
              <w:topLinePunct w:val="0"/>
              <w:bidi w:val="0"/>
              <w:snapToGrid/>
              <w:spacing w:line="480" w:lineRule="exact"/>
              <w:ind w:firstLine="420" w:firstLineChars="200"/>
              <w:textAlignment w:val="auto"/>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项目厂界的噪声预测结果如下表所示：</w:t>
            </w:r>
          </w:p>
          <w:p w14:paraId="3FF2C18F">
            <w:pPr>
              <w:pageBreakBefore w:val="0"/>
              <w:widowControl/>
              <w:kinsoku/>
              <w:wordWrap w:val="0"/>
              <w:overflowPunct/>
              <w:bidi w:val="0"/>
              <w:spacing w:before="120" w:beforeLines="50" w:line="240" w:lineRule="atLeast"/>
              <w:ind w:firstLine="422" w:firstLineChars="20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表4-</w:t>
            </w:r>
            <w:r>
              <w:rPr>
                <w:rFonts w:hint="eastAsia"/>
                <w:b/>
                <w:bCs/>
                <w:color w:val="000000" w:themeColor="text1"/>
                <w:szCs w:val="21"/>
                <w:highlight w:val="none"/>
                <w:lang w:val="en-US" w:eastAsia="zh-CN"/>
                <w14:textFill>
                  <w14:solidFill>
                    <w14:schemeClr w14:val="tx1"/>
                  </w14:solidFill>
                </w14:textFill>
              </w:rPr>
              <w:t>14</w:t>
            </w:r>
            <w:r>
              <w:rPr>
                <w:b/>
                <w:bCs/>
                <w:color w:val="000000" w:themeColor="text1"/>
                <w:szCs w:val="21"/>
                <w:highlight w:val="none"/>
                <w14:textFill>
                  <w14:solidFill>
                    <w14:schemeClr w14:val="tx1"/>
                  </w14:solidFill>
                </w14:textFill>
              </w:rPr>
              <w:t xml:space="preserve">  项目噪声源的预测结果</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1098"/>
              <w:gridCol w:w="557"/>
              <w:gridCol w:w="626"/>
              <w:gridCol w:w="749"/>
              <w:gridCol w:w="649"/>
              <w:gridCol w:w="796"/>
              <w:gridCol w:w="784"/>
              <w:gridCol w:w="749"/>
              <w:gridCol w:w="749"/>
              <w:gridCol w:w="651"/>
              <w:gridCol w:w="656"/>
            </w:tblGrid>
            <w:tr w14:paraId="2029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 w:type="dxa"/>
                  <w:vMerge w:val="restart"/>
                  <w:noWrap w:val="0"/>
                  <w:vAlign w:val="center"/>
                </w:tcPr>
                <w:p w14:paraId="372AF518">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序号</w:t>
                  </w:r>
                </w:p>
              </w:tc>
              <w:tc>
                <w:tcPr>
                  <w:tcW w:w="1098" w:type="dxa"/>
                  <w:vMerge w:val="restart"/>
                  <w:noWrap w:val="0"/>
                  <w:vAlign w:val="center"/>
                </w:tcPr>
                <w:p w14:paraId="21F8ADDB">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声环境保护目标名称</w:t>
                  </w:r>
                </w:p>
              </w:tc>
              <w:tc>
                <w:tcPr>
                  <w:tcW w:w="1183" w:type="dxa"/>
                  <w:gridSpan w:val="2"/>
                  <w:noWrap w:val="0"/>
                  <w:vAlign w:val="center"/>
                </w:tcPr>
                <w:p w14:paraId="4CD86852">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噪声背景值/dB(A)</w:t>
                  </w:r>
                </w:p>
              </w:tc>
              <w:tc>
                <w:tcPr>
                  <w:tcW w:w="1398" w:type="dxa"/>
                  <w:gridSpan w:val="2"/>
                  <w:noWrap w:val="0"/>
                  <w:vAlign w:val="center"/>
                </w:tcPr>
                <w:p w14:paraId="25193D93">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噪声标准/dB(A)</w:t>
                  </w:r>
                </w:p>
              </w:tc>
              <w:tc>
                <w:tcPr>
                  <w:tcW w:w="1580" w:type="dxa"/>
                  <w:gridSpan w:val="2"/>
                  <w:noWrap w:val="0"/>
                  <w:vAlign w:val="center"/>
                </w:tcPr>
                <w:p w14:paraId="3DEB4EEB">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噪声贡献值/dB(A)</w:t>
                  </w:r>
                </w:p>
              </w:tc>
              <w:tc>
                <w:tcPr>
                  <w:tcW w:w="1498" w:type="dxa"/>
                  <w:gridSpan w:val="2"/>
                  <w:noWrap w:val="0"/>
                  <w:vAlign w:val="center"/>
                </w:tcPr>
                <w:p w14:paraId="18B542FF">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噪声</w:t>
                  </w:r>
                  <w:r>
                    <w:rPr>
                      <w:rFonts w:hint="eastAsia"/>
                      <w:b/>
                      <w:bCs/>
                      <w:color w:val="000000" w:themeColor="text1"/>
                      <w:sz w:val="21"/>
                      <w:szCs w:val="21"/>
                      <w:highlight w:val="none"/>
                      <w:lang w:val="en-US" w:eastAsia="zh-CN"/>
                      <w14:textFill>
                        <w14:solidFill>
                          <w14:schemeClr w14:val="tx1"/>
                        </w14:solidFill>
                      </w14:textFill>
                    </w:rPr>
                    <w:t>叠加值</w:t>
                  </w:r>
                  <w:r>
                    <w:rPr>
                      <w:rFonts w:hint="eastAsia"/>
                      <w:b/>
                      <w:bCs/>
                      <w:color w:val="000000" w:themeColor="text1"/>
                      <w:sz w:val="21"/>
                      <w:szCs w:val="21"/>
                      <w:highlight w:val="none"/>
                      <w14:textFill>
                        <w14:solidFill>
                          <w14:schemeClr w14:val="tx1"/>
                        </w14:solidFill>
                      </w14:textFill>
                    </w:rPr>
                    <w:t>/dB(A)</w:t>
                  </w:r>
                </w:p>
              </w:tc>
              <w:tc>
                <w:tcPr>
                  <w:tcW w:w="1307" w:type="dxa"/>
                  <w:gridSpan w:val="2"/>
                  <w:noWrap w:val="0"/>
                  <w:vAlign w:val="center"/>
                </w:tcPr>
                <w:p w14:paraId="7338F879">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超标和达标情况</w:t>
                  </w:r>
                </w:p>
              </w:tc>
            </w:tr>
            <w:tr w14:paraId="0820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 w:type="dxa"/>
                  <w:vMerge w:val="continue"/>
                  <w:noWrap w:val="0"/>
                  <w:vAlign w:val="center"/>
                </w:tcPr>
                <w:p w14:paraId="0228E83A">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p>
              </w:tc>
              <w:tc>
                <w:tcPr>
                  <w:tcW w:w="1098" w:type="dxa"/>
                  <w:vMerge w:val="continue"/>
                  <w:noWrap w:val="0"/>
                  <w:vAlign w:val="center"/>
                </w:tcPr>
                <w:p w14:paraId="0B89652C">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p>
              </w:tc>
              <w:tc>
                <w:tcPr>
                  <w:tcW w:w="557" w:type="dxa"/>
                  <w:noWrap w:val="0"/>
                  <w:vAlign w:val="center"/>
                </w:tcPr>
                <w:p w14:paraId="2623E845">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p>
              </w:tc>
              <w:tc>
                <w:tcPr>
                  <w:tcW w:w="626" w:type="dxa"/>
                  <w:noWrap w:val="0"/>
                  <w:vAlign w:val="center"/>
                </w:tcPr>
                <w:p w14:paraId="16E867C4">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夜间</w:t>
                  </w:r>
                </w:p>
              </w:tc>
              <w:tc>
                <w:tcPr>
                  <w:tcW w:w="749" w:type="dxa"/>
                  <w:noWrap w:val="0"/>
                  <w:vAlign w:val="center"/>
                </w:tcPr>
                <w:p w14:paraId="41F6899B">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p>
              </w:tc>
              <w:tc>
                <w:tcPr>
                  <w:tcW w:w="649" w:type="dxa"/>
                  <w:noWrap w:val="0"/>
                  <w:vAlign w:val="center"/>
                </w:tcPr>
                <w:p w14:paraId="42878B58">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夜间</w:t>
                  </w:r>
                </w:p>
              </w:tc>
              <w:tc>
                <w:tcPr>
                  <w:tcW w:w="796" w:type="dxa"/>
                  <w:noWrap w:val="0"/>
                  <w:vAlign w:val="center"/>
                </w:tcPr>
                <w:p w14:paraId="3C873D91">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p>
              </w:tc>
              <w:tc>
                <w:tcPr>
                  <w:tcW w:w="784" w:type="dxa"/>
                  <w:noWrap w:val="0"/>
                  <w:vAlign w:val="center"/>
                </w:tcPr>
                <w:p w14:paraId="203B817C">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夜间</w:t>
                  </w:r>
                </w:p>
              </w:tc>
              <w:tc>
                <w:tcPr>
                  <w:tcW w:w="749" w:type="dxa"/>
                  <w:noWrap w:val="0"/>
                  <w:vAlign w:val="center"/>
                </w:tcPr>
                <w:p w14:paraId="15439845">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p>
              </w:tc>
              <w:tc>
                <w:tcPr>
                  <w:tcW w:w="749" w:type="dxa"/>
                  <w:noWrap w:val="0"/>
                  <w:vAlign w:val="center"/>
                </w:tcPr>
                <w:p w14:paraId="28A46F41">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夜间</w:t>
                  </w:r>
                </w:p>
              </w:tc>
              <w:tc>
                <w:tcPr>
                  <w:tcW w:w="651" w:type="dxa"/>
                  <w:noWrap w:val="0"/>
                  <w:vAlign w:val="center"/>
                </w:tcPr>
                <w:p w14:paraId="0F152765">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p>
              </w:tc>
              <w:tc>
                <w:tcPr>
                  <w:tcW w:w="656" w:type="dxa"/>
                  <w:noWrap w:val="0"/>
                  <w:vAlign w:val="center"/>
                </w:tcPr>
                <w:p w14:paraId="78E3CB92">
                  <w:pPr>
                    <w:pageBreakBefore w:val="0"/>
                    <w:widowControl/>
                    <w:kinsoku/>
                    <w:wordWrap w:val="0"/>
                    <w:overflowPunct/>
                    <w:bidi w:val="0"/>
                    <w:spacing w:line="320" w:lineRule="exact"/>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夜间</w:t>
                  </w:r>
                </w:p>
              </w:tc>
            </w:tr>
            <w:tr w14:paraId="39A1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 w:type="dxa"/>
                  <w:noWrap w:val="0"/>
                  <w:vAlign w:val="center"/>
                </w:tcPr>
                <w:p w14:paraId="366D374D">
                  <w:pPr>
                    <w:pageBreakBefore w:val="0"/>
                    <w:widowControl/>
                    <w:kinsoku/>
                    <w:wordWrap w:val="0"/>
                    <w:overflowPunct/>
                    <w:bidi w:val="0"/>
                    <w:spacing w:line="32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098" w:type="dxa"/>
                  <w:noWrap w:val="0"/>
                  <w:vAlign w:val="center"/>
                </w:tcPr>
                <w:p w14:paraId="42D0C381">
                  <w:pPr>
                    <w:pageBreakBefore w:val="0"/>
                    <w:widowControl/>
                    <w:kinsoku/>
                    <w:wordWrap w:val="0"/>
                    <w:overflowPunct/>
                    <w:bidi w:val="0"/>
                    <w:spacing w:line="320" w:lineRule="exac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北厂界</w:t>
                  </w:r>
                </w:p>
              </w:tc>
              <w:tc>
                <w:tcPr>
                  <w:tcW w:w="557" w:type="dxa"/>
                  <w:noWrap w:val="0"/>
                  <w:vAlign w:val="center"/>
                </w:tcPr>
                <w:p w14:paraId="75F363E0">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w:t>
                  </w:r>
                </w:p>
              </w:tc>
              <w:tc>
                <w:tcPr>
                  <w:tcW w:w="626" w:type="dxa"/>
                  <w:noWrap w:val="0"/>
                  <w:vAlign w:val="center"/>
                </w:tcPr>
                <w:p w14:paraId="1BEE68C4">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w:t>
                  </w:r>
                </w:p>
              </w:tc>
              <w:tc>
                <w:tcPr>
                  <w:tcW w:w="749" w:type="dxa"/>
                  <w:noWrap w:val="0"/>
                  <w:vAlign w:val="center"/>
                </w:tcPr>
                <w:p w14:paraId="59D63CE7">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p>
              </w:tc>
              <w:tc>
                <w:tcPr>
                  <w:tcW w:w="649" w:type="dxa"/>
                  <w:noWrap w:val="0"/>
                  <w:vAlign w:val="center"/>
                </w:tcPr>
                <w:p w14:paraId="747D4747">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796" w:type="dxa"/>
                  <w:noWrap w:val="0"/>
                  <w:vAlign w:val="center"/>
                </w:tcPr>
                <w:p w14:paraId="0D82A145">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58.28</w:t>
                  </w:r>
                </w:p>
              </w:tc>
              <w:tc>
                <w:tcPr>
                  <w:tcW w:w="784" w:type="dxa"/>
                  <w:noWrap w:val="0"/>
                  <w:vAlign w:val="center"/>
                </w:tcPr>
                <w:p w14:paraId="3F1B7DF7">
                  <w:pPr>
                    <w:pageBreakBefore w:val="0"/>
                    <w:widowControl/>
                    <w:kinsoku/>
                    <w:wordWrap w:val="0"/>
                    <w:overflowPunct/>
                    <w:bidi w:val="0"/>
                    <w:spacing w:line="320" w:lineRule="exact"/>
                    <w:jc w:val="center"/>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w:t>
                  </w:r>
                </w:p>
              </w:tc>
              <w:tc>
                <w:tcPr>
                  <w:tcW w:w="749" w:type="dxa"/>
                  <w:noWrap w:val="0"/>
                  <w:vAlign w:val="center"/>
                </w:tcPr>
                <w:p w14:paraId="670BB18C">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58.48</w:t>
                  </w:r>
                </w:p>
              </w:tc>
              <w:tc>
                <w:tcPr>
                  <w:tcW w:w="749" w:type="dxa"/>
                  <w:noWrap w:val="0"/>
                  <w:vAlign w:val="center"/>
                </w:tcPr>
                <w:p w14:paraId="0CAFE6D6">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51" w:type="dxa"/>
                  <w:noWrap w:val="0"/>
                  <w:vAlign w:val="center"/>
                </w:tcPr>
                <w:p w14:paraId="4DDB0B96">
                  <w:pPr>
                    <w:pageBreakBefore w:val="0"/>
                    <w:widowControl/>
                    <w:kinsoku/>
                    <w:wordWrap w:val="0"/>
                    <w:overflowPunct/>
                    <w:bidi w:val="0"/>
                    <w:spacing w:line="32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c>
                <w:tcPr>
                  <w:tcW w:w="656" w:type="dxa"/>
                  <w:noWrap w:val="0"/>
                  <w:vAlign w:val="center"/>
                </w:tcPr>
                <w:p w14:paraId="790779B6">
                  <w:pPr>
                    <w:pageBreakBefore w:val="0"/>
                    <w:widowControl/>
                    <w:kinsoku/>
                    <w:wordWrap w:val="0"/>
                    <w:overflowPunct/>
                    <w:bidi w:val="0"/>
                    <w:spacing w:line="32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3B68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 w:type="dxa"/>
                  <w:noWrap w:val="0"/>
                  <w:vAlign w:val="center"/>
                </w:tcPr>
                <w:p w14:paraId="065A07A7">
                  <w:pPr>
                    <w:pageBreakBefore w:val="0"/>
                    <w:widowControl/>
                    <w:kinsoku/>
                    <w:wordWrap w:val="0"/>
                    <w:overflowPunct/>
                    <w:bidi w:val="0"/>
                    <w:spacing w:line="32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098" w:type="dxa"/>
                  <w:noWrap w:val="0"/>
                  <w:vAlign w:val="center"/>
                </w:tcPr>
                <w:p w14:paraId="130C653D">
                  <w:pPr>
                    <w:pageBreakBefore w:val="0"/>
                    <w:widowControl/>
                    <w:kinsoku/>
                    <w:wordWrap w:val="0"/>
                    <w:overflowPunct/>
                    <w:bidi w:val="0"/>
                    <w:spacing w:line="320" w:lineRule="exac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东厂界</w:t>
                  </w:r>
                </w:p>
              </w:tc>
              <w:tc>
                <w:tcPr>
                  <w:tcW w:w="557" w:type="dxa"/>
                  <w:noWrap w:val="0"/>
                  <w:vAlign w:val="center"/>
                </w:tcPr>
                <w:p w14:paraId="5BB1952D">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48</w:t>
                  </w:r>
                </w:p>
              </w:tc>
              <w:tc>
                <w:tcPr>
                  <w:tcW w:w="626" w:type="dxa"/>
                  <w:noWrap w:val="0"/>
                  <w:vAlign w:val="center"/>
                </w:tcPr>
                <w:p w14:paraId="1FF7DBF2">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w:t>
                  </w:r>
                </w:p>
              </w:tc>
              <w:tc>
                <w:tcPr>
                  <w:tcW w:w="749" w:type="dxa"/>
                  <w:noWrap w:val="0"/>
                  <w:vAlign w:val="center"/>
                </w:tcPr>
                <w:p w14:paraId="5B03D4BD">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p>
              </w:tc>
              <w:tc>
                <w:tcPr>
                  <w:tcW w:w="649" w:type="dxa"/>
                  <w:noWrap w:val="0"/>
                  <w:vAlign w:val="center"/>
                </w:tcPr>
                <w:p w14:paraId="090C3AF0">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796" w:type="dxa"/>
                  <w:noWrap w:val="0"/>
                  <w:vAlign w:val="center"/>
                </w:tcPr>
                <w:p w14:paraId="02963467">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57.40</w:t>
                  </w:r>
                </w:p>
              </w:tc>
              <w:tc>
                <w:tcPr>
                  <w:tcW w:w="784" w:type="dxa"/>
                  <w:noWrap w:val="0"/>
                  <w:vAlign w:val="center"/>
                </w:tcPr>
                <w:p w14:paraId="371A9B29">
                  <w:pPr>
                    <w:pageBreakBefore w:val="0"/>
                    <w:widowControl/>
                    <w:kinsoku/>
                    <w:wordWrap w:val="0"/>
                    <w:overflowPunct/>
                    <w:bidi w:val="0"/>
                    <w:spacing w:line="320" w:lineRule="exact"/>
                    <w:jc w:val="center"/>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w:t>
                  </w:r>
                </w:p>
              </w:tc>
              <w:tc>
                <w:tcPr>
                  <w:tcW w:w="749" w:type="dxa"/>
                  <w:noWrap w:val="0"/>
                  <w:vAlign w:val="center"/>
                </w:tcPr>
                <w:p w14:paraId="2B5757F2">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57.88</w:t>
                  </w:r>
                </w:p>
              </w:tc>
              <w:tc>
                <w:tcPr>
                  <w:tcW w:w="749" w:type="dxa"/>
                  <w:noWrap w:val="0"/>
                  <w:vAlign w:val="center"/>
                </w:tcPr>
                <w:p w14:paraId="5D01719D">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51" w:type="dxa"/>
                  <w:noWrap w:val="0"/>
                  <w:vAlign w:val="center"/>
                </w:tcPr>
                <w:p w14:paraId="1A5C1325">
                  <w:pPr>
                    <w:pageBreakBefore w:val="0"/>
                    <w:widowControl/>
                    <w:kinsoku/>
                    <w:wordWrap w:val="0"/>
                    <w:overflowPunct/>
                    <w:bidi w:val="0"/>
                    <w:spacing w:line="32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c>
                <w:tcPr>
                  <w:tcW w:w="656" w:type="dxa"/>
                  <w:noWrap w:val="0"/>
                  <w:vAlign w:val="center"/>
                </w:tcPr>
                <w:p w14:paraId="43D6B439">
                  <w:pPr>
                    <w:pageBreakBefore w:val="0"/>
                    <w:widowControl/>
                    <w:kinsoku/>
                    <w:wordWrap w:val="0"/>
                    <w:overflowPunct/>
                    <w:bidi w:val="0"/>
                    <w:spacing w:line="32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4D7F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 w:type="dxa"/>
                  <w:noWrap w:val="0"/>
                  <w:vAlign w:val="center"/>
                </w:tcPr>
                <w:p w14:paraId="38C30578">
                  <w:pPr>
                    <w:pageBreakBefore w:val="0"/>
                    <w:widowControl/>
                    <w:kinsoku/>
                    <w:wordWrap w:val="0"/>
                    <w:overflowPunct/>
                    <w:bidi w:val="0"/>
                    <w:spacing w:line="32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1098" w:type="dxa"/>
                  <w:noWrap w:val="0"/>
                  <w:vAlign w:val="center"/>
                </w:tcPr>
                <w:p w14:paraId="7D90A95B">
                  <w:pPr>
                    <w:pageBreakBefore w:val="0"/>
                    <w:widowControl/>
                    <w:kinsoku/>
                    <w:wordWrap w:val="0"/>
                    <w:overflowPunct/>
                    <w:bidi w:val="0"/>
                    <w:spacing w:line="320" w:lineRule="exact"/>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南厂界</w:t>
                  </w:r>
                </w:p>
              </w:tc>
              <w:tc>
                <w:tcPr>
                  <w:tcW w:w="557" w:type="dxa"/>
                  <w:noWrap w:val="0"/>
                  <w:vAlign w:val="center"/>
                </w:tcPr>
                <w:p w14:paraId="58D59A41">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p>
              </w:tc>
              <w:tc>
                <w:tcPr>
                  <w:tcW w:w="626" w:type="dxa"/>
                  <w:noWrap w:val="0"/>
                  <w:vAlign w:val="center"/>
                </w:tcPr>
                <w:p w14:paraId="7D7CDEA1">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w:t>
                  </w:r>
                </w:p>
              </w:tc>
              <w:tc>
                <w:tcPr>
                  <w:tcW w:w="749" w:type="dxa"/>
                  <w:noWrap w:val="0"/>
                  <w:vAlign w:val="center"/>
                </w:tcPr>
                <w:p w14:paraId="465F6556">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649" w:type="dxa"/>
                  <w:noWrap w:val="0"/>
                  <w:vAlign w:val="center"/>
                </w:tcPr>
                <w:p w14:paraId="5ADD0B8A">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w:t>
                  </w:r>
                </w:p>
              </w:tc>
              <w:tc>
                <w:tcPr>
                  <w:tcW w:w="796" w:type="dxa"/>
                  <w:noWrap w:val="0"/>
                  <w:vAlign w:val="center"/>
                </w:tcPr>
                <w:p w14:paraId="67B839B6">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40.40</w:t>
                  </w:r>
                </w:p>
              </w:tc>
              <w:tc>
                <w:tcPr>
                  <w:tcW w:w="784" w:type="dxa"/>
                  <w:noWrap w:val="0"/>
                  <w:vAlign w:val="center"/>
                </w:tcPr>
                <w:p w14:paraId="1560DE9C">
                  <w:pPr>
                    <w:pageBreakBefore w:val="0"/>
                    <w:widowControl/>
                    <w:kinsoku/>
                    <w:wordWrap w:val="0"/>
                    <w:overflowPunct/>
                    <w:bidi w:val="0"/>
                    <w:spacing w:line="320" w:lineRule="exact"/>
                    <w:jc w:val="center"/>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w:t>
                  </w:r>
                </w:p>
              </w:tc>
              <w:tc>
                <w:tcPr>
                  <w:tcW w:w="749" w:type="dxa"/>
                  <w:noWrap w:val="0"/>
                  <w:vAlign w:val="center"/>
                </w:tcPr>
                <w:p w14:paraId="62162FA8">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49.26</w:t>
                  </w:r>
                </w:p>
              </w:tc>
              <w:tc>
                <w:tcPr>
                  <w:tcW w:w="749" w:type="dxa"/>
                  <w:noWrap w:val="0"/>
                  <w:vAlign w:val="center"/>
                </w:tcPr>
                <w:p w14:paraId="0F542CF0">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51" w:type="dxa"/>
                  <w:noWrap w:val="0"/>
                  <w:vAlign w:val="center"/>
                </w:tcPr>
                <w:p w14:paraId="69FCB804">
                  <w:pPr>
                    <w:pageBreakBefore w:val="0"/>
                    <w:widowControl/>
                    <w:kinsoku/>
                    <w:wordWrap w:val="0"/>
                    <w:overflowPunct/>
                    <w:bidi w:val="0"/>
                    <w:spacing w:line="32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c>
                <w:tcPr>
                  <w:tcW w:w="656" w:type="dxa"/>
                  <w:noWrap w:val="0"/>
                  <w:vAlign w:val="center"/>
                </w:tcPr>
                <w:p w14:paraId="07DB7510">
                  <w:pPr>
                    <w:pageBreakBefore w:val="0"/>
                    <w:widowControl/>
                    <w:kinsoku/>
                    <w:wordWrap w:val="0"/>
                    <w:overflowPunct/>
                    <w:bidi w:val="0"/>
                    <w:spacing w:line="320" w:lineRule="exact"/>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706E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 w:type="dxa"/>
                  <w:noWrap w:val="0"/>
                  <w:vAlign w:val="center"/>
                </w:tcPr>
                <w:p w14:paraId="5D4955E4">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4</w:t>
                  </w:r>
                </w:p>
              </w:tc>
              <w:tc>
                <w:tcPr>
                  <w:tcW w:w="1098" w:type="dxa"/>
                  <w:noWrap w:val="0"/>
                  <w:vAlign w:val="center"/>
                </w:tcPr>
                <w:p w14:paraId="44B3D396">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西厂界</w:t>
                  </w:r>
                </w:p>
              </w:tc>
              <w:tc>
                <w:tcPr>
                  <w:tcW w:w="557" w:type="dxa"/>
                  <w:noWrap w:val="0"/>
                  <w:vAlign w:val="center"/>
                </w:tcPr>
                <w:p w14:paraId="5A8BD257">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54</w:t>
                  </w:r>
                </w:p>
              </w:tc>
              <w:tc>
                <w:tcPr>
                  <w:tcW w:w="626" w:type="dxa"/>
                  <w:noWrap w:val="0"/>
                  <w:vAlign w:val="center"/>
                </w:tcPr>
                <w:p w14:paraId="0218C774">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38</w:t>
                  </w:r>
                </w:p>
              </w:tc>
              <w:tc>
                <w:tcPr>
                  <w:tcW w:w="749" w:type="dxa"/>
                  <w:noWrap w:val="0"/>
                  <w:vAlign w:val="center"/>
                </w:tcPr>
                <w:p w14:paraId="6357B847">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60</w:t>
                  </w:r>
                </w:p>
              </w:tc>
              <w:tc>
                <w:tcPr>
                  <w:tcW w:w="649" w:type="dxa"/>
                  <w:noWrap w:val="0"/>
                  <w:vAlign w:val="center"/>
                </w:tcPr>
                <w:p w14:paraId="69093A1B">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50</w:t>
                  </w:r>
                </w:p>
              </w:tc>
              <w:tc>
                <w:tcPr>
                  <w:tcW w:w="796" w:type="dxa"/>
                  <w:noWrap w:val="0"/>
                  <w:vAlign w:val="center"/>
                </w:tcPr>
                <w:p w14:paraId="7A37C1D8">
                  <w:pPr>
                    <w:pageBreakBefore w:val="0"/>
                    <w:widowControl/>
                    <w:kinsoku/>
                    <w:wordWrap w:val="0"/>
                    <w:overflowPunct/>
                    <w:bidi w:val="0"/>
                    <w:spacing w:line="320" w:lineRule="exact"/>
                    <w:jc w:val="center"/>
                    <w:rPr>
                      <w:rFonts w:hint="default" w:eastAsia="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41.58</w:t>
                  </w:r>
                </w:p>
              </w:tc>
              <w:tc>
                <w:tcPr>
                  <w:tcW w:w="784" w:type="dxa"/>
                  <w:noWrap w:val="0"/>
                  <w:vAlign w:val="center"/>
                </w:tcPr>
                <w:p w14:paraId="7E57089F">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w:t>
                  </w:r>
                </w:p>
              </w:tc>
              <w:tc>
                <w:tcPr>
                  <w:tcW w:w="749" w:type="dxa"/>
                  <w:noWrap w:val="0"/>
                  <w:vAlign w:val="center"/>
                </w:tcPr>
                <w:p w14:paraId="53AEC5C3">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55.70</w:t>
                  </w:r>
                </w:p>
              </w:tc>
              <w:tc>
                <w:tcPr>
                  <w:tcW w:w="749" w:type="dxa"/>
                  <w:noWrap w:val="0"/>
                  <w:vAlign w:val="center"/>
                </w:tcPr>
                <w:p w14:paraId="42996392">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51" w:type="dxa"/>
                  <w:noWrap w:val="0"/>
                  <w:vAlign w:val="center"/>
                </w:tcPr>
                <w:p w14:paraId="475D1948">
                  <w:pPr>
                    <w:pageBreakBefore w:val="0"/>
                    <w:widowControl/>
                    <w:kinsoku/>
                    <w:wordWrap w:val="0"/>
                    <w:overflowPunct/>
                    <w:bidi w:val="0"/>
                    <w:spacing w:line="320" w:lineRule="exact"/>
                    <w:jc w:val="center"/>
                    <w:rPr>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c>
                <w:tcPr>
                  <w:tcW w:w="656" w:type="dxa"/>
                  <w:noWrap w:val="0"/>
                  <w:vAlign w:val="center"/>
                </w:tcPr>
                <w:p w14:paraId="29731C7D">
                  <w:pPr>
                    <w:pageBreakBefore w:val="0"/>
                    <w:widowControl/>
                    <w:kinsoku/>
                    <w:wordWrap w:val="0"/>
                    <w:overflowPunct/>
                    <w:bidi w:val="0"/>
                    <w:spacing w:line="320" w:lineRule="exact"/>
                    <w:jc w:val="center"/>
                    <w:rPr>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4825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 w:type="dxa"/>
                  <w:noWrap w:val="0"/>
                  <w:vAlign w:val="center"/>
                </w:tcPr>
                <w:p w14:paraId="3BE6FF9C">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5</w:t>
                  </w:r>
                </w:p>
              </w:tc>
              <w:tc>
                <w:tcPr>
                  <w:tcW w:w="1098" w:type="dxa"/>
                  <w:noWrap w:val="0"/>
                  <w:vAlign w:val="center"/>
                </w:tcPr>
                <w:p w14:paraId="1CB94CCB">
                  <w:pPr>
                    <w:pageBreakBefore w:val="0"/>
                    <w:widowControl/>
                    <w:kinsoku/>
                    <w:wordWrap w:val="0"/>
                    <w:overflowPunct/>
                    <w:bidi w:val="0"/>
                    <w:spacing w:line="320" w:lineRule="exact"/>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于家湾村</w:t>
                  </w:r>
                </w:p>
              </w:tc>
              <w:tc>
                <w:tcPr>
                  <w:tcW w:w="557" w:type="dxa"/>
                  <w:noWrap w:val="0"/>
                  <w:vAlign w:val="center"/>
                </w:tcPr>
                <w:p w14:paraId="4573B538">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48</w:t>
                  </w:r>
                </w:p>
              </w:tc>
              <w:tc>
                <w:tcPr>
                  <w:tcW w:w="626" w:type="dxa"/>
                  <w:noWrap w:val="0"/>
                  <w:vAlign w:val="center"/>
                </w:tcPr>
                <w:p w14:paraId="6B45C836">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47</w:t>
                  </w:r>
                </w:p>
              </w:tc>
              <w:tc>
                <w:tcPr>
                  <w:tcW w:w="749" w:type="dxa"/>
                  <w:noWrap w:val="0"/>
                  <w:vAlign w:val="center"/>
                </w:tcPr>
                <w:p w14:paraId="0EF09F49">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w:t>
                  </w:r>
                </w:p>
              </w:tc>
              <w:tc>
                <w:tcPr>
                  <w:tcW w:w="649" w:type="dxa"/>
                  <w:noWrap w:val="0"/>
                  <w:vAlign w:val="center"/>
                </w:tcPr>
                <w:p w14:paraId="3749069E">
                  <w:pPr>
                    <w:pageBreakBefore w:val="0"/>
                    <w:widowControl/>
                    <w:kinsoku/>
                    <w:wordWrap w:val="0"/>
                    <w:overflowPunct/>
                    <w:bidi w:val="0"/>
                    <w:spacing w:line="320" w:lineRule="exact"/>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796" w:type="dxa"/>
                  <w:noWrap w:val="0"/>
                  <w:vAlign w:val="center"/>
                </w:tcPr>
                <w:p w14:paraId="27E700E6">
                  <w:pPr>
                    <w:pageBreakBefore w:val="0"/>
                    <w:widowControl/>
                    <w:kinsoku/>
                    <w:wordWrap w:val="0"/>
                    <w:overflowPunct/>
                    <w:bidi w:val="0"/>
                    <w:spacing w:line="320" w:lineRule="exact"/>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42.92</w:t>
                  </w:r>
                </w:p>
              </w:tc>
              <w:tc>
                <w:tcPr>
                  <w:tcW w:w="784" w:type="dxa"/>
                  <w:noWrap w:val="0"/>
                  <w:vAlign w:val="center"/>
                </w:tcPr>
                <w:p w14:paraId="519CA7D4">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0</w:t>
                  </w:r>
                </w:p>
              </w:tc>
              <w:tc>
                <w:tcPr>
                  <w:tcW w:w="749" w:type="dxa"/>
                  <w:noWrap w:val="0"/>
                  <w:vAlign w:val="center"/>
                </w:tcPr>
                <w:p w14:paraId="73FABB63">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49.17</w:t>
                  </w:r>
                </w:p>
              </w:tc>
              <w:tc>
                <w:tcPr>
                  <w:tcW w:w="749" w:type="dxa"/>
                  <w:noWrap w:val="0"/>
                  <w:vAlign w:val="center"/>
                </w:tcPr>
                <w:p w14:paraId="3771A3F0">
                  <w:pPr>
                    <w:pageBreakBefore w:val="0"/>
                    <w:widowControl/>
                    <w:kinsoku/>
                    <w:wordWrap w:val="0"/>
                    <w:overflowPunct/>
                    <w:bidi w:val="0"/>
                    <w:spacing w:line="320" w:lineRule="exact"/>
                    <w:jc w:val="center"/>
                    <w:rPr>
                      <w:rFonts w:hint="default"/>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2"/>
                      <w:sz w:val="21"/>
                      <w:szCs w:val="21"/>
                      <w:highlight w:val="none"/>
                      <w:lang w:val="en-US" w:eastAsia="zh-CN" w:bidi="ar-SA"/>
                      <w14:textFill>
                        <w14:solidFill>
                          <w14:schemeClr w14:val="tx1"/>
                        </w14:solidFill>
                      </w14:textFill>
                    </w:rPr>
                    <w:t>47</w:t>
                  </w:r>
                </w:p>
              </w:tc>
              <w:tc>
                <w:tcPr>
                  <w:tcW w:w="651" w:type="dxa"/>
                  <w:noWrap w:val="0"/>
                  <w:vAlign w:val="center"/>
                </w:tcPr>
                <w:p w14:paraId="24AAE06A">
                  <w:pPr>
                    <w:pageBreakBefore w:val="0"/>
                    <w:widowControl/>
                    <w:kinsoku/>
                    <w:wordWrap w:val="0"/>
                    <w:overflowPunct/>
                    <w:bidi w:val="0"/>
                    <w:spacing w:line="320" w:lineRule="exact"/>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c>
                <w:tcPr>
                  <w:tcW w:w="656" w:type="dxa"/>
                  <w:noWrap w:val="0"/>
                  <w:vAlign w:val="center"/>
                </w:tcPr>
                <w:p w14:paraId="1CF94EF1">
                  <w:pPr>
                    <w:pageBreakBefore w:val="0"/>
                    <w:widowControl/>
                    <w:kinsoku/>
                    <w:wordWrap w:val="0"/>
                    <w:overflowPunct/>
                    <w:bidi w:val="0"/>
                    <w:spacing w:line="320" w:lineRule="exact"/>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bl>
          <w:p w14:paraId="42386583">
            <w:pPr>
              <w:keepNext w:val="0"/>
              <w:keepLines w:val="0"/>
              <w:pageBreakBefore w:val="0"/>
              <w:widowControl w:val="0"/>
              <w:kinsoku/>
              <w:wordWrap w:val="0"/>
              <w:overflowPunct/>
              <w:topLinePunct w:val="0"/>
              <w:bidi w:val="0"/>
              <w:snapToGrid/>
              <w:spacing w:line="480" w:lineRule="exact"/>
              <w:ind w:firstLine="420" w:firstLineChars="200"/>
              <w:textAlignment w:val="auto"/>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绘制噪声预测等声级线图如下图所示</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w:t>
            </w:r>
          </w:p>
          <w:p w14:paraId="03E27C66">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438775" cy="3394710"/>
                  <wp:effectExtent l="0" t="0" r="952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5438775" cy="3394710"/>
                          </a:xfrm>
                          <a:prstGeom prst="rect">
                            <a:avLst/>
                          </a:prstGeom>
                          <a:noFill/>
                          <a:ln>
                            <a:noFill/>
                          </a:ln>
                        </pic:spPr>
                      </pic:pic>
                    </a:graphicData>
                  </a:graphic>
                </wp:inline>
              </w:drawing>
            </w:r>
          </w:p>
          <w:p w14:paraId="59096434">
            <w:pPr>
              <w:keepNext w:val="0"/>
              <w:keepLines w:val="0"/>
              <w:pageBreakBefore w:val="0"/>
              <w:widowControl w:val="0"/>
              <w:kinsoku/>
              <w:wordWrap w:val="0"/>
              <w:overflowPunct/>
              <w:topLinePunct w:val="0"/>
              <w:bidi w:val="0"/>
              <w:snapToGrid/>
              <w:spacing w:line="480" w:lineRule="exact"/>
              <w:jc w:val="center"/>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b/>
                <w:color w:val="000000" w:themeColor="text1"/>
                <w:kern w:val="2"/>
                <w:sz w:val="21"/>
                <w:szCs w:val="21"/>
                <w:highlight w:val="none"/>
                <w14:textFill>
                  <w14:solidFill>
                    <w14:schemeClr w14:val="tx1"/>
                  </w14:solidFill>
                </w14:textFill>
              </w:rPr>
              <w:t>图4-</w:t>
            </w:r>
            <w:r>
              <w:rPr>
                <w:rFonts w:hint="eastAsia"/>
                <w:b/>
                <w:color w:val="000000" w:themeColor="text1"/>
                <w:kern w:val="2"/>
                <w:sz w:val="21"/>
                <w:szCs w:val="21"/>
                <w:highlight w:val="none"/>
                <w:lang w:val="en-US" w:eastAsia="zh-CN"/>
                <w14:textFill>
                  <w14:solidFill>
                    <w14:schemeClr w14:val="tx1"/>
                  </w14:solidFill>
                </w14:textFill>
              </w:rPr>
              <w:t>1</w:t>
            </w:r>
            <w:r>
              <w:rPr>
                <w:rFonts w:hint="eastAsia"/>
                <w:b/>
                <w:color w:val="000000" w:themeColor="text1"/>
                <w:kern w:val="2"/>
                <w:sz w:val="21"/>
                <w:szCs w:val="21"/>
                <w:highlight w:val="none"/>
                <w14:textFill>
                  <w14:solidFill>
                    <w14:schemeClr w14:val="tx1"/>
                  </w14:solidFill>
                </w14:textFill>
              </w:rPr>
              <w:t xml:space="preserve">  </w:t>
            </w:r>
            <w:r>
              <w:rPr>
                <w:b/>
                <w:color w:val="000000" w:themeColor="text1"/>
                <w:kern w:val="2"/>
                <w:sz w:val="21"/>
                <w:szCs w:val="21"/>
                <w:highlight w:val="none"/>
                <w14:textFill>
                  <w14:solidFill>
                    <w14:schemeClr w14:val="tx1"/>
                  </w14:solidFill>
                </w14:textFill>
              </w:rPr>
              <w:t>噪声贡献值等声级线图</w:t>
            </w:r>
          </w:p>
          <w:p w14:paraId="04FCBF6F">
            <w:pPr>
              <w:keepNext w:val="0"/>
              <w:keepLines w:val="0"/>
              <w:pageBreakBefore w:val="0"/>
              <w:widowControl w:val="0"/>
              <w:kinsoku/>
              <w:wordWrap w:val="0"/>
              <w:overflowPunct/>
              <w:topLinePunct w:val="0"/>
              <w:bidi w:val="0"/>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根据预测结果可知，本项目北、西、东厂界昼间的贡献值在</w:t>
            </w:r>
            <w:r>
              <w:rPr>
                <w:rFonts w:hint="eastAsia"/>
                <w:color w:val="000000" w:themeColor="text1"/>
                <w:kern w:val="2"/>
                <w:sz w:val="21"/>
                <w:szCs w:val="21"/>
                <w:highlight w:val="none"/>
                <w:lang w:val="en-US" w:eastAsia="zh-CN" w:bidi="ar-SA"/>
                <w14:textFill>
                  <w14:solidFill>
                    <w14:schemeClr w14:val="tx1"/>
                  </w14:solidFill>
                </w14:textFill>
              </w:rPr>
              <w:t>55.70</w:t>
            </w:r>
            <w:r>
              <w:rPr>
                <w:color w:val="000000" w:themeColor="text1"/>
                <w:spacing w:val="-2"/>
                <w:szCs w:val="21"/>
                <w:highlight w:val="none"/>
                <w14:textFill>
                  <w14:solidFill>
                    <w14:schemeClr w14:val="tx1"/>
                  </w14:solidFill>
                </w14:textFill>
              </w:rPr>
              <w:t>dB（A）</w:t>
            </w:r>
            <w:r>
              <w:rPr>
                <w:rFonts w:hint="eastAsia"/>
                <w:color w:val="000000" w:themeColor="text1"/>
                <w:spacing w:val="-2"/>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58.48</w:t>
            </w:r>
            <w:r>
              <w:rPr>
                <w:color w:val="000000" w:themeColor="text1"/>
                <w:spacing w:val="-2"/>
                <w:szCs w:val="21"/>
                <w:highlight w:val="none"/>
                <w14:textFill>
                  <w14:solidFill>
                    <w14:schemeClr w14:val="tx1"/>
                  </w14:solidFill>
                </w14:textFill>
              </w:rPr>
              <w:t>dB（A）</w:t>
            </w:r>
            <w:r>
              <w:rPr>
                <w:rFonts w:hint="eastAsia"/>
                <w:color w:val="000000" w:themeColor="text1"/>
                <w:spacing w:val="-2"/>
                <w:szCs w:val="21"/>
                <w:highlight w:val="none"/>
                <w:lang w:val="en-US" w:eastAsia="zh-CN"/>
                <w14:textFill>
                  <w14:solidFill>
                    <w14:schemeClr w14:val="tx1"/>
                  </w14:solidFill>
                </w14:textFill>
              </w:rPr>
              <w:t>之间，南厂界的昼间的贡献值为</w:t>
            </w:r>
            <w:r>
              <w:rPr>
                <w:rFonts w:hint="eastAsia"/>
                <w:color w:val="000000" w:themeColor="text1"/>
                <w:sz w:val="21"/>
                <w:szCs w:val="21"/>
                <w:highlight w:val="none"/>
                <w:lang w:val="en-US" w:eastAsia="zh-CN"/>
                <w14:textFill>
                  <w14:solidFill>
                    <w14:schemeClr w14:val="tx1"/>
                  </w14:solidFill>
                </w14:textFill>
              </w:rPr>
              <w:t>49.26</w:t>
            </w:r>
            <w:r>
              <w:rPr>
                <w:color w:val="000000" w:themeColor="text1"/>
                <w:spacing w:val="-2"/>
                <w:szCs w:val="21"/>
                <w:highlight w:val="none"/>
                <w14:textFill>
                  <w14:solidFill>
                    <w14:schemeClr w14:val="tx1"/>
                  </w14:solidFill>
                </w14:textFill>
              </w:rPr>
              <w:t>dB（A）</w:t>
            </w:r>
            <w:r>
              <w:rPr>
                <w:rFonts w:hint="eastAsia"/>
                <w:color w:val="000000" w:themeColor="text1"/>
                <w:spacing w:val="-2"/>
                <w:szCs w:val="21"/>
                <w:highlight w:val="none"/>
                <w:lang w:eastAsia="zh-CN"/>
                <w14:textFill>
                  <w14:solidFill>
                    <w14:schemeClr w14:val="tx1"/>
                  </w14:solidFill>
                </w14:textFill>
              </w:rPr>
              <w:t>，</w:t>
            </w:r>
            <w:r>
              <w:rPr>
                <w:rFonts w:hint="eastAsia"/>
                <w:color w:val="000000" w:themeColor="text1"/>
                <w:spacing w:val="-2"/>
                <w:szCs w:val="21"/>
                <w:highlight w:val="none"/>
                <w:lang w:val="en-US" w:eastAsia="zh-CN"/>
                <w14:textFill>
                  <w14:solidFill>
                    <w14:schemeClr w14:val="tx1"/>
                  </w14:solidFill>
                </w14:textFill>
              </w:rPr>
              <w:t>敏感点居民区昼间的噪声的贡献值为</w:t>
            </w:r>
            <w:r>
              <w:rPr>
                <w:rFonts w:hint="eastAsia"/>
                <w:color w:val="000000" w:themeColor="text1"/>
                <w:sz w:val="21"/>
                <w:szCs w:val="21"/>
                <w:highlight w:val="none"/>
                <w:lang w:val="en-US" w:eastAsia="zh-CN"/>
                <w14:textFill>
                  <w14:solidFill>
                    <w14:schemeClr w14:val="tx1"/>
                  </w14:solidFill>
                </w14:textFill>
              </w:rPr>
              <w:t>42.92</w:t>
            </w:r>
            <w:r>
              <w:rPr>
                <w:color w:val="000000" w:themeColor="text1"/>
                <w:spacing w:val="-2"/>
                <w:szCs w:val="21"/>
                <w:highlight w:val="none"/>
                <w14:textFill>
                  <w14:solidFill>
                    <w14:schemeClr w14:val="tx1"/>
                  </w14:solidFill>
                </w14:textFill>
              </w:rPr>
              <w:t>dB（A）</w:t>
            </w:r>
            <w:r>
              <w:rPr>
                <w:rFonts w:hint="eastAsia"/>
                <w:color w:val="000000" w:themeColor="text1"/>
                <w:spacing w:val="-2"/>
                <w:szCs w:val="21"/>
                <w:highlight w:val="none"/>
                <w:lang w:eastAsia="zh-CN"/>
                <w14:textFill>
                  <w14:solidFill>
                    <w14:schemeClr w14:val="tx1"/>
                  </w14:solidFill>
                </w14:textFill>
              </w:rPr>
              <w:t>，</w:t>
            </w:r>
            <w:r>
              <w:rPr>
                <w:rFonts w:hint="eastAsia"/>
                <w:color w:val="000000" w:themeColor="text1"/>
                <w:spacing w:val="-2"/>
                <w:szCs w:val="21"/>
                <w:highlight w:val="none"/>
                <w:lang w:val="en-US" w:eastAsia="zh-CN"/>
                <w14:textFill>
                  <w14:solidFill>
                    <w14:schemeClr w14:val="tx1"/>
                  </w14:solidFill>
                </w14:textFill>
              </w:rPr>
              <w:t>故本项目东、西、北厂界噪声排放满足</w:t>
            </w:r>
            <w:r>
              <w:rPr>
                <w:rFonts w:hint="default" w:ascii="Times New Roman" w:hAnsi="Times New Roman" w:cs="Times New Roman"/>
                <w:color w:val="000000" w:themeColor="text1"/>
                <w:spacing w:val="0"/>
                <w:highlight w:val="none"/>
                <w14:textFill>
                  <w14:solidFill>
                    <w14:schemeClr w14:val="tx1"/>
                  </w14:solidFill>
                </w14:textFill>
              </w:rPr>
              <w:t>《工业企业厂界环境噪声排放标准》（GB12348－2008）中的2类标准</w:t>
            </w:r>
            <w:r>
              <w:rPr>
                <w:rFonts w:hint="eastAsia" w:cs="Times New Roman"/>
                <w:color w:val="000000" w:themeColor="text1"/>
                <w:spacing w:val="0"/>
                <w:highlight w:val="none"/>
                <w:lang w:eastAsia="zh-CN"/>
                <w14:textFill>
                  <w14:solidFill>
                    <w14:schemeClr w14:val="tx1"/>
                  </w14:solidFill>
                </w14:textFill>
              </w:rPr>
              <w:t>，</w:t>
            </w:r>
            <w:r>
              <w:rPr>
                <w:rFonts w:hint="eastAsia" w:cs="Times New Roman"/>
                <w:color w:val="000000" w:themeColor="text1"/>
                <w:spacing w:val="0"/>
                <w:highlight w:val="none"/>
                <w:lang w:val="en-US" w:eastAsia="zh-CN"/>
                <w14:textFill>
                  <w14:solidFill>
                    <w14:schemeClr w14:val="tx1"/>
                  </w14:solidFill>
                </w14:textFill>
              </w:rPr>
              <w:t>南厂界噪声排放满足</w:t>
            </w:r>
            <w:r>
              <w:rPr>
                <w:rFonts w:hint="default" w:ascii="Times New Roman" w:hAnsi="Times New Roman" w:cs="Times New Roman"/>
                <w:color w:val="000000" w:themeColor="text1"/>
                <w:spacing w:val="0"/>
                <w:highlight w:val="none"/>
                <w14:textFill>
                  <w14:solidFill>
                    <w14:schemeClr w14:val="tx1"/>
                  </w14:solidFill>
                </w14:textFill>
              </w:rPr>
              <w:t>《工业企业厂界环境噪声排放标准》（GB12348－2008）中的</w:t>
            </w:r>
            <w:r>
              <w:rPr>
                <w:rFonts w:hint="eastAsia" w:cs="Times New Roman"/>
                <w:color w:val="000000" w:themeColor="text1"/>
                <w:spacing w:val="0"/>
                <w:highlight w:val="none"/>
                <w:lang w:val="en-US" w:eastAsia="zh-CN"/>
                <w14:textFill>
                  <w14:solidFill>
                    <w14:schemeClr w14:val="tx1"/>
                  </w14:solidFill>
                </w14:textFill>
              </w:rPr>
              <w:t>4</w:t>
            </w:r>
            <w:r>
              <w:rPr>
                <w:rFonts w:hint="default" w:ascii="Times New Roman" w:hAnsi="Times New Roman" w:cs="Times New Roman"/>
                <w:color w:val="000000" w:themeColor="text1"/>
                <w:spacing w:val="0"/>
                <w:highlight w:val="none"/>
                <w14:textFill>
                  <w14:solidFill>
                    <w14:schemeClr w14:val="tx1"/>
                  </w14:solidFill>
                </w14:textFill>
              </w:rPr>
              <w:t>类标准</w:t>
            </w:r>
            <w:r>
              <w:rPr>
                <w:rFonts w:hint="eastAsia" w:cs="Times New Roman"/>
                <w:color w:val="000000" w:themeColor="text1"/>
                <w:spacing w:val="0"/>
                <w:highlight w:val="none"/>
                <w:lang w:eastAsia="zh-CN"/>
                <w14:textFill>
                  <w14:solidFill>
                    <w14:schemeClr w14:val="tx1"/>
                  </w14:solidFill>
                </w14:textFill>
              </w:rPr>
              <w:t>。</w:t>
            </w:r>
            <w:r>
              <w:rPr>
                <w:rFonts w:hint="eastAsia" w:cs="Times New Roman"/>
                <w:color w:val="000000" w:themeColor="text1"/>
                <w:spacing w:val="0"/>
                <w:highlight w:val="none"/>
                <w:lang w:val="en-US" w:eastAsia="zh-CN"/>
                <w14:textFill>
                  <w14:solidFill>
                    <w14:schemeClr w14:val="tx1"/>
                  </w14:solidFill>
                </w14:textFill>
              </w:rPr>
              <w:t>敏感点噪声排放满足</w:t>
            </w:r>
            <w:r>
              <w:rPr>
                <w:rFonts w:hint="eastAsia" w:ascii="Times New Roman" w:hAnsi="Times New Roman" w:cs="Times New Roman"/>
                <w:color w:val="000000" w:themeColor="text1"/>
                <w:szCs w:val="21"/>
                <w:highlight w:val="none"/>
                <w:lang w:val="en-US" w:eastAsia="zh-CN"/>
                <w14:textFill>
                  <w14:solidFill>
                    <w14:schemeClr w14:val="tx1"/>
                  </w14:solidFill>
                </w14:textFill>
              </w:rPr>
              <w:t>《声环境质量标准》（GB 3096-2008）2类标准</w:t>
            </w:r>
            <w:r>
              <w:rPr>
                <w:rFonts w:hint="eastAsia" w:cs="Times New Roman"/>
                <w:color w:val="000000" w:themeColor="text1"/>
                <w:szCs w:val="21"/>
                <w:highlight w:val="none"/>
                <w:lang w:val="en-US" w:eastAsia="zh-CN"/>
                <w14:textFill>
                  <w14:solidFill>
                    <w14:schemeClr w14:val="tx1"/>
                  </w14:solidFill>
                </w14:textFill>
              </w:rPr>
              <w:t>。</w:t>
            </w:r>
          </w:p>
          <w:p w14:paraId="279C9C64">
            <w:pPr>
              <w:keepNext w:val="0"/>
              <w:keepLines w:val="0"/>
              <w:pageBreakBefore w:val="0"/>
              <w:widowControl w:val="0"/>
              <w:kinsoku/>
              <w:wordWrap w:val="0"/>
              <w:overflowPunct/>
              <w:topLinePunct w:val="0"/>
              <w:bidi w:val="0"/>
              <w:snapToGrid/>
              <w:spacing w:line="480" w:lineRule="exact"/>
              <w:ind w:firstLine="422" w:firstLineChars="200"/>
              <w:textAlignment w:val="auto"/>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cs="Times New Roman"/>
                <w:b/>
                <w:bCs/>
                <w:color w:val="000000" w:themeColor="text1"/>
                <w:spacing w:val="0"/>
                <w:position w:val="0"/>
                <w:sz w:val="21"/>
                <w:szCs w:val="21"/>
                <w:highlight w:val="none"/>
                <w:lang w:val="en-US" w:eastAsia="zh-CN"/>
                <w14:textFill>
                  <w14:solidFill>
                    <w14:schemeClr w14:val="tx1"/>
                  </w14:solidFill>
                </w14:textFill>
              </w:rPr>
              <w:t>（3）监测方案</w:t>
            </w:r>
          </w:p>
          <w:p w14:paraId="222BFC55">
            <w:pPr>
              <w:keepNext w:val="0"/>
              <w:keepLines w:val="0"/>
              <w:pageBreakBefore w:val="0"/>
              <w:widowControl w:val="0"/>
              <w:kinsoku/>
              <w:wordWrap w:val="0"/>
              <w:overflowPunct/>
              <w:topLinePunct w:val="0"/>
              <w:bidi w:val="0"/>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噪声监测方案见表4-</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15</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w:t>
            </w:r>
          </w:p>
          <w:p w14:paraId="179B044C">
            <w:pPr>
              <w:keepNext w:val="0"/>
              <w:keepLines w:val="0"/>
              <w:pageBreakBefore w:val="0"/>
              <w:widowControl w:val="0"/>
              <w:kinsoku/>
              <w:wordWrap w:val="0"/>
              <w:overflowPunct/>
              <w:topLinePunct w:val="0"/>
              <w:bidi w:val="0"/>
              <w:snapToGrid/>
              <w:spacing w:line="480" w:lineRule="exact"/>
              <w:jc w:val="center"/>
              <w:textAlignment w:val="auto"/>
              <w:rPr>
                <w:rFonts w:hint="eastAsia" w:ascii="Times New Roman" w:hAnsi="Times New Roman" w:eastAsia="宋体" w:cs="Times New Roman"/>
                <w:b w:val="0"/>
                <w:bCs w:val="0"/>
                <w:color w:val="000000" w:themeColor="text1"/>
                <w:spacing w:val="0"/>
                <w:position w:val="0"/>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15</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噪声监测方案</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1252"/>
              <w:gridCol w:w="914"/>
              <w:gridCol w:w="4415"/>
            </w:tblGrid>
            <w:tr w14:paraId="19AA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78" w:type="dxa"/>
                  <w:noWrap w:val="0"/>
                  <w:vAlign w:val="center"/>
                </w:tcPr>
                <w:p w14:paraId="46065C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pacing w:val="0"/>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highlight w:val="none"/>
                      <w:lang w:val="en-US" w:eastAsia="zh-CN"/>
                      <w14:textFill>
                        <w14:solidFill>
                          <w14:schemeClr w14:val="tx1"/>
                        </w14:solidFill>
                      </w14:textFill>
                    </w:rPr>
                    <w:t>监测点位</w:t>
                  </w:r>
                </w:p>
              </w:tc>
              <w:tc>
                <w:tcPr>
                  <w:tcW w:w="1252" w:type="dxa"/>
                  <w:noWrap w:val="0"/>
                  <w:vAlign w:val="center"/>
                </w:tcPr>
                <w:p w14:paraId="5275E4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pacing w:val="0"/>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highlight w:val="none"/>
                      <w:lang w:val="en-US" w:eastAsia="zh-CN"/>
                      <w14:textFill>
                        <w14:solidFill>
                          <w14:schemeClr w14:val="tx1"/>
                        </w14:solidFill>
                      </w14:textFill>
                    </w:rPr>
                    <w:t>监测指标</w:t>
                  </w:r>
                </w:p>
              </w:tc>
              <w:tc>
                <w:tcPr>
                  <w:tcW w:w="914" w:type="dxa"/>
                  <w:noWrap w:val="0"/>
                  <w:vAlign w:val="center"/>
                </w:tcPr>
                <w:p w14:paraId="5956531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000000" w:themeColor="text1"/>
                      <w:spacing w:val="0"/>
                      <w:highlight w:val="none"/>
                      <w:lang w:val="en-US" w:eastAsia="zh-CN"/>
                      <w14:textFill>
                        <w14:solidFill>
                          <w14:schemeClr w14:val="tx1"/>
                        </w14:solidFill>
                      </w14:textFill>
                    </w:rPr>
                  </w:pPr>
                  <w:r>
                    <w:rPr>
                      <w:rFonts w:hint="default" w:ascii="Times New Roman" w:hAnsi="Times New Roman" w:cs="Times New Roman"/>
                      <w:b/>
                      <w:bCs/>
                      <w:color w:val="000000" w:themeColor="text1"/>
                      <w:spacing w:val="0"/>
                      <w:highlight w:val="none"/>
                      <w:lang w:val="en-US" w:eastAsia="zh-CN"/>
                      <w14:textFill>
                        <w14:solidFill>
                          <w14:schemeClr w14:val="tx1"/>
                        </w14:solidFill>
                      </w14:textFill>
                    </w:rPr>
                    <w:t>监测频次</w:t>
                  </w:r>
                </w:p>
              </w:tc>
              <w:tc>
                <w:tcPr>
                  <w:tcW w:w="4415" w:type="dxa"/>
                  <w:noWrap w:val="0"/>
                  <w:vAlign w:val="center"/>
                </w:tcPr>
                <w:p w14:paraId="2AB7506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b/>
                      <w:bCs/>
                      <w:color w:val="000000" w:themeColor="text1"/>
                      <w:spacing w:val="0"/>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highlight w:val="none"/>
                      <w:lang w:val="en-US" w:eastAsia="zh-CN"/>
                      <w14:textFill>
                        <w14:solidFill>
                          <w14:schemeClr w14:val="tx1"/>
                        </w14:solidFill>
                      </w14:textFill>
                    </w:rPr>
                    <w:t>执行</w:t>
                  </w:r>
                  <w:r>
                    <w:rPr>
                      <w:rFonts w:hint="default" w:ascii="Times New Roman" w:hAnsi="Times New Roman" w:cs="Times New Roman"/>
                      <w:b/>
                      <w:bCs/>
                      <w:color w:val="000000" w:themeColor="text1"/>
                      <w:spacing w:val="0"/>
                      <w:highlight w:val="none"/>
                      <w:lang w:val="en-US" w:eastAsia="zh-CN"/>
                      <w14:textFill>
                        <w14:solidFill>
                          <w14:schemeClr w14:val="tx1"/>
                        </w14:solidFill>
                      </w14:textFill>
                    </w:rPr>
                    <w:t>标准</w:t>
                  </w:r>
                </w:p>
              </w:tc>
            </w:tr>
            <w:tr w14:paraId="68CC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78" w:type="dxa"/>
                  <w:noWrap w:val="0"/>
                  <w:vAlign w:val="center"/>
                </w:tcPr>
                <w:p w14:paraId="6D4F92E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北厂界、西厂界、东厂界</w:t>
                  </w:r>
                  <w:r>
                    <w:rPr>
                      <w:rFonts w:hint="eastAsia" w:ascii="Times New Roman" w:hAnsi="Times New Roman" w:cs="Times New Roman"/>
                      <w:color w:val="000000" w:themeColor="text1"/>
                      <w:spacing w:val="0"/>
                      <w:highlight w:val="none"/>
                      <w:lang w:val="en-US" w:eastAsia="zh-CN"/>
                      <w14:textFill>
                        <w14:solidFill>
                          <w14:schemeClr w14:val="tx1"/>
                        </w14:solidFill>
                      </w14:textFill>
                    </w:rPr>
                    <w:t>噪声</w:t>
                  </w:r>
                </w:p>
              </w:tc>
              <w:tc>
                <w:tcPr>
                  <w:tcW w:w="1252" w:type="dxa"/>
                  <w:vMerge w:val="restart"/>
                  <w:noWrap w:val="0"/>
                  <w:vAlign w:val="center"/>
                </w:tcPr>
                <w:p w14:paraId="596B287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pacing w:val="0"/>
                      <w:highlight w:val="none"/>
                      <w14:textFill>
                        <w14:solidFill>
                          <w14:schemeClr w14:val="tx1"/>
                        </w14:solidFill>
                      </w14:textFill>
                    </w:rPr>
                  </w:pPr>
                  <w:r>
                    <w:rPr>
                      <w:rFonts w:hint="default" w:ascii="Times New Roman" w:hAnsi="Times New Roman" w:cs="Times New Roman"/>
                      <w:color w:val="000000" w:themeColor="text1"/>
                      <w:spacing w:val="0"/>
                      <w:highlight w:val="none"/>
                      <w14:textFill>
                        <w14:solidFill>
                          <w14:schemeClr w14:val="tx1"/>
                        </w14:solidFill>
                      </w14:textFill>
                    </w:rPr>
                    <w:t>噪声Leq（A）</w:t>
                  </w:r>
                </w:p>
              </w:tc>
              <w:tc>
                <w:tcPr>
                  <w:tcW w:w="914" w:type="dxa"/>
                  <w:vMerge w:val="restart"/>
                  <w:noWrap w:val="0"/>
                  <w:vAlign w:val="center"/>
                </w:tcPr>
                <w:p w14:paraId="24B9E7D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pacing w:val="0"/>
                      <w:highlight w:val="none"/>
                      <w14:textFill>
                        <w14:solidFill>
                          <w14:schemeClr w14:val="tx1"/>
                        </w14:solidFill>
                      </w14:textFill>
                    </w:rPr>
                  </w:pPr>
                  <w:r>
                    <w:rPr>
                      <w:rFonts w:hint="default" w:ascii="Times New Roman" w:hAnsi="Times New Roman" w:cs="Times New Roman"/>
                      <w:color w:val="000000" w:themeColor="text1"/>
                      <w:spacing w:val="0"/>
                      <w:highlight w:val="none"/>
                      <w14:textFill>
                        <w14:solidFill>
                          <w14:schemeClr w14:val="tx1"/>
                        </w14:solidFill>
                      </w14:textFill>
                    </w:rPr>
                    <w:t>每</w:t>
                  </w:r>
                  <w:r>
                    <w:rPr>
                      <w:rFonts w:hint="default" w:ascii="Times New Roman" w:hAnsi="Times New Roman" w:cs="Times New Roman"/>
                      <w:color w:val="000000" w:themeColor="text1"/>
                      <w:spacing w:val="0"/>
                      <w:highlight w:val="none"/>
                      <w:lang w:val="en-US" w:eastAsia="zh-CN"/>
                      <w14:textFill>
                        <w14:solidFill>
                          <w14:schemeClr w14:val="tx1"/>
                        </w14:solidFill>
                      </w14:textFill>
                    </w:rPr>
                    <w:t>季度</w:t>
                  </w:r>
                  <w:r>
                    <w:rPr>
                      <w:rFonts w:hint="default" w:ascii="Times New Roman" w:hAnsi="Times New Roman" w:cs="Times New Roman"/>
                      <w:color w:val="000000" w:themeColor="text1"/>
                      <w:spacing w:val="0"/>
                      <w:highlight w:val="none"/>
                      <w14:textFill>
                        <w14:solidFill>
                          <w14:schemeClr w14:val="tx1"/>
                        </w14:solidFill>
                      </w14:textFill>
                    </w:rPr>
                    <w:t>1次</w:t>
                  </w:r>
                </w:p>
              </w:tc>
              <w:tc>
                <w:tcPr>
                  <w:tcW w:w="4415" w:type="dxa"/>
                  <w:noWrap w:val="0"/>
                  <w:vAlign w:val="center"/>
                </w:tcPr>
                <w:p w14:paraId="2ED6346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pacing w:val="0"/>
                      <w:highlight w:val="none"/>
                      <w14:textFill>
                        <w14:solidFill>
                          <w14:schemeClr w14:val="tx1"/>
                        </w14:solidFill>
                      </w14:textFill>
                    </w:rPr>
                  </w:pPr>
                  <w:r>
                    <w:rPr>
                      <w:rFonts w:hint="default" w:ascii="Times New Roman" w:hAnsi="Times New Roman" w:cs="Times New Roman"/>
                      <w:color w:val="000000" w:themeColor="text1"/>
                      <w:spacing w:val="0"/>
                      <w:highlight w:val="none"/>
                      <w14:textFill>
                        <w14:solidFill>
                          <w14:schemeClr w14:val="tx1"/>
                        </w14:solidFill>
                      </w14:textFill>
                    </w:rPr>
                    <w:t>《工业企业厂界环境噪声排放标准》（GB12348－2008）中的2类标准</w:t>
                  </w:r>
                </w:p>
              </w:tc>
            </w:tr>
            <w:tr w14:paraId="16DC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78" w:type="dxa"/>
                  <w:noWrap w:val="0"/>
                  <w:vAlign w:val="center"/>
                </w:tcPr>
                <w:p w14:paraId="47A478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南厂界噪声</w:t>
                  </w:r>
                </w:p>
              </w:tc>
              <w:tc>
                <w:tcPr>
                  <w:tcW w:w="1252" w:type="dxa"/>
                  <w:vMerge w:val="continue"/>
                  <w:noWrap w:val="0"/>
                  <w:vAlign w:val="center"/>
                </w:tcPr>
                <w:p w14:paraId="1DBB2EE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pacing w:val="0"/>
                      <w:highlight w:val="none"/>
                      <w14:textFill>
                        <w14:solidFill>
                          <w14:schemeClr w14:val="tx1"/>
                        </w14:solidFill>
                      </w14:textFill>
                    </w:rPr>
                  </w:pPr>
                </w:p>
              </w:tc>
              <w:tc>
                <w:tcPr>
                  <w:tcW w:w="914" w:type="dxa"/>
                  <w:vMerge w:val="continue"/>
                  <w:noWrap w:val="0"/>
                  <w:vAlign w:val="center"/>
                </w:tcPr>
                <w:p w14:paraId="0DF32AC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pacing w:val="0"/>
                      <w:highlight w:val="none"/>
                      <w14:textFill>
                        <w14:solidFill>
                          <w14:schemeClr w14:val="tx1"/>
                        </w14:solidFill>
                      </w14:textFill>
                    </w:rPr>
                  </w:pPr>
                </w:p>
              </w:tc>
              <w:tc>
                <w:tcPr>
                  <w:tcW w:w="4415" w:type="dxa"/>
                  <w:noWrap w:val="0"/>
                  <w:vAlign w:val="center"/>
                </w:tcPr>
                <w:p w14:paraId="6C346C0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cs="Times New Roman"/>
                      <w:color w:val="000000" w:themeColor="text1"/>
                      <w:spacing w:val="0"/>
                      <w:highlight w:val="none"/>
                      <w14:textFill>
                        <w14:solidFill>
                          <w14:schemeClr w14:val="tx1"/>
                        </w14:solidFill>
                      </w14:textFill>
                    </w:rPr>
                  </w:pPr>
                  <w:r>
                    <w:rPr>
                      <w:rFonts w:hint="default" w:ascii="Times New Roman" w:hAnsi="Times New Roman" w:cs="Times New Roman"/>
                      <w:color w:val="000000" w:themeColor="text1"/>
                      <w:spacing w:val="0"/>
                      <w:highlight w:val="none"/>
                      <w14:textFill>
                        <w14:solidFill>
                          <w14:schemeClr w14:val="tx1"/>
                        </w14:solidFill>
                      </w14:textFill>
                    </w:rPr>
                    <w:t>《工业企业厂界环境噪声排放标准》（GB12348－2008）中的</w:t>
                  </w:r>
                  <w:r>
                    <w:rPr>
                      <w:rFonts w:hint="eastAsia" w:ascii="Times New Roman" w:hAnsi="Times New Roman" w:cs="Times New Roman"/>
                      <w:color w:val="000000" w:themeColor="text1"/>
                      <w:spacing w:val="0"/>
                      <w:highlight w:val="none"/>
                      <w:lang w:val="en-US" w:eastAsia="zh-CN"/>
                      <w14:textFill>
                        <w14:solidFill>
                          <w14:schemeClr w14:val="tx1"/>
                        </w14:solidFill>
                      </w14:textFill>
                    </w:rPr>
                    <w:t>4</w:t>
                  </w:r>
                  <w:r>
                    <w:rPr>
                      <w:rFonts w:hint="default" w:ascii="Times New Roman" w:hAnsi="Times New Roman" w:cs="Times New Roman"/>
                      <w:color w:val="000000" w:themeColor="text1"/>
                      <w:spacing w:val="0"/>
                      <w:highlight w:val="none"/>
                      <w14:textFill>
                        <w14:solidFill>
                          <w14:schemeClr w14:val="tx1"/>
                        </w14:solidFill>
                      </w14:textFill>
                    </w:rPr>
                    <w:t>类标准</w:t>
                  </w:r>
                </w:p>
              </w:tc>
            </w:tr>
          </w:tbl>
          <w:p w14:paraId="18415444">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4.固体废物</w:t>
            </w:r>
          </w:p>
          <w:p w14:paraId="2B677E9E">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本项目产生的固体废物为拌合残渣、除尘灰；危险废物为设备检修产生的废润滑油、废润滑油桶以及环保设施内的废活性炭。</w:t>
            </w:r>
          </w:p>
          <w:p w14:paraId="1C99485B">
            <w:pPr>
              <w:pStyle w:val="9"/>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cs="Times New Roman"/>
                <w:b/>
                <w:bCs/>
                <w:color w:val="000000" w:themeColor="text1"/>
                <w:spacing w:val="0"/>
                <w:position w:val="0"/>
                <w:sz w:val="21"/>
                <w:szCs w:val="21"/>
                <w:highlight w:val="none"/>
                <w:lang w:val="en-US" w:eastAsia="zh-CN"/>
                <w14:textFill>
                  <w14:solidFill>
                    <w14:schemeClr w14:val="tx1"/>
                  </w14:solidFill>
                </w14:textFill>
              </w:rPr>
              <w:t>（1）固体废物的产生及处置情况</w:t>
            </w:r>
          </w:p>
          <w:p w14:paraId="3CCB0162">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①拌合残渣</w:t>
            </w:r>
          </w:p>
          <w:p w14:paraId="2F7C8AE9">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本项目在生产过程中不可避免会产生一部分拌合残渣，根据生产经验和类比同类报告，本项目拌合残值按原料总投入1.14%计算，拌合残渣约为583.944/a，收集后回用于生产。</w:t>
            </w:r>
          </w:p>
          <w:p w14:paraId="7DC39111">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②除尘灰</w:t>
            </w:r>
          </w:p>
          <w:p w14:paraId="7252FF2A">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根据计算本项目铣刨沥青烘干、骨料烘干过程中会产生颗粒物由布袋除尘器收集，根据废气源强核，该生产工段的收集粉尘为236.135t，铣刨沥青在破碎筛分过程中会产生一部分的颗粒物，有单独的布袋除尘器收集，该生产工段收集的粉尘为4.455t/a。故本项目除尘灰的产生量为240.590t/a，收集后作为原料回用于生产。</w:t>
            </w:r>
          </w:p>
          <w:p w14:paraId="0275AA39">
            <w:pPr>
              <w:pStyle w:val="9"/>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cs="Times New Roman"/>
                <w:b/>
                <w:bCs/>
                <w:color w:val="000000" w:themeColor="text1"/>
                <w:spacing w:val="0"/>
                <w:position w:val="0"/>
                <w:sz w:val="21"/>
                <w:szCs w:val="21"/>
                <w:highlight w:val="none"/>
                <w:lang w:val="en-US" w:eastAsia="zh-CN"/>
                <w14:textFill>
                  <w14:solidFill>
                    <w14:schemeClr w14:val="tx1"/>
                  </w14:solidFill>
                </w14:textFill>
              </w:rPr>
              <w:t>（2）危险废物的产生及处置情况</w:t>
            </w:r>
          </w:p>
          <w:p w14:paraId="19A1916C">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①废润滑油、废润滑油桶</w:t>
            </w:r>
          </w:p>
          <w:p w14:paraId="4D213A79">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本项目设备检修和维护时会产生少量废润滑油、废润滑油桶，废润滑油产生量约为0.5t/a，废润滑油桶产生量约为0.15t/a，暂存于企业已建危险废物暂存间内，定期交由</w:t>
            </w:r>
            <w:r>
              <w:rPr>
                <w:rFonts w:hint="eastAsia" w:cs="Times New Roman"/>
                <w:b w:val="0"/>
                <w:bCs w:val="0"/>
                <w:color w:val="000000" w:themeColor="text1"/>
                <w:sz w:val="21"/>
                <w:szCs w:val="21"/>
                <w:highlight w:val="none"/>
                <w:lang w:val="en-US" w:eastAsia="zh-CN"/>
                <w14:textFill>
                  <w14:solidFill>
                    <w14:schemeClr w14:val="tx1"/>
                  </w14:solidFill>
                </w14:textFill>
              </w:rPr>
              <w:t>唐山浩昌杰环保科技发展有限公司</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处置。</w:t>
            </w:r>
          </w:p>
          <w:p w14:paraId="31423631">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②废活性炭</w:t>
            </w:r>
          </w:p>
          <w:p w14:paraId="776E6D56">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本项目采用“</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的措施处理非甲烷总烃、苯并[a]芘和沥青烟，类别同类项目废活性炭的年产生量约为沥青烟的3倍，本项目沥青烟的产生总量为0.003t/a，因此本项目废活性炭的产生量为0.009t/a、废活性炭暂存于本项目已建危险废物暂存间内，定期交由有资质单位处理。</w:t>
            </w:r>
          </w:p>
          <w:p w14:paraId="3C71A385">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③废焦油</w:t>
            </w:r>
          </w:p>
          <w:p w14:paraId="428FF973">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类别同类项目，废焦油的产生量约为0.5t/a，暂存于企业已建危险废物暂存间内，定期由</w:t>
            </w:r>
            <w:r>
              <w:rPr>
                <w:rFonts w:hint="eastAsia" w:cs="Times New Roman"/>
                <w:b w:val="0"/>
                <w:bCs w:val="0"/>
                <w:color w:val="000000" w:themeColor="text1"/>
                <w:sz w:val="21"/>
                <w:szCs w:val="21"/>
                <w:highlight w:val="none"/>
                <w:lang w:val="en-US" w:eastAsia="zh-CN"/>
                <w14:textFill>
                  <w14:solidFill>
                    <w14:schemeClr w14:val="tx1"/>
                  </w14:solidFill>
                </w14:textFill>
              </w:rPr>
              <w:t>唐山浩昌杰环保科技发展有限公司进行处置。</w:t>
            </w:r>
          </w:p>
          <w:p w14:paraId="34E30FF2">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项目运营期固体废物产生情况详见下表：</w:t>
            </w:r>
          </w:p>
          <w:p w14:paraId="00B930A0">
            <w:pPr>
              <w:pStyle w:val="9"/>
              <w:pageBreakBefore w:val="0"/>
              <w:widowControl w:val="0"/>
              <w:kinsoku/>
              <w:wordWrap w:val="0"/>
              <w:overflowPunct/>
              <w:topLinePunct w:val="0"/>
              <w:autoSpaceDE/>
              <w:autoSpaceDN/>
              <w:bidi w:val="0"/>
              <w:adjustRightInd/>
              <w:snapToGrid/>
              <w:spacing w:line="480" w:lineRule="exact"/>
              <w:ind w:left="0" w:leftChars="0" w:firstLine="0" w:firstLineChars="0"/>
              <w:jc w:val="center"/>
              <w:textAlignment w:val="auto"/>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p>
          <w:p w14:paraId="6A319E4F">
            <w:pPr>
              <w:pStyle w:val="9"/>
              <w:pageBreakBefore w:val="0"/>
              <w:widowControl w:val="0"/>
              <w:kinsoku/>
              <w:wordWrap w:val="0"/>
              <w:overflowPunct/>
              <w:topLinePunct w:val="0"/>
              <w:autoSpaceDE/>
              <w:autoSpaceDN/>
              <w:bidi w:val="0"/>
              <w:adjustRightInd/>
              <w:snapToGrid/>
              <w:spacing w:line="480" w:lineRule="exact"/>
              <w:ind w:left="0" w:leftChars="0" w:firstLine="0" w:firstLineChars="0"/>
              <w:jc w:val="center"/>
              <w:textAlignment w:val="auto"/>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16</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一般</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固体废物详细信息表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701"/>
              <w:gridCol w:w="372"/>
              <w:gridCol w:w="639"/>
              <w:gridCol w:w="885"/>
              <w:gridCol w:w="671"/>
              <w:gridCol w:w="708"/>
              <w:gridCol w:w="650"/>
              <w:gridCol w:w="595"/>
              <w:gridCol w:w="935"/>
              <w:gridCol w:w="607"/>
            </w:tblGrid>
            <w:tr w14:paraId="7F57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2" w:type="pct"/>
                  <w:noWrap w:val="0"/>
                  <w:vAlign w:val="center"/>
                </w:tcPr>
                <w:p w14:paraId="13F36F6E">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产生环节</w:t>
                  </w:r>
                </w:p>
              </w:tc>
              <w:tc>
                <w:tcPr>
                  <w:tcW w:w="416" w:type="pct"/>
                  <w:noWrap w:val="0"/>
                  <w:vAlign w:val="center"/>
                </w:tcPr>
                <w:p w14:paraId="450C28AD">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名称</w:t>
                  </w:r>
                </w:p>
              </w:tc>
              <w:tc>
                <w:tcPr>
                  <w:tcW w:w="221" w:type="pct"/>
                  <w:noWrap w:val="0"/>
                  <w:vAlign w:val="center"/>
                </w:tcPr>
                <w:p w14:paraId="36D43BF5">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属性</w:t>
                  </w:r>
                </w:p>
              </w:tc>
              <w:tc>
                <w:tcPr>
                  <w:tcW w:w="379" w:type="pct"/>
                  <w:noWrap w:val="0"/>
                  <w:vAlign w:val="center"/>
                </w:tcPr>
                <w:p w14:paraId="5297AA93">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编码</w:t>
                  </w:r>
                </w:p>
              </w:tc>
              <w:tc>
                <w:tcPr>
                  <w:tcW w:w="525" w:type="pct"/>
                  <w:noWrap w:val="0"/>
                  <w:vAlign w:val="center"/>
                </w:tcPr>
                <w:p w14:paraId="768421CC">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主要有毒有害物质名称</w:t>
                  </w:r>
                </w:p>
              </w:tc>
              <w:tc>
                <w:tcPr>
                  <w:tcW w:w="398" w:type="pct"/>
                  <w:noWrap w:val="0"/>
                  <w:vAlign w:val="center"/>
                </w:tcPr>
                <w:p w14:paraId="1B76C0C8">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物理性状</w:t>
                  </w:r>
                </w:p>
              </w:tc>
              <w:tc>
                <w:tcPr>
                  <w:tcW w:w="420" w:type="pct"/>
                  <w:noWrap w:val="0"/>
                  <w:vAlign w:val="center"/>
                </w:tcPr>
                <w:p w14:paraId="525DA845">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环境危险特性</w:t>
                  </w:r>
                </w:p>
              </w:tc>
              <w:tc>
                <w:tcPr>
                  <w:tcW w:w="386" w:type="pct"/>
                  <w:noWrap w:val="0"/>
                  <w:vAlign w:val="center"/>
                </w:tcPr>
                <w:p w14:paraId="0F24B875">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年度产生量</w:t>
                  </w:r>
                </w:p>
              </w:tc>
              <w:tc>
                <w:tcPr>
                  <w:tcW w:w="353" w:type="pct"/>
                  <w:noWrap w:val="0"/>
                  <w:vAlign w:val="center"/>
                </w:tcPr>
                <w:p w14:paraId="1A947C8C">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贮存方式</w:t>
                  </w:r>
                </w:p>
              </w:tc>
              <w:tc>
                <w:tcPr>
                  <w:tcW w:w="555" w:type="pct"/>
                  <w:noWrap w:val="0"/>
                  <w:vAlign w:val="center"/>
                </w:tcPr>
                <w:p w14:paraId="04FBBFD6">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处置方式及去向</w:t>
                  </w:r>
                </w:p>
              </w:tc>
              <w:tc>
                <w:tcPr>
                  <w:tcW w:w="360" w:type="pct"/>
                  <w:noWrap w:val="0"/>
                  <w:vAlign w:val="center"/>
                </w:tcPr>
                <w:p w14:paraId="2BC98FD3">
                  <w:pPr>
                    <w:pageBreakBefore w:val="0"/>
                    <w:kinsoku/>
                    <w:wordWrap w:val="0"/>
                    <w:overflowPunct/>
                    <w:bidi w:val="0"/>
                    <w:snapToGrid w:val="0"/>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处置量</w:t>
                  </w:r>
                </w:p>
              </w:tc>
            </w:tr>
            <w:tr w14:paraId="0276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2" w:type="pct"/>
                  <w:noWrap w:val="0"/>
                  <w:vAlign w:val="center"/>
                </w:tcPr>
                <w:p w14:paraId="65D013B1">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搅拌器</w:t>
                  </w:r>
                </w:p>
              </w:tc>
              <w:tc>
                <w:tcPr>
                  <w:tcW w:w="416" w:type="pct"/>
                  <w:noWrap w:val="0"/>
                  <w:vAlign w:val="center"/>
                </w:tcPr>
                <w:p w14:paraId="4746973B">
                  <w:pPr>
                    <w:pageBreakBefore w:val="0"/>
                    <w:kinsoku/>
                    <w:wordWrap w:val="0"/>
                    <w:overflowPunct/>
                    <w:bidi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拌合残渣</w:t>
                  </w:r>
                </w:p>
              </w:tc>
              <w:tc>
                <w:tcPr>
                  <w:tcW w:w="221" w:type="pct"/>
                  <w:noWrap w:val="0"/>
                  <w:vAlign w:val="center"/>
                </w:tcPr>
                <w:p w14:paraId="650DE649">
                  <w:pPr>
                    <w:pageBreakBefore w:val="0"/>
                    <w:kinsoku/>
                    <w:wordWrap w:val="0"/>
                    <w:overflowPunct/>
                    <w:bidi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c>
                <w:tcPr>
                  <w:tcW w:w="379" w:type="pct"/>
                  <w:vMerge w:val="restart"/>
                  <w:noWrap w:val="0"/>
                  <w:vAlign w:val="center"/>
                </w:tcPr>
                <w:p w14:paraId="0FF92DCA">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900-009-S59</w:t>
                  </w:r>
                </w:p>
              </w:tc>
              <w:tc>
                <w:tcPr>
                  <w:tcW w:w="525" w:type="pct"/>
                  <w:noWrap w:val="0"/>
                  <w:vAlign w:val="center"/>
                </w:tcPr>
                <w:p w14:paraId="4531F715">
                  <w:pPr>
                    <w:pageBreakBefore w:val="0"/>
                    <w:kinsoku/>
                    <w:wordWrap w:val="0"/>
                    <w:overflowPunct/>
                    <w:bidi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c>
                <w:tcPr>
                  <w:tcW w:w="398" w:type="pct"/>
                  <w:noWrap w:val="0"/>
                  <w:vAlign w:val="center"/>
                </w:tcPr>
                <w:p w14:paraId="440F5AA1">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固态</w:t>
                  </w:r>
                </w:p>
              </w:tc>
              <w:tc>
                <w:tcPr>
                  <w:tcW w:w="420" w:type="pct"/>
                  <w:noWrap w:val="0"/>
                  <w:vAlign w:val="center"/>
                </w:tcPr>
                <w:p w14:paraId="59D51A1C">
                  <w:pPr>
                    <w:pageBreakBefore w:val="0"/>
                    <w:kinsoku/>
                    <w:wordWrap w:val="0"/>
                    <w:overflowPunct/>
                    <w:bidi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c>
                <w:tcPr>
                  <w:tcW w:w="386" w:type="pct"/>
                  <w:noWrap w:val="0"/>
                  <w:vAlign w:val="center"/>
                </w:tcPr>
                <w:p w14:paraId="2AF5E4F1">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583.944t/a</w:t>
                  </w:r>
                </w:p>
              </w:tc>
              <w:tc>
                <w:tcPr>
                  <w:tcW w:w="353" w:type="pct"/>
                  <w:noWrap w:val="0"/>
                  <w:vAlign w:val="center"/>
                </w:tcPr>
                <w:p w14:paraId="484B314D">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c>
                <w:tcPr>
                  <w:tcW w:w="555" w:type="pct"/>
                  <w:vMerge w:val="restart"/>
                  <w:noWrap w:val="0"/>
                  <w:vAlign w:val="center"/>
                </w:tcPr>
                <w:p w14:paraId="2159359E">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集中收集后回用于生产</w:t>
                  </w:r>
                </w:p>
              </w:tc>
              <w:tc>
                <w:tcPr>
                  <w:tcW w:w="360" w:type="pct"/>
                  <w:noWrap w:val="0"/>
                  <w:vAlign w:val="center"/>
                </w:tcPr>
                <w:p w14:paraId="3B69A033">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583.944t/a</w:t>
                  </w:r>
                </w:p>
              </w:tc>
            </w:tr>
            <w:tr w14:paraId="27EE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2" w:type="pct"/>
                  <w:noWrap w:val="0"/>
                  <w:vAlign w:val="center"/>
                </w:tcPr>
                <w:p w14:paraId="2719AD6F">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铣刨沥青烘干、骨料烘干、铣刨沥青破碎筛分</w:t>
                  </w:r>
                </w:p>
              </w:tc>
              <w:tc>
                <w:tcPr>
                  <w:tcW w:w="416" w:type="pct"/>
                  <w:noWrap w:val="0"/>
                  <w:vAlign w:val="center"/>
                </w:tcPr>
                <w:p w14:paraId="290AA2D8">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除尘灰</w:t>
                  </w:r>
                </w:p>
              </w:tc>
              <w:tc>
                <w:tcPr>
                  <w:tcW w:w="221" w:type="pct"/>
                  <w:noWrap w:val="0"/>
                  <w:vAlign w:val="center"/>
                </w:tcPr>
                <w:p w14:paraId="44063A7C">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c>
                <w:tcPr>
                  <w:tcW w:w="379" w:type="pct"/>
                  <w:vMerge w:val="continue"/>
                  <w:noWrap w:val="0"/>
                  <w:vAlign w:val="center"/>
                </w:tcPr>
                <w:p w14:paraId="4FD089BC">
                  <w:pPr>
                    <w:pageBreakBefore w:val="0"/>
                    <w:kinsoku/>
                    <w:wordWrap w:val="0"/>
                    <w:overflowPunct/>
                    <w:bidi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525" w:type="pct"/>
                  <w:noWrap w:val="0"/>
                  <w:vAlign w:val="center"/>
                </w:tcPr>
                <w:p w14:paraId="1818E773">
                  <w:pPr>
                    <w:pageBreakBefore w:val="0"/>
                    <w:kinsoku/>
                    <w:wordWrap w:val="0"/>
                    <w:overflowPunct/>
                    <w:bidi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c>
                <w:tcPr>
                  <w:tcW w:w="398" w:type="pct"/>
                  <w:noWrap w:val="0"/>
                  <w:vAlign w:val="center"/>
                </w:tcPr>
                <w:p w14:paraId="05549F3D">
                  <w:pPr>
                    <w:pageBreakBefore w:val="0"/>
                    <w:kinsoku/>
                    <w:wordWrap w:val="0"/>
                    <w:overflowPunct/>
                    <w:bidi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固态</w:t>
                  </w:r>
                </w:p>
              </w:tc>
              <w:tc>
                <w:tcPr>
                  <w:tcW w:w="420" w:type="pct"/>
                  <w:noWrap w:val="0"/>
                  <w:vAlign w:val="center"/>
                </w:tcPr>
                <w:p w14:paraId="35F58C25">
                  <w:pPr>
                    <w:pageBreakBefore w:val="0"/>
                    <w:kinsoku/>
                    <w:wordWrap w:val="0"/>
                    <w:overflowPunct/>
                    <w:bidi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c>
                <w:tcPr>
                  <w:tcW w:w="386" w:type="pct"/>
                  <w:noWrap w:val="0"/>
                  <w:vAlign w:val="center"/>
                </w:tcPr>
                <w:p w14:paraId="0440ADC0">
                  <w:pPr>
                    <w:pageBreakBefore w:val="0"/>
                    <w:kinsoku/>
                    <w:wordWrap w:val="0"/>
                    <w:overflowPunct/>
                    <w:bidi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240.590t/a</w:t>
                  </w:r>
                </w:p>
              </w:tc>
              <w:tc>
                <w:tcPr>
                  <w:tcW w:w="353" w:type="pct"/>
                  <w:noWrap w:val="0"/>
                  <w:vAlign w:val="center"/>
                </w:tcPr>
                <w:p w14:paraId="340F5140">
                  <w:pPr>
                    <w:pageBreakBefore w:val="0"/>
                    <w:kinsoku/>
                    <w:wordWrap w:val="0"/>
                    <w:overflowPunct/>
                    <w:bidi w:val="0"/>
                    <w:snapToGrid w:val="0"/>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c>
                <w:tcPr>
                  <w:tcW w:w="555" w:type="pct"/>
                  <w:vMerge w:val="continue"/>
                  <w:noWrap w:val="0"/>
                  <w:vAlign w:val="center"/>
                </w:tcPr>
                <w:p w14:paraId="64B1A8E6">
                  <w:pPr>
                    <w:pageBreakBefore w:val="0"/>
                    <w:kinsoku/>
                    <w:wordWrap w:val="0"/>
                    <w:overflowPunct/>
                    <w:bidi w:val="0"/>
                    <w:snapToGrid w:val="0"/>
                    <w:jc w:val="center"/>
                    <w:rPr>
                      <w:rFonts w:ascii="Times New Roman" w:hAnsi="Times New Roman" w:cs="Times New Roman"/>
                      <w:color w:val="000000" w:themeColor="text1"/>
                      <w:szCs w:val="21"/>
                      <w:highlight w:val="none"/>
                      <w14:textFill>
                        <w14:solidFill>
                          <w14:schemeClr w14:val="tx1"/>
                        </w14:solidFill>
                      </w14:textFill>
                    </w:rPr>
                  </w:pPr>
                </w:p>
              </w:tc>
              <w:tc>
                <w:tcPr>
                  <w:tcW w:w="360" w:type="pct"/>
                  <w:noWrap w:val="0"/>
                  <w:vAlign w:val="center"/>
                </w:tcPr>
                <w:p w14:paraId="0786D51B">
                  <w:pPr>
                    <w:pageBreakBefore w:val="0"/>
                    <w:kinsoku/>
                    <w:wordWrap w:val="0"/>
                    <w:overflowPunct/>
                    <w:bidi w:val="0"/>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240.590t/a</w:t>
                  </w:r>
                </w:p>
              </w:tc>
            </w:tr>
          </w:tbl>
          <w:p w14:paraId="0659957C">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根据工艺流程分析及企业提供的相关资料，结合《固体废物鉴别标准通则》（GB34330-2017）、《国家危险废物名录》（2021年版）</w:t>
            </w:r>
            <w:r>
              <w:rPr>
                <w:color w:val="000000" w:themeColor="text1"/>
                <w:highlight w:val="none"/>
                <w14:textFill>
                  <w14:solidFill>
                    <w14:schemeClr w14:val="tx1"/>
                  </w14:solidFill>
                </w14:textFill>
              </w:rPr>
              <w:t>可知：本项目产生的危险废物为</w:t>
            </w:r>
            <w:r>
              <w:rPr>
                <w:rFonts w:hint="eastAsia"/>
                <w:color w:val="000000" w:themeColor="text1"/>
                <w:highlight w:val="none"/>
                <w:lang w:val="en-US" w:eastAsia="zh-CN"/>
                <w14:textFill>
                  <w14:solidFill>
                    <w14:schemeClr w14:val="tx1"/>
                  </w14:solidFill>
                </w14:textFill>
              </w:rPr>
              <w:t>废润滑油、废润滑油桶和废活性炭</w:t>
            </w:r>
            <w:r>
              <w:rPr>
                <w:rFonts w:hint="eastAsia" w:cs="Times New Roman"/>
                <w:color w:val="000000" w:themeColor="text1"/>
                <w:sz w:val="21"/>
                <w:szCs w:val="21"/>
                <w:highlight w:val="none"/>
                <w:lang w:val="en-US" w:eastAsia="zh-CN"/>
                <w14:textFill>
                  <w14:solidFill>
                    <w14:schemeClr w14:val="tx1"/>
                  </w14:solidFill>
                </w14:textFill>
              </w:rPr>
              <w:t>。</w:t>
            </w:r>
          </w:p>
          <w:p w14:paraId="19515F0E">
            <w:pPr>
              <w:keepNext w:val="0"/>
              <w:keepLines w:val="0"/>
              <w:pageBreakBefore w:val="0"/>
              <w:widowControl w:val="0"/>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表4-</w:t>
            </w:r>
            <w:r>
              <w:rPr>
                <w:rFonts w:hint="eastAsia" w:cs="Times New Roman"/>
                <w:b/>
                <w:color w:val="000000" w:themeColor="text1"/>
                <w:szCs w:val="21"/>
                <w:highlight w:val="none"/>
                <w:lang w:val="en-US" w:eastAsia="zh-CN"/>
                <w14:textFill>
                  <w14:solidFill>
                    <w14:schemeClr w14:val="tx1"/>
                  </w14:solidFill>
                </w14:textFill>
              </w:rPr>
              <w:t>17</w:t>
            </w:r>
            <w:r>
              <w:rPr>
                <w:rFonts w:ascii="Times New Roman" w:hAnsi="Times New Roman" w:cs="Times New Roman"/>
                <w:b/>
                <w:color w:val="000000" w:themeColor="text1"/>
                <w:szCs w:val="21"/>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工程分析中危险废物汇总表</w:t>
            </w:r>
          </w:p>
          <w:tbl>
            <w:tblPr>
              <w:tblStyle w:val="3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691"/>
              <w:gridCol w:w="673"/>
              <w:gridCol w:w="699"/>
              <w:gridCol w:w="739"/>
              <w:gridCol w:w="664"/>
              <w:gridCol w:w="524"/>
              <w:gridCol w:w="673"/>
              <w:gridCol w:w="1131"/>
              <w:gridCol w:w="659"/>
              <w:gridCol w:w="555"/>
              <w:gridCol w:w="855"/>
            </w:tblGrid>
            <w:tr w14:paraId="6120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3" w:type="dxa"/>
                  <w:noWrap w:val="0"/>
                  <w:vAlign w:val="center"/>
                </w:tcPr>
                <w:p w14:paraId="00790014">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691" w:type="dxa"/>
                  <w:noWrap w:val="0"/>
                  <w:vAlign w:val="center"/>
                </w:tcPr>
                <w:p w14:paraId="16F54972">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废物名称</w:t>
                  </w:r>
                </w:p>
              </w:tc>
              <w:tc>
                <w:tcPr>
                  <w:tcW w:w="673" w:type="dxa"/>
                  <w:noWrap w:val="0"/>
                  <w:vAlign w:val="center"/>
                </w:tcPr>
                <w:p w14:paraId="4A9917EB">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危险废物类别</w:t>
                  </w:r>
                </w:p>
              </w:tc>
              <w:tc>
                <w:tcPr>
                  <w:tcW w:w="699" w:type="dxa"/>
                  <w:noWrap w:val="0"/>
                  <w:vAlign w:val="center"/>
                </w:tcPr>
                <w:p w14:paraId="21C453B8">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危险</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代码</w:t>
                  </w:r>
                </w:p>
              </w:tc>
              <w:tc>
                <w:tcPr>
                  <w:tcW w:w="739" w:type="dxa"/>
                  <w:noWrap w:val="0"/>
                  <w:vAlign w:val="center"/>
                </w:tcPr>
                <w:p w14:paraId="63147CCD">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产生量</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（t）</w:t>
                  </w:r>
                </w:p>
              </w:tc>
              <w:tc>
                <w:tcPr>
                  <w:tcW w:w="664" w:type="dxa"/>
                  <w:noWrap w:val="0"/>
                  <w:vAlign w:val="center"/>
                </w:tcPr>
                <w:p w14:paraId="607579FD">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产生工序</w:t>
                  </w:r>
                </w:p>
              </w:tc>
              <w:tc>
                <w:tcPr>
                  <w:tcW w:w="524" w:type="dxa"/>
                  <w:noWrap w:val="0"/>
                  <w:vAlign w:val="center"/>
                </w:tcPr>
                <w:p w14:paraId="6385CBCC">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形态</w:t>
                  </w:r>
                </w:p>
              </w:tc>
              <w:tc>
                <w:tcPr>
                  <w:tcW w:w="673" w:type="dxa"/>
                  <w:noWrap w:val="0"/>
                  <w:vAlign w:val="center"/>
                </w:tcPr>
                <w:p w14:paraId="2E9B2AC1">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主要成分</w:t>
                  </w:r>
                </w:p>
              </w:tc>
              <w:tc>
                <w:tcPr>
                  <w:tcW w:w="1131" w:type="dxa"/>
                  <w:noWrap w:val="0"/>
                  <w:vAlign w:val="center"/>
                </w:tcPr>
                <w:p w14:paraId="465AE666">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有害成分</w:t>
                  </w:r>
                </w:p>
              </w:tc>
              <w:tc>
                <w:tcPr>
                  <w:tcW w:w="659" w:type="dxa"/>
                  <w:noWrap w:val="0"/>
                  <w:vAlign w:val="center"/>
                </w:tcPr>
                <w:p w14:paraId="70448177">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产废周期</w:t>
                  </w:r>
                </w:p>
              </w:tc>
              <w:tc>
                <w:tcPr>
                  <w:tcW w:w="555" w:type="dxa"/>
                  <w:noWrap w:val="0"/>
                  <w:vAlign w:val="center"/>
                </w:tcPr>
                <w:p w14:paraId="2432BFC6">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危险性</w:t>
                  </w:r>
                </w:p>
              </w:tc>
              <w:tc>
                <w:tcPr>
                  <w:tcW w:w="855" w:type="dxa"/>
                  <w:noWrap w:val="0"/>
                  <w:vAlign w:val="center"/>
                </w:tcPr>
                <w:p w14:paraId="407BA037">
                  <w:pPr>
                    <w:pStyle w:val="38"/>
                    <w:pageBreakBefore w:val="0"/>
                    <w:kinsoku/>
                    <w:wordWrap w:val="0"/>
                    <w:overflowPunct/>
                    <w:bidi w:val="0"/>
                    <w:jc w:val="cente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污染防治措施</w:t>
                  </w:r>
                </w:p>
              </w:tc>
            </w:tr>
            <w:tr w14:paraId="52D1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33" w:type="dxa"/>
                  <w:noWrap w:val="0"/>
                  <w:vAlign w:val="center"/>
                </w:tcPr>
                <w:p w14:paraId="08ECBB94">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691" w:type="dxa"/>
                  <w:noWrap w:val="0"/>
                  <w:vAlign w:val="center"/>
                </w:tcPr>
                <w:p w14:paraId="03C4248C">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废润滑油</w:t>
                  </w:r>
                </w:p>
              </w:tc>
              <w:tc>
                <w:tcPr>
                  <w:tcW w:w="673" w:type="dxa"/>
                  <w:noWrap w:val="0"/>
                  <w:vAlign w:val="center"/>
                </w:tcPr>
                <w:p w14:paraId="2C9B7B77">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t>HW08</w:t>
                  </w:r>
                </w:p>
              </w:tc>
              <w:tc>
                <w:tcPr>
                  <w:tcW w:w="699" w:type="dxa"/>
                  <w:noWrap w:val="0"/>
                  <w:vAlign w:val="center"/>
                </w:tcPr>
                <w:p w14:paraId="0C094E36">
                  <w:pPr>
                    <w:pageBreakBefore w:val="0"/>
                    <w:kinsoku/>
                    <w:wordWrap w:val="0"/>
                    <w:overflowPunct/>
                    <w:bidi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900-217-08</w:t>
                  </w:r>
                </w:p>
              </w:tc>
              <w:tc>
                <w:tcPr>
                  <w:tcW w:w="739" w:type="dxa"/>
                  <w:noWrap w:val="0"/>
                  <w:vAlign w:val="center"/>
                </w:tcPr>
                <w:p w14:paraId="7FCDC0F8">
                  <w:pPr>
                    <w:pageBreakBefore w:val="0"/>
                    <w:kinsoku/>
                    <w:wordWrap w:val="0"/>
                    <w:overflowPunct/>
                    <w:bidi w:val="0"/>
                    <w:snapToGrid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5</w:t>
                  </w:r>
                </w:p>
              </w:tc>
              <w:tc>
                <w:tcPr>
                  <w:tcW w:w="664" w:type="dxa"/>
                  <w:noWrap w:val="0"/>
                  <w:vAlign w:val="center"/>
                </w:tcPr>
                <w:p w14:paraId="09690D04">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设备检修</w:t>
                  </w:r>
                </w:p>
              </w:tc>
              <w:tc>
                <w:tcPr>
                  <w:tcW w:w="524" w:type="dxa"/>
                  <w:noWrap w:val="0"/>
                  <w:vAlign w:val="center"/>
                </w:tcPr>
                <w:p w14:paraId="29D9BB7A">
                  <w:pPr>
                    <w:pageBreakBefore w:val="0"/>
                    <w:kinsoku/>
                    <w:wordWrap w:val="0"/>
                    <w:overflowPunct/>
                    <w:bidi w:val="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液态</w:t>
                  </w:r>
                </w:p>
              </w:tc>
              <w:tc>
                <w:tcPr>
                  <w:tcW w:w="673" w:type="dxa"/>
                  <w:noWrap w:val="0"/>
                  <w:vAlign w:val="center"/>
                </w:tcPr>
                <w:p w14:paraId="7C32A09F">
                  <w:pPr>
                    <w:pStyle w:val="93"/>
                    <w:pageBreakBefore w:val="0"/>
                    <w:kinsoku/>
                    <w:wordWrap w:val="0"/>
                    <w:overflowPunct/>
                    <w:bidi w:val="0"/>
                    <w:spacing w:line="240" w:lineRule="auto"/>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t>矿物油</w:t>
                  </w:r>
                </w:p>
              </w:tc>
              <w:tc>
                <w:tcPr>
                  <w:tcW w:w="1131" w:type="dxa"/>
                  <w:noWrap w:val="0"/>
                  <w:vAlign w:val="center"/>
                </w:tcPr>
                <w:p w14:paraId="48DD12BD">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矿物油</w:t>
                  </w:r>
                </w:p>
              </w:tc>
              <w:tc>
                <w:tcPr>
                  <w:tcW w:w="659" w:type="dxa"/>
                  <w:noWrap w:val="0"/>
                  <w:vAlign w:val="center"/>
                </w:tcPr>
                <w:p w14:paraId="1CEB18B0">
                  <w:pPr>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一年</w:t>
                  </w:r>
                </w:p>
              </w:tc>
              <w:tc>
                <w:tcPr>
                  <w:tcW w:w="555" w:type="dxa"/>
                  <w:noWrap w:val="0"/>
                  <w:vAlign w:val="center"/>
                </w:tcPr>
                <w:p w14:paraId="5F431B9E">
                  <w:pPr>
                    <w:pageBreakBefore w:val="0"/>
                    <w:kinsoku/>
                    <w:wordWrap w:val="0"/>
                    <w:overflowPunct/>
                    <w:bidi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T，I</w:t>
                  </w:r>
                </w:p>
              </w:tc>
              <w:tc>
                <w:tcPr>
                  <w:tcW w:w="855" w:type="dxa"/>
                  <w:vMerge w:val="restart"/>
                  <w:noWrap w:val="0"/>
                  <w:vAlign w:val="center"/>
                </w:tcPr>
                <w:p w14:paraId="042C5FCA">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暂存于企业自建危险废物暂存间内，定期委托有资质单位处置</w:t>
                  </w:r>
                </w:p>
              </w:tc>
            </w:tr>
            <w:tr w14:paraId="7A0B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33" w:type="dxa"/>
                  <w:noWrap w:val="0"/>
                  <w:vAlign w:val="center"/>
                </w:tcPr>
                <w:p w14:paraId="2882886F">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691" w:type="dxa"/>
                  <w:noWrap w:val="0"/>
                  <w:vAlign w:val="center"/>
                </w:tcPr>
                <w:p w14:paraId="34E63923">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废润滑油桶</w:t>
                  </w:r>
                </w:p>
              </w:tc>
              <w:tc>
                <w:tcPr>
                  <w:tcW w:w="673" w:type="dxa"/>
                  <w:noWrap w:val="0"/>
                  <w:vAlign w:val="center"/>
                </w:tcPr>
                <w:p w14:paraId="392C854A">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t>HW08</w:t>
                  </w:r>
                </w:p>
              </w:tc>
              <w:tc>
                <w:tcPr>
                  <w:tcW w:w="699" w:type="dxa"/>
                  <w:noWrap w:val="0"/>
                  <w:vAlign w:val="center"/>
                </w:tcPr>
                <w:p w14:paraId="63E80DB9">
                  <w:pPr>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900-249-08</w:t>
                  </w:r>
                </w:p>
              </w:tc>
              <w:tc>
                <w:tcPr>
                  <w:tcW w:w="739" w:type="dxa"/>
                  <w:noWrap w:val="0"/>
                  <w:vAlign w:val="center"/>
                </w:tcPr>
                <w:p w14:paraId="1667664C">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15</w:t>
                  </w:r>
                </w:p>
              </w:tc>
              <w:tc>
                <w:tcPr>
                  <w:tcW w:w="664" w:type="dxa"/>
                  <w:noWrap w:val="0"/>
                  <w:vAlign w:val="center"/>
                </w:tcPr>
                <w:p w14:paraId="755E9CC8">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设备检修</w:t>
                  </w:r>
                </w:p>
              </w:tc>
              <w:tc>
                <w:tcPr>
                  <w:tcW w:w="524" w:type="dxa"/>
                  <w:noWrap w:val="0"/>
                  <w:vAlign w:val="center"/>
                </w:tcPr>
                <w:p w14:paraId="0B7B22DE">
                  <w:pPr>
                    <w:pageBreakBefore w:val="0"/>
                    <w:kinsoku/>
                    <w:wordWrap w:val="0"/>
                    <w:overflowPunct/>
                    <w:bidi w:val="0"/>
                    <w:jc w:val="cente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固态</w:t>
                  </w:r>
                </w:p>
              </w:tc>
              <w:tc>
                <w:tcPr>
                  <w:tcW w:w="673" w:type="dxa"/>
                  <w:noWrap w:val="0"/>
                  <w:vAlign w:val="center"/>
                </w:tcPr>
                <w:p w14:paraId="135D76AA">
                  <w:pPr>
                    <w:pStyle w:val="93"/>
                    <w:pageBreakBefore w:val="0"/>
                    <w:kinsoku/>
                    <w:wordWrap w:val="0"/>
                    <w:overflowPunct/>
                    <w:bidi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t>矿物油</w:t>
                  </w:r>
                </w:p>
              </w:tc>
              <w:tc>
                <w:tcPr>
                  <w:tcW w:w="1131" w:type="dxa"/>
                  <w:noWrap w:val="0"/>
                  <w:vAlign w:val="center"/>
                </w:tcPr>
                <w:p w14:paraId="7EF31837">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矿物油</w:t>
                  </w:r>
                </w:p>
              </w:tc>
              <w:tc>
                <w:tcPr>
                  <w:tcW w:w="659" w:type="dxa"/>
                  <w:noWrap w:val="0"/>
                  <w:vAlign w:val="center"/>
                </w:tcPr>
                <w:p w14:paraId="30DC07FF">
                  <w:pPr>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一年</w:t>
                  </w:r>
                </w:p>
              </w:tc>
              <w:tc>
                <w:tcPr>
                  <w:tcW w:w="555" w:type="dxa"/>
                  <w:noWrap w:val="0"/>
                  <w:vAlign w:val="center"/>
                </w:tcPr>
                <w:p w14:paraId="3367E3BF">
                  <w:pPr>
                    <w:pStyle w:val="93"/>
                    <w:pageBreakBefore w:val="0"/>
                    <w:kinsoku/>
                    <w:wordWrap w:val="0"/>
                    <w:overflowPunct/>
                    <w:bidi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T，I</w:t>
                  </w:r>
                </w:p>
              </w:tc>
              <w:tc>
                <w:tcPr>
                  <w:tcW w:w="855" w:type="dxa"/>
                  <w:vMerge w:val="continue"/>
                  <w:noWrap w:val="0"/>
                  <w:vAlign w:val="center"/>
                </w:tcPr>
                <w:p w14:paraId="3919FC23">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931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33" w:type="dxa"/>
                  <w:noWrap w:val="0"/>
                  <w:vAlign w:val="center"/>
                </w:tcPr>
                <w:p w14:paraId="4DE5FC7F">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691" w:type="dxa"/>
                  <w:noWrap w:val="0"/>
                  <w:vAlign w:val="center"/>
                </w:tcPr>
                <w:p w14:paraId="7874D03C">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废活性炭</w:t>
                  </w:r>
                </w:p>
              </w:tc>
              <w:tc>
                <w:tcPr>
                  <w:tcW w:w="673" w:type="dxa"/>
                  <w:noWrap w:val="0"/>
                  <w:vAlign w:val="center"/>
                </w:tcPr>
                <w:p w14:paraId="11777115">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t>HW</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49</w:t>
                  </w:r>
                </w:p>
              </w:tc>
              <w:tc>
                <w:tcPr>
                  <w:tcW w:w="699" w:type="dxa"/>
                  <w:noWrap w:val="0"/>
                  <w:vAlign w:val="center"/>
                </w:tcPr>
                <w:p w14:paraId="344F413B">
                  <w:pPr>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w:t>
                  </w:r>
                  <w:r>
                    <w:rPr>
                      <w:rFonts w:hint="eastAsia" w:cs="Times New Roman"/>
                      <w:b w:val="0"/>
                      <w:bCs w:val="0"/>
                      <w:color w:val="000000" w:themeColor="text1"/>
                      <w:sz w:val="21"/>
                      <w:szCs w:val="21"/>
                      <w:highlight w:val="none"/>
                      <w:lang w:val="en-US" w:eastAsia="zh-CN"/>
                      <w14:textFill>
                        <w14:solidFill>
                          <w14:schemeClr w14:val="tx1"/>
                        </w14:solidFill>
                      </w14:textFill>
                    </w:rPr>
                    <w:t>039</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49</w:t>
                  </w:r>
                </w:p>
              </w:tc>
              <w:tc>
                <w:tcPr>
                  <w:tcW w:w="739" w:type="dxa"/>
                  <w:noWrap w:val="0"/>
                  <w:vAlign w:val="center"/>
                </w:tcPr>
                <w:p w14:paraId="166BF382">
                  <w:pPr>
                    <w:pageBreakBefore w:val="0"/>
                    <w:kinsoku/>
                    <w:wordWrap w:val="0"/>
                    <w:overflowPunct/>
                    <w:bidi w:val="0"/>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0.009</w:t>
                  </w:r>
                </w:p>
              </w:tc>
              <w:tc>
                <w:tcPr>
                  <w:tcW w:w="664" w:type="dxa"/>
                  <w:noWrap w:val="0"/>
                  <w:vAlign w:val="center"/>
                </w:tcPr>
                <w:p w14:paraId="129E392D">
                  <w:pPr>
                    <w:pStyle w:val="38"/>
                    <w:pageBreakBefore w:val="0"/>
                    <w:kinsoku/>
                    <w:wordWrap w:val="0"/>
                    <w:overflowPunct/>
                    <w:bidi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环保设施</w:t>
                  </w:r>
                </w:p>
              </w:tc>
              <w:tc>
                <w:tcPr>
                  <w:tcW w:w="524" w:type="dxa"/>
                  <w:noWrap w:val="0"/>
                  <w:vAlign w:val="center"/>
                </w:tcPr>
                <w:p w14:paraId="28B7F0A4">
                  <w:pPr>
                    <w:pageBreakBefore w:val="0"/>
                    <w:kinsoku/>
                    <w:wordWrap w:val="0"/>
                    <w:overflowPunct/>
                    <w:bidi w:val="0"/>
                    <w:jc w:val="cente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固态</w:t>
                  </w:r>
                </w:p>
              </w:tc>
              <w:tc>
                <w:tcPr>
                  <w:tcW w:w="673" w:type="dxa"/>
                  <w:noWrap w:val="0"/>
                  <w:vAlign w:val="center"/>
                </w:tcPr>
                <w:p w14:paraId="35EA5FA1">
                  <w:pPr>
                    <w:pStyle w:val="93"/>
                    <w:pageBreakBefore w:val="0"/>
                    <w:kinsoku/>
                    <w:wordWrap w:val="0"/>
                    <w:overflowPunct/>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废活性炭</w:t>
                  </w:r>
                </w:p>
              </w:tc>
              <w:tc>
                <w:tcPr>
                  <w:tcW w:w="1131" w:type="dxa"/>
                  <w:vMerge w:val="restart"/>
                  <w:noWrap w:val="0"/>
                  <w:vAlign w:val="center"/>
                </w:tcPr>
                <w:p w14:paraId="60BCDE2A">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t>非甲烷总烃、苯并[a]芘</w:t>
                  </w:r>
                  <w:r>
                    <w:rPr>
                      <w:rFonts w:hint="eastAsia" w:ascii="Times New Roman" w:hAnsi="Times New Roman" w:eastAsia="宋体" w:cs="Times New Roman"/>
                      <w:b w:val="0"/>
                      <w:bCs w:val="0"/>
                      <w:color w:val="000000" w:themeColor="text1"/>
                      <w:sz w:val="21"/>
                      <w:szCs w:val="21"/>
                      <w:highlight w:val="none"/>
                      <w:vertAlign w:val="baseli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沥青烟</w:t>
                  </w:r>
                </w:p>
              </w:tc>
              <w:tc>
                <w:tcPr>
                  <w:tcW w:w="659" w:type="dxa"/>
                  <w:noWrap w:val="0"/>
                  <w:vAlign w:val="center"/>
                </w:tcPr>
                <w:p w14:paraId="608206B7">
                  <w:pPr>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一年</w:t>
                  </w:r>
                </w:p>
              </w:tc>
              <w:tc>
                <w:tcPr>
                  <w:tcW w:w="555" w:type="dxa"/>
                  <w:noWrap w:val="0"/>
                  <w:vAlign w:val="center"/>
                </w:tcPr>
                <w:p w14:paraId="51E977EA">
                  <w:pPr>
                    <w:pageBreakBefore w:val="0"/>
                    <w:kinsoku/>
                    <w:wordWrap w:val="0"/>
                    <w:overflowPunct/>
                    <w:bidi w:val="0"/>
                    <w:snapToGrid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T</w:t>
                  </w:r>
                </w:p>
              </w:tc>
              <w:tc>
                <w:tcPr>
                  <w:tcW w:w="855" w:type="dxa"/>
                  <w:vMerge w:val="continue"/>
                  <w:noWrap w:val="0"/>
                  <w:vAlign w:val="center"/>
                </w:tcPr>
                <w:p w14:paraId="43C27C75">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745D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33" w:type="dxa"/>
                  <w:noWrap w:val="0"/>
                  <w:vAlign w:val="center"/>
                </w:tcPr>
                <w:p w14:paraId="0A4F3D05">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691" w:type="dxa"/>
                  <w:noWrap w:val="0"/>
                  <w:vAlign w:val="center"/>
                </w:tcPr>
                <w:p w14:paraId="4CB03BAC">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废焦油</w:t>
                  </w:r>
                </w:p>
              </w:tc>
              <w:tc>
                <w:tcPr>
                  <w:tcW w:w="673" w:type="dxa"/>
                  <w:noWrap w:val="0"/>
                  <w:vAlign w:val="center"/>
                </w:tcPr>
                <w:p w14:paraId="645E5B1D">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HW11</w:t>
                  </w:r>
                </w:p>
              </w:tc>
              <w:tc>
                <w:tcPr>
                  <w:tcW w:w="699" w:type="dxa"/>
                  <w:noWrap w:val="0"/>
                  <w:vAlign w:val="center"/>
                </w:tcPr>
                <w:p w14:paraId="6FE93B77">
                  <w:pPr>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309-001-11</w:t>
                  </w:r>
                </w:p>
              </w:tc>
              <w:tc>
                <w:tcPr>
                  <w:tcW w:w="739" w:type="dxa"/>
                  <w:noWrap w:val="0"/>
                  <w:vAlign w:val="center"/>
                </w:tcPr>
                <w:p w14:paraId="383CE165">
                  <w:pPr>
                    <w:pageBreakBefore w:val="0"/>
                    <w:kinsoku/>
                    <w:wordWrap w:val="0"/>
                    <w:overflowPunct/>
                    <w:bidi w:val="0"/>
                    <w:snapToGrid w:val="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0.5</w:t>
                  </w:r>
                </w:p>
              </w:tc>
              <w:tc>
                <w:tcPr>
                  <w:tcW w:w="664" w:type="dxa"/>
                  <w:noWrap w:val="0"/>
                  <w:vAlign w:val="center"/>
                </w:tcPr>
                <w:p w14:paraId="18FF769F">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环保设施</w:t>
                  </w:r>
                </w:p>
              </w:tc>
              <w:tc>
                <w:tcPr>
                  <w:tcW w:w="524" w:type="dxa"/>
                  <w:noWrap w:val="0"/>
                  <w:vAlign w:val="center"/>
                </w:tcPr>
                <w:p w14:paraId="1BEDE6B2">
                  <w:pPr>
                    <w:pageBreakBefore w:val="0"/>
                    <w:kinsoku/>
                    <w:wordWrap w:val="0"/>
                    <w:overflowPunct/>
                    <w:bidi w:val="0"/>
                    <w:jc w:val="center"/>
                    <w:rPr>
                      <w:rFonts w:hint="default"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val="en-US" w:eastAsia="zh-CN"/>
                      <w14:textFill>
                        <w14:solidFill>
                          <w14:schemeClr w14:val="tx1"/>
                        </w14:solidFill>
                      </w14:textFill>
                    </w:rPr>
                    <w:t>液态</w:t>
                  </w:r>
                </w:p>
              </w:tc>
              <w:tc>
                <w:tcPr>
                  <w:tcW w:w="673" w:type="dxa"/>
                  <w:noWrap w:val="0"/>
                  <w:vAlign w:val="center"/>
                </w:tcPr>
                <w:p w14:paraId="7DEA3F43">
                  <w:pPr>
                    <w:pStyle w:val="93"/>
                    <w:pageBreakBefore w:val="0"/>
                    <w:kinsoku/>
                    <w:wordWrap w:val="0"/>
                    <w:overflowPunct/>
                    <w:bidi w:val="0"/>
                    <w:spacing w:line="240" w:lineRule="auto"/>
                    <w:jc w:val="center"/>
                    <w:rPr>
                      <w:rFonts w:hint="default" w:eastAsia="宋体" w:cs="Times New Roman"/>
                      <w:b w:val="0"/>
                      <w:bCs w:val="0"/>
                      <w:color w:val="000000" w:themeColor="text1"/>
                      <w:sz w:val="21"/>
                      <w:szCs w:val="21"/>
                      <w:highlight w:val="none"/>
                      <w:lang w:val="en-US" w:eastAsia="zh-CN"/>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废焦油</w:t>
                  </w:r>
                </w:p>
              </w:tc>
              <w:tc>
                <w:tcPr>
                  <w:tcW w:w="1131" w:type="dxa"/>
                  <w:vMerge w:val="continue"/>
                  <w:noWrap w:val="0"/>
                  <w:vAlign w:val="center"/>
                </w:tcPr>
                <w:p w14:paraId="7AABCC5D">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p>
              </w:tc>
              <w:tc>
                <w:tcPr>
                  <w:tcW w:w="659" w:type="dxa"/>
                  <w:noWrap w:val="0"/>
                  <w:vAlign w:val="center"/>
                </w:tcPr>
                <w:p w14:paraId="6B7C08B9">
                  <w:pPr>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一年</w:t>
                  </w:r>
                </w:p>
              </w:tc>
              <w:tc>
                <w:tcPr>
                  <w:tcW w:w="555" w:type="dxa"/>
                  <w:noWrap w:val="0"/>
                  <w:vAlign w:val="center"/>
                </w:tcPr>
                <w:p w14:paraId="13C6FB1A">
                  <w:pPr>
                    <w:pageBreakBefore w:val="0"/>
                    <w:kinsoku/>
                    <w:wordWrap w:val="0"/>
                    <w:overflowPunct/>
                    <w:bidi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T</w:t>
                  </w:r>
                </w:p>
              </w:tc>
              <w:tc>
                <w:tcPr>
                  <w:tcW w:w="855" w:type="dxa"/>
                  <w:vMerge w:val="continue"/>
                  <w:noWrap w:val="0"/>
                  <w:vAlign w:val="center"/>
                </w:tcPr>
                <w:p w14:paraId="3CBFAF97">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bl>
          <w:p w14:paraId="484D0ABF">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2" w:firstLineChars="200"/>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kern w:val="2"/>
                <w:sz w:val="21"/>
                <w:szCs w:val="21"/>
                <w:highlight w:val="none"/>
                <w:lang w:val="en-US" w:eastAsia="zh-CN" w:bidi="ar-SA"/>
                <w14:textFill>
                  <w14:solidFill>
                    <w14:schemeClr w14:val="tx1"/>
                  </w14:solidFill>
                </w14:textFill>
              </w:rPr>
              <w:t>（3）危险废物环境影响分析</w:t>
            </w:r>
          </w:p>
          <w:p w14:paraId="1C2E9064">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①危险废物贮存场所</w:t>
            </w:r>
          </w:p>
          <w:p w14:paraId="7D74F744">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本项目产生的危险废物为废润滑油、废润滑油桶和废活性炭，产生环节为设备维护和更换环保设施滤材。</w:t>
            </w:r>
          </w:p>
          <w:p w14:paraId="54EC7446">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建设单位已建设一座6m</w:t>
            </w:r>
            <w:r>
              <w:rPr>
                <w:rFonts w:hint="eastAsia"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eastAsia" w:cs="Times New Roman"/>
                <w:color w:val="000000" w:themeColor="text1"/>
                <w:kern w:val="2"/>
                <w:sz w:val="21"/>
                <w:szCs w:val="21"/>
                <w:highlight w:val="none"/>
                <w:lang w:val="en-US" w:eastAsia="zh-CN" w:bidi="ar-SA"/>
                <w14:textFill>
                  <w14:solidFill>
                    <w14:schemeClr w14:val="tx1"/>
                  </w14:solidFill>
                </w14:textFill>
              </w:rPr>
              <w:t>的危险废物贮存间，按照《危险废物收集、贮存、运输技术规范》（HJ2025-2012）中相关技术要求设置，具体如下：</w:t>
            </w:r>
          </w:p>
          <w:p w14:paraId="40361C69">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A、危险废物贮存设施的选址、设计、建设、运行管理满足GB18597、GBZ1和GBZ2的有关要求。</w:t>
            </w:r>
          </w:p>
          <w:p w14:paraId="4BFA4F05">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B、贮存危险废物时应按危险废物种类和特性进行分区贮存，每个贮存区域之间宜设置挡墙间隔，并设置防风、防雨、防晒、防渗（渗透系数≤10</w:t>
            </w:r>
            <w:r>
              <w:rPr>
                <w:rFonts w:hint="eastAsia" w:cs="Times New Roman"/>
                <w:color w:val="000000" w:themeColor="text1"/>
                <w:kern w:val="2"/>
                <w:sz w:val="21"/>
                <w:szCs w:val="21"/>
                <w:highlight w:val="none"/>
                <w:vertAlign w:val="superscript"/>
                <w:lang w:val="en-US" w:eastAsia="zh-CN" w:bidi="ar-SA"/>
                <w14:textFill>
                  <w14:solidFill>
                    <w14:schemeClr w14:val="tx1"/>
                  </w14:solidFill>
                </w14:textFill>
              </w:rPr>
              <w:t>-10</w:t>
            </w:r>
            <w:r>
              <w:rPr>
                <w:rFonts w:hint="eastAsia" w:cs="Times New Roman"/>
                <w:color w:val="000000" w:themeColor="text1"/>
                <w:kern w:val="2"/>
                <w:sz w:val="21"/>
                <w:szCs w:val="21"/>
                <w:highlight w:val="none"/>
                <w:lang w:val="en-US" w:eastAsia="zh-CN" w:bidi="ar-SA"/>
                <w14:textFill>
                  <w14:solidFill>
                    <w14:schemeClr w14:val="tx1"/>
                  </w14:solidFill>
                </w14:textFill>
              </w:rPr>
              <w:t>cm/s）。</w:t>
            </w:r>
          </w:p>
          <w:p w14:paraId="0E60D9E1">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C、危险废物贮存期限按《中华人民共和国固体废物污染环境防治法》的有关规定，及时交由资质单位集中处置。</w:t>
            </w:r>
          </w:p>
          <w:p w14:paraId="3F66CD87">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D、危险废物贮存单位应建立危险废物贮存的台帐制度，并做好危险废物出入库交接记录。</w:t>
            </w:r>
          </w:p>
          <w:p w14:paraId="03A1A309">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E、存放装载液体、半固体危险废物容器位置，有耐腐蚀的硬化地面，且表面无裂隙。</w:t>
            </w:r>
          </w:p>
          <w:p w14:paraId="05E7964F">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F、危险废物贮存间设置符合《危险废物识别标志设置技术规范》（HJ1276-2022）的专用标志。</w:t>
            </w:r>
          </w:p>
          <w:p w14:paraId="25C7231A">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G、危险废物贮存可分为产生单位内部贮存、中转贮存及集中性贮存。所对应的贮存设施分别为：产生危险废物的单位用于暂时贮存的设施。</w:t>
            </w:r>
          </w:p>
          <w:p w14:paraId="57BC634A">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建设单位已建设一座6m</w:t>
            </w:r>
            <w:r>
              <w:rPr>
                <w:rFonts w:hint="eastAsia"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eastAsia" w:cs="Times New Roman"/>
                <w:color w:val="000000" w:themeColor="text1"/>
                <w:kern w:val="2"/>
                <w:sz w:val="21"/>
                <w:szCs w:val="21"/>
                <w:highlight w:val="none"/>
                <w:lang w:val="en-US" w:eastAsia="zh-CN" w:bidi="ar-SA"/>
                <w14:textFill>
                  <w14:solidFill>
                    <w14:schemeClr w14:val="tx1"/>
                  </w14:solidFill>
                </w14:textFill>
              </w:rPr>
              <w:t>的危险废物暂存间，建设符合</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《危险废物贮存污染控制标准》（GB18597-2023）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中关于危险废物贮存设施的规定</w:t>
            </w:r>
            <w:r>
              <w:rPr>
                <w:rFonts w:hint="eastAsia" w:cs="Times New Roman"/>
                <w:color w:val="000000" w:themeColor="text1"/>
                <w:kern w:val="2"/>
                <w:sz w:val="21"/>
                <w:szCs w:val="21"/>
                <w:highlight w:val="none"/>
                <w:lang w:val="en-US" w:eastAsia="zh-CN" w:bidi="ar-SA"/>
                <w14:textFill>
                  <w14:solidFill>
                    <w14:schemeClr w14:val="tx1"/>
                  </w14:solidFill>
                </w14:textFill>
              </w:rPr>
              <w:t>，具体要求如下所示：</w:t>
            </w:r>
          </w:p>
          <w:p w14:paraId="07667E01">
            <w:pPr>
              <w:pStyle w:val="38"/>
              <w:keepNext w:val="0"/>
              <w:keepLines w:val="0"/>
              <w:pageBreakBefore w:val="0"/>
              <w:widowControl w:val="0"/>
              <w:kinsoku/>
              <w:wordWrap w:val="0"/>
              <w:overflowPunct/>
              <w:topLinePunct w:val="0"/>
              <w:bidi w:val="0"/>
              <w:snapToGrid/>
              <w:spacing w:line="480" w:lineRule="exact"/>
              <w:ind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废暂存间按照《危险废物贮存污染控制标准》（GB18597-2023）及《中华人民共和国固体废物污染环境防治法》（2020年9月1日实施）的相关要求，房间四周壁及裙角用三合土处理，铺设土工膜，再用水泥硬化，并与地面防渗层连成整体，其高度不小于20cm；</w:t>
            </w:r>
          </w:p>
          <w:p w14:paraId="2AB0809A">
            <w:pPr>
              <w:pStyle w:val="38"/>
              <w:keepNext w:val="0"/>
              <w:keepLines w:val="0"/>
              <w:pageBreakBefore w:val="0"/>
              <w:widowControl w:val="0"/>
              <w:kinsoku/>
              <w:wordWrap w:val="0"/>
              <w:overflowPunct/>
              <w:topLinePunct w:val="0"/>
              <w:bidi w:val="0"/>
              <w:snapToGrid/>
              <w:spacing w:line="480" w:lineRule="exact"/>
              <w:ind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危废暂存间不易受严重自然灾害如洪水、滑坡、泥石流、潮汐等影响，危险废物储间为永久性砖混建筑，符合防风、防雨、防晒的要求。室内地面采取整体防渗措施，具体为底部铺设300mm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黏土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层（保护层，同时作为辅助防渗层）压实平整，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黏土层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上铺设HDPE——GCL复合防渗系统（2mm厚的高密度聚乙烯膜、300g/m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土工织物膨润土垫），上部外加耐腐蚀混凝土15cm（保护层）等防渗，渗透系数≤10</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m/s；</w:t>
            </w:r>
          </w:p>
          <w:p w14:paraId="49E4B57C">
            <w:pPr>
              <w:pStyle w:val="38"/>
              <w:keepNext w:val="0"/>
              <w:keepLines w:val="0"/>
              <w:pageBreakBefore w:val="0"/>
              <w:widowControl w:val="0"/>
              <w:kinsoku/>
              <w:wordWrap w:val="0"/>
              <w:overflowPunct/>
              <w:topLinePunct w:val="0"/>
              <w:bidi w:val="0"/>
              <w:snapToGrid/>
              <w:spacing w:line="480" w:lineRule="exact"/>
              <w:ind w:firstLine="420" w:firstLineChars="20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危废暂存间设置围堰，四面墙体均按照要求至少在1.2m高度处以下进行防渗处理，暂存间应封闭、防风、防雨、防日晒；</w:t>
            </w:r>
          </w:p>
          <w:p w14:paraId="226B0AA8">
            <w:pPr>
              <w:pStyle w:val="38"/>
              <w:keepNext w:val="0"/>
              <w:keepLines w:val="0"/>
              <w:pageBreakBefore w:val="0"/>
              <w:widowControl w:val="0"/>
              <w:kinsoku/>
              <w:wordWrap w:val="0"/>
              <w:overflowPunct/>
              <w:topLinePunct w:val="0"/>
              <w:bidi w:val="0"/>
              <w:snapToGrid/>
              <w:spacing w:line="480" w:lineRule="exact"/>
              <w:ind w:firstLine="420" w:firstLineChars="20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危废暂存间按照《危险废物识别标志设置技术规范》</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HJ1276-2022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中9.1危险废物标签、9.3危险废物贮存、利用、处置设施标志相关要求，具体见下表所示。</w:t>
            </w:r>
          </w:p>
          <w:p w14:paraId="29D1E142">
            <w:pPr>
              <w:pStyle w:val="87"/>
              <w:keepNext w:val="0"/>
              <w:keepLines w:val="0"/>
              <w:pageBreakBefore w:val="0"/>
              <w:widowControl w:val="0"/>
              <w:kinsoku/>
              <w:wordWrap w:val="0"/>
              <w:overflowPunct/>
              <w:topLinePunct w:val="0"/>
              <w:bidi w:val="0"/>
              <w:snapToGrid/>
              <w:spacing w:line="480" w:lineRule="exact"/>
              <w:ind w:firstLine="422"/>
              <w:jc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p>
          <w:p w14:paraId="132A0974">
            <w:pPr>
              <w:pStyle w:val="87"/>
              <w:keepNext w:val="0"/>
              <w:keepLines w:val="0"/>
              <w:pageBreakBefore w:val="0"/>
              <w:widowControl w:val="0"/>
              <w:kinsoku/>
              <w:wordWrap w:val="0"/>
              <w:overflowPunct/>
              <w:topLinePunct w:val="0"/>
              <w:bidi w:val="0"/>
              <w:snapToGrid/>
              <w:spacing w:line="480" w:lineRule="exact"/>
              <w:ind w:firstLine="422"/>
              <w:jc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p>
          <w:p w14:paraId="4B7998A5">
            <w:pPr>
              <w:pStyle w:val="87"/>
              <w:keepNext w:val="0"/>
              <w:keepLines w:val="0"/>
              <w:pageBreakBefore w:val="0"/>
              <w:widowControl w:val="0"/>
              <w:kinsoku/>
              <w:wordWrap w:val="0"/>
              <w:overflowPunct/>
              <w:topLinePunct w:val="0"/>
              <w:bidi w:val="0"/>
              <w:snapToGrid/>
              <w:spacing w:line="480" w:lineRule="exact"/>
              <w:ind w:firstLine="422"/>
              <w:jc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p>
          <w:p w14:paraId="31A9CCE7">
            <w:pPr>
              <w:pStyle w:val="87"/>
              <w:keepNext w:val="0"/>
              <w:keepLines w:val="0"/>
              <w:pageBreakBefore w:val="0"/>
              <w:widowControl w:val="0"/>
              <w:kinsoku/>
              <w:wordWrap w:val="0"/>
              <w:overflowPunct/>
              <w:topLinePunct w:val="0"/>
              <w:bidi w:val="0"/>
              <w:snapToGrid/>
              <w:spacing w:line="480" w:lineRule="exact"/>
              <w:ind w:firstLine="422"/>
              <w:jc w:val="cente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表</w:t>
            </w:r>
            <w:r>
              <w:rPr>
                <w:rFonts w:hint="eastAsia" w:cs="Times New Roman"/>
                <w:b/>
                <w:bCs/>
                <w:color w:val="000000" w:themeColor="text1"/>
                <w:kern w:val="2"/>
                <w:sz w:val="21"/>
                <w:szCs w:val="21"/>
                <w:highlight w:val="none"/>
                <w:lang w:val="en-US" w:eastAsia="zh-CN"/>
                <w14:textFill>
                  <w14:solidFill>
                    <w14:schemeClr w14:val="tx1"/>
                  </w14:solidFill>
                </w14:textFill>
              </w:rPr>
              <w:t>4-18</w:t>
            </w: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 xml:space="preserve"> 危险废物标识要求</w:t>
            </w:r>
          </w:p>
          <w:tbl>
            <w:tblPr>
              <w:tblStyle w:val="30"/>
              <w:tblW w:w="496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465"/>
              <w:gridCol w:w="4033"/>
            </w:tblGrid>
            <w:tr w14:paraId="09D7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5" w:type="pct"/>
                  <w:noWrap w:val="0"/>
                  <w:vAlign w:val="center"/>
                </w:tcPr>
                <w:p w14:paraId="60E5E85A">
                  <w:pPr>
                    <w:pStyle w:val="87"/>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场合</w:t>
                  </w:r>
                </w:p>
              </w:tc>
              <w:tc>
                <w:tcPr>
                  <w:tcW w:w="2072" w:type="pct"/>
                  <w:noWrap w:val="0"/>
                  <w:vAlign w:val="center"/>
                </w:tcPr>
                <w:p w14:paraId="6152F7DA">
                  <w:pPr>
                    <w:pStyle w:val="87"/>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样式</w:t>
                  </w:r>
                </w:p>
              </w:tc>
              <w:tc>
                <w:tcPr>
                  <w:tcW w:w="2411" w:type="pct"/>
                  <w:noWrap w:val="0"/>
                  <w:vAlign w:val="center"/>
                </w:tcPr>
                <w:p w14:paraId="7ACE2B09">
                  <w:pPr>
                    <w:pStyle w:val="87"/>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要求</w:t>
                  </w:r>
                </w:p>
              </w:tc>
            </w:tr>
            <w:tr w14:paraId="0E95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trPr>
              <w:tc>
                <w:tcPr>
                  <w:tcW w:w="515" w:type="pct"/>
                  <w:noWrap w:val="0"/>
                  <w:vAlign w:val="center"/>
                </w:tcPr>
                <w:p w14:paraId="2402B034">
                  <w:pPr>
                    <w:pStyle w:val="87"/>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室外</w:t>
                  </w:r>
                  <w:r>
                    <w:rPr>
                      <w:rFonts w:hint="eastAsia" w:cs="Times New Roman"/>
                      <w:color w:val="000000" w:themeColor="text1"/>
                      <w:kern w:val="2"/>
                      <w:sz w:val="21"/>
                      <w:szCs w:val="21"/>
                      <w:highlight w:val="none"/>
                      <w:lang w:val="en-US" w:eastAsia="zh-CN"/>
                      <w14:textFill>
                        <w14:solidFill>
                          <w14:schemeClr w14:val="tx1"/>
                        </w14:solidFill>
                      </w14:textFill>
                    </w:rPr>
                    <w:t>入口</w:t>
                  </w:r>
                </w:p>
              </w:tc>
              <w:tc>
                <w:tcPr>
                  <w:tcW w:w="2072" w:type="pct"/>
                  <w:noWrap w:val="0"/>
                  <w:vAlign w:val="center"/>
                </w:tcPr>
                <w:p w14:paraId="202E3AD6">
                  <w:pPr>
                    <w:pStyle w:val="87"/>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1990090" cy="1236980"/>
                        <wp:effectExtent l="0" t="0" r="10160" b="1270"/>
                        <wp:docPr id="2"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0"/>
                                <pic:cNvPicPr>
                                  <a:picLocks noChangeAspect="1"/>
                                </pic:cNvPicPr>
                              </pic:nvPicPr>
                              <pic:blipFill>
                                <a:blip r:embed="rId21"/>
                                <a:stretch>
                                  <a:fillRect/>
                                </a:stretch>
                              </pic:blipFill>
                              <pic:spPr>
                                <a:xfrm>
                                  <a:off x="0" y="0"/>
                                  <a:ext cx="1990090" cy="1236980"/>
                                </a:xfrm>
                                <a:prstGeom prst="rect">
                                  <a:avLst/>
                                </a:prstGeom>
                                <a:noFill/>
                                <a:ln>
                                  <a:noFill/>
                                </a:ln>
                              </pic:spPr>
                            </pic:pic>
                          </a:graphicData>
                        </a:graphic>
                      </wp:inline>
                    </w:drawing>
                  </w:r>
                </w:p>
              </w:tc>
              <w:tc>
                <w:tcPr>
                  <w:tcW w:w="2411" w:type="pct"/>
                  <w:noWrap w:val="0"/>
                  <w:vAlign w:val="center"/>
                </w:tcPr>
                <w:p w14:paraId="5AA1BCF0">
                  <w:pPr>
                    <w:pStyle w:val="87"/>
                    <w:keepNext w:val="0"/>
                    <w:keepLines w:val="0"/>
                    <w:pageBreakBefore w:val="0"/>
                    <w:widowControl w:val="0"/>
                    <w:kinsoku/>
                    <w:wordWrap w:val="0"/>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000000" w:themeColor="text1"/>
                      <w:kern w:val="2"/>
                      <w:sz w:val="21"/>
                      <w:szCs w:val="21"/>
                      <w:highlight w:val="none"/>
                      <w:vertAlign w:val="superscript"/>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1、标志牌整体外形最小尺寸：900*558mm</w:t>
                  </w:r>
                  <w:r>
                    <w:rPr>
                      <w:rFonts w:hint="eastAsia" w:cs="Times New Roman"/>
                      <w:color w:val="000000" w:themeColor="text1"/>
                      <w:kern w:val="2"/>
                      <w:sz w:val="21"/>
                      <w:szCs w:val="21"/>
                      <w:highlight w:val="none"/>
                      <w:lang w:eastAsia="zh-CN"/>
                      <w14:textFill>
                        <w14:solidFill>
                          <w14:schemeClr w14:val="tx1"/>
                        </w14:solidFill>
                      </w14:textFill>
                    </w:rPr>
                    <w:t>；</w:t>
                  </w:r>
                </w:p>
                <w:p w14:paraId="2822167E">
                  <w:pPr>
                    <w:pStyle w:val="87"/>
                    <w:keepNext w:val="0"/>
                    <w:keepLines w:val="0"/>
                    <w:pageBreakBefore w:val="0"/>
                    <w:widowControl w:val="0"/>
                    <w:kinsoku/>
                    <w:wordWrap w:val="0"/>
                    <w:overflowPunct/>
                    <w:topLinePunct w:val="0"/>
                    <w:autoSpaceDE/>
                    <w:autoSpaceDN/>
                    <w:bidi w:val="0"/>
                    <w:adjustRightInd/>
                    <w:snapToGrid/>
                    <w:spacing w:line="320" w:lineRule="exact"/>
                    <w:ind w:firstLine="0" w:firstLineChars="0"/>
                    <w:jc w:val="left"/>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、三角形警告性标志：三角形外边长500mm，内边长375mm，边框外角圆弧半径30mm</w:t>
                  </w:r>
                  <w:r>
                    <w:rPr>
                      <w:rFonts w:hint="eastAsia" w:cs="Times New Roman"/>
                      <w:color w:val="000000" w:themeColor="text1"/>
                      <w:kern w:val="2"/>
                      <w:sz w:val="21"/>
                      <w:szCs w:val="21"/>
                      <w:highlight w:val="none"/>
                      <w:lang w:eastAsia="zh-CN"/>
                      <w14:textFill>
                        <w14:solidFill>
                          <w14:schemeClr w14:val="tx1"/>
                        </w14:solidFill>
                      </w14:textFill>
                    </w:rPr>
                    <w:t>；</w:t>
                  </w:r>
                </w:p>
                <w:p w14:paraId="618A2053">
                  <w:pPr>
                    <w:pStyle w:val="87"/>
                    <w:keepNext w:val="0"/>
                    <w:keepLines w:val="0"/>
                    <w:pageBreakBefore w:val="0"/>
                    <w:widowControl w:val="0"/>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、最低文字高度：设施类型名称48mm，其他文字24mm。</w:t>
                  </w:r>
                </w:p>
              </w:tc>
            </w:tr>
            <w:tr w14:paraId="6166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0" w:hRule="atLeast"/>
              </w:trPr>
              <w:tc>
                <w:tcPr>
                  <w:tcW w:w="515" w:type="pct"/>
                  <w:noWrap w:val="0"/>
                  <w:vAlign w:val="center"/>
                </w:tcPr>
                <w:p w14:paraId="28542E03">
                  <w:pPr>
                    <w:pStyle w:val="87"/>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粘贴于危险废物储存容器</w:t>
                  </w:r>
                </w:p>
              </w:tc>
              <w:tc>
                <w:tcPr>
                  <w:tcW w:w="2072" w:type="pct"/>
                  <w:noWrap w:val="0"/>
                  <w:vAlign w:val="center"/>
                </w:tcPr>
                <w:p w14:paraId="1BDE40AC">
                  <w:pPr>
                    <w:pStyle w:val="87"/>
                    <w:keepNext w:val="0"/>
                    <w:keepLines w:val="0"/>
                    <w:pageBreakBefore w:val="0"/>
                    <w:widowControl w:val="0"/>
                    <w:kinsoku/>
                    <w:wordWrap w:val="0"/>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71552" behindDoc="0" locked="0" layoutInCell="1" allowOverlap="1">
                        <wp:simplePos x="0" y="0"/>
                        <wp:positionH relativeFrom="column">
                          <wp:posOffset>-30480</wp:posOffset>
                        </wp:positionH>
                        <wp:positionV relativeFrom="page">
                          <wp:posOffset>26670</wp:posOffset>
                        </wp:positionV>
                        <wp:extent cx="2106295" cy="2115820"/>
                        <wp:effectExtent l="0" t="0" r="8255" b="1778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2"/>
                                <a:stretch>
                                  <a:fillRect/>
                                </a:stretch>
                              </pic:blipFill>
                              <pic:spPr>
                                <a:xfrm>
                                  <a:off x="0" y="0"/>
                                  <a:ext cx="2106295" cy="2115820"/>
                                </a:xfrm>
                                <a:prstGeom prst="rect">
                                  <a:avLst/>
                                </a:prstGeom>
                                <a:noFill/>
                                <a:ln>
                                  <a:noFill/>
                                </a:ln>
                              </pic:spPr>
                            </pic:pic>
                          </a:graphicData>
                        </a:graphic>
                      </wp:anchor>
                    </w:drawing>
                  </w:r>
                </w:p>
              </w:tc>
              <w:tc>
                <w:tcPr>
                  <w:tcW w:w="2411" w:type="pct"/>
                  <w:noWrap w:val="0"/>
                  <w:vAlign w:val="center"/>
                </w:tcPr>
                <w:p w14:paraId="3454FAE4">
                  <w:pPr>
                    <w:pStyle w:val="87"/>
                    <w:keepNext w:val="0"/>
                    <w:keepLines w:val="0"/>
                    <w:pageBreakBefore w:val="0"/>
                    <w:widowControl w:val="0"/>
                    <w:numPr>
                      <w:ilvl w:val="0"/>
                      <w:numId w:val="4"/>
                    </w:numPr>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容器或包装物容积≤50L，标签最小尺寸100*100mm，最低文字高度3mm</w:t>
                  </w:r>
                  <w:r>
                    <w:rPr>
                      <w:rFonts w:hint="eastAsia" w:cs="Times New Roman"/>
                      <w:color w:val="000000" w:themeColor="text1"/>
                      <w:kern w:val="2"/>
                      <w:sz w:val="21"/>
                      <w:szCs w:val="21"/>
                      <w:highlight w:val="none"/>
                      <w:lang w:eastAsia="zh-CN"/>
                      <w14:textFill>
                        <w14:solidFill>
                          <w14:schemeClr w14:val="tx1"/>
                        </w14:solidFill>
                      </w14:textFill>
                    </w:rPr>
                    <w:t>；</w:t>
                  </w:r>
                </w:p>
                <w:p w14:paraId="63E16623">
                  <w:pPr>
                    <w:pStyle w:val="87"/>
                    <w:keepNext w:val="0"/>
                    <w:keepLines w:val="0"/>
                    <w:pageBreakBefore w:val="0"/>
                    <w:widowControl w:val="0"/>
                    <w:numPr>
                      <w:ilvl w:val="0"/>
                      <w:numId w:val="4"/>
                    </w:numPr>
                    <w:kinsoku/>
                    <w:wordWrap w:val="0"/>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容器或包装物容积＞50-≤450L，标签最小尺寸150*150mm，最低文字高度5mm</w:t>
                  </w:r>
                  <w:r>
                    <w:rPr>
                      <w:rFonts w:hint="eastAsia" w:cs="Times New Roman"/>
                      <w:color w:val="000000" w:themeColor="text1"/>
                      <w:kern w:val="2"/>
                      <w:sz w:val="21"/>
                      <w:szCs w:val="21"/>
                      <w:highlight w:val="none"/>
                      <w:lang w:eastAsia="zh-CN"/>
                      <w14:textFill>
                        <w14:solidFill>
                          <w14:schemeClr w14:val="tx1"/>
                        </w14:solidFill>
                      </w14:textFill>
                    </w:rPr>
                    <w:t>；</w:t>
                  </w:r>
                </w:p>
                <w:p w14:paraId="1FA5B52D">
                  <w:pPr>
                    <w:pStyle w:val="87"/>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3、容器或包装物容积＞450L，标签最小尺寸200*200mm，最低文字高度6m</w:t>
                  </w:r>
                  <w:r>
                    <w:rPr>
                      <w:rFonts w:hint="eastAsia" w:cs="Times New Roman"/>
                      <w:color w:val="000000" w:themeColor="text1"/>
                      <w:kern w:val="2"/>
                      <w:sz w:val="21"/>
                      <w:szCs w:val="21"/>
                      <w:highlight w:val="none"/>
                      <w:lang w:val="en-US" w:eastAsia="zh-CN"/>
                      <w14:textFill>
                        <w14:solidFill>
                          <w14:schemeClr w14:val="tx1"/>
                        </w14:solidFill>
                      </w14:textFill>
                    </w:rPr>
                    <w:t>m</w:t>
                  </w:r>
                </w:p>
              </w:tc>
            </w:tr>
          </w:tbl>
          <w:p w14:paraId="417F343E">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e</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危险废物产生者和危险废物贮存设施经营者均须做好危险废物情况的记录，记录上须注明危险废物的名称、来源、数量、特性和包装容器的类别、入库日期、存放库位、废物出库日期及接收单位名称，由专人进行管理明确责任，做到双人双锁</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p w14:paraId="49503BCB">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t>根据《建设项目危险废物环境影响评价指南》需要列出建设项目危险废物贮存场</w:t>
            </w:r>
            <w:r>
              <w:rPr>
                <w:rFonts w:hint="eastAsia" w:ascii="宋体" w:hAnsi="宋体" w:eastAsia="宋体" w:cs="宋体"/>
                <w:bCs/>
                <w:color w:val="000000" w:themeColor="text1"/>
                <w:spacing w:val="0"/>
                <w:position w:val="0"/>
                <w:sz w:val="21"/>
                <w:szCs w:val="21"/>
                <w:highlight w:val="none"/>
                <w:lang w:val="en-US" w:eastAsia="zh-CN"/>
                <w14:textFill>
                  <w14:solidFill>
                    <w14:schemeClr w14:val="tx1"/>
                  </w14:solidFill>
                </w14:textFill>
              </w:rPr>
              <w:t>所（设施）基</w:t>
            </w:r>
            <w:r>
              <w:rPr>
                <w:rFonts w:hint="eastAsia"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t>本情况表，见下表所示。</w:t>
            </w:r>
          </w:p>
          <w:p w14:paraId="6A452B0E">
            <w:pPr>
              <w:keepNext w:val="0"/>
              <w:keepLines w:val="0"/>
              <w:pageBreakBefore w:val="0"/>
              <w:widowControl w:val="0"/>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19</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建设项目危险废物贮存场所基本情况表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812"/>
              <w:gridCol w:w="1000"/>
              <w:gridCol w:w="1001"/>
              <w:gridCol w:w="1196"/>
              <w:gridCol w:w="683"/>
              <w:gridCol w:w="781"/>
              <w:gridCol w:w="846"/>
              <w:gridCol w:w="708"/>
              <w:gridCol w:w="776"/>
            </w:tblGrid>
            <w:tr w14:paraId="121F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dxa"/>
                  <w:noWrap w:val="0"/>
                  <w:vAlign w:val="center"/>
                </w:tcPr>
                <w:p w14:paraId="73438182">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序号</w:t>
                  </w:r>
                </w:p>
              </w:tc>
              <w:tc>
                <w:tcPr>
                  <w:tcW w:w="812" w:type="dxa"/>
                  <w:noWrap w:val="0"/>
                  <w:vAlign w:val="center"/>
                </w:tcPr>
                <w:p w14:paraId="5FBB6F45">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贮存场所名称</w:t>
                  </w:r>
                </w:p>
              </w:tc>
              <w:tc>
                <w:tcPr>
                  <w:tcW w:w="1000" w:type="dxa"/>
                  <w:noWrap w:val="0"/>
                  <w:vAlign w:val="center"/>
                </w:tcPr>
                <w:p w14:paraId="28EBD44E">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危险废物名称</w:t>
                  </w:r>
                </w:p>
              </w:tc>
              <w:tc>
                <w:tcPr>
                  <w:tcW w:w="1001" w:type="dxa"/>
                  <w:noWrap w:val="0"/>
                  <w:vAlign w:val="center"/>
                </w:tcPr>
                <w:p w14:paraId="438FB62E">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危险废物类别</w:t>
                  </w:r>
                </w:p>
              </w:tc>
              <w:tc>
                <w:tcPr>
                  <w:tcW w:w="1196" w:type="dxa"/>
                  <w:noWrap w:val="0"/>
                  <w:vAlign w:val="center"/>
                </w:tcPr>
                <w:p w14:paraId="1CB1FD07">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危险废物代码</w:t>
                  </w:r>
                </w:p>
              </w:tc>
              <w:tc>
                <w:tcPr>
                  <w:tcW w:w="683" w:type="dxa"/>
                  <w:noWrap w:val="0"/>
                  <w:vAlign w:val="center"/>
                </w:tcPr>
                <w:p w14:paraId="675F9067">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位置</w:t>
                  </w:r>
                </w:p>
              </w:tc>
              <w:tc>
                <w:tcPr>
                  <w:tcW w:w="781" w:type="dxa"/>
                  <w:noWrap w:val="0"/>
                  <w:vAlign w:val="center"/>
                </w:tcPr>
                <w:p w14:paraId="045526DC">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占地面积</w:t>
                  </w:r>
                </w:p>
              </w:tc>
              <w:tc>
                <w:tcPr>
                  <w:tcW w:w="846" w:type="dxa"/>
                  <w:noWrap w:val="0"/>
                  <w:vAlign w:val="center"/>
                </w:tcPr>
                <w:p w14:paraId="1D9441F0">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贮存方式</w:t>
                  </w:r>
                </w:p>
              </w:tc>
              <w:tc>
                <w:tcPr>
                  <w:tcW w:w="708" w:type="dxa"/>
                  <w:noWrap w:val="0"/>
                  <w:vAlign w:val="center"/>
                </w:tcPr>
                <w:p w14:paraId="71C69123">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贮存能力</w:t>
                  </w:r>
                  <w:r>
                    <w:rPr>
                      <w:rFonts w:hint="eastAsia" w:cs="Times New Roman"/>
                      <w:b/>
                      <w:bCs w:val="0"/>
                      <w:color w:val="000000" w:themeColor="text1"/>
                      <w:spacing w:val="0"/>
                      <w:position w:val="0"/>
                      <w:sz w:val="21"/>
                      <w:szCs w:val="21"/>
                      <w:highlight w:val="none"/>
                      <w:vertAlign w:val="baseline"/>
                      <w:lang w:val="en-US" w:eastAsia="zh-CN"/>
                      <w14:textFill>
                        <w14:solidFill>
                          <w14:schemeClr w14:val="tx1"/>
                        </w14:solidFill>
                      </w14:textFill>
                    </w:rPr>
                    <w:t>（t）</w:t>
                  </w:r>
                </w:p>
              </w:tc>
              <w:tc>
                <w:tcPr>
                  <w:tcW w:w="776" w:type="dxa"/>
                  <w:noWrap w:val="0"/>
                  <w:vAlign w:val="center"/>
                </w:tcPr>
                <w:p w14:paraId="07DF93E8">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0"/>
                      <w:position w:val="0"/>
                      <w:sz w:val="21"/>
                      <w:szCs w:val="21"/>
                      <w:highlight w:val="none"/>
                      <w:vertAlign w:val="baseline"/>
                      <w:lang w:val="en-US" w:eastAsia="zh-CN"/>
                      <w14:textFill>
                        <w14:solidFill>
                          <w14:schemeClr w14:val="tx1"/>
                        </w14:solidFill>
                      </w14:textFill>
                    </w:rPr>
                    <w:t>贮存周期</w:t>
                  </w:r>
                </w:p>
              </w:tc>
            </w:tr>
            <w:tr w14:paraId="3BBA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dxa"/>
                  <w:noWrap w:val="0"/>
                  <w:vAlign w:val="center"/>
                </w:tcPr>
                <w:p w14:paraId="40721C06">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t>1</w:t>
                  </w:r>
                </w:p>
              </w:tc>
              <w:tc>
                <w:tcPr>
                  <w:tcW w:w="812" w:type="dxa"/>
                  <w:vMerge w:val="restart"/>
                  <w:noWrap w:val="0"/>
                  <w:vAlign w:val="center"/>
                </w:tcPr>
                <w:p w14:paraId="1AB62363">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t>危险废物暂存间</w:t>
                  </w:r>
                </w:p>
              </w:tc>
              <w:tc>
                <w:tcPr>
                  <w:tcW w:w="1000" w:type="dxa"/>
                  <w:noWrap w:val="0"/>
                  <w:vAlign w:val="center"/>
                </w:tcPr>
                <w:p w14:paraId="0D9B0136">
                  <w:pPr>
                    <w:pStyle w:val="38"/>
                    <w:pageBreakBefore w:val="0"/>
                    <w:kinsoku/>
                    <w:wordWrap w:val="0"/>
                    <w:overflowPunct/>
                    <w:bidi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废润滑油</w:t>
                  </w:r>
                </w:p>
              </w:tc>
              <w:tc>
                <w:tcPr>
                  <w:tcW w:w="1001" w:type="dxa"/>
                  <w:noWrap w:val="0"/>
                  <w:vAlign w:val="center"/>
                </w:tcPr>
                <w:p w14:paraId="4861CFFC">
                  <w:pPr>
                    <w:pStyle w:val="38"/>
                    <w:pageBreakBefore w:val="0"/>
                    <w:kinsoku/>
                    <w:wordWrap w:val="0"/>
                    <w:overflowPunct/>
                    <w:bidi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t>HW08</w:t>
                  </w:r>
                </w:p>
              </w:tc>
              <w:tc>
                <w:tcPr>
                  <w:tcW w:w="1196" w:type="dxa"/>
                  <w:noWrap w:val="0"/>
                  <w:vAlign w:val="center"/>
                </w:tcPr>
                <w:p w14:paraId="4E545F4A">
                  <w:pPr>
                    <w:pageBreakBefore w:val="0"/>
                    <w:kinsoku/>
                    <w:wordWrap w:val="0"/>
                    <w:overflowPunct/>
                    <w:bidi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900-217-08</w:t>
                  </w:r>
                </w:p>
              </w:tc>
              <w:tc>
                <w:tcPr>
                  <w:tcW w:w="683" w:type="dxa"/>
                  <w:vMerge w:val="restart"/>
                  <w:noWrap w:val="0"/>
                  <w:vAlign w:val="center"/>
                </w:tcPr>
                <w:p w14:paraId="12CE370D">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t>位于厂区内</w:t>
                  </w:r>
                </w:p>
              </w:tc>
              <w:tc>
                <w:tcPr>
                  <w:tcW w:w="781" w:type="dxa"/>
                  <w:vMerge w:val="restart"/>
                  <w:noWrap w:val="0"/>
                  <w:vAlign w:val="center"/>
                </w:tcPr>
                <w:p w14:paraId="0D6564B3">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vertAlign w:val="baseline"/>
                      <w:lang w:val="en-US" w:eastAsia="zh-CN"/>
                      <w14:textFill>
                        <w14:solidFill>
                          <w14:schemeClr w14:val="tx1"/>
                        </w14:solidFill>
                      </w14:textFill>
                    </w:rPr>
                    <w:t>6</w:t>
                  </w:r>
                  <w: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t>m</w:t>
                  </w:r>
                  <w:r>
                    <w:rPr>
                      <w:rFonts w:hint="default" w:ascii="Times New Roman" w:hAnsi="Times New Roman" w:eastAsia="宋体" w:cs="Times New Roman"/>
                      <w:bCs/>
                      <w:color w:val="000000" w:themeColor="text1"/>
                      <w:spacing w:val="0"/>
                      <w:position w:val="0"/>
                      <w:sz w:val="21"/>
                      <w:szCs w:val="21"/>
                      <w:highlight w:val="none"/>
                      <w:vertAlign w:val="superscript"/>
                      <w:lang w:val="en-US" w:eastAsia="zh-CN"/>
                      <w14:textFill>
                        <w14:solidFill>
                          <w14:schemeClr w14:val="tx1"/>
                        </w14:solidFill>
                      </w14:textFill>
                    </w:rPr>
                    <w:t>2</w:t>
                  </w:r>
                </w:p>
              </w:tc>
              <w:tc>
                <w:tcPr>
                  <w:tcW w:w="846" w:type="dxa"/>
                  <w:noWrap w:val="0"/>
                  <w:vAlign w:val="center"/>
                </w:tcPr>
                <w:p w14:paraId="4F147C41">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t>桶装</w:t>
                  </w:r>
                </w:p>
              </w:tc>
              <w:tc>
                <w:tcPr>
                  <w:tcW w:w="708" w:type="dxa"/>
                  <w:noWrap w:val="0"/>
                  <w:vAlign w:val="center"/>
                </w:tcPr>
                <w:p w14:paraId="20927566">
                  <w:pPr>
                    <w:pageBreakBefore w:val="0"/>
                    <w:kinsoku/>
                    <w:wordWrap w:val="0"/>
                    <w:overflowPunct/>
                    <w:bidi w:val="0"/>
                    <w:snapToGrid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vertAlign w:val="baseline"/>
                      <w:lang w:val="en-US" w:eastAsia="zh-CN"/>
                      <w14:textFill>
                        <w14:solidFill>
                          <w14:schemeClr w14:val="tx1"/>
                        </w14:solidFill>
                      </w14:textFill>
                    </w:rPr>
                    <w:t>1</w:t>
                  </w:r>
                </w:p>
              </w:tc>
              <w:tc>
                <w:tcPr>
                  <w:tcW w:w="776" w:type="dxa"/>
                  <w:noWrap w:val="0"/>
                  <w:vAlign w:val="center"/>
                </w:tcPr>
                <w:p w14:paraId="4252F139">
                  <w:pPr>
                    <w:pStyle w:val="38"/>
                    <w:pageBreakBefore w:val="0"/>
                    <w:kinsoku/>
                    <w:wordWrap w:val="0"/>
                    <w:overflowPunct/>
                    <w:bidi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3个月</w:t>
                  </w:r>
                </w:p>
              </w:tc>
            </w:tr>
            <w:tr w14:paraId="7D07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dxa"/>
                  <w:noWrap w:val="0"/>
                  <w:vAlign w:val="center"/>
                </w:tcPr>
                <w:p w14:paraId="5872CE89">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t>2</w:t>
                  </w:r>
                </w:p>
              </w:tc>
              <w:tc>
                <w:tcPr>
                  <w:tcW w:w="812" w:type="dxa"/>
                  <w:vMerge w:val="continue"/>
                  <w:noWrap w:val="0"/>
                  <w:vAlign w:val="center"/>
                </w:tcPr>
                <w:p w14:paraId="6C549E1B">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p>
              </w:tc>
              <w:tc>
                <w:tcPr>
                  <w:tcW w:w="1000" w:type="dxa"/>
                  <w:noWrap w:val="0"/>
                  <w:vAlign w:val="center"/>
                </w:tcPr>
                <w:p w14:paraId="3BF0740D">
                  <w:pPr>
                    <w:pStyle w:val="38"/>
                    <w:pageBreakBefore w:val="0"/>
                    <w:kinsoku/>
                    <w:wordWrap w:val="0"/>
                    <w:overflowPunct/>
                    <w:bidi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废润滑油桶</w:t>
                  </w:r>
                </w:p>
              </w:tc>
              <w:tc>
                <w:tcPr>
                  <w:tcW w:w="1001" w:type="dxa"/>
                  <w:noWrap w:val="0"/>
                  <w:vAlign w:val="center"/>
                </w:tcPr>
                <w:p w14:paraId="51674D5E">
                  <w:pPr>
                    <w:pStyle w:val="38"/>
                    <w:pageBreakBefore w:val="0"/>
                    <w:kinsoku/>
                    <w:wordWrap w:val="0"/>
                    <w:overflowPunct/>
                    <w:bidi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t>HW08</w:t>
                  </w:r>
                </w:p>
              </w:tc>
              <w:tc>
                <w:tcPr>
                  <w:tcW w:w="1196" w:type="dxa"/>
                  <w:noWrap w:val="0"/>
                  <w:vAlign w:val="center"/>
                </w:tcPr>
                <w:p w14:paraId="6A899F92">
                  <w:pPr>
                    <w:pageBreakBefore w:val="0"/>
                    <w:kinsoku/>
                    <w:wordWrap w:val="0"/>
                    <w:overflowPunct/>
                    <w:bidi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900-249-08</w:t>
                  </w:r>
                </w:p>
              </w:tc>
              <w:tc>
                <w:tcPr>
                  <w:tcW w:w="683" w:type="dxa"/>
                  <w:vMerge w:val="continue"/>
                  <w:noWrap w:val="0"/>
                  <w:vAlign w:val="center"/>
                </w:tcPr>
                <w:p w14:paraId="1CD18316">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p>
              </w:tc>
              <w:tc>
                <w:tcPr>
                  <w:tcW w:w="781" w:type="dxa"/>
                  <w:vMerge w:val="continue"/>
                  <w:noWrap w:val="0"/>
                  <w:vAlign w:val="center"/>
                </w:tcPr>
                <w:p w14:paraId="4CEADF2F">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p>
              </w:tc>
              <w:tc>
                <w:tcPr>
                  <w:tcW w:w="846" w:type="dxa"/>
                  <w:noWrap w:val="0"/>
                  <w:vAlign w:val="center"/>
                </w:tcPr>
                <w:p w14:paraId="0CE6D99C">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t>桶装</w:t>
                  </w:r>
                </w:p>
              </w:tc>
              <w:tc>
                <w:tcPr>
                  <w:tcW w:w="708" w:type="dxa"/>
                  <w:noWrap w:val="0"/>
                  <w:vAlign w:val="center"/>
                </w:tcPr>
                <w:p w14:paraId="0C90F92C">
                  <w:pPr>
                    <w:pageBreakBefore w:val="0"/>
                    <w:kinsoku/>
                    <w:wordWrap w:val="0"/>
                    <w:overflowPunct/>
                    <w:bidi w:val="0"/>
                    <w:snapToGrid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vertAlign w:val="baseline"/>
                      <w:lang w:val="en-US" w:eastAsia="zh-CN"/>
                      <w14:textFill>
                        <w14:solidFill>
                          <w14:schemeClr w14:val="tx1"/>
                        </w14:solidFill>
                      </w14:textFill>
                    </w:rPr>
                    <w:t>0.5</w:t>
                  </w:r>
                </w:p>
              </w:tc>
              <w:tc>
                <w:tcPr>
                  <w:tcW w:w="776" w:type="dxa"/>
                  <w:noWrap w:val="0"/>
                  <w:vAlign w:val="center"/>
                </w:tcPr>
                <w:p w14:paraId="76136F9F">
                  <w:pPr>
                    <w:pStyle w:val="38"/>
                    <w:pageBreakBefore w:val="0"/>
                    <w:kinsoku/>
                    <w:wordWrap w:val="0"/>
                    <w:overflowPunct/>
                    <w:bidi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3个月</w:t>
                  </w:r>
                </w:p>
              </w:tc>
            </w:tr>
            <w:tr w14:paraId="1BBD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dxa"/>
                  <w:noWrap w:val="0"/>
                  <w:vAlign w:val="center"/>
                </w:tcPr>
                <w:p w14:paraId="731AF8F2">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t>3</w:t>
                  </w:r>
                </w:p>
              </w:tc>
              <w:tc>
                <w:tcPr>
                  <w:tcW w:w="812" w:type="dxa"/>
                  <w:vMerge w:val="continue"/>
                  <w:noWrap w:val="0"/>
                  <w:vAlign w:val="center"/>
                </w:tcPr>
                <w:p w14:paraId="5AA0BBAB">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p>
              </w:tc>
              <w:tc>
                <w:tcPr>
                  <w:tcW w:w="1000" w:type="dxa"/>
                  <w:noWrap w:val="0"/>
                  <w:vAlign w:val="center"/>
                </w:tcPr>
                <w:p w14:paraId="4EFA9DC6">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废活性炭</w:t>
                  </w:r>
                </w:p>
              </w:tc>
              <w:tc>
                <w:tcPr>
                  <w:tcW w:w="1001" w:type="dxa"/>
                  <w:noWrap w:val="0"/>
                  <w:vAlign w:val="center"/>
                </w:tcPr>
                <w:p w14:paraId="0E65AC63">
                  <w:pPr>
                    <w:pStyle w:val="38"/>
                    <w:pageBreakBefore w:val="0"/>
                    <w:kinsoku/>
                    <w:wordWrap w:val="0"/>
                    <w:overflowPunct/>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t>HW</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49</w:t>
                  </w:r>
                </w:p>
              </w:tc>
              <w:tc>
                <w:tcPr>
                  <w:tcW w:w="1196" w:type="dxa"/>
                  <w:noWrap w:val="0"/>
                  <w:vAlign w:val="center"/>
                </w:tcPr>
                <w:p w14:paraId="790D56FA">
                  <w:pPr>
                    <w:pageBreakBefore w:val="0"/>
                    <w:kinsoku/>
                    <w:wordWrap w:val="0"/>
                    <w:overflowPunct/>
                    <w:bidi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900-</w:t>
                  </w:r>
                  <w:r>
                    <w:rPr>
                      <w:rFonts w:hint="eastAsia" w:cs="Times New Roman"/>
                      <w:b w:val="0"/>
                      <w:bCs w:val="0"/>
                      <w:color w:val="000000" w:themeColor="text1"/>
                      <w:sz w:val="21"/>
                      <w:szCs w:val="21"/>
                      <w:highlight w:val="none"/>
                      <w:lang w:val="en-US" w:eastAsia="zh-CN"/>
                      <w14:textFill>
                        <w14:solidFill>
                          <w14:schemeClr w14:val="tx1"/>
                        </w14:solidFill>
                      </w14:textFill>
                    </w:rPr>
                    <w:t>039</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49</w:t>
                  </w:r>
                </w:p>
              </w:tc>
              <w:tc>
                <w:tcPr>
                  <w:tcW w:w="683" w:type="dxa"/>
                  <w:vMerge w:val="continue"/>
                  <w:noWrap w:val="0"/>
                  <w:vAlign w:val="center"/>
                </w:tcPr>
                <w:p w14:paraId="2AA703E4">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p>
              </w:tc>
              <w:tc>
                <w:tcPr>
                  <w:tcW w:w="781" w:type="dxa"/>
                  <w:vMerge w:val="continue"/>
                  <w:noWrap w:val="0"/>
                  <w:vAlign w:val="center"/>
                </w:tcPr>
                <w:p w14:paraId="7B17A5E6">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p>
              </w:tc>
              <w:tc>
                <w:tcPr>
                  <w:tcW w:w="846" w:type="dxa"/>
                  <w:noWrap w:val="0"/>
                  <w:vAlign w:val="center"/>
                </w:tcPr>
                <w:p w14:paraId="3379C297">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t>桶装</w:t>
                  </w:r>
                </w:p>
              </w:tc>
              <w:tc>
                <w:tcPr>
                  <w:tcW w:w="708" w:type="dxa"/>
                  <w:noWrap w:val="0"/>
                  <w:vAlign w:val="center"/>
                </w:tcPr>
                <w:p w14:paraId="064DA3D5">
                  <w:pPr>
                    <w:pageBreakBefore w:val="0"/>
                    <w:kinsoku/>
                    <w:wordWrap w:val="0"/>
                    <w:overflowPunct/>
                    <w:bidi w:val="0"/>
                    <w:snapToGrid w:val="0"/>
                    <w:jc w:val="center"/>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vertAlign w:val="baseline"/>
                      <w:lang w:val="en-US" w:eastAsia="zh-CN"/>
                      <w14:textFill>
                        <w14:solidFill>
                          <w14:schemeClr w14:val="tx1"/>
                        </w14:solidFill>
                      </w14:textFill>
                    </w:rPr>
                    <w:t>0.5</w:t>
                  </w:r>
                </w:p>
              </w:tc>
              <w:tc>
                <w:tcPr>
                  <w:tcW w:w="776" w:type="dxa"/>
                  <w:noWrap w:val="0"/>
                  <w:vAlign w:val="center"/>
                </w:tcPr>
                <w:p w14:paraId="7A08F518">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3个月</w:t>
                  </w:r>
                </w:p>
              </w:tc>
            </w:tr>
            <w:tr w14:paraId="614B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1" w:type="dxa"/>
                  <w:noWrap w:val="0"/>
                  <w:vAlign w:val="center"/>
                </w:tcPr>
                <w:p w14:paraId="373192B7">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vertAlign w:val="baseline"/>
                      <w:lang w:val="en-US" w:eastAsia="zh-CN"/>
                      <w14:textFill>
                        <w14:solidFill>
                          <w14:schemeClr w14:val="tx1"/>
                        </w14:solidFill>
                      </w14:textFill>
                    </w:rPr>
                    <w:t>4</w:t>
                  </w:r>
                </w:p>
              </w:tc>
              <w:tc>
                <w:tcPr>
                  <w:tcW w:w="812" w:type="dxa"/>
                  <w:vMerge w:val="continue"/>
                  <w:noWrap w:val="0"/>
                  <w:vAlign w:val="center"/>
                </w:tcPr>
                <w:p w14:paraId="77FCD78F">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p>
              </w:tc>
              <w:tc>
                <w:tcPr>
                  <w:tcW w:w="1000" w:type="dxa"/>
                  <w:noWrap w:val="0"/>
                  <w:vAlign w:val="center"/>
                </w:tcPr>
                <w:p w14:paraId="7654812C">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废焦油</w:t>
                  </w:r>
                </w:p>
              </w:tc>
              <w:tc>
                <w:tcPr>
                  <w:tcW w:w="1001" w:type="dxa"/>
                  <w:noWrap w:val="0"/>
                  <w:vAlign w:val="center"/>
                </w:tcPr>
                <w:p w14:paraId="3FF2A7C0">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HW11</w:t>
                  </w:r>
                </w:p>
              </w:tc>
              <w:tc>
                <w:tcPr>
                  <w:tcW w:w="1196" w:type="dxa"/>
                  <w:noWrap w:val="0"/>
                  <w:vAlign w:val="center"/>
                </w:tcPr>
                <w:p w14:paraId="2EDEA7C5">
                  <w:pPr>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309-001-11</w:t>
                  </w:r>
                </w:p>
              </w:tc>
              <w:tc>
                <w:tcPr>
                  <w:tcW w:w="683" w:type="dxa"/>
                  <w:vMerge w:val="continue"/>
                  <w:noWrap w:val="0"/>
                  <w:vAlign w:val="center"/>
                </w:tcPr>
                <w:p w14:paraId="3DD3FA3B">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p>
              </w:tc>
              <w:tc>
                <w:tcPr>
                  <w:tcW w:w="781" w:type="dxa"/>
                  <w:vMerge w:val="continue"/>
                  <w:noWrap w:val="0"/>
                  <w:vAlign w:val="center"/>
                </w:tcPr>
                <w:p w14:paraId="550DEF89">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p>
              </w:tc>
              <w:tc>
                <w:tcPr>
                  <w:tcW w:w="846" w:type="dxa"/>
                  <w:noWrap w:val="0"/>
                  <w:vAlign w:val="center"/>
                </w:tcPr>
                <w:p w14:paraId="66BB56F1">
                  <w:pPr>
                    <w:keepNext w:val="0"/>
                    <w:keepLines w:val="0"/>
                    <w:pageBreakBefore w:val="0"/>
                    <w:widowControl w:val="0"/>
                    <w:numPr>
                      <w:ilvl w:val="0"/>
                      <w:numId w:val="0"/>
                    </w:numPr>
                    <w:kinsoku/>
                    <w:wordWrap w:val="0"/>
                    <w:overflowPunct/>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宋体"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vertAlign w:val="baseline"/>
                      <w:lang w:val="en-US" w:eastAsia="zh-CN"/>
                      <w14:textFill>
                        <w14:solidFill>
                          <w14:schemeClr w14:val="tx1"/>
                        </w14:solidFill>
                      </w14:textFill>
                    </w:rPr>
                    <w:t>桶装</w:t>
                  </w:r>
                </w:p>
              </w:tc>
              <w:tc>
                <w:tcPr>
                  <w:tcW w:w="708" w:type="dxa"/>
                  <w:noWrap w:val="0"/>
                  <w:vAlign w:val="center"/>
                </w:tcPr>
                <w:p w14:paraId="6D7B7324">
                  <w:pPr>
                    <w:pageBreakBefore w:val="0"/>
                    <w:kinsoku/>
                    <w:wordWrap w:val="0"/>
                    <w:overflowPunct/>
                    <w:bidi w:val="0"/>
                    <w:snapToGrid w:val="0"/>
                    <w:jc w:val="center"/>
                    <w:rPr>
                      <w:rFonts w:hint="default" w:cs="Times New Roman"/>
                      <w:bCs/>
                      <w:color w:val="000000" w:themeColor="text1"/>
                      <w:spacing w:val="0"/>
                      <w:position w:val="0"/>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vertAlign w:val="baseline"/>
                      <w:lang w:val="en-US" w:eastAsia="zh-CN"/>
                      <w14:textFill>
                        <w14:solidFill>
                          <w14:schemeClr w14:val="tx1"/>
                        </w14:solidFill>
                      </w14:textFill>
                    </w:rPr>
                    <w:t>0.5</w:t>
                  </w:r>
                </w:p>
              </w:tc>
              <w:tc>
                <w:tcPr>
                  <w:tcW w:w="776" w:type="dxa"/>
                  <w:noWrap w:val="0"/>
                  <w:vAlign w:val="center"/>
                </w:tcPr>
                <w:p w14:paraId="6CC2F3F9">
                  <w:pPr>
                    <w:pStyle w:val="38"/>
                    <w:pageBreakBefore w:val="0"/>
                    <w:kinsoku/>
                    <w:wordWrap w:val="0"/>
                    <w:overflowPunct/>
                    <w:bidi w:val="0"/>
                    <w:jc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3个月</w:t>
                  </w:r>
                </w:p>
              </w:tc>
            </w:tr>
          </w:tbl>
          <w:p w14:paraId="08F231FA">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危废暂存间贮存管理要求：</w:t>
            </w:r>
          </w:p>
          <w:p w14:paraId="5FD2275E">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危险废物贮存按《危险废物贮存污染控制标准》（GB18597-2023）及《中华人民共和国固体废物污染环境防治法》（2020年9月1日实施）规定进行：</w:t>
            </w:r>
          </w:p>
          <w:p w14:paraId="1ED2BC65">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①必须将危险废物装入容器内；</w:t>
            </w:r>
          </w:p>
          <w:p w14:paraId="7C6BF065">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②盛装危险废物的容器上必须粘贴符合标准要求的标签；</w:t>
            </w:r>
          </w:p>
          <w:p w14:paraId="3649D302">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③装载危险废物的容器及材质要满足相应的强度要求，装载危险废物的容器必须完好无损；</w:t>
            </w:r>
          </w:p>
          <w:p w14:paraId="3E546EB6">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④建立危险废物管理台账，台账上须注明危险废物的名称、来源、数量、特性和包装容器的类别、入库日期、存放库位、废物出库日期及接收单位名称。危险废物的记录和货单在危险废物回取后应继续保留三年；</w:t>
            </w:r>
          </w:p>
          <w:p w14:paraId="33F9AF0F">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⑤必须定期对所贮存的危险废物包装容器及贮存设施进行检查，发现破损，应及时采取措施清理更换</w:t>
            </w:r>
            <w:r>
              <w:rPr>
                <w:rFonts w:hint="eastAsia" w:cs="Times New Roman"/>
                <w:color w:val="000000" w:themeColor="text1"/>
                <w:kern w:val="2"/>
                <w:sz w:val="21"/>
                <w:szCs w:val="21"/>
                <w:highlight w:val="none"/>
                <w:lang w:eastAsia="zh-CN"/>
                <w14:textFill>
                  <w14:solidFill>
                    <w14:schemeClr w14:val="tx1"/>
                  </w14:solidFill>
                </w14:textFill>
              </w:rPr>
              <w:t>；</w:t>
            </w:r>
          </w:p>
          <w:p w14:paraId="3EDA70A8">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⑥应当依法制定意外事故的防范措施和应急预案，并向所在地生态环境主管部门和其他负有固体废物污染环境防治监督管理职责的部门备案。经过采取以上措施，危险废物处置符合《危险废物贮存污染控制标准》</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GB18597-2023</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及《中华人民共和国固体废物污染环境防治法》（2020年9月1日实施）有关要求。</w:t>
            </w:r>
          </w:p>
          <w:p w14:paraId="3C932D1F">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由上述分析可知，项目产生的工业固体废物全部得到了妥善处置或合理安置。在建设单位认真落实评价建议，采取相应的防渗措施，日常生产过程中加强对固废临时堆放场所管理的基础上，项目不会对周围环境产生明显影响。</w:t>
            </w:r>
          </w:p>
          <w:p w14:paraId="1ABACBB7">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b/>
                <w:bCs/>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危废转运管理要求：</w:t>
            </w:r>
          </w:p>
          <w:p w14:paraId="13F6E4A2">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按照国家环境保护总局令1999年第5号《危险废物转移联单管理办法》中五联单的规定。在转移危险废物前，报批危险废物转移计划，申请领取联单。在转移前三日内报告当地环境保护局，并同时将预期到达时间报告</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接收</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地环保局。每转移一次同类危险废物，填写一份联单。每次有多类危险废物时，分别填写联单，并加盖公章。交付运输单位核实验收签字后，将联单第一联副联自留存档，将联单第二联交当地环境保护局。</w:t>
            </w:r>
          </w:p>
          <w:p w14:paraId="27F1D329">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危废外运时，公司应当向当地主管部门提交下列材料：</w:t>
            </w:r>
          </w:p>
          <w:p w14:paraId="7634839B">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I拟转移危险废物的名称、种类、特性、形态、包装方式、数量、转移时间、主要危险废物成分等基本情况；</w:t>
            </w:r>
          </w:p>
          <w:p w14:paraId="52AB14CA">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II运输单位具有运输危险货物资格的证明材料；</w:t>
            </w:r>
          </w:p>
          <w:p w14:paraId="0C103995">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III接收单位具有利用和处置危险废物资格及同意</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接收</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的证明材料。</w:t>
            </w:r>
          </w:p>
          <w:p w14:paraId="3B9DC72A">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经过采取以上措施，危险废物处理与处置符合《危险废物贮存污染控制标准》（GB18597-2023）有关要求。</w:t>
            </w:r>
          </w:p>
          <w:p w14:paraId="7C1ED826">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eastAsia" w:cs="Times New Roman"/>
                <w:b/>
                <w:bCs/>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委托利用或者处置的环境影响分析</w:t>
            </w:r>
          </w:p>
          <w:p w14:paraId="08BFE826">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eastAsia" w:cs="Times New Roman"/>
                <w:b w:val="0"/>
                <w:bCs w:val="0"/>
                <w:color w:val="000000" w:themeColor="text1"/>
                <w:kern w:val="2"/>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14:textFill>
                  <w14:solidFill>
                    <w14:schemeClr w14:val="tx1"/>
                  </w14:solidFill>
                </w14:textFill>
              </w:rPr>
              <w:t>根据《建设项目危险废物环境影响评价指南》（环境保护部公告 2017 年 第43 号）的规定：“环评阶段已签订利用或者委托处置意向的，应分析危险废物利用或者处置途径的可行性。暂未委托利用或者处置单位的，应根据建设项目周边有资质的危险废物处置单位的分布情况、处置能力、资质类别等，给出建设项目产生危险废物的委托利用或处置途径建议”。环评阶段，项目建设单位已签订危废委托处置协议，因此，本次评价分析危险废物利用或者处置途径的可行性。</w:t>
            </w:r>
          </w:p>
          <w:p w14:paraId="5E1E8442">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eastAsia" w:cs="Times New Roman"/>
                <w:b w:val="0"/>
                <w:bCs w:val="0"/>
                <w:color w:val="000000" w:themeColor="text1"/>
                <w:kern w:val="2"/>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14:textFill>
                  <w14:solidFill>
                    <w14:schemeClr w14:val="tx1"/>
                  </w14:solidFill>
                </w14:textFill>
              </w:rPr>
              <w:t>根据调查了解，企业与唐山浩昌杰环保科技发展有限公司签订了危废处置协议，唐山浩昌杰环保科技发展有限公司年度核准经营规模为：147629.62吨（其中，焚烧处置9529.62吨、综合利用138100吨）。焚烧处置包括：HW02、HW03、HW04、HW05、HW06、HW08、HW09、HW11、HW12、HW13、HW14、HW16、HW18（772-005-18）、HW19、HW33、HW37、HW38、HW39、HW40、HW45、HW49（900-044-49、900-045-49除外，900-053-49中水俣公约受控化学物质除外）、HW50（261-151-50、261-183-50、271-006-50、275-009-50、276-006-50、900-048-50）。</w:t>
            </w:r>
          </w:p>
          <w:p w14:paraId="7CAAE54D">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cs="Times New Roman"/>
                <w:b w:val="0"/>
                <w:bCs w:val="0"/>
                <w:color w:val="000000" w:themeColor="text1"/>
                <w:kern w:val="2"/>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14:textFill>
                  <w14:solidFill>
                    <w14:schemeClr w14:val="tx1"/>
                  </w14:solidFill>
                </w14:textFill>
              </w:rPr>
              <w:t>综合利用包括：</w:t>
            </w:r>
          </w:p>
          <w:p w14:paraId="43E67232">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eastAsia" w:cs="Times New Roman"/>
                <w:b w:val="0"/>
                <w:bCs w:val="0"/>
                <w:color w:val="000000" w:themeColor="text1"/>
                <w:kern w:val="2"/>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14:textFill>
                  <w14:solidFill>
                    <w14:schemeClr w14:val="tx1"/>
                  </w14:solidFill>
                </w14:textFill>
              </w:rPr>
              <w:t>（1）废矿油再生工艺：HW08（251-001-08、251-003-08、251-004-08、251-005-08、900-203-08、900-204-08、900-205-08、900-209-08、900-210-08、900-214-08、900-216-08、900-217-08、 900-218-08、900-219-08、900-220-08、900-249-08、398-001-08、291-001-08）、HW09（900-005-09、900-006-09、900-007-09），经营规模：80000吨/年。</w:t>
            </w:r>
          </w:p>
          <w:p w14:paraId="1B1264AD">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eastAsia" w:cs="Times New Roman"/>
                <w:b w:val="0"/>
                <w:bCs w:val="0"/>
                <w:color w:val="000000" w:themeColor="text1"/>
                <w:kern w:val="2"/>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14:textFill>
                  <w14:solidFill>
                    <w14:schemeClr w14:val="tx1"/>
                  </w14:solidFill>
                </w14:textFill>
              </w:rPr>
              <w:t>（2）废溶剂回收工艺：HW02（271-002-02、271-005-02、272-001-02）、HW06（900-402-06、900-404-06），以上代码仅限含特戊酸、甘油废物。经营规模：15000吨/年。</w:t>
            </w:r>
          </w:p>
          <w:p w14:paraId="2CCBF733">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eastAsia" w:cs="Times New Roman"/>
                <w:b w:val="0"/>
                <w:bCs w:val="0"/>
                <w:color w:val="000000" w:themeColor="text1"/>
                <w:kern w:val="2"/>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14:textFill>
                  <w14:solidFill>
                    <w14:schemeClr w14:val="tx1"/>
                  </w14:solidFill>
                </w14:textFill>
              </w:rPr>
              <w:t>（3）污油泥处置工艺： HW08（071-001-08、071-002-08、072-001-08、251-002-08、251-003-08、251-004-08、251-006-08、251-010-08、251-011-08、900-199-08、900-200-08、900-210-08、900-213-08、900-221-08），经营规模：41100吨/年。</w:t>
            </w:r>
          </w:p>
          <w:p w14:paraId="62400F72">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cs="Times New Roman"/>
                <w:b w:val="0"/>
                <w:bCs w:val="0"/>
                <w:color w:val="000000" w:themeColor="text1"/>
                <w:kern w:val="2"/>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14:textFill>
                  <w14:solidFill>
                    <w14:schemeClr w14:val="tx1"/>
                  </w14:solidFill>
                </w14:textFill>
              </w:rPr>
              <w:t>（4）清洗工艺：HW08（900-249-08），仅限废钢铁桶。经营规模：2000吨/年。</w:t>
            </w:r>
          </w:p>
          <w:p w14:paraId="10789A97">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eastAsia" w:cs="Times New Roman"/>
                <w:b w:val="0"/>
                <w:bCs w:val="0"/>
                <w:color w:val="000000" w:themeColor="text1"/>
                <w:kern w:val="2"/>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14:textFill>
                  <w14:solidFill>
                    <w14:schemeClr w14:val="tx1"/>
                  </w14:solidFill>
                </w14:textFill>
              </w:rPr>
              <w:t>唐山浩昌杰环保科技发展有限公司年度核准经营规模包含项目产生的危险废物，且项目产生的危险废物量远小于该资质单位的处置量。综上，项目危险废物定期交由唐山浩昌杰环保科技发展有限公司可行。</w:t>
            </w:r>
          </w:p>
          <w:p w14:paraId="5FC2113F">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cs="Times New Roman"/>
                <w:b/>
                <w:bCs/>
                <w:color w:val="000000" w:themeColor="text1"/>
                <w:kern w:val="2"/>
                <w:sz w:val="21"/>
                <w:szCs w:val="21"/>
                <w:highlight w:val="none"/>
                <w:lang w:val="en-US" w:eastAsia="zh-CN"/>
                <w14:textFill>
                  <w14:solidFill>
                    <w14:schemeClr w14:val="tx1"/>
                  </w14:solidFill>
                </w14:textFill>
              </w:rPr>
            </w:pPr>
            <w:r>
              <w:rPr>
                <w:rFonts w:hint="eastAsia" w:cs="Times New Roman"/>
                <w:b/>
                <w:bCs/>
                <w:color w:val="000000" w:themeColor="text1"/>
                <w:kern w:val="2"/>
                <w:sz w:val="21"/>
                <w:szCs w:val="21"/>
                <w:highlight w:val="none"/>
                <w:lang w:val="en-US" w:eastAsia="zh-CN"/>
                <w14:textFill>
                  <w14:solidFill>
                    <w14:schemeClr w14:val="tx1"/>
                  </w14:solidFill>
                </w14:textFill>
              </w:rPr>
              <w:t>本项目依托原有危险废物暂存间可行性分析</w:t>
            </w:r>
          </w:p>
          <w:p w14:paraId="3B99D6E6">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cs="Times New Roman"/>
                <w:b w:val="0"/>
                <w:bCs w:val="0"/>
                <w:color w:val="000000" w:themeColor="text1"/>
                <w:kern w:val="2"/>
                <w:sz w:val="21"/>
                <w:szCs w:val="21"/>
                <w:highlight w:val="none"/>
                <w:lang w:val="en-US" w:eastAsia="zh-CN"/>
                <w14:textFill>
                  <w14:solidFill>
                    <w14:schemeClr w14:val="tx1"/>
                  </w14:solidFill>
                </w14:textFill>
              </w:rPr>
            </w:pPr>
            <w:r>
              <w:rPr>
                <w:rFonts w:hint="eastAsia" w:cs="Times New Roman"/>
                <w:b w:val="0"/>
                <w:bCs w:val="0"/>
                <w:color w:val="000000" w:themeColor="text1"/>
                <w:kern w:val="2"/>
                <w:sz w:val="21"/>
                <w:szCs w:val="21"/>
                <w:highlight w:val="none"/>
                <w:lang w:val="en-US" w:eastAsia="zh-CN"/>
                <w14:textFill>
                  <w14:solidFill>
                    <w14:schemeClr w14:val="tx1"/>
                  </w14:solidFill>
                </w14:textFill>
              </w:rPr>
              <w:t>根据现场调查和企业提供资料，本项目危险废物暂存间的建设符合《危险废物贮存污染控制标准》（GB18597-2023）中关于危险废物贮存设施的规定。根据“表4-19 建设项目危险废物贮存场所基本情况表”和“表4-17 工程分析中危险废物汇总表”可知，本项目建设完成后，企业所建设的危险废物暂存间可容纳全场危险废物的产生量，不会超过其最大储存能力；企业与唐山浩昌杰环保科技发展有限公司已签订危险废物处置协议，全厂产生的危险废物均委托唐山浩昌杰环保科技发展有限公司进行转运处置；由于本项目危险废物增加，带本项目建设完成后，企业应重新进行突发环境事件应急预案的边，对厂区内的风险物质重新进行评估。</w:t>
            </w:r>
          </w:p>
          <w:p w14:paraId="1B71082C">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14:textFill>
                  <w14:solidFill>
                    <w14:schemeClr w14:val="tx1"/>
                  </w14:solidFill>
                </w14:textFill>
              </w:rPr>
              <w:t>一般固体废物环境管理要求</w:t>
            </w:r>
          </w:p>
          <w:p w14:paraId="010D46A7">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①一般固废按照《一般工业固体废物贮存和填埋污染控制标准》（GB18599-2020）要求进行建设，防渗要求：一般固废间地面采取粘土铺底，上层铺水泥硬化，使渗透系数小于1×10</w:t>
            </w:r>
            <w:r>
              <w:rPr>
                <w:rFonts w:hint="eastAsia" w:cs="Times New Roman"/>
                <w:color w:val="000000" w:themeColor="text1"/>
                <w:kern w:val="2"/>
                <w:sz w:val="21"/>
                <w:szCs w:val="21"/>
                <w:highlight w:val="none"/>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cm/s。</w:t>
            </w:r>
          </w:p>
          <w:p w14:paraId="6CB4F48D">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②各种固体废物首先应放入符合标准的容器内并加上标签，并分开</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存放</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p w14:paraId="4FAA066D">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③必须做好一般固体废物情况的记录，记录上需注明一般固体废物的名称、来源、数量、特性和包装容器的类别、入库日期、出库日期及接受单位名称，一般固体废物的记录和货单在一般固体废物回取后应继续保留1年，必须定期对所贮存的一般固体废物包装容器及一般固体废物间进行检查，发现破损，应及时采取措施清理更换。</w:t>
            </w:r>
          </w:p>
          <w:p w14:paraId="4BD7B2AF">
            <w:pPr>
              <w:pStyle w:val="87"/>
              <w:keepNext w:val="0"/>
              <w:keepLines w:val="0"/>
              <w:pageBreakBefore w:val="0"/>
              <w:widowControl w:val="0"/>
              <w:kinsoku/>
              <w:wordWrap w:val="0"/>
              <w:overflowPunct/>
              <w:topLinePunct w:val="0"/>
              <w:autoSpaceDE/>
              <w:autoSpaceDN/>
              <w:bidi w:val="0"/>
              <w:adjustRightInd/>
              <w:snapToGrid/>
              <w:spacing w:line="480" w:lineRule="exact"/>
              <w:ind w:firstLine="420"/>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④一般固废必须按照《</w:t>
            </w:r>
            <w:r>
              <w:rPr>
                <w:rFonts w:hint="eastAsia" w:cs="Times New Roman"/>
                <w:color w:val="000000" w:themeColor="text1"/>
                <w:kern w:val="2"/>
                <w:sz w:val="21"/>
                <w:szCs w:val="21"/>
                <w:highlight w:val="none"/>
                <w:lang w:eastAsia="zh-CN"/>
                <w14:textFill>
                  <w14:solidFill>
                    <w14:schemeClr w14:val="tx1"/>
                  </w14:solidFill>
                </w14:textFill>
              </w:rPr>
              <w:t>环境保护图形标志 固体废物贮存（处置）场</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》（GB15562.2-1995）中的规定设置警示标志，并设有应急防护设施。</w:t>
            </w:r>
          </w:p>
          <w:p w14:paraId="22F42B71">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cs="Times New Roman"/>
                <w:bCs/>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综上，项目产生的固体废物全部得到综合利用或妥善处置，不会对周围环境产生明显影响。</w:t>
            </w:r>
          </w:p>
          <w:p w14:paraId="34FB71F1">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地下水、土壤</w:t>
            </w:r>
          </w:p>
          <w:p w14:paraId="6D3135BF">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cs="Times New Roman"/>
                <w:bCs/>
                <w:color w:val="000000" w:themeColor="text1"/>
                <w:spacing w:val="0"/>
                <w:position w:val="0"/>
                <w:sz w:val="21"/>
                <w:szCs w:val="21"/>
                <w:highlight w:val="no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lang w:val="en-US" w:eastAsia="zh-CN"/>
                <w14:textFill>
                  <w14:solidFill>
                    <w14:schemeClr w14:val="tx1"/>
                  </w14:solidFill>
                </w14:textFill>
              </w:rPr>
              <w:t>（1）地下水</w:t>
            </w:r>
          </w:p>
          <w:p w14:paraId="1133EA35">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①污染物类型及污染途径</w:t>
            </w:r>
          </w:p>
          <w:p w14:paraId="1FCAE7AE">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根据识别，建设项目在满足分区防渗的前提下，不存在地下水环境污染源和污染途径。</w:t>
            </w:r>
          </w:p>
          <w:p w14:paraId="7D08569A">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②污染防治措施</w:t>
            </w:r>
          </w:p>
          <w:p w14:paraId="290D0577">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本项目根据《环境影响评价技术导则地下水环境》（HJ 610-2016）分区防渗的要求，重点防渗区为危险废物暂存间，</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本项目危险废物暂存间已建设，其地面铺设50mm的防渗混凝土，已刷防腐漆，满足重点防渗区的防渗要求；一般防渗为沥青储罐区，沥青储罐区已建设，沥青储罐区铺设20mm混凝土</w:t>
            </w:r>
            <w:r>
              <w:rPr>
                <w:rFonts w:hint="eastAsia" w:cs="Times New Roman"/>
                <w:color w:val="000000" w:themeColor="text1"/>
                <w:sz w:val="21"/>
                <w:szCs w:val="21"/>
                <w:highlight w:val="none"/>
                <w:lang w:val="en-US" w:eastAsia="zh-CN"/>
                <w14:textFill>
                  <w14:solidFill>
                    <w14:schemeClr w14:val="tx1"/>
                  </w14:solidFill>
                </w14:textFill>
              </w:rPr>
              <w:t>地面，建造40cm高的基座，沥青储罐位于基座上</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，满足一般防渗区的防渗要求；原料库已进行地面硬化，满足简单防渗区防渗要求。</w:t>
            </w:r>
          </w:p>
          <w:p w14:paraId="7DAE68DE">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项目采取严格防渗措施后，对地下水环境影响较小。</w:t>
            </w:r>
          </w:p>
          <w:p w14:paraId="09692953">
            <w:pPr>
              <w:pStyle w:val="9"/>
              <w:pageBreakBefore w:val="0"/>
              <w:widowControl w:val="0"/>
              <w:numPr>
                <w:ilvl w:val="0"/>
                <w:numId w:val="0"/>
              </w:numPr>
              <w:kinsoku/>
              <w:wordWrap w:val="0"/>
              <w:overflowPunct/>
              <w:topLinePunct w:val="0"/>
              <w:autoSpaceDE/>
              <w:autoSpaceDN/>
              <w:bidi w:val="0"/>
              <w:adjustRightInd/>
              <w:snapToGrid/>
              <w:spacing w:line="480" w:lineRule="exact"/>
              <w:ind w:firstLine="420" w:firstLineChars="200"/>
              <w:textAlignment w:val="auto"/>
              <w:rPr>
                <w:rFonts w:hint="eastAsia" w:cs="Times New Roman"/>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kern w:val="2"/>
                <w:position w:val="0"/>
                <w:sz w:val="21"/>
                <w:szCs w:val="21"/>
                <w:highlight w:val="none"/>
                <w:lang w:val="en-US" w:eastAsia="zh-CN" w:bidi="ar-SA"/>
                <w14:textFill>
                  <w14:solidFill>
                    <w14:schemeClr w14:val="tx1"/>
                  </w14:solidFill>
                </w14:textFill>
              </w:rPr>
              <w:t>（2）</w:t>
            </w:r>
            <w:r>
              <w:rPr>
                <w:rFonts w:hint="eastAsia" w:cs="Times New Roman"/>
                <w:bCs/>
                <w:color w:val="000000" w:themeColor="text1"/>
                <w:spacing w:val="0"/>
                <w:position w:val="0"/>
                <w:sz w:val="21"/>
                <w:szCs w:val="21"/>
                <w:highlight w:val="none"/>
                <w:lang w:val="en-US" w:eastAsia="zh-CN"/>
                <w14:textFill>
                  <w14:solidFill>
                    <w14:schemeClr w14:val="tx1"/>
                  </w14:solidFill>
                </w14:textFill>
              </w:rPr>
              <w:t>土壤</w:t>
            </w:r>
          </w:p>
          <w:p w14:paraId="1510281F">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①污染源、污染物类型和污染途径</w:t>
            </w:r>
          </w:p>
          <w:p w14:paraId="45E5B798">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本项目排放的污染物苯并[a]芘、沥青烟在风力作用下，通过大气沉降的作用，进入下风向的土壤中，但本项目厂区已进行地面硬化，在做好分区防渗的基础上，不会对土壤造成污染。</w:t>
            </w:r>
          </w:p>
          <w:p w14:paraId="384E4936">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②污染防治措施</w:t>
            </w:r>
          </w:p>
          <w:p w14:paraId="7FA7A048">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t>本项目采取“源头控制</w:t>
            </w:r>
            <w:r>
              <w:rPr>
                <w:rFonts w:hint="eastAsia" w:cs="Times New Roman"/>
                <w:bCs/>
                <w:color w:val="000000" w:themeColor="text1"/>
                <w:spacing w:val="0"/>
                <w:position w:val="0"/>
                <w:sz w:val="21"/>
                <w:szCs w:val="2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t>分区防控”的对策，</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苯并[a]芘、沥青烟在经过</w:t>
            </w:r>
            <w:r>
              <w:rPr>
                <w:rFonts w:hint="eastAsia" w:cs="Times New Roman"/>
                <w:b w:val="0"/>
                <w:bCs w:val="0"/>
                <w:color w:val="000000" w:themeColor="text1"/>
                <w:sz w:val="21"/>
                <w:szCs w:val="21"/>
                <w:highlight w:val="none"/>
                <w:lang w:val="en-US" w:eastAsia="zh-CN"/>
                <w14:textFill>
                  <w14:solidFill>
                    <w14:schemeClr w14:val="tx1"/>
                  </w14:solidFill>
                </w14:textFill>
              </w:rPr>
              <w:t>“</w:t>
            </w:r>
            <w:r>
              <w:rPr>
                <w:rFonts w:ascii="Arial" w:hAnsi="Arial" w:eastAsia="宋体" w:cs="Arial"/>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eastAsia" w:cs="Times New Roman"/>
                <w:b w:val="0"/>
                <w:bCs w:val="0"/>
                <w:color w:val="000000" w:themeColor="text1"/>
                <w:sz w:val="21"/>
                <w:szCs w:val="21"/>
                <w:highlight w:val="none"/>
                <w:lang w:val="en-US" w:eastAsia="zh-CN"/>
                <w14:textFill>
                  <w14:solidFill>
                    <w14:schemeClr w14:val="tx1"/>
                  </w14:solidFill>
                </w14:textFill>
              </w:rPr>
              <w:t>”的处理措施后排放，极大降低了</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苯并[a]芘、沥青烟的排放量，减少其大气沉降量。</w:t>
            </w:r>
          </w:p>
          <w:p w14:paraId="208DF67E">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t>项目进行分区防渗，危废贮存间为重点防渗区，沥青罐区为一般防渗区，其他区域为简单防渗区。</w:t>
            </w:r>
            <w:r>
              <w:rPr>
                <w:rFonts w:hint="eastAsia" w:cs="Times New Roman"/>
                <w:bCs/>
                <w:color w:val="000000" w:themeColor="text1"/>
                <w:spacing w:val="0"/>
                <w:position w:val="0"/>
                <w:sz w:val="21"/>
                <w:szCs w:val="21"/>
                <w:highlight w:val="none"/>
                <w:lang w:val="en-US" w:eastAsia="zh-CN"/>
                <w14:textFill>
                  <w14:solidFill>
                    <w14:schemeClr w14:val="tx1"/>
                  </w14:solidFill>
                </w14:textFill>
              </w:rPr>
              <w:t>本项目上述区域已建设，</w:t>
            </w:r>
            <w:r>
              <w:rPr>
                <w:rFonts w:hint="eastAsia"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t>分区防渗要求</w:t>
            </w:r>
            <w:r>
              <w:rPr>
                <w:rFonts w:hint="eastAsia" w:cs="Times New Roman"/>
                <w:bCs/>
                <w:color w:val="000000" w:themeColor="text1"/>
                <w:spacing w:val="0"/>
                <w:position w:val="0"/>
                <w:sz w:val="21"/>
                <w:szCs w:val="21"/>
                <w:highlight w:val="none"/>
                <w:lang w:val="en-US" w:eastAsia="zh-CN"/>
                <w14:textFill>
                  <w14:solidFill>
                    <w14:schemeClr w14:val="tx1"/>
                  </w14:solidFill>
                </w14:textFill>
              </w:rPr>
              <w:t>及实际建设情况</w:t>
            </w:r>
            <w:r>
              <w:rPr>
                <w:rFonts w:hint="eastAsia"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t>详见下表。</w:t>
            </w:r>
          </w:p>
          <w:p w14:paraId="2D5C8F50">
            <w:pPr>
              <w:keepNext w:val="0"/>
              <w:keepLines w:val="0"/>
              <w:pageBreakBefore w:val="0"/>
              <w:widowControl w:val="0"/>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20</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本项目污染防渗分区一览表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190"/>
              <w:gridCol w:w="4490"/>
              <w:gridCol w:w="1802"/>
            </w:tblGrid>
            <w:tr w14:paraId="7151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shd w:val="clear" w:color="auto" w:fill="auto"/>
                  <w:vAlign w:val="center"/>
                </w:tcPr>
                <w:p w14:paraId="4FC7FED5">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防渗分区</w:t>
                  </w:r>
                </w:p>
              </w:tc>
              <w:tc>
                <w:tcPr>
                  <w:tcW w:w="707" w:type="pct"/>
                  <w:shd w:val="clear" w:color="auto" w:fill="auto"/>
                  <w:vAlign w:val="center"/>
                </w:tcPr>
                <w:p w14:paraId="718AE2E6">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主要构筑物名称</w:t>
                  </w:r>
                </w:p>
              </w:tc>
              <w:tc>
                <w:tcPr>
                  <w:tcW w:w="2668" w:type="pct"/>
                  <w:shd w:val="clear" w:color="auto" w:fill="auto"/>
                  <w:vAlign w:val="center"/>
                </w:tcPr>
                <w:p w14:paraId="3EFAEE02">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防渗技术要求</w:t>
                  </w:r>
                </w:p>
              </w:tc>
              <w:tc>
                <w:tcPr>
                  <w:tcW w:w="1071" w:type="pct"/>
                  <w:shd w:val="clear" w:color="auto" w:fill="auto"/>
                  <w:vAlign w:val="center"/>
                </w:tcPr>
                <w:p w14:paraId="423C3BC8">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实际建设情况</w:t>
                  </w:r>
                </w:p>
              </w:tc>
            </w:tr>
            <w:tr w14:paraId="6AE4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shd w:val="clear" w:color="auto" w:fill="auto"/>
                  <w:vAlign w:val="center"/>
                </w:tcPr>
                <w:p w14:paraId="4C328056">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重点防渗区</w:t>
                  </w:r>
                </w:p>
              </w:tc>
              <w:tc>
                <w:tcPr>
                  <w:tcW w:w="707" w:type="pct"/>
                  <w:shd w:val="clear" w:color="auto" w:fill="auto"/>
                  <w:vAlign w:val="center"/>
                </w:tcPr>
                <w:p w14:paraId="129A925B">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危废贮存间</w:t>
                  </w:r>
                </w:p>
              </w:tc>
              <w:tc>
                <w:tcPr>
                  <w:tcW w:w="2668" w:type="pct"/>
                  <w:shd w:val="clear" w:color="auto" w:fill="auto"/>
                  <w:vAlign w:val="center"/>
                </w:tcPr>
                <w:p w14:paraId="37B00604">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按《危险废物贮存污染控制标准》</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GB18597-20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执行（防渗层为至少lm厚粘土层渗透系数≤10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，或2mm厚高密度聚乙烯，或至少2mm厚的其它人工材料，渗透系数≤10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tc>
              <w:tc>
                <w:tcPr>
                  <w:tcW w:w="1071" w:type="pct"/>
                  <w:shd w:val="clear" w:color="auto" w:fill="auto"/>
                  <w:vAlign w:val="center"/>
                </w:tcPr>
                <w:p w14:paraId="1D0108C5">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地面铺设50mm的防渗混凝土，已刷防腐漆</w:t>
                  </w:r>
                </w:p>
              </w:tc>
            </w:tr>
            <w:tr w14:paraId="6BBB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shd w:val="clear" w:color="auto" w:fill="auto"/>
                  <w:vAlign w:val="center"/>
                </w:tcPr>
                <w:p w14:paraId="241A4C67">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一般防渗区</w:t>
                  </w:r>
                </w:p>
              </w:tc>
              <w:tc>
                <w:tcPr>
                  <w:tcW w:w="707" w:type="pct"/>
                  <w:shd w:val="clear" w:color="auto" w:fill="auto"/>
                  <w:vAlign w:val="center"/>
                </w:tcPr>
                <w:p w14:paraId="629C4478">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沥青罐区</w:t>
                  </w:r>
                </w:p>
              </w:tc>
              <w:tc>
                <w:tcPr>
                  <w:tcW w:w="2668" w:type="pct"/>
                  <w:shd w:val="clear" w:color="auto" w:fill="auto"/>
                  <w:vAlign w:val="center"/>
                </w:tcPr>
                <w:p w14:paraId="708D65EA">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等效黏土防渗层Mb≥1.5m，K≤10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tc>
              <w:tc>
                <w:tcPr>
                  <w:tcW w:w="1071" w:type="pct"/>
                  <w:shd w:val="clear" w:color="auto" w:fill="auto"/>
                  <w:vAlign w:val="center"/>
                </w:tcPr>
                <w:p w14:paraId="5CB3ACCB">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地面</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铺设20mm混凝土</w:t>
                  </w:r>
                  <w:r>
                    <w:rPr>
                      <w:rFonts w:hint="eastAsia" w:cs="Times New Roman"/>
                      <w:color w:val="000000" w:themeColor="text1"/>
                      <w:sz w:val="21"/>
                      <w:szCs w:val="21"/>
                      <w:highlight w:val="none"/>
                      <w:lang w:val="en-US" w:eastAsia="zh-CN"/>
                      <w14:textFill>
                        <w14:solidFill>
                          <w14:schemeClr w14:val="tx1"/>
                        </w14:solidFill>
                      </w14:textFill>
                    </w:rPr>
                    <w:t>，铺设40cm高的基座，沥青储罐位于基座上</w:t>
                  </w:r>
                </w:p>
              </w:tc>
            </w:tr>
            <w:tr w14:paraId="217B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3" w:type="pct"/>
                  <w:shd w:val="clear" w:color="auto" w:fill="auto"/>
                  <w:vAlign w:val="center"/>
                </w:tcPr>
                <w:p w14:paraId="0F4D2529">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简单防渗区</w:t>
                  </w:r>
                </w:p>
              </w:tc>
              <w:tc>
                <w:tcPr>
                  <w:tcW w:w="707" w:type="pct"/>
                  <w:shd w:val="clear" w:color="auto" w:fill="auto"/>
                  <w:vAlign w:val="center"/>
                </w:tcPr>
                <w:p w14:paraId="233AD2D0">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厂区其他区域</w:t>
                  </w:r>
                </w:p>
              </w:tc>
              <w:tc>
                <w:tcPr>
                  <w:tcW w:w="2668" w:type="pct"/>
                  <w:shd w:val="clear" w:color="auto" w:fill="auto"/>
                  <w:vAlign w:val="center"/>
                </w:tcPr>
                <w:p w14:paraId="285869C0">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一般地面硬化</w:t>
                  </w:r>
                </w:p>
              </w:tc>
              <w:tc>
                <w:tcPr>
                  <w:tcW w:w="1071" w:type="pct"/>
                  <w:shd w:val="clear" w:color="auto" w:fill="auto"/>
                  <w:vAlign w:val="center"/>
                </w:tcPr>
                <w:p w14:paraId="30FE2F23">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地面硬化</w:t>
                  </w:r>
                </w:p>
              </w:tc>
            </w:tr>
          </w:tbl>
          <w:p w14:paraId="07AF8F49">
            <w:pPr>
              <w:pStyle w:val="9"/>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Cs/>
                <w:color w:val="000000" w:themeColor="text1"/>
                <w:spacing w:val="0"/>
                <w:position w:val="0"/>
                <w:sz w:val="21"/>
                <w:szCs w:val="21"/>
                <w:highlight w:val="no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lang w:val="en-US" w:eastAsia="zh-CN"/>
                <w14:textFill>
                  <w14:solidFill>
                    <w14:schemeClr w14:val="tx1"/>
                  </w14:solidFill>
                </w14:textFill>
              </w:rPr>
              <w:t>通过采取上述措施后，</w:t>
            </w:r>
            <w:r>
              <w:rPr>
                <w:rFonts w:hint="eastAsia"/>
                <w:color w:val="000000" w:themeColor="text1"/>
                <w:highlight w:val="none"/>
                <w14:textFill>
                  <w14:solidFill>
                    <w14:schemeClr w14:val="tx1"/>
                  </w14:solidFill>
                </w14:textFill>
              </w:rPr>
              <w:t>大气沉降对周边土壤环境的影响可接受</w:t>
            </w:r>
            <w:r>
              <w:rPr>
                <w:rFonts w:hint="eastAsia"/>
                <w:color w:val="000000" w:themeColor="text1"/>
                <w:highlight w:val="none"/>
                <w:lang w:eastAsia="zh-CN"/>
                <w14:textFill>
                  <w14:solidFill>
                    <w14:schemeClr w14:val="tx1"/>
                  </w14:solidFill>
                </w14:textFill>
              </w:rPr>
              <w:t>。</w:t>
            </w:r>
          </w:p>
          <w:p w14:paraId="5E021828">
            <w:pPr>
              <w:keepNext w:val="0"/>
              <w:keepLines w:val="0"/>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生态</w:t>
            </w:r>
          </w:p>
          <w:p w14:paraId="78336AFB">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项目运营期厂区地面全部硬化或者绿化，不存在裸露情况，严格采取水土保持工程措施，种植当地优势物种，乔灌草相结合实现沙化土地治理，改善景观条件。通过采取上述措施，项目对区域生态环境影响较小。</w:t>
            </w:r>
          </w:p>
          <w:p w14:paraId="5B5051FC">
            <w:pPr>
              <w:pStyle w:val="9"/>
              <w:pageBreakBefore w:val="0"/>
              <w:widowControl w:val="0"/>
              <w:kinsoku/>
              <w:wordWrap w:val="0"/>
              <w:overflowPunct/>
              <w:topLinePunct w:val="0"/>
              <w:autoSpaceDE/>
              <w:autoSpaceDN/>
              <w:bidi w:val="0"/>
              <w:adjustRightInd/>
              <w:snapToGrid/>
              <w:spacing w:line="480" w:lineRule="exact"/>
              <w:ind w:firstLine="422" w:firstLineChars="200"/>
              <w:textAlignment w:val="auto"/>
              <w:rPr>
                <w:rFonts w:hint="default"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position w:val="0"/>
                <w:sz w:val="21"/>
                <w:szCs w:val="21"/>
                <w:highlight w:val="none"/>
                <w:lang w:val="en-US" w:eastAsia="zh-CN"/>
                <w14:textFill>
                  <w14:solidFill>
                    <w14:schemeClr w14:val="tx1"/>
                  </w14:solidFill>
                </w14:textFill>
              </w:rPr>
              <w:t>7.环境风险</w:t>
            </w:r>
          </w:p>
          <w:p w14:paraId="18AD3F8F">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按照《建设项目环境风险评价技术导则》（HJ169-2018）的环境风险评价工作等级划分要求，确定项目的环境风险评价工作等级。</w:t>
            </w:r>
          </w:p>
          <w:p w14:paraId="0EFF96E5">
            <w:pPr>
              <w:keepNext w:val="0"/>
              <w:keepLines w:val="0"/>
              <w:pageBreakBefore w:val="0"/>
              <w:widowControl w:val="0"/>
              <w:kinsoku/>
              <w:wordWrap w:val="0"/>
              <w:overflowPunct/>
              <w:topLinePunct w:val="0"/>
              <w:autoSpaceDE/>
              <w:autoSpaceDN/>
              <w:bidi w:val="0"/>
              <w:adjustRightInd/>
              <w:snapToGrid w:val="0"/>
              <w:spacing w:line="480" w:lineRule="exact"/>
              <w:ind w:firstLine="422"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（1）风险源调查</w:t>
            </w:r>
          </w:p>
          <w:p w14:paraId="78792EA5">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本项目产生的环境风险物质为天然气、废润滑油、废润滑油桶和废活性炭，上述物质除天然气外均为危险废物，危险废物在收集、储存、运送过程中存在环境风险事故。</w:t>
            </w:r>
          </w:p>
          <w:p w14:paraId="236A3D29">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利用天然气作为锅炉、砂石骨料干燥滚筒和铣刨沥青干燥滚筒的热源，利用方式为“气化站汽化后燃烧”，存储方式为采用撬车储罐贮存，外来的装有天然气的撬车经本项目气化站汽化后用于燃烧，天然气撬车天然气的最大储存量为7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，已知天然气的密度为0.7174kg/m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，故本项目天然气的最大储存量为槽车在厂区内时槽车内天然气的最大储存量，最大存储量为5.06t。</w:t>
            </w:r>
          </w:p>
          <w:p w14:paraId="7C3F502E">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液化天然气一但泄露会迅速气化，一旦泄露，气化产生的以甲烷为主的挥发性有机物将对区域大气环境不利影响。另外，天然气属于一级易燃气体，泄漏产生的天然气易造成火灾、爆炸进而次生CO等大气污染物</w:t>
            </w:r>
            <w:r>
              <w:rPr>
                <w:rFonts w:hint="eastAsia" w:cs="Times New Roman"/>
                <w:color w:val="000000" w:themeColor="text1"/>
                <w:sz w:val="21"/>
                <w:szCs w:val="21"/>
                <w:highlight w:val="none"/>
                <w:lang w:val="en-US" w:eastAsia="zh-CN"/>
                <w14:textFill>
                  <w14:solidFill>
                    <w14:schemeClr w14:val="tx1"/>
                  </w14:solidFill>
                </w14:textFill>
              </w:rPr>
              <w:t>。</w:t>
            </w:r>
          </w:p>
          <w:p w14:paraId="200538CC">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天然气，主要成分为甲烷，最大存储量为</w:t>
            </w:r>
            <w:r>
              <w:rPr>
                <w:rFonts w:hint="eastAsia" w:cs="Times New Roman"/>
                <w:color w:val="000000" w:themeColor="text1"/>
                <w:sz w:val="21"/>
                <w:szCs w:val="21"/>
                <w:highlight w:val="none"/>
                <w:lang w:val="en-US" w:eastAsia="zh-CN"/>
                <w14:textFill>
                  <w14:solidFill>
                    <w14:schemeClr w14:val="tx1"/>
                  </w14:solidFill>
                </w14:textFill>
              </w:rPr>
              <w:t>5.06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t。根据《建设项目环境风险评价技术导则》（HJ169-2018）附录B所界定突发环境事件风险物质及临界量，甲烷的临界量为10t，</w:t>
            </w:r>
            <w:r>
              <w:rPr>
                <w:rFonts w:hint="eastAsia" w:cs="Times New Roman"/>
                <w:color w:val="000000" w:themeColor="text1"/>
                <w:sz w:val="21"/>
                <w:szCs w:val="21"/>
                <w:highlight w:val="none"/>
                <w:lang w:val="en-US" w:eastAsia="zh-CN"/>
                <w14:textFill>
                  <w14:solidFill>
                    <w14:schemeClr w14:val="tx1"/>
                  </w14:solidFill>
                </w14:textFill>
              </w:rPr>
              <w:t>废润滑油的临界量为2500t，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项目Q=</w:t>
            </w:r>
            <w:r>
              <w:rPr>
                <w:rFonts w:hint="eastAsia" w:cs="Times New Roman"/>
                <w:color w:val="000000" w:themeColor="text1"/>
                <w:sz w:val="21"/>
                <w:szCs w:val="21"/>
                <w:highlight w:val="none"/>
                <w:lang w:val="en-US" w:eastAsia="zh-CN"/>
                <w14:textFill>
                  <w14:solidFill>
                    <w14:schemeClr w14:val="tx1"/>
                  </w14:solidFill>
                </w14:textFill>
              </w:rPr>
              <w:t>5.06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eastAsia" w:cs="Times New Roman"/>
                <w:color w:val="000000" w:themeColor="text1"/>
                <w:sz w:val="21"/>
                <w:szCs w:val="21"/>
                <w:highlight w:val="none"/>
                <w:lang w:val="en-US" w:eastAsia="zh-CN"/>
                <w14:textFill>
                  <w14:solidFill>
                    <w14:schemeClr w14:val="tx1"/>
                  </w14:solidFill>
                </w14:textFill>
              </w:rPr>
              <w:t>+0.5/2500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0.5062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，不进行风险专项评价。</w:t>
            </w:r>
          </w:p>
          <w:p w14:paraId="5ED827DB">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本项目运行中所涉及的风险物质最大储存量及其临界量详见下表：</w:t>
            </w:r>
          </w:p>
          <w:p w14:paraId="5EE7BC9E">
            <w:pPr>
              <w:keepNext w:val="0"/>
              <w:keepLines w:val="0"/>
              <w:pageBreakBefore w:val="0"/>
              <w:widowControl w:val="0"/>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表4-</w:t>
            </w:r>
            <w:r>
              <w:rPr>
                <w:rFonts w:hint="eastAsia" w:cs="Times New Roman"/>
                <w:b/>
                <w:bCs/>
                <w:color w:val="000000" w:themeColor="text1"/>
                <w:spacing w:val="0"/>
                <w:position w:val="0"/>
                <w:sz w:val="21"/>
                <w:szCs w:val="21"/>
                <w:highlight w:val="none"/>
                <w:lang w:val="en-US" w:eastAsia="zh-CN"/>
                <w14:textFill>
                  <w14:solidFill>
                    <w14:schemeClr w14:val="tx1"/>
                  </w14:solidFill>
                </w14:textFill>
              </w:rPr>
              <w:t>21</w:t>
            </w:r>
            <w:r>
              <w:rPr>
                <w:rFonts w:hint="eastAsia" w:ascii="Times New Roman" w:hAnsi="Times New Roman" w:cs="Times New Roman"/>
                <w:b/>
                <w:bCs/>
                <w:color w:val="000000" w:themeColor="text1"/>
                <w:spacing w:val="0"/>
                <w:position w:val="0"/>
                <w:sz w:val="21"/>
                <w:szCs w:val="21"/>
                <w:highlight w:val="none"/>
                <w:lang w:val="en-US" w:eastAsia="zh-CN"/>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风险物质储存量以及临界量</w:t>
            </w:r>
            <w:r>
              <w:rPr>
                <w:rFonts w:hint="eastAsia"/>
                <w:b/>
                <w:bCs/>
                <w:color w:val="000000" w:themeColor="text1"/>
                <w:sz w:val="21"/>
                <w:szCs w:val="21"/>
                <w:highlight w:val="none"/>
                <w14:textFill>
                  <w14:solidFill>
                    <w14:schemeClr w14:val="tx1"/>
                  </w14:solidFill>
                </w14:textFill>
              </w:rPr>
              <w:t>一览表</w:t>
            </w:r>
          </w:p>
          <w:tbl>
            <w:tblPr>
              <w:tblStyle w:val="31"/>
              <w:tblW w:w="8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2106"/>
              <w:gridCol w:w="2107"/>
              <w:gridCol w:w="2107"/>
            </w:tblGrid>
            <w:tr w14:paraId="7E03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06" w:type="dxa"/>
                  <w:vAlign w:val="center"/>
                </w:tcPr>
                <w:p w14:paraId="267F5446">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风险物质</w:t>
                  </w:r>
                </w:p>
              </w:tc>
              <w:tc>
                <w:tcPr>
                  <w:tcW w:w="2106" w:type="dxa"/>
                  <w:vAlign w:val="center"/>
                </w:tcPr>
                <w:p w14:paraId="2060FEF3">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最大储存量</w:t>
                  </w:r>
                </w:p>
              </w:tc>
              <w:tc>
                <w:tcPr>
                  <w:tcW w:w="2107" w:type="dxa"/>
                  <w:vAlign w:val="center"/>
                </w:tcPr>
                <w:p w14:paraId="7145EF94">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临界量</w:t>
                  </w:r>
                </w:p>
              </w:tc>
              <w:tc>
                <w:tcPr>
                  <w:tcW w:w="2107" w:type="dxa"/>
                  <w:vAlign w:val="center"/>
                </w:tcPr>
                <w:p w14:paraId="05B7DACF">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Q值</w:t>
                  </w:r>
                </w:p>
              </w:tc>
            </w:tr>
            <w:tr w14:paraId="08838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06" w:type="dxa"/>
                  <w:vAlign w:val="center"/>
                </w:tcPr>
                <w:p w14:paraId="77DB7E3D">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天然气</w:t>
                  </w:r>
                </w:p>
              </w:tc>
              <w:tc>
                <w:tcPr>
                  <w:tcW w:w="2106" w:type="dxa"/>
                  <w:vAlign w:val="center"/>
                </w:tcPr>
                <w:p w14:paraId="1440D1FD">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5.06</w:t>
                  </w:r>
                </w:p>
              </w:tc>
              <w:tc>
                <w:tcPr>
                  <w:tcW w:w="2107" w:type="dxa"/>
                  <w:vAlign w:val="center"/>
                </w:tcPr>
                <w:p w14:paraId="5C2EF47B">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w:t>
                  </w:r>
                </w:p>
              </w:tc>
              <w:tc>
                <w:tcPr>
                  <w:tcW w:w="2107" w:type="dxa"/>
                  <w:vAlign w:val="center"/>
                </w:tcPr>
                <w:p w14:paraId="5AA8E8FD">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0.506</w:t>
                  </w:r>
                </w:p>
              </w:tc>
            </w:tr>
            <w:tr w14:paraId="16D0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06" w:type="dxa"/>
                  <w:vAlign w:val="center"/>
                </w:tcPr>
                <w:p w14:paraId="392D1B64">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废润滑油</w:t>
                  </w:r>
                </w:p>
              </w:tc>
              <w:tc>
                <w:tcPr>
                  <w:tcW w:w="2106" w:type="dxa"/>
                  <w:vAlign w:val="center"/>
                </w:tcPr>
                <w:p w14:paraId="4F4CA953">
                  <w:pPr>
                    <w:pageBreakBefore w:val="0"/>
                    <w:kinsoku/>
                    <w:wordWrap w:val="0"/>
                    <w:overflowPunct/>
                    <w:bidi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vertAlign w:val="baseline"/>
                      <w:lang w:val="en-US" w:eastAsia="zh-CN"/>
                      <w14:textFill>
                        <w14:solidFill>
                          <w14:schemeClr w14:val="tx1"/>
                        </w14:solidFill>
                      </w14:textFill>
                    </w:rPr>
                    <w:t>0.5</w:t>
                  </w:r>
                </w:p>
              </w:tc>
              <w:tc>
                <w:tcPr>
                  <w:tcW w:w="2107" w:type="dxa"/>
                  <w:vAlign w:val="center"/>
                </w:tcPr>
                <w:p w14:paraId="240EACB4">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2500</w:t>
                  </w:r>
                </w:p>
              </w:tc>
              <w:tc>
                <w:tcPr>
                  <w:tcW w:w="2107" w:type="dxa"/>
                  <w:vAlign w:val="center"/>
                </w:tcPr>
                <w:p w14:paraId="5E757454">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0.0002</w:t>
                  </w:r>
                </w:p>
              </w:tc>
            </w:tr>
            <w:tr w14:paraId="1DC1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06" w:type="dxa"/>
                  <w:vAlign w:val="center"/>
                </w:tcPr>
                <w:p w14:paraId="2B17A4FB">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废润滑油桶</w:t>
                  </w:r>
                </w:p>
              </w:tc>
              <w:tc>
                <w:tcPr>
                  <w:tcW w:w="2106" w:type="dxa"/>
                  <w:vAlign w:val="center"/>
                </w:tcPr>
                <w:p w14:paraId="3B7E6A1E">
                  <w:pPr>
                    <w:pageBreakBefore w:val="0"/>
                    <w:kinsoku/>
                    <w:wordWrap w:val="0"/>
                    <w:overflowPunct/>
                    <w:bidi w:val="0"/>
                    <w:snapToGrid w:val="0"/>
                    <w:jc w:val="cente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bCs/>
                      <w:color w:val="000000" w:themeColor="text1"/>
                      <w:spacing w:val="0"/>
                      <w:position w:val="0"/>
                      <w:sz w:val="21"/>
                      <w:szCs w:val="21"/>
                      <w:highlight w:val="none"/>
                      <w:vertAlign w:val="baseline"/>
                      <w:lang w:val="en-US" w:eastAsia="zh-CN"/>
                      <w14:textFill>
                        <w14:solidFill>
                          <w14:schemeClr w14:val="tx1"/>
                        </w14:solidFill>
                      </w14:textFill>
                    </w:rPr>
                    <w:t>0.2</w:t>
                  </w:r>
                </w:p>
              </w:tc>
              <w:tc>
                <w:tcPr>
                  <w:tcW w:w="2107" w:type="dxa"/>
                  <w:vAlign w:val="center"/>
                </w:tcPr>
                <w:p w14:paraId="09666064">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c>
                <w:tcPr>
                  <w:tcW w:w="2107" w:type="dxa"/>
                  <w:vAlign w:val="center"/>
                </w:tcPr>
                <w:p w14:paraId="619C6CC1">
                  <w:pPr>
                    <w:keepNext w:val="0"/>
                    <w:keepLines w:val="0"/>
                    <w:pageBreakBefore w:val="0"/>
                    <w:widowControl w:val="0"/>
                    <w:kinsoku/>
                    <w:wordWrap w:val="0"/>
                    <w:overflowPunct/>
                    <w:topLinePunct w:val="0"/>
                    <w:autoSpaceDE/>
                    <w:autoSpaceDN/>
                    <w:bidi w:val="0"/>
                    <w:adjustRightInd/>
                    <w:snapToGrid w:val="0"/>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w:t>
                  </w:r>
                </w:p>
              </w:tc>
            </w:tr>
          </w:tbl>
          <w:p w14:paraId="0250FADE">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由上表分析可知，本项目Q＜1，则本项目环境风险潜势直接判定为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Ⅰ</w:t>
            </w:r>
            <w:r>
              <w:rPr>
                <w:rFonts w:hint="eastAsia" w:cs="Times New Roman"/>
                <w:color w:val="000000" w:themeColor="text1"/>
                <w:sz w:val="21"/>
                <w:szCs w:val="21"/>
                <w:highlight w:val="none"/>
                <w:lang w:val="en-US" w:eastAsia="zh-CN"/>
                <w14:textFill>
                  <w14:solidFill>
                    <w14:schemeClr w14:val="tx1"/>
                  </w14:solidFill>
                </w14:textFill>
              </w:rPr>
              <w:t>，评价工作等级划分为简单分析，后续只做定性分析。</w:t>
            </w:r>
          </w:p>
          <w:p w14:paraId="0EDEF27A">
            <w:pPr>
              <w:keepNext w:val="0"/>
              <w:keepLines w:val="0"/>
              <w:pageBreakBefore w:val="0"/>
              <w:widowControl w:val="0"/>
              <w:kinsoku/>
              <w:wordWrap w:val="0"/>
              <w:overflowPunct/>
              <w:topLinePunct w:val="0"/>
              <w:autoSpaceDE/>
              <w:autoSpaceDN/>
              <w:bidi w:val="0"/>
              <w:adjustRightInd/>
              <w:snapToGrid w:val="0"/>
              <w:spacing w:line="480" w:lineRule="exact"/>
              <w:ind w:firstLine="422"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（2）风险物质可能的影响途径</w:t>
            </w:r>
          </w:p>
          <w:p w14:paraId="7A313C7F">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危险废物贮存间的废润滑油泄露事故，以及废润滑油发生火灾、爆炸危害事故，进而引发的次生污染物的排放，造成的环境污染事故：</w:t>
            </w:r>
          </w:p>
          <w:p w14:paraId="4E4F69A5">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项目废润滑油发生泄露遗</w:t>
            </w:r>
            <w:r>
              <w:rPr>
                <w:rFonts w:hint="eastAsia" w:cs="Times New Roman"/>
                <w:color w:val="000000" w:themeColor="text1"/>
                <w:sz w:val="21"/>
                <w:szCs w:val="21"/>
                <w:highlight w:val="none"/>
                <w:lang w:val="en-US" w:eastAsia="zh-CN"/>
                <w14:textFill>
                  <w14:solidFill>
                    <w14:schemeClr w14:val="tx1"/>
                  </w14:solidFill>
                </w14:textFill>
              </w:rPr>
              <w:t>洒</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事故时，预计事故在未及时采取对策措施的情况下，对区域水环境可能造成影响。废油在废润滑油桶内储存，当废油发生泄漏时，废油短时间内溢流将存于危险废物贮存间内，长时间未发现时才溢流到危险废物贮存间外，短时间不会对环境造成污染。当事故发生短时间内及时对废油污及时收集用吸油物质围堵、吸附润滑油，采用专门的收集装置进行收集，交由资质单位处理。项目采取设置危险废物贮存间对废润滑油进行贮存，委托有资质单位处理的废物处置方式。</w:t>
            </w:r>
            <w:r>
              <w:rPr>
                <w:rFonts w:hint="eastAsia" w:cs="Times New Roman"/>
                <w:color w:val="000000" w:themeColor="text1"/>
                <w:sz w:val="21"/>
                <w:szCs w:val="21"/>
                <w:highlight w:val="none"/>
                <w:lang w:val="en-US" w:eastAsia="zh-CN"/>
                <w14:textFill>
                  <w14:solidFill>
                    <w14:schemeClr w14:val="tx1"/>
                  </w14:solidFill>
                </w14:textFill>
              </w:rPr>
              <w:t>废润滑油或天然气发生火灾事故，所产生的消防废水引入厂区内的应急消防水池中，防治消防废水流出场外，对项目周边土壤环境造成影响，</w:t>
            </w:r>
          </w:p>
          <w:p w14:paraId="1AFAC002">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液化天然气极易气化，一旦泄露，气化产生的以甲烷为主的挥发性有机物将对区域大气环境不利影响。另外，天然气属于一级易燃气体，泄漏产生的天然气易造成火灾、爆炸进而次生CO等大气污染物。</w:t>
            </w:r>
          </w:p>
          <w:p w14:paraId="60AD7C06">
            <w:pPr>
              <w:keepNext w:val="0"/>
              <w:keepLines w:val="0"/>
              <w:pageBreakBefore w:val="0"/>
              <w:widowControl w:val="0"/>
              <w:kinsoku/>
              <w:wordWrap w:val="0"/>
              <w:overflowPunct/>
              <w:topLinePunct w:val="0"/>
              <w:autoSpaceDE/>
              <w:autoSpaceDN/>
              <w:bidi w:val="0"/>
              <w:adjustRightInd/>
              <w:snapToGrid w:val="0"/>
              <w:spacing w:line="480" w:lineRule="exact"/>
              <w:ind w:firstLine="422"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（3）环境风险防范措施</w:t>
            </w:r>
          </w:p>
          <w:p w14:paraId="61F81F78">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①天然气环境风险防范措施</w:t>
            </w:r>
          </w:p>
          <w:p w14:paraId="65CD9279">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液化天然气的槽车采用专业的储罐，使用密闭系统。为防止设备超压而造成事故，罐顶应设置安全阀，控制安全阀起跳排放的气体。储罐使用结束后外运，相关工艺管道、阀门维修时管道内的残余物料吹扫排放的气体均采用集中收集并排入放散管道。在生产过程中，对各密封点进行经常检查，防止有毒有害物的泄漏，设置可燃气体浓度监测仪，当可燃气体浓度超标时报警。</w:t>
            </w:r>
          </w:p>
          <w:p w14:paraId="355F5632">
            <w:pPr>
              <w:keepNext w:val="0"/>
              <w:keepLines w:val="0"/>
              <w:pageBreakBefore w:val="0"/>
              <w:widowControl w:val="0"/>
              <w:kinsoku/>
              <w:wordWrap w:val="0"/>
              <w:overflowPunct/>
              <w:topLinePunct w:val="0"/>
              <w:autoSpaceDE/>
              <w:autoSpaceDN/>
              <w:bidi w:val="0"/>
              <w:adjustRightInd/>
              <w:snapToGrid w:val="0"/>
              <w:spacing w:line="480" w:lineRule="exact"/>
              <w:ind w:firstLine="384"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spacing w:val="-9"/>
                <w:highlight w:val="none"/>
                <w14:textFill>
                  <w14:solidFill>
                    <w14:schemeClr w14:val="tx1"/>
                  </w14:solidFill>
                </w14:textFill>
              </w:rPr>
              <w:t>制定合规的操作规程和维修规程，减少操作人员与有害物质直接接触的机会。</w:t>
            </w:r>
            <w:r>
              <w:rPr>
                <w:color w:val="000000" w:themeColor="text1"/>
                <w:spacing w:val="-2"/>
                <w:highlight w:val="none"/>
                <w14:textFill>
                  <w14:solidFill>
                    <w14:schemeClr w14:val="tx1"/>
                  </w14:solidFill>
                </w14:textFill>
              </w:rPr>
              <w:t>加大对运输系统的管理，运用有严格规范液化天然气的运输过程。</w:t>
            </w:r>
          </w:p>
          <w:p w14:paraId="2542FC14">
            <w:pPr>
              <w:keepNext w:val="0"/>
              <w:keepLines w:val="0"/>
              <w:pageBreakBefore w:val="0"/>
              <w:widowControl w:val="0"/>
              <w:kinsoku/>
              <w:wordWrap w:val="0"/>
              <w:overflowPunct/>
              <w:topLinePunct w:val="0"/>
              <w:autoSpaceDE/>
              <w:autoSpaceDN/>
              <w:bidi w:val="0"/>
              <w:adjustRightInd/>
              <w:snapToGrid w:val="0"/>
              <w:spacing w:line="480" w:lineRule="exact"/>
              <w:ind w:firstLine="420" w:firstLineChars="20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②危险废物环境风险防范措施</w:t>
            </w:r>
          </w:p>
          <w:p w14:paraId="35BA8546">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a.危险废物收集过程中的风险防范措施</w:t>
            </w:r>
          </w:p>
          <w:p w14:paraId="47951618">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①企业应建立规范的危险废物管理和技术人员培训制度，定期对危险废物管理和技术人员进行培训。培训内容至少应包括危险废物鉴别要求、危险废物包装和标识、危险废物转运要求、危险废物事故应急方法等。</w:t>
            </w:r>
          </w:p>
          <w:p w14:paraId="78DA906D">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②装卸人员必须按照规定采用一定的搬运工具，不得损坏包装物和包装容器，不得将危险废物倒置、洒落、渗漏，谨防污染环境。</w:t>
            </w:r>
          </w:p>
          <w:p w14:paraId="6E7CFE5A">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③在装卸过程中如出现危险废物有洒落、渗漏情况，应由责任人立即清理现场，消除污染，不得随意外排。</w:t>
            </w:r>
          </w:p>
          <w:p w14:paraId="02585E56">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④在危险废物的收集和转运过程中，应采取相应的安全防护和污染防治措施，包括防爆、防中毒、防感染、防泄漏、防飞扬、防雨或其他防止污染环境的措施。</w:t>
            </w:r>
          </w:p>
          <w:p w14:paraId="7E318EED">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⑤危险废物收集时应根据危险废物的种类、数量、危险特性、物理形态、运输要求等因素确定包装形式。</w:t>
            </w:r>
          </w:p>
          <w:p w14:paraId="33D69198">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⑥危险废物收集现场禁止吸烟、进食、饮水；危险废物收集完毕，应洗澡换衣；单独存放被危险废物污染的衣服，洗后备用；收集车辆应配备急救设备和药品；作业人员应学会自救和互救。</w:t>
            </w:r>
          </w:p>
          <w:p w14:paraId="2B7F9E00">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⑦对在岗工人及邻近有关人员进行普及性自我救护教育，一旦发生事故迅速进行自我救护，同时还要加强防护器材的维护保养，保证器材随时处于备用状态。</w:t>
            </w:r>
          </w:p>
          <w:p w14:paraId="612FA2B3">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b.危险废物内部转运作业风险防范措施</w:t>
            </w:r>
          </w:p>
          <w:p w14:paraId="144E86BE">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首先危险废物内部转运作业应采用专用的工具；其次，应严格遵守《危险废物收集 贮存 运输技术规范》（HJ2025-2012）要求，为防止在收集转运过程中发生废物泄漏、洒落等事故污染周围环境，引发污染事故，应注意以下转运过程的风险防范措施：</w:t>
            </w:r>
          </w:p>
          <w:p w14:paraId="52CDFFAE">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①在危险废物的收集转运过程中必须做好废物的密封包装等措施，严禁将具有反应性的不相容的废物，或者性质不明的废物进行混合，防止在转运过程中的反应、渗漏、溢出、抛洒或挥发等情况发生。</w:t>
            </w:r>
          </w:p>
          <w:p w14:paraId="6CDDC571">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②在危险废物的包装容器上清楚地标明内盛物的类别与危害说明，以及数量和包装日期。</w:t>
            </w:r>
          </w:p>
          <w:p w14:paraId="04778C3C">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③危险废物内部转运作业应采用专用的工具，转运设施和设备在转作他用时，必须经过消除污染的处理，方可使用。</w:t>
            </w:r>
          </w:p>
          <w:p w14:paraId="1EBE2A0C">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④危险废物收集转运时应综合考虑厂区的实际情况确定转运路线，尽量避开办公区和生活区。危险废物内部转运结束后，应对转运路线进行检查和清理，确保无危险废物遗失在转运路线上。</w:t>
            </w:r>
          </w:p>
          <w:p w14:paraId="2C5934C3">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⑤内部转运前应填写《危险废物内部转运记录表》。</w:t>
            </w:r>
          </w:p>
          <w:p w14:paraId="3E1E5204">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⑥在危险废物转运过程中，一旦发生突发性事故，不可弃置而逃，必须立即采取措施消除或者减轻对环境的污染危害，并及时通报给值班工作人员及领导，并向事故发生地有关部门报告，接受调查处理。</w:t>
            </w:r>
          </w:p>
          <w:p w14:paraId="2CA40021">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⑦企业需要制定意外事故的防范措施和应急预案，对危险废物转运过程中发生的风险事故负责。</w:t>
            </w:r>
          </w:p>
          <w:p w14:paraId="1BEB8528">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c.危险废物暂存过程中的风险防范措施</w:t>
            </w:r>
          </w:p>
          <w:p w14:paraId="1C386EFB">
            <w:pPr>
              <w:pageBreakBefore w:val="0"/>
              <w:widowControl w:val="0"/>
              <w:kinsoku/>
              <w:wordWrap w:val="0"/>
              <w:overflowPunct/>
              <w:topLinePunct w:val="0"/>
              <w:autoSpaceDE/>
              <w:autoSpaceDN/>
              <w:bidi w:val="0"/>
              <w:adjustRightInd/>
              <w:snapToGrid/>
              <w:spacing w:line="480" w:lineRule="exact"/>
              <w:ind w:firstLine="420" w:firstLineChars="200"/>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按照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《危险废物贮存污染控制标准》（GB18597-2023）</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等相关技术要求建设符合规范要求的危险废物贮存间，危险废物贮存间需满足防风、防雨、防晒、防渗漏的要求。</w:t>
            </w:r>
          </w:p>
          <w:p w14:paraId="13FA2C35">
            <w:pPr>
              <w:pageBreakBefore w:val="0"/>
              <w:widowControl w:val="0"/>
              <w:numPr>
                <w:ilvl w:val="0"/>
                <w:numId w:val="0"/>
              </w:numPr>
              <w:kinsoku/>
              <w:wordWrap w:val="0"/>
              <w:overflowPunct/>
              <w:topLinePunct w:val="0"/>
              <w:autoSpaceDE/>
              <w:autoSpaceDN/>
              <w:bidi w:val="0"/>
              <w:adjustRightInd/>
              <w:snapToGrid/>
              <w:spacing w:line="480" w:lineRule="exact"/>
              <w:ind w:left="0" w:leftChars="0" w:firstLine="422" w:firstLineChars="200"/>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w:t>
            </w:r>
            <w:r>
              <w:rPr>
                <w:rFonts w:hint="eastAsia" w:cs="Times New Roman"/>
                <w:b/>
                <w:bCs/>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环境风险分析结论</w:t>
            </w:r>
          </w:p>
          <w:p w14:paraId="3C59CE02">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r>
              <w:rPr>
                <w:rFonts w:hint="eastAsia" w:cs="Times New Roman"/>
                <w:b/>
                <w:bCs/>
                <w:color w:val="000000" w:themeColor="text1"/>
                <w:sz w:val="21"/>
                <w:szCs w:val="21"/>
                <w:highlight w:val="none"/>
                <w:lang w:val="en-US" w:eastAsia="zh-CN"/>
                <w14:textFill>
                  <w14:solidFill>
                    <w14:schemeClr w14:val="tx1"/>
                  </w14:solidFill>
                </w14:textFill>
              </w:rPr>
              <w:t>22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建设项目环境风险简单分析内容表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281"/>
              <w:gridCol w:w="1740"/>
              <w:gridCol w:w="1052"/>
              <w:gridCol w:w="2828"/>
            </w:tblGrid>
            <w:tr w14:paraId="62E2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pct"/>
                  <w:noWrap w:val="0"/>
                  <w:vAlign w:val="center"/>
                </w:tcPr>
                <w:p w14:paraId="7A5D908E">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建设项目名称</w:t>
                  </w:r>
                </w:p>
              </w:tc>
              <w:tc>
                <w:tcPr>
                  <w:tcW w:w="4099" w:type="pct"/>
                  <w:gridSpan w:val="4"/>
                  <w:noWrap w:val="0"/>
                  <w:vAlign w:val="center"/>
                </w:tcPr>
                <w:p w14:paraId="1D15FB0B">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沥青搅拌站改造提升建设项目</w:t>
                  </w:r>
                </w:p>
              </w:tc>
            </w:tr>
            <w:tr w14:paraId="16BB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pct"/>
                  <w:noWrap w:val="0"/>
                  <w:vAlign w:val="center"/>
                </w:tcPr>
                <w:p w14:paraId="01A231D3">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建设地点</w:t>
                  </w:r>
                </w:p>
              </w:tc>
              <w:tc>
                <w:tcPr>
                  <w:tcW w:w="4099" w:type="pct"/>
                  <w:gridSpan w:val="4"/>
                  <w:noWrap w:val="0"/>
                  <w:vAlign w:val="center"/>
                </w:tcPr>
                <w:p w14:paraId="4249757D">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河北省承德市围场满族蒙古族自治县牌楼乡于家湾村4组</w:t>
                  </w:r>
                </w:p>
              </w:tc>
            </w:tr>
            <w:tr w14:paraId="306C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pct"/>
                  <w:noWrap w:val="0"/>
                  <w:vAlign w:val="center"/>
                </w:tcPr>
                <w:p w14:paraId="4BC5E48C">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地理坐标</w:t>
                  </w:r>
                </w:p>
              </w:tc>
              <w:tc>
                <w:tcPr>
                  <w:tcW w:w="761" w:type="pct"/>
                  <w:noWrap w:val="0"/>
                  <w:vAlign w:val="center"/>
                </w:tcPr>
                <w:p w14:paraId="45E7F5C9">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经度</w:t>
                  </w:r>
                </w:p>
              </w:tc>
              <w:tc>
                <w:tcPr>
                  <w:tcW w:w="1034" w:type="pct"/>
                  <w:noWrap w:val="0"/>
                  <w:vAlign w:val="center"/>
                </w:tcPr>
                <w:p w14:paraId="72E0F124">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117°24′54.41″</w:t>
                  </w:r>
                </w:p>
              </w:tc>
              <w:tc>
                <w:tcPr>
                  <w:tcW w:w="625" w:type="pct"/>
                  <w:noWrap w:val="0"/>
                  <w:vAlign w:val="center"/>
                </w:tcPr>
                <w:p w14:paraId="01D17400">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纬度</w:t>
                  </w:r>
                </w:p>
              </w:tc>
              <w:tc>
                <w:tcPr>
                  <w:tcW w:w="1678" w:type="pct"/>
                  <w:noWrap w:val="0"/>
                  <w:vAlign w:val="center"/>
                </w:tcPr>
                <w:p w14:paraId="334A9516">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41°56′46.36″</w:t>
                  </w:r>
                </w:p>
              </w:tc>
            </w:tr>
            <w:tr w14:paraId="409A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pct"/>
                  <w:noWrap w:val="0"/>
                  <w:vAlign w:val="center"/>
                </w:tcPr>
                <w:p w14:paraId="539AB58C">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主要危险物质及分布</w:t>
                  </w:r>
                </w:p>
              </w:tc>
              <w:tc>
                <w:tcPr>
                  <w:tcW w:w="4099" w:type="pct"/>
                  <w:gridSpan w:val="4"/>
                  <w:noWrap w:val="0"/>
                  <w:vAlign w:val="center"/>
                </w:tcPr>
                <w:p w14:paraId="15D47339">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废活性炭、废润滑油、废润滑油桶属于危险废物，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暂存于危险废物暂存间内。</w:t>
                  </w:r>
                </w:p>
              </w:tc>
            </w:tr>
            <w:tr w14:paraId="2F4E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pct"/>
                  <w:noWrap w:val="0"/>
                  <w:vAlign w:val="center"/>
                </w:tcPr>
                <w:p w14:paraId="1E28383B">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风险防范措施要求</w:t>
                  </w:r>
                </w:p>
              </w:tc>
              <w:tc>
                <w:tcPr>
                  <w:tcW w:w="4099" w:type="pct"/>
                  <w:gridSpan w:val="4"/>
                  <w:noWrap w:val="0"/>
                  <w:vAlign w:val="center"/>
                </w:tcPr>
                <w:p w14:paraId="740A62A6">
                  <w:pPr>
                    <w:keepNext w:val="0"/>
                    <w:keepLines w:val="0"/>
                    <w:pageBreakBefore w:val="0"/>
                    <w:kinsoku/>
                    <w:wordWrap w:val="0"/>
                    <w:overflowPunct/>
                    <w:topLinePunct w:val="0"/>
                    <w:autoSpaceDE/>
                    <w:autoSpaceDN/>
                    <w:bidi w:val="0"/>
                    <w:spacing w:line="320" w:lineRule="exact"/>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风险防范：加强对操作工人的培训，培养员工的安全和环境意识，提高操作工人的技术水平和责任感，降低操作失误而造成的事故。危险废物暂存间应按照《危险废物贮存污染控制标准》（GB18597-2023）要求进行建设，库房应封闭，应做好防雨、防风、防渗漏、防扬散措施，应设置渗出液收集设施。施工时加强管理，严格按设计要求施工，严禁偷工减料；施工现场监理到位，严格把关，确保施工质量，减少风险。危险废物暂存间内，配备规定数量、质量要求的灭火器材，并有专人负责监督；贴有危险废物标识，加强对危险废物暂存间的日常检查和定期检查。危险废物运输路线应避开人口密集区、学校、医院、保护水体等环境敏感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增强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工作人员环境风险意识，制定各项环保制度。对从业人员进行岗位职工教育与培训，使他们均具备危险意识及如何应对危险的知识，并进行相关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泄漏事故</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的教育。设立应急事故专门记录，建立档案和报告制度，由专门部门或人员负责管理。</w:t>
                  </w:r>
                </w:p>
              </w:tc>
            </w:tr>
            <w:tr w14:paraId="67D6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noWrap w:val="0"/>
                  <w:vAlign w:val="center"/>
                </w:tcPr>
                <w:p w14:paraId="196F0C83">
                  <w:pPr>
                    <w:keepNext w:val="0"/>
                    <w:keepLines w:val="0"/>
                    <w:pageBreakBefore w:val="0"/>
                    <w:widowControl w:val="0"/>
                    <w:kinsoku/>
                    <w:wordWrap w:val="0"/>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填表说明（列出项目相关信息及评价说明）：通过采取有效的环境风险防范措施，项目产生的环境风险可接受。</w:t>
                  </w:r>
                </w:p>
              </w:tc>
            </w:tr>
          </w:tbl>
          <w:p w14:paraId="591B9092">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471F7ABA">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0E6C4461">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6FAD4B09">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29FDDCE7">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7A5F28A3">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4995F513">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2FDC7150">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132A0E90">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32D4F7AE">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12100E13">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3CA56CD5">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5EE82DE6">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7D24DC8C">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724947E3">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0DC68698">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6461F0EC">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56FDB975">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1057695C">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14FF887A">
            <w:pPr>
              <w:pageBreakBefore w:val="0"/>
              <w:widowControl w:val="0"/>
              <w:kinsoku/>
              <w:wordWrap w:val="0"/>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7C7A0572">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highlight w:val="none"/>
                <w:lang w:eastAsia="zh-CN" w:bidi="ar"/>
                <w14:textFill>
                  <w14:solidFill>
                    <w14:schemeClr w14:val="tx1"/>
                  </w14:solidFill>
                </w14:textFill>
              </w:rPr>
            </w:pPr>
          </w:p>
        </w:tc>
      </w:tr>
    </w:tbl>
    <w:p w14:paraId="3832E3B0">
      <w:pPr>
        <w:pageBreakBefore w:val="0"/>
        <w:kinsoku/>
        <w:wordWrap w:val="0"/>
        <w:overflowPunct/>
        <w:bidi w:val="0"/>
        <w:adjustRightInd w:val="0"/>
        <w:snapToGrid w:val="0"/>
        <w:spacing w:line="360" w:lineRule="auto"/>
        <w:rPr>
          <w:rFonts w:hint="default" w:ascii="Times New Roman" w:hAnsi="Times New Roman" w:eastAsia="宋体" w:cs="Times New Roman"/>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BE6A58B">
      <w:pPr>
        <w:pStyle w:val="26"/>
        <w:pageBreakBefore w:val="0"/>
        <w:kinsoku/>
        <w:wordWrap w:val="0"/>
        <w:overflowPunct/>
        <w:bidi w:val="0"/>
        <w:jc w:val="center"/>
        <w:outlineLvl w:val="0"/>
        <w:rPr>
          <w:rFonts w:hint="default" w:ascii="黑体" w:hAnsi="黑体" w:eastAsia="黑体" w:cs="Times New Roman"/>
          <w:snapToGrid w:val="0"/>
          <w:color w:val="000000" w:themeColor="text1"/>
          <w:sz w:val="30"/>
          <w:szCs w:val="30"/>
          <w:highlight w:val="none"/>
          <w14:textFill>
            <w14:solidFill>
              <w14:schemeClr w14:val="tx1"/>
            </w14:solidFill>
          </w14:textFill>
        </w:rPr>
      </w:pPr>
      <w:r>
        <w:rPr>
          <w:rFonts w:hint="default" w:ascii="黑体" w:hAnsi="黑体" w:eastAsia="黑体" w:cs="Times New Roman"/>
          <w:snapToGrid w:val="0"/>
          <w:color w:val="000000" w:themeColor="text1"/>
          <w:sz w:val="30"/>
          <w:szCs w:val="30"/>
          <w:highlight w:val="none"/>
          <w14:textFill>
            <w14:solidFill>
              <w14:schemeClr w14:val="tx1"/>
            </w14:solidFill>
          </w14:textFill>
        </w:rPr>
        <w:t>五、</w:t>
      </w:r>
      <w:bookmarkStart w:id="2" w:name="_Hlk54167917"/>
      <w:r>
        <w:rPr>
          <w:rFonts w:hint="default" w:ascii="黑体" w:hAnsi="黑体" w:eastAsia="黑体" w:cs="Times New Roman"/>
          <w:snapToGrid w:val="0"/>
          <w:color w:val="000000" w:themeColor="text1"/>
          <w:sz w:val="30"/>
          <w:szCs w:val="30"/>
          <w:highlight w:val="none"/>
          <w14:textFill>
            <w14:solidFill>
              <w14:schemeClr w14:val="tx1"/>
            </w14:solidFill>
          </w14:textFill>
        </w:rPr>
        <w:t>环境保护措施监督检查清单</w:t>
      </w:r>
      <w:bookmarkEnd w:id="2"/>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1014"/>
        <w:gridCol w:w="1186"/>
        <w:gridCol w:w="1357"/>
        <w:gridCol w:w="4172"/>
      </w:tblGrid>
      <w:tr w14:paraId="4795D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tcBorders>
              <w:tl2br w:val="single" w:color="auto" w:sz="4" w:space="0"/>
            </w:tcBorders>
            <w:noWrap w:val="0"/>
            <w:vAlign w:val="top"/>
          </w:tcPr>
          <w:p w14:paraId="52ADA950">
            <w:pPr>
              <w:keepNext w:val="0"/>
              <w:keepLines w:val="0"/>
              <w:pageBreakBefore w:val="0"/>
              <w:widowControl w:val="0"/>
              <w:kinsoku/>
              <w:wordWrap w:val="0"/>
              <w:overflowPunct/>
              <w:topLinePunct w:val="0"/>
              <w:autoSpaceDE/>
              <w:autoSpaceDN/>
              <w:bidi w:val="0"/>
              <w:adjustRightInd w:val="0"/>
              <w:snapToGrid w:val="0"/>
              <w:spacing w:line="320" w:lineRule="exact"/>
              <w:ind w:firstLine="632" w:firstLineChars="300"/>
              <w:textAlignment w:val="auto"/>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内容</w:t>
            </w:r>
          </w:p>
          <w:p w14:paraId="7AC118B3">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pPr>
          </w:p>
          <w:p w14:paraId="35991D03">
            <w:pPr>
              <w:keepNext w:val="0"/>
              <w:keepLines w:val="0"/>
              <w:pageBreakBefore w:val="0"/>
              <w:widowControl w:val="0"/>
              <w:kinsoku/>
              <w:wordWrap w:val="0"/>
              <w:overflowPunct/>
              <w:topLinePunct w:val="0"/>
              <w:autoSpaceDE/>
              <w:autoSpaceDN/>
              <w:bidi w:val="0"/>
              <w:adjustRightInd w:val="0"/>
              <w:snapToGrid w:val="0"/>
              <w:spacing w:line="320" w:lineRule="exact"/>
              <w:textAlignment w:val="auto"/>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要素</w:t>
            </w:r>
          </w:p>
        </w:tc>
        <w:tc>
          <w:tcPr>
            <w:tcW w:w="0" w:type="auto"/>
            <w:noWrap w:val="0"/>
            <w:vAlign w:val="center"/>
          </w:tcPr>
          <w:p w14:paraId="6896044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排放口</w:t>
            </w:r>
            <w:r>
              <w:rPr>
                <w:rFonts w:hint="default" w:ascii="Times New Roman" w:hAnsi="Times New Roman" w:cs="Times New Roman"/>
                <w:b/>
                <w:bCs/>
                <w:color w:val="000000" w:themeColor="text1"/>
                <w:spacing w:val="0"/>
                <w:position w:val="0"/>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编号、</w:t>
            </w:r>
          </w:p>
          <w:p w14:paraId="1FC4A81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名称</w:t>
            </w:r>
            <w:r>
              <w:rPr>
                <w:rFonts w:hint="default" w:ascii="Times New Roman" w:hAnsi="Times New Roman" w:cs="Times New Roman"/>
                <w:b/>
                <w:bCs/>
                <w:color w:val="000000" w:themeColor="text1"/>
                <w:spacing w:val="0"/>
                <w:position w:val="0"/>
                <w:sz w:val="21"/>
                <w:szCs w:val="21"/>
                <w:highlight w:val="none"/>
                <w:lang w:eastAsia="zh-CN"/>
                <w14:textFill>
                  <w14:solidFill>
                    <w14:schemeClr w14:val="tx1"/>
                  </w14:solidFill>
                </w14:textFill>
              </w:rPr>
              <w:t>）</w:t>
            </w: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/污染源</w:t>
            </w:r>
          </w:p>
        </w:tc>
        <w:tc>
          <w:tcPr>
            <w:tcW w:w="0" w:type="auto"/>
            <w:noWrap w:val="0"/>
            <w:vAlign w:val="center"/>
          </w:tcPr>
          <w:p w14:paraId="50FA48A5">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污染物项目</w:t>
            </w:r>
          </w:p>
        </w:tc>
        <w:tc>
          <w:tcPr>
            <w:tcW w:w="0" w:type="auto"/>
            <w:noWrap w:val="0"/>
            <w:vAlign w:val="center"/>
          </w:tcPr>
          <w:p w14:paraId="03489F1C">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环境保护措施</w:t>
            </w:r>
          </w:p>
        </w:tc>
        <w:tc>
          <w:tcPr>
            <w:tcW w:w="0" w:type="auto"/>
            <w:noWrap w:val="0"/>
            <w:vAlign w:val="center"/>
          </w:tcPr>
          <w:p w14:paraId="59879381">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b/>
                <w:bCs/>
                <w:color w:val="000000" w:themeColor="text1"/>
                <w:spacing w:val="0"/>
                <w:position w:val="0"/>
                <w:sz w:val="21"/>
                <w:szCs w:val="21"/>
                <w:highlight w:val="none"/>
                <w14:textFill>
                  <w14:solidFill>
                    <w14:schemeClr w14:val="tx1"/>
                  </w14:solidFill>
                </w14:textFill>
              </w:rPr>
              <w:t>执行标准</w:t>
            </w:r>
          </w:p>
        </w:tc>
      </w:tr>
      <w:tr w14:paraId="060A1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restart"/>
            <w:noWrap w:val="0"/>
            <w:vAlign w:val="center"/>
          </w:tcPr>
          <w:p w14:paraId="553BD991">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大气环境</w:t>
            </w:r>
          </w:p>
        </w:tc>
        <w:tc>
          <w:tcPr>
            <w:tcW w:w="0" w:type="auto"/>
            <w:vMerge w:val="restart"/>
            <w:noWrap w:val="0"/>
            <w:vAlign w:val="center"/>
          </w:tcPr>
          <w:p w14:paraId="3AEB982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1#</w:t>
            </w: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生产废气排放口</w:t>
            </w:r>
            <w:r>
              <w:rPr>
                <w:rFonts w:hint="default" w:ascii="Times New Roman" w:hAnsi="Times New Roman" w:cs="Times New Roman"/>
                <w:i w:val="0"/>
                <w:iCs w:val="0"/>
                <w:caps w:val="0"/>
                <w:color w:val="000000" w:themeColor="text1"/>
                <w:spacing w:val="0"/>
                <w:sz w:val="21"/>
                <w:szCs w:val="21"/>
                <w:highlight w:val="none"/>
                <w:shd w:val="clear" w:fill="FFFFFF"/>
                <w:lang w:eastAsia="zh-CN"/>
                <w14:textFill>
                  <w14:solidFill>
                    <w14:schemeClr w14:val="tx1"/>
                  </w14:solidFill>
                </w14:textFill>
              </w:rPr>
              <w:t>（</w:t>
            </w:r>
            <w:r>
              <w:rPr>
                <w:rFonts w:hint="default"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DA001</w:t>
            </w:r>
            <w:r>
              <w:rPr>
                <w:rFonts w:hint="default" w:ascii="Times New Roman" w:hAnsi="Times New Roman" w:cs="Times New Roman"/>
                <w:i w:val="0"/>
                <w:iCs w:val="0"/>
                <w:caps w:val="0"/>
                <w:color w:val="000000" w:themeColor="text1"/>
                <w:spacing w:val="0"/>
                <w:sz w:val="21"/>
                <w:szCs w:val="21"/>
                <w:highlight w:val="none"/>
                <w:shd w:val="clear" w:fill="FFFFFF"/>
                <w:lang w:eastAsia="zh-CN"/>
                <w14:textFill>
                  <w14:solidFill>
                    <w14:schemeClr w14:val="tx1"/>
                  </w14:solidFill>
                </w14:textFill>
              </w:rPr>
              <w:t>）</w:t>
            </w:r>
          </w:p>
        </w:tc>
        <w:tc>
          <w:tcPr>
            <w:tcW w:w="0" w:type="auto"/>
            <w:noWrap w:val="0"/>
            <w:vAlign w:val="center"/>
          </w:tcPr>
          <w:p w14:paraId="7BDFB069">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颗粒物、二氧化硫、氮氧化物</w:t>
            </w:r>
            <w:r>
              <w:rPr>
                <w:rFonts w:hint="eastAsia" w:cs="Times New Roman"/>
                <w:color w:val="000000" w:themeColor="text1"/>
                <w:szCs w:val="21"/>
                <w:highlight w:val="none"/>
                <w:lang w:val="en-US" w:eastAsia="zh-CN"/>
                <w14:textFill>
                  <w14:solidFill>
                    <w14:schemeClr w14:val="tx1"/>
                  </w14:solidFill>
                </w14:textFill>
              </w:rPr>
              <w:t>、烟气黑度</w:t>
            </w:r>
          </w:p>
        </w:tc>
        <w:tc>
          <w:tcPr>
            <w:tcW w:w="0" w:type="auto"/>
            <w:vMerge w:val="restart"/>
            <w:noWrap w:val="0"/>
            <w:vAlign w:val="center"/>
          </w:tcPr>
          <w:p w14:paraId="529AC50B">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pacing w:val="9"/>
                <w:szCs w:val="21"/>
                <w:highlight w:val="none"/>
                <w:lang w:val="en-US" w:eastAsia="zh-CN"/>
                <w14:textFill>
                  <w14:solidFill>
                    <w14:schemeClr w14:val="tx1"/>
                  </w14:solidFill>
                </w14:textFill>
              </w:rPr>
              <w:t>低氮燃烧</w:t>
            </w:r>
            <w:r>
              <w:rPr>
                <w:rFonts w:hint="eastAsia" w:cs="Times New Roman"/>
                <w:bCs/>
                <w:color w:val="000000" w:themeColor="text1"/>
                <w:spacing w:val="9"/>
                <w:szCs w:val="21"/>
                <w:highlight w:val="none"/>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电捕焦油器+活性炭吸附</w:t>
            </w:r>
            <w:r>
              <w:rPr>
                <w:rFonts w:hint="default" w:ascii="Times New Roman" w:hAnsi="Times New Roman"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+15m高排气筒</w:t>
            </w:r>
          </w:p>
        </w:tc>
        <w:tc>
          <w:tcPr>
            <w:tcW w:w="0" w:type="auto"/>
            <w:noWrap w:val="0"/>
            <w:vAlign w:val="center"/>
          </w:tcPr>
          <w:p w14:paraId="6E6F5DAC">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《工业炉窑大气污染物排放标准》（DB13/1640-2012）表1、表2中新建炉窑标准并同时满足《承德市工业炉窑综合治理实施方案》（承环办[2020]72 号）中相关限值中的相关要求</w:t>
            </w:r>
          </w:p>
        </w:tc>
      </w:tr>
      <w:tr w14:paraId="6E4A8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continue"/>
            <w:noWrap w:val="0"/>
            <w:vAlign w:val="center"/>
          </w:tcPr>
          <w:p w14:paraId="44748CC3">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p>
        </w:tc>
        <w:tc>
          <w:tcPr>
            <w:tcW w:w="0" w:type="auto"/>
            <w:vMerge w:val="continue"/>
            <w:noWrap w:val="0"/>
            <w:vAlign w:val="center"/>
          </w:tcPr>
          <w:p w14:paraId="402100A2">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noWrap w:val="0"/>
            <w:vAlign w:val="center"/>
          </w:tcPr>
          <w:p w14:paraId="05AE4A99">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非甲烷总烃</w:t>
            </w:r>
          </w:p>
        </w:tc>
        <w:tc>
          <w:tcPr>
            <w:tcW w:w="0" w:type="auto"/>
            <w:vMerge w:val="continue"/>
            <w:noWrap w:val="0"/>
            <w:vAlign w:val="center"/>
          </w:tcPr>
          <w:p w14:paraId="36946927">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noWrap w:val="0"/>
            <w:vAlign w:val="center"/>
          </w:tcPr>
          <w:p w14:paraId="19E6E414">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《工业企业挥发性有机物排放控制标准》（DB13/2322-2016）表1其他行业标准</w:t>
            </w:r>
          </w:p>
        </w:tc>
      </w:tr>
      <w:tr w14:paraId="41006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0" w:type="auto"/>
            <w:vMerge w:val="continue"/>
            <w:noWrap w:val="0"/>
            <w:vAlign w:val="center"/>
          </w:tcPr>
          <w:p w14:paraId="19D267E6">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p>
        </w:tc>
        <w:tc>
          <w:tcPr>
            <w:tcW w:w="0" w:type="auto"/>
            <w:vMerge w:val="continue"/>
            <w:noWrap w:val="0"/>
            <w:vAlign w:val="center"/>
          </w:tcPr>
          <w:p w14:paraId="34AD7473">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0" w:type="auto"/>
            <w:noWrap w:val="0"/>
            <w:vAlign w:val="center"/>
          </w:tcPr>
          <w:p w14:paraId="18B39EF7">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苯并[a]芘</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沥青烟</w:t>
            </w:r>
          </w:p>
        </w:tc>
        <w:tc>
          <w:tcPr>
            <w:tcW w:w="0" w:type="auto"/>
            <w:vMerge w:val="continue"/>
            <w:noWrap w:val="0"/>
            <w:vAlign w:val="center"/>
          </w:tcPr>
          <w:p w14:paraId="0E97797B">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noWrap w:val="0"/>
            <w:vAlign w:val="center"/>
          </w:tcPr>
          <w:p w14:paraId="0CF49135">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tc>
      </w:tr>
      <w:tr w14:paraId="6D017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continue"/>
            <w:noWrap w:val="0"/>
            <w:vAlign w:val="center"/>
          </w:tcPr>
          <w:p w14:paraId="0F8010AB">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p>
        </w:tc>
        <w:tc>
          <w:tcPr>
            <w:tcW w:w="0" w:type="auto"/>
            <w:noWrap w:val="0"/>
            <w:vAlign w:val="center"/>
          </w:tcPr>
          <w:p w14:paraId="59F5FC0F">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2#锅炉废气排气筒</w:t>
            </w:r>
            <w:r>
              <w:rPr>
                <w:rFonts w:hint="eastAsia" w:cs="Times New Roman"/>
                <w:b w:val="0"/>
                <w:bCs/>
                <w:color w:val="000000" w:themeColor="text1"/>
                <w:spacing w:val="0"/>
                <w:position w:val="0"/>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DA00</w:t>
            </w:r>
            <w:r>
              <w:rPr>
                <w:rFonts w:hint="eastAsia" w:cs="Times New Roman"/>
                <w:b w:val="0"/>
                <w:bCs/>
                <w:color w:val="000000" w:themeColor="text1"/>
                <w:spacing w:val="0"/>
                <w:position w:val="0"/>
                <w:sz w:val="21"/>
                <w:szCs w:val="21"/>
                <w:highlight w:val="none"/>
                <w:vertAlign w:val="baseline"/>
                <w:lang w:val="en-US" w:eastAsia="zh-CN"/>
                <w14:textFill>
                  <w14:solidFill>
                    <w14:schemeClr w14:val="tx1"/>
                  </w14:solidFill>
                </w14:textFill>
              </w:rPr>
              <w:t>2）</w:t>
            </w:r>
          </w:p>
        </w:tc>
        <w:tc>
          <w:tcPr>
            <w:tcW w:w="0" w:type="auto"/>
            <w:noWrap w:val="0"/>
            <w:vAlign w:val="center"/>
          </w:tcPr>
          <w:p w14:paraId="044CD6E9">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颗粒物、二氧化硫、氮氧化物</w:t>
            </w:r>
            <w:r>
              <w:rPr>
                <w:rFonts w:hint="eastAsia" w:cs="Times New Roman"/>
                <w:color w:val="000000" w:themeColor="text1"/>
                <w:szCs w:val="21"/>
                <w:highlight w:val="none"/>
                <w:lang w:val="en-US" w:eastAsia="zh-CN"/>
                <w14:textFill>
                  <w14:solidFill>
                    <w14:schemeClr w14:val="tx1"/>
                  </w14:solidFill>
                </w14:textFill>
              </w:rPr>
              <w:t>、烟气黑度</w:t>
            </w:r>
          </w:p>
        </w:tc>
        <w:tc>
          <w:tcPr>
            <w:tcW w:w="0" w:type="auto"/>
            <w:noWrap w:val="0"/>
            <w:vAlign w:val="center"/>
          </w:tcPr>
          <w:p w14:paraId="4ABB7746">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低氮燃烧+布袋除尘器+1</w:t>
            </w:r>
            <w:r>
              <w:rPr>
                <w:rFonts w:hint="eastAsia" w:cs="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m高排气筒</w:t>
            </w:r>
          </w:p>
        </w:tc>
        <w:tc>
          <w:tcPr>
            <w:tcW w:w="0" w:type="auto"/>
            <w:noWrap w:val="0"/>
            <w:vAlign w:val="center"/>
          </w:tcPr>
          <w:p w14:paraId="7A77BD9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《锅炉大气污染物排放标准》（DB13/5161-2020）中相关限值要求</w:t>
            </w:r>
          </w:p>
        </w:tc>
      </w:tr>
      <w:tr w14:paraId="25FE7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continue"/>
            <w:noWrap w:val="0"/>
            <w:vAlign w:val="center"/>
          </w:tcPr>
          <w:p w14:paraId="0E263AC0">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p>
        </w:tc>
        <w:tc>
          <w:tcPr>
            <w:tcW w:w="0" w:type="auto"/>
            <w:noWrap w:val="0"/>
            <w:vAlign w:val="center"/>
          </w:tcPr>
          <w:p w14:paraId="7933D7EF">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3#破碎筛分排气筒</w:t>
            </w:r>
            <w:r>
              <w:rPr>
                <w:rFonts w:hint="eastAsia" w:cs="Times New Roman"/>
                <w:b w:val="0"/>
                <w:bCs/>
                <w:color w:val="000000" w:themeColor="text1"/>
                <w:spacing w:val="0"/>
                <w:position w:val="0"/>
                <w:sz w:val="21"/>
                <w:szCs w:val="21"/>
                <w:highlight w:val="none"/>
                <w:vertAlign w:val="baseline"/>
                <w:lang w:val="en-US" w:eastAsia="zh-CN"/>
                <w14:textFill>
                  <w14:solidFill>
                    <w14:schemeClr w14:val="tx1"/>
                  </w14:solidFill>
                </w14:textFill>
              </w:rPr>
              <w:t>（</w:t>
            </w:r>
            <w:r>
              <w:rPr>
                <w:rFonts w:hint="eastAsia" w:ascii="Times New Roman" w:hAnsi="Times New Roman" w:cs="Times New Roman"/>
                <w:b w:val="0"/>
                <w:bCs/>
                <w:color w:val="000000" w:themeColor="text1"/>
                <w:spacing w:val="0"/>
                <w:position w:val="0"/>
                <w:sz w:val="21"/>
                <w:szCs w:val="21"/>
                <w:highlight w:val="none"/>
                <w:vertAlign w:val="baseline"/>
                <w:lang w:val="en-US" w:eastAsia="zh-CN"/>
                <w14:textFill>
                  <w14:solidFill>
                    <w14:schemeClr w14:val="tx1"/>
                  </w14:solidFill>
                </w14:textFill>
              </w:rPr>
              <w:t>DA00</w:t>
            </w:r>
            <w:r>
              <w:rPr>
                <w:rFonts w:hint="eastAsia" w:cs="Times New Roman"/>
                <w:b w:val="0"/>
                <w:bCs/>
                <w:color w:val="000000" w:themeColor="text1"/>
                <w:spacing w:val="0"/>
                <w:position w:val="0"/>
                <w:sz w:val="21"/>
                <w:szCs w:val="21"/>
                <w:highlight w:val="none"/>
                <w:vertAlign w:val="baseline"/>
                <w:lang w:val="en-US" w:eastAsia="zh-CN"/>
                <w14:textFill>
                  <w14:solidFill>
                    <w14:schemeClr w14:val="tx1"/>
                  </w14:solidFill>
                </w14:textFill>
              </w:rPr>
              <w:t>3）</w:t>
            </w:r>
          </w:p>
        </w:tc>
        <w:tc>
          <w:tcPr>
            <w:tcW w:w="0" w:type="auto"/>
            <w:noWrap w:val="0"/>
            <w:vAlign w:val="center"/>
          </w:tcPr>
          <w:p w14:paraId="02635AE7">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颗粒物</w:t>
            </w:r>
          </w:p>
        </w:tc>
        <w:tc>
          <w:tcPr>
            <w:tcW w:w="0" w:type="auto"/>
            <w:noWrap w:val="0"/>
            <w:vAlign w:val="center"/>
          </w:tcPr>
          <w:p w14:paraId="30DC6E5D">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布袋除尘器+15m高排气筒</w:t>
            </w:r>
          </w:p>
        </w:tc>
        <w:tc>
          <w:tcPr>
            <w:tcW w:w="0" w:type="auto"/>
            <w:noWrap w:val="0"/>
            <w:vAlign w:val="center"/>
          </w:tcPr>
          <w:p w14:paraId="2604A00D">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《大气污染物综合排放标准》（GB16297-1996）表2中二级标准</w:t>
            </w:r>
          </w:p>
        </w:tc>
      </w:tr>
      <w:tr w14:paraId="441D5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continue"/>
            <w:noWrap w:val="0"/>
            <w:vAlign w:val="center"/>
          </w:tcPr>
          <w:p w14:paraId="49CE040A">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p>
        </w:tc>
        <w:tc>
          <w:tcPr>
            <w:tcW w:w="0" w:type="auto"/>
            <w:vMerge w:val="restart"/>
            <w:noWrap w:val="0"/>
            <w:vAlign w:val="center"/>
          </w:tcPr>
          <w:p w14:paraId="6090760F">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厂界</w:t>
            </w:r>
          </w:p>
        </w:tc>
        <w:tc>
          <w:tcPr>
            <w:tcW w:w="0" w:type="auto"/>
            <w:noWrap w:val="0"/>
            <w:vAlign w:val="center"/>
          </w:tcPr>
          <w:p w14:paraId="6D0A2620">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颗粒物</w:t>
            </w:r>
          </w:p>
        </w:tc>
        <w:tc>
          <w:tcPr>
            <w:tcW w:w="0" w:type="auto"/>
            <w:noWrap w:val="0"/>
            <w:vAlign w:val="center"/>
          </w:tcPr>
          <w:p w14:paraId="15838E8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车间阻隔+洒水降尘</w:t>
            </w:r>
          </w:p>
        </w:tc>
        <w:tc>
          <w:tcPr>
            <w:tcW w:w="0" w:type="auto"/>
            <w:noWrap w:val="0"/>
            <w:vAlign w:val="center"/>
          </w:tcPr>
          <w:p w14:paraId="06CBD5DF">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《大气污染物综合排放标准》（GB16297-1996）表2中无组织排放监控浓度限值</w:t>
            </w:r>
          </w:p>
        </w:tc>
      </w:tr>
      <w:tr w14:paraId="1A310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continue"/>
            <w:noWrap w:val="0"/>
            <w:vAlign w:val="center"/>
          </w:tcPr>
          <w:p w14:paraId="4335347D">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p>
        </w:tc>
        <w:tc>
          <w:tcPr>
            <w:tcW w:w="0" w:type="auto"/>
            <w:vMerge w:val="continue"/>
            <w:noWrap w:val="0"/>
            <w:vAlign w:val="center"/>
          </w:tcPr>
          <w:p w14:paraId="59F56C98">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0" w:type="auto"/>
            <w:noWrap w:val="0"/>
            <w:vAlign w:val="center"/>
          </w:tcPr>
          <w:p w14:paraId="2E5740D2">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非甲烷总烃</w:t>
            </w:r>
          </w:p>
        </w:tc>
        <w:tc>
          <w:tcPr>
            <w:tcW w:w="0" w:type="auto"/>
            <w:noWrap w:val="0"/>
            <w:vAlign w:val="center"/>
          </w:tcPr>
          <w:p w14:paraId="72AF2BA9">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noWrap w:val="0"/>
            <w:vAlign w:val="center"/>
          </w:tcPr>
          <w:p w14:paraId="591EF1BA">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《工业企业挥发性有机物排放控制标准》（DB13/2322-2016）表2其他行业标准</w:t>
            </w:r>
          </w:p>
        </w:tc>
      </w:tr>
      <w:tr w14:paraId="3C976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Merge w:val="continue"/>
            <w:noWrap w:val="0"/>
            <w:vAlign w:val="center"/>
          </w:tcPr>
          <w:p w14:paraId="7ED46CD4">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p>
        </w:tc>
        <w:tc>
          <w:tcPr>
            <w:tcW w:w="0" w:type="auto"/>
            <w:vMerge w:val="continue"/>
            <w:noWrap w:val="0"/>
            <w:vAlign w:val="center"/>
          </w:tcPr>
          <w:p w14:paraId="666B8E24">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cs="Times New Roman"/>
                <w:color w:val="000000" w:themeColor="text1"/>
                <w:szCs w:val="21"/>
                <w:highlight w:val="none"/>
                <w:lang w:val="en-US" w:eastAsia="zh-CN"/>
                <w14:textFill>
                  <w14:solidFill>
                    <w14:schemeClr w14:val="tx1"/>
                  </w14:solidFill>
                </w14:textFill>
              </w:rPr>
            </w:pPr>
          </w:p>
        </w:tc>
        <w:tc>
          <w:tcPr>
            <w:tcW w:w="0" w:type="auto"/>
            <w:noWrap w:val="0"/>
            <w:vAlign w:val="center"/>
          </w:tcPr>
          <w:p w14:paraId="6307B64F">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vertAlign w:val="baseline"/>
                <w:lang w:val="en-US" w:eastAsia="zh-CN"/>
                <w14:textFill>
                  <w14:solidFill>
                    <w14:schemeClr w14:val="tx1"/>
                  </w14:solidFill>
                </w14:textFill>
              </w:rPr>
              <w:t>苯并[a]芘、沥青烟</w:t>
            </w:r>
          </w:p>
        </w:tc>
        <w:tc>
          <w:tcPr>
            <w:tcW w:w="0" w:type="auto"/>
            <w:noWrap w:val="0"/>
            <w:vAlign w:val="center"/>
          </w:tcPr>
          <w:p w14:paraId="706E68A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0" w:type="auto"/>
            <w:noWrap w:val="0"/>
            <w:vAlign w:val="center"/>
          </w:tcPr>
          <w:p w14:paraId="7D7557BD">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bidi="zh-CN"/>
                <w14:textFill>
                  <w14:solidFill>
                    <w14:schemeClr w14:val="tx1"/>
                  </w14:solidFill>
                </w14:textFill>
              </w:rPr>
              <w:t>《大气污染物综合排放标准》（GB16297-1996）表2中无组织排放监控浓度限值要求</w:t>
            </w:r>
          </w:p>
        </w:tc>
      </w:tr>
      <w:tr w14:paraId="7946E0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0" w:type="auto"/>
            <w:noWrap w:val="0"/>
            <w:vAlign w:val="center"/>
          </w:tcPr>
          <w:p w14:paraId="5C00CA23">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地表水环境</w:t>
            </w:r>
          </w:p>
        </w:tc>
        <w:tc>
          <w:tcPr>
            <w:tcW w:w="0" w:type="auto"/>
            <w:noWrap w:val="0"/>
            <w:vAlign w:val="center"/>
          </w:tcPr>
          <w:p w14:paraId="68D868B8">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w:t>
            </w:r>
          </w:p>
        </w:tc>
        <w:tc>
          <w:tcPr>
            <w:tcW w:w="0" w:type="auto"/>
            <w:noWrap w:val="0"/>
            <w:vAlign w:val="center"/>
          </w:tcPr>
          <w:p w14:paraId="6DC79E79">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w:t>
            </w:r>
          </w:p>
        </w:tc>
        <w:tc>
          <w:tcPr>
            <w:tcW w:w="0" w:type="auto"/>
            <w:noWrap w:val="0"/>
            <w:vAlign w:val="center"/>
          </w:tcPr>
          <w:p w14:paraId="307A6054">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w:t>
            </w:r>
          </w:p>
        </w:tc>
        <w:tc>
          <w:tcPr>
            <w:tcW w:w="0" w:type="auto"/>
            <w:noWrap w:val="0"/>
            <w:vAlign w:val="center"/>
          </w:tcPr>
          <w:p w14:paraId="4C47BBEC">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w:t>
            </w:r>
          </w:p>
        </w:tc>
      </w:tr>
      <w:tr w14:paraId="4E6E8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noWrap w:val="0"/>
            <w:vAlign w:val="center"/>
          </w:tcPr>
          <w:p w14:paraId="753716DB">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声环境</w:t>
            </w:r>
          </w:p>
        </w:tc>
        <w:tc>
          <w:tcPr>
            <w:tcW w:w="0" w:type="auto"/>
            <w:noWrap w:val="0"/>
            <w:vAlign w:val="center"/>
          </w:tcPr>
          <w:p w14:paraId="44ED5CB7">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设备、车辆运输</w:t>
            </w:r>
          </w:p>
        </w:tc>
        <w:tc>
          <w:tcPr>
            <w:tcW w:w="0" w:type="auto"/>
            <w:noWrap w:val="0"/>
            <w:vAlign w:val="center"/>
          </w:tcPr>
          <w:p w14:paraId="5FAB5EA3">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噪声</w:t>
            </w:r>
          </w:p>
        </w:tc>
        <w:tc>
          <w:tcPr>
            <w:tcW w:w="0" w:type="auto"/>
            <w:noWrap w:val="0"/>
            <w:vAlign w:val="center"/>
          </w:tcPr>
          <w:p w14:paraId="13FDB5DF">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厂房封闭、选用低噪声设备、</w:t>
            </w: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基础减震、厂房隔声</w:t>
            </w: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等</w:t>
            </w:r>
          </w:p>
        </w:tc>
        <w:tc>
          <w:tcPr>
            <w:tcW w:w="0" w:type="auto"/>
            <w:noWrap w:val="0"/>
            <w:vAlign w:val="center"/>
          </w:tcPr>
          <w:p w14:paraId="508C10D5">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北、西、东厂界以执行</w:t>
            </w: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《工业企业厂界环境噪声排放标准》（GB12348-2008）2类标准要求</w:t>
            </w:r>
            <w:r>
              <w:rPr>
                <w:rFonts w:hint="eastAsia" w:ascii="Times New Roman" w:hAnsi="Times New Roman" w:cs="Times New Roman"/>
                <w:color w:val="000000" w:themeColor="text1"/>
                <w:spacing w:val="0"/>
                <w:position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南厂界执行</w:t>
            </w: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《工业企业厂界环境噪声排放标准》（GB12348-2008）</w:t>
            </w:r>
            <w:r>
              <w:rPr>
                <w:rFonts w:hint="eastAsia" w:cs="Times New Roman"/>
                <w:color w:val="000000" w:themeColor="text1"/>
                <w:spacing w:val="0"/>
                <w:position w:val="0"/>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类标准要求</w:t>
            </w:r>
            <w:r>
              <w:rPr>
                <w:rFonts w:hint="eastAsia" w:cs="Times New Roman"/>
                <w:color w:val="000000" w:themeColor="text1"/>
                <w:spacing w:val="0"/>
                <w:position w:val="0"/>
                <w:sz w:val="21"/>
                <w:szCs w:val="21"/>
                <w:highlight w:val="none"/>
                <w:lang w:eastAsia="zh-CN"/>
                <w14:textFill>
                  <w14:solidFill>
                    <w14:schemeClr w14:val="tx1"/>
                  </w14:solidFill>
                </w14:textFill>
              </w:rPr>
              <w:t>；</w:t>
            </w:r>
            <w:r>
              <w:rPr>
                <w:rFonts w:hint="eastAsia" w:cs="Times New Roman"/>
                <w:color w:val="000000" w:themeColor="text1"/>
                <w:spacing w:val="0"/>
                <w:position w:val="0"/>
                <w:sz w:val="21"/>
                <w:szCs w:val="21"/>
                <w:highlight w:val="none"/>
                <w:lang w:val="en-US" w:eastAsia="zh-CN"/>
                <w14:textFill>
                  <w14:solidFill>
                    <w14:schemeClr w14:val="tx1"/>
                  </w14:solidFill>
                </w14:textFill>
              </w:rPr>
              <w:t>附近居民区执行</w:t>
            </w:r>
            <w:r>
              <w:rPr>
                <w:rFonts w:hint="eastAsia" w:ascii="Times New Roman" w:hAnsi="Times New Roman" w:cs="Times New Roman"/>
                <w:color w:val="000000" w:themeColor="text1"/>
                <w:szCs w:val="21"/>
                <w:highlight w:val="none"/>
                <w:lang w:val="en-US" w:eastAsia="zh-CN"/>
                <w14:textFill>
                  <w14:solidFill>
                    <w14:schemeClr w14:val="tx1"/>
                  </w14:solidFill>
                </w14:textFill>
              </w:rPr>
              <w:t>《声环境质量标准》（GB 3096-2008）2类标准</w:t>
            </w:r>
          </w:p>
        </w:tc>
      </w:tr>
      <w:tr w14:paraId="21C1E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noWrap w:val="0"/>
            <w:vAlign w:val="center"/>
          </w:tcPr>
          <w:p w14:paraId="49E6D885">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电磁辐射</w:t>
            </w:r>
          </w:p>
        </w:tc>
        <w:tc>
          <w:tcPr>
            <w:tcW w:w="0" w:type="auto"/>
            <w:noWrap w:val="0"/>
            <w:vAlign w:val="center"/>
          </w:tcPr>
          <w:p w14:paraId="77C54DC2">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w:t>
            </w:r>
          </w:p>
        </w:tc>
        <w:tc>
          <w:tcPr>
            <w:tcW w:w="0" w:type="auto"/>
            <w:noWrap w:val="0"/>
            <w:vAlign w:val="center"/>
          </w:tcPr>
          <w:p w14:paraId="62B1F6DD">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w:t>
            </w:r>
          </w:p>
        </w:tc>
        <w:tc>
          <w:tcPr>
            <w:tcW w:w="0" w:type="auto"/>
            <w:noWrap w:val="0"/>
            <w:vAlign w:val="center"/>
          </w:tcPr>
          <w:p w14:paraId="74F5D723">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w:t>
            </w:r>
          </w:p>
        </w:tc>
        <w:tc>
          <w:tcPr>
            <w:tcW w:w="0" w:type="auto"/>
            <w:noWrap w:val="0"/>
            <w:vAlign w:val="center"/>
          </w:tcPr>
          <w:p w14:paraId="518E9567">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w:t>
            </w:r>
          </w:p>
        </w:tc>
      </w:tr>
      <w:tr w14:paraId="77FC2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0" w:type="auto"/>
            <w:noWrap w:val="0"/>
            <w:vAlign w:val="center"/>
          </w:tcPr>
          <w:p w14:paraId="03AA7F8A">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固体废物</w:t>
            </w:r>
          </w:p>
        </w:tc>
        <w:tc>
          <w:tcPr>
            <w:tcW w:w="0" w:type="auto"/>
            <w:gridSpan w:val="4"/>
            <w:noWrap w:val="0"/>
            <w:vAlign w:val="center"/>
          </w:tcPr>
          <w:p w14:paraId="6B400A05">
            <w:pPr>
              <w:keepNext w:val="0"/>
              <w:keepLines w:val="0"/>
              <w:pageBreakBefore w:val="0"/>
              <w:widowControl w:val="0"/>
              <w:kinsoku/>
              <w:wordWrap w:val="0"/>
              <w:overflowPunct/>
              <w:topLinePunct w:val="0"/>
              <w:autoSpaceDE/>
              <w:autoSpaceDN/>
              <w:bidi w:val="0"/>
              <w:adjustRightInd w:val="0"/>
              <w:snapToGrid w:val="0"/>
              <w:spacing w:line="320" w:lineRule="exact"/>
              <w:ind w:firstLine="420" w:firstLineChars="200"/>
              <w:jc w:val="left"/>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t>本项目产生的一般固体废物为</w:t>
            </w: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拌合残渣、除尘灰</w:t>
            </w:r>
            <w:r>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t>，产生的危险废物为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废润滑油、废润滑油桶和废活性炭</w:t>
            </w:r>
            <w:r>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t>。</w:t>
            </w:r>
          </w:p>
          <w:p w14:paraId="08D22955">
            <w:pPr>
              <w:keepNext w:val="0"/>
              <w:keepLines w:val="0"/>
              <w:pageBreakBefore w:val="0"/>
              <w:widowControl w:val="0"/>
              <w:kinsoku/>
              <w:wordWrap w:val="0"/>
              <w:overflowPunct/>
              <w:topLinePunct w:val="0"/>
              <w:autoSpaceDE/>
              <w:autoSpaceDN/>
              <w:bidi w:val="0"/>
              <w:adjustRightInd w:val="0"/>
              <w:snapToGrid w:val="0"/>
              <w:spacing w:line="320" w:lineRule="exact"/>
              <w:ind w:firstLine="420" w:firstLineChars="200"/>
              <w:jc w:val="left"/>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拌合残渣、除尘灰集中收集后回用于生产</w:t>
            </w:r>
            <w:r>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t>。</w:t>
            </w:r>
          </w:p>
          <w:p w14:paraId="14AC2118">
            <w:pPr>
              <w:keepNext w:val="0"/>
              <w:keepLines w:val="0"/>
              <w:pageBreakBefore w:val="0"/>
              <w:widowControl w:val="0"/>
              <w:kinsoku/>
              <w:wordWrap w:val="0"/>
              <w:overflowPunct/>
              <w:topLinePunct w:val="0"/>
              <w:autoSpaceDE/>
              <w:autoSpaceDN/>
              <w:bidi w:val="0"/>
              <w:adjustRightInd w:val="0"/>
              <w:snapToGrid w:val="0"/>
              <w:spacing w:line="320" w:lineRule="exact"/>
              <w:ind w:firstLine="420" w:firstLineChars="200"/>
              <w:jc w:val="left"/>
              <w:textAlignment w:val="auto"/>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废活性炭、</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废润滑油、废润滑油桶</w:t>
            </w:r>
            <w:r>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t>暂时贮存于</w:t>
            </w: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企业严格按照</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《危险废物贮存污染控制标准》（GB18597-2023）</w:t>
            </w: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中关于危险废物贮存设施的规定建造</w:t>
            </w: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危险废物贮存间</w:t>
            </w:r>
            <w:r>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t>内，并</w:t>
            </w: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定期委托有危险废物处置资质的单位</w:t>
            </w:r>
            <w:r>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t>运输</w:t>
            </w: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处置。</w:t>
            </w:r>
          </w:p>
        </w:tc>
      </w:tr>
      <w:tr w14:paraId="6E3FC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0" w:type="auto"/>
            <w:noWrap w:val="0"/>
            <w:vAlign w:val="center"/>
          </w:tcPr>
          <w:p w14:paraId="3FE33912">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土壤及地下水污染防治措施</w:t>
            </w:r>
          </w:p>
        </w:tc>
        <w:tc>
          <w:tcPr>
            <w:tcW w:w="0" w:type="auto"/>
            <w:gridSpan w:val="4"/>
            <w:noWrap w:val="0"/>
            <w:vAlign w:val="center"/>
          </w:tcPr>
          <w:p w14:paraId="5A33CA99">
            <w:pPr>
              <w:pStyle w:val="9"/>
              <w:keepNext w:val="0"/>
              <w:keepLines w:val="0"/>
              <w:pageBreakBefore w:val="0"/>
              <w:widowControl w:val="0"/>
              <w:kinsoku/>
              <w:wordWrap w:val="0"/>
              <w:overflowPunct/>
              <w:topLinePunct w:val="0"/>
              <w:autoSpaceDE/>
              <w:autoSpaceDN/>
              <w:bidi w:val="0"/>
              <w:adjustRightInd/>
              <w:snapToGrid/>
              <w:spacing w:line="320" w:lineRule="exact"/>
              <w:ind w:firstLine="420" w:firstLineChars="200"/>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重点防渗区为危险废物暂存间，采用等效黏土防渗层Mb≥6.0m，K≤1.0×10</w:t>
            </w:r>
            <w:r>
              <w:rPr>
                <w:rFonts w:hint="eastAsia" w:ascii="Times New Roman" w:hAnsi="Times New Roman" w:eastAsia="宋体" w:cs="Times New Roman"/>
                <w:b w:val="0"/>
                <w:bCs w:val="0"/>
                <w:color w:val="000000" w:themeColor="text1"/>
                <w:spacing w:val="0"/>
                <w:position w:val="0"/>
                <w:sz w:val="21"/>
                <w:szCs w:val="21"/>
                <w:highlight w:val="none"/>
                <w:vertAlign w:val="superscript"/>
                <w:lang w:val="en-US" w:eastAsia="zh-CN"/>
                <w14:textFill>
                  <w14:solidFill>
                    <w14:schemeClr w14:val="tx1"/>
                  </w14:solidFill>
                </w14:textFill>
              </w:rPr>
              <w:t>-7</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 xml:space="preserve"> cm/s；或参照GB 18598执行；</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一般防渗为沥青储罐区，采用</w:t>
            </w:r>
            <w:r>
              <w:rPr>
                <w:rFonts w:hint="default" w:ascii="Times New Roman" w:hAnsi="Times New Roman" w:eastAsia="宋体" w:cs="Times New Roman"/>
                <w:color w:val="000000" w:themeColor="text1"/>
                <w:sz w:val="21"/>
                <w:szCs w:val="21"/>
                <w:highlight w:val="none"/>
                <w14:textFill>
                  <w14:solidFill>
                    <w14:schemeClr w14:val="tx1"/>
                  </w14:solidFill>
                </w14:textFill>
              </w:rPr>
              <w:t>等效黏土防渗层Mb≥1.5m，K≤10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r>
              <w:rPr>
                <w:rFonts w:hint="eastAsia" w:cs="Times New Roman"/>
                <w:b w:val="0"/>
                <w:bCs w:val="0"/>
                <w:color w:val="000000" w:themeColor="text1"/>
                <w:spacing w:val="0"/>
                <w:position w:val="0"/>
                <w:sz w:val="21"/>
                <w:szCs w:val="21"/>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简单防渗区为生产车间、厂区地面，进行一般水泥地面硬化</w:t>
            </w:r>
            <w:r>
              <w:rPr>
                <w:rFonts w:hint="default" w:ascii="Times New Roman" w:hAnsi="Times New Roman" w:eastAsia="宋体" w:cs="Times New Roman"/>
                <w:b w:val="0"/>
                <w:bCs w:val="0"/>
                <w:color w:val="000000" w:themeColor="text1"/>
                <w:spacing w:val="0"/>
                <w:position w:val="0"/>
                <w:sz w:val="21"/>
                <w:szCs w:val="21"/>
                <w:highlight w:val="none"/>
                <w:lang w:val="en-US" w:eastAsia="zh-CN"/>
                <w14:textFill>
                  <w14:solidFill>
                    <w14:schemeClr w14:val="tx1"/>
                  </w14:solidFill>
                </w14:textFill>
              </w:rPr>
              <w:t>。</w:t>
            </w:r>
          </w:p>
        </w:tc>
      </w:tr>
      <w:tr w14:paraId="325BD8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0" w:type="auto"/>
            <w:noWrap w:val="0"/>
            <w:vAlign w:val="center"/>
          </w:tcPr>
          <w:p w14:paraId="20E362DE">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生态保护措施</w:t>
            </w:r>
          </w:p>
        </w:tc>
        <w:tc>
          <w:tcPr>
            <w:tcW w:w="0" w:type="auto"/>
            <w:gridSpan w:val="4"/>
            <w:noWrap w:val="0"/>
            <w:vAlign w:val="center"/>
          </w:tcPr>
          <w:p w14:paraId="3FC01886">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项目运营期厂区地面全部硬化或者绿化</w:t>
            </w:r>
            <w:r>
              <w:rPr>
                <w:rFonts w:hint="eastAsia" w:cs="Times New Roman"/>
                <w:color w:val="000000" w:themeColor="text1"/>
                <w:spacing w:val="0"/>
                <w:position w:val="0"/>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不存在裸露情况</w:t>
            </w:r>
            <w:r>
              <w:rPr>
                <w:rFonts w:hint="eastAsia" w:cs="Times New Roman"/>
                <w:color w:val="000000" w:themeColor="text1"/>
                <w:spacing w:val="0"/>
                <w:position w:val="0"/>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pacing w:val="0"/>
                <w:position w:val="0"/>
                <w:sz w:val="21"/>
                <w:szCs w:val="21"/>
                <w:highlight w:val="none"/>
                <w:lang w:val="en-US" w:eastAsia="zh-CN"/>
                <w14:textFill>
                  <w14:solidFill>
                    <w14:schemeClr w14:val="tx1"/>
                  </w14:solidFill>
                </w14:textFill>
              </w:rPr>
              <w:t>严格采取水土保持工程措施种植当地优势物种，乔灌草相结合实现沙化土地治理，改善景观条件。</w:t>
            </w:r>
          </w:p>
        </w:tc>
      </w:tr>
      <w:tr w14:paraId="505CC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0" w:type="auto"/>
            <w:noWrap w:val="0"/>
            <w:vAlign w:val="center"/>
          </w:tcPr>
          <w:p w14:paraId="6E9CE945">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环境风险</w:t>
            </w:r>
          </w:p>
          <w:p w14:paraId="44AD8FDB">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防范措施</w:t>
            </w:r>
          </w:p>
        </w:tc>
        <w:tc>
          <w:tcPr>
            <w:tcW w:w="0" w:type="auto"/>
            <w:gridSpan w:val="4"/>
            <w:noWrap w:val="0"/>
            <w:vAlign w:val="center"/>
          </w:tcPr>
          <w:p w14:paraId="78CF4B6C">
            <w:pPr>
              <w:keepNext w:val="0"/>
              <w:keepLines w:val="0"/>
              <w:pageBreakBefore w:val="0"/>
              <w:widowControl w:val="0"/>
              <w:kinsoku/>
              <w:wordWrap w:val="0"/>
              <w:overflowPunct/>
              <w:topLinePunct w:val="0"/>
              <w:autoSpaceDE/>
              <w:autoSpaceDN/>
              <w:bidi w:val="0"/>
              <w:adjustRightInd w:val="0"/>
              <w:snapToGrid w:val="0"/>
              <w:spacing w:line="320" w:lineRule="exact"/>
              <w:ind w:firstLine="420" w:firstLineChars="200"/>
              <w:jc w:val="left"/>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t>本项目的环境风险主要是生产等过程发生的火灾事故、废气事故排放和消防风险事故所引发的环境污染。为避免火灾事故、废气事故排放和消防风险事故发生后对环境造成的污染，建设单位首先应树立环境风险意识，按照安全、消防等部门要求落实各项防范措施，并在日常运行管理过程当中增强环境风险意识，制定切实可行的环境风险事故应急预案，当出现事故时，要及时采取应急措施，立即与环境管理部门联络，以控制事故和减少对环境造成的危害。</w:t>
            </w:r>
          </w:p>
        </w:tc>
      </w:tr>
      <w:tr w14:paraId="16B6D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0" w:type="auto"/>
            <w:noWrap w:val="0"/>
            <w:vAlign w:val="center"/>
          </w:tcPr>
          <w:p w14:paraId="510A1CE8">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其他环境</w:t>
            </w:r>
          </w:p>
          <w:p w14:paraId="7BC04E75">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管理要求</w:t>
            </w:r>
          </w:p>
        </w:tc>
        <w:tc>
          <w:tcPr>
            <w:tcW w:w="0" w:type="auto"/>
            <w:gridSpan w:val="4"/>
            <w:noWrap w:val="0"/>
            <w:vAlign w:val="center"/>
          </w:tcPr>
          <w:p w14:paraId="2B910F66">
            <w:pPr>
              <w:keepNext w:val="0"/>
              <w:keepLines w:val="0"/>
              <w:pageBreakBefore w:val="0"/>
              <w:widowControl w:val="0"/>
              <w:kinsoku/>
              <w:wordWrap w:val="0"/>
              <w:overflowPunct/>
              <w:topLinePunct w:val="0"/>
              <w:autoSpaceDE/>
              <w:autoSpaceDN/>
              <w:bidi w:val="0"/>
              <w:adjustRightInd w:val="0"/>
              <w:snapToGrid w:val="0"/>
              <w:spacing w:line="320" w:lineRule="exact"/>
              <w:ind w:firstLine="420" w:firstLineChars="200"/>
              <w:jc w:val="left"/>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“三同时”是我国环境管理中的一项重要制度，《中华人民共和国环境保护法》把这一原则规定为法律制度。建设项目中的防治污染的设施必须与主体工程同时设计、同时施工、同时投产。根据《关于发布</w:t>
            </w:r>
            <w:r>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建设项目竣工环境保护验收暂行办法</w:t>
            </w:r>
            <w:r>
              <w:rPr>
                <w:rFonts w:hint="default" w:ascii="Times New Roman" w:hAnsi="Times New Roman" w:cs="Times New Roman"/>
                <w:color w:val="000000" w:themeColor="text1"/>
                <w:spacing w:val="0"/>
                <w:position w:val="0"/>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pacing w:val="0"/>
                <w:position w:val="0"/>
                <w:sz w:val="21"/>
                <w:szCs w:val="21"/>
                <w:highlight w:val="none"/>
                <w14:textFill>
                  <w14:solidFill>
                    <w14:schemeClr w14:val="tx1"/>
                  </w14:solidFill>
                </w14:textFill>
              </w:rPr>
              <w:t>的公告》（国环规环评[2017]4号），建设项目竣工后，建设单位应根据环评文件及审批意见，进行自主验收，向社会公开并向环保部门备案。</w:t>
            </w:r>
          </w:p>
        </w:tc>
      </w:tr>
    </w:tbl>
    <w:p w14:paraId="32A20FBC">
      <w:pPr>
        <w:pStyle w:val="26"/>
        <w:pageBreakBefore w:val="0"/>
        <w:kinsoku/>
        <w:wordWrap w:val="0"/>
        <w:overflowPunct/>
        <w:bidi w:val="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br w:type="page"/>
      </w:r>
      <w:r>
        <w:rPr>
          <w:rFonts w:hint="default" w:ascii="黑体" w:hAnsi="黑体" w:eastAsia="黑体" w:cs="Times New Roman"/>
          <w:snapToGrid w:val="0"/>
          <w:color w:val="000000" w:themeColor="text1"/>
          <w:sz w:val="30"/>
          <w:szCs w:val="30"/>
          <w:highlight w:val="none"/>
          <w14:textFill>
            <w14:solidFill>
              <w14:schemeClr w14:val="tx1"/>
            </w14:solidFill>
          </w14:textFill>
        </w:rPr>
        <w:t>六、结论</w:t>
      </w:r>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6BED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653ABAB6">
            <w:pPr>
              <w:pageBreakBefore w:val="0"/>
              <w:kinsoku/>
              <w:wordWrap w:val="0"/>
              <w:overflowPunct/>
              <w:bidi w:val="0"/>
              <w:spacing w:line="360" w:lineRule="auto"/>
              <w:ind w:firstLine="42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本项目在确保落实好各项环保措施并保证其正常运行的前提下，可有效的减少污染物的排放，对周围环境不会造成较大的影响。从环保角度分析，本建设项目环境影响是可行的。</w:t>
            </w:r>
          </w:p>
        </w:tc>
      </w:tr>
    </w:tbl>
    <w:p w14:paraId="76AF4E33">
      <w:pPr>
        <w:pageBreakBefore w:val="0"/>
        <w:kinsoku/>
        <w:wordWrap w:val="0"/>
        <w:overflowPunct/>
        <w:bidi w:val="0"/>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D26C031">
      <w:pPr>
        <w:pStyle w:val="26"/>
        <w:pageBreakBefore w:val="0"/>
        <w:kinsoku/>
        <w:wordWrap w:val="0"/>
        <w:overflowPunct/>
        <w:bidi w:val="0"/>
        <w:jc w:val="left"/>
        <w:outlineLvl w:val="0"/>
        <w:rPr>
          <w:rFonts w:hint="default" w:ascii="黑体" w:hAnsi="黑体" w:eastAsia="黑体" w:cs="Times New Roman"/>
          <w:snapToGrid w:val="0"/>
          <w:color w:val="000000" w:themeColor="text1"/>
          <w:sz w:val="30"/>
          <w:szCs w:val="30"/>
          <w:highlight w:val="none"/>
          <w14:textFill>
            <w14:solidFill>
              <w14:schemeClr w14:val="tx1"/>
            </w14:solidFill>
          </w14:textFill>
        </w:rPr>
      </w:pPr>
      <w:r>
        <w:rPr>
          <w:rFonts w:hint="default" w:ascii="黑体" w:hAnsi="黑体" w:eastAsia="黑体" w:cs="Times New Roman"/>
          <w:snapToGrid w:val="0"/>
          <w:color w:val="000000" w:themeColor="text1"/>
          <w:sz w:val="30"/>
          <w:szCs w:val="30"/>
          <w:highlight w:val="none"/>
          <w14:textFill>
            <w14:solidFill>
              <w14:schemeClr w14:val="tx1"/>
            </w14:solidFill>
          </w14:textFill>
        </w:rPr>
        <w:t>附表</w:t>
      </w:r>
    </w:p>
    <w:p w14:paraId="5E4FD337">
      <w:pPr>
        <w:pStyle w:val="26"/>
        <w:pageBreakBefore w:val="0"/>
        <w:kinsoku/>
        <w:wordWrap w:val="0"/>
        <w:overflowPunct/>
        <w:bidi w:val="0"/>
        <w:jc w:val="center"/>
        <w:outlineLvl w:val="0"/>
        <w:rPr>
          <w:rFonts w:hint="default" w:ascii="黑体" w:hAnsi="黑体" w:eastAsia="黑体" w:cs="Times New Roman"/>
          <w:snapToGrid w:val="0"/>
          <w:color w:val="000000" w:themeColor="text1"/>
          <w:sz w:val="30"/>
          <w:szCs w:val="30"/>
          <w:highlight w:val="none"/>
          <w14:textFill>
            <w14:solidFill>
              <w14:schemeClr w14:val="tx1"/>
            </w14:solidFill>
          </w14:textFill>
        </w:rPr>
      </w:pPr>
      <w:r>
        <w:rPr>
          <w:rFonts w:hint="default" w:ascii="黑体" w:hAnsi="黑体" w:eastAsia="黑体" w:cs="Times New Roman"/>
          <w:snapToGrid w:val="0"/>
          <w:color w:val="000000" w:themeColor="text1"/>
          <w:sz w:val="30"/>
          <w:szCs w:val="30"/>
          <w:highlight w:val="none"/>
          <w14:textFill>
            <w14:solidFill>
              <w14:schemeClr w14:val="tx1"/>
            </w14:solidFill>
          </w14:textFill>
        </w:rPr>
        <w:t>建设项目污染物排放量汇总表</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20"/>
        <w:gridCol w:w="1065"/>
      </w:tblGrid>
      <w:tr w14:paraId="001B08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588" w:type="dxa"/>
            <w:tcBorders>
              <w:tl2br w:val="single" w:color="auto" w:sz="4" w:space="0"/>
            </w:tcBorders>
            <w:noWrap w:val="0"/>
            <w:tcMar>
              <w:left w:w="28" w:type="dxa"/>
              <w:right w:w="28" w:type="dxa"/>
            </w:tcMar>
            <w:vAlign w:val="center"/>
          </w:tcPr>
          <w:p w14:paraId="15274D23">
            <w:pPr>
              <w:pStyle w:val="58"/>
              <w:pageBreakBefore w:val="0"/>
              <w:kinsoku/>
              <w:wordWrap w:val="0"/>
              <w:overflowPunct/>
              <w:bidi w:val="0"/>
              <w:spacing w:line="240" w:lineRule="auto"/>
              <w:jc w:val="right"/>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项目</w:t>
            </w:r>
          </w:p>
          <w:p w14:paraId="50D51515">
            <w:pPr>
              <w:pStyle w:val="58"/>
              <w:pageBreakBefore w:val="0"/>
              <w:kinsoku/>
              <w:wordWrap w:val="0"/>
              <w:overflowPunct/>
              <w:bidi w:val="0"/>
              <w:spacing w:line="240" w:lineRule="auto"/>
              <w:jc w:val="left"/>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分类</w:t>
            </w:r>
          </w:p>
        </w:tc>
        <w:tc>
          <w:tcPr>
            <w:tcW w:w="1417" w:type="dxa"/>
            <w:noWrap w:val="0"/>
            <w:tcMar>
              <w:left w:w="28" w:type="dxa"/>
              <w:right w:w="28" w:type="dxa"/>
            </w:tcMar>
            <w:vAlign w:val="center"/>
          </w:tcPr>
          <w:p w14:paraId="57501157">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污染物名称</w:t>
            </w:r>
          </w:p>
        </w:tc>
        <w:tc>
          <w:tcPr>
            <w:tcW w:w="1701" w:type="dxa"/>
            <w:noWrap w:val="0"/>
            <w:tcMar>
              <w:left w:w="28" w:type="dxa"/>
              <w:right w:w="28" w:type="dxa"/>
            </w:tcMar>
            <w:vAlign w:val="center"/>
          </w:tcPr>
          <w:p w14:paraId="1A188839">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现有工程</w:t>
            </w:r>
          </w:p>
          <w:p w14:paraId="5C88122E">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spacing w:val="0"/>
                <w:kern w:val="2"/>
                <w:position w:val="0"/>
                <w:szCs w:val="21"/>
                <w:highlight w:val="none"/>
                <w14:textFill>
                  <w14:solidFill>
                    <w14:schemeClr w14:val="tx1"/>
                  </w14:solidFill>
                </w14:textFill>
              </w:rPr>
              <w:t>①</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end"/>
            </w:r>
          </w:p>
        </w:tc>
        <w:tc>
          <w:tcPr>
            <w:tcW w:w="1276" w:type="dxa"/>
            <w:noWrap w:val="0"/>
            <w:tcMar>
              <w:left w:w="28" w:type="dxa"/>
              <w:right w:w="28" w:type="dxa"/>
            </w:tcMar>
            <w:vAlign w:val="center"/>
          </w:tcPr>
          <w:p w14:paraId="610286DD">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现有工程</w:t>
            </w:r>
          </w:p>
          <w:p w14:paraId="7BCB0F14">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许可排放量</w:t>
            </w:r>
          </w:p>
          <w:p w14:paraId="4E2832A2">
            <w:pPr>
              <w:pStyle w:val="58"/>
              <w:pageBreakBefore w:val="0"/>
              <w:kinsoku/>
              <w:wordWrap w:val="0"/>
              <w:overflowPunct/>
              <w:bidi w:val="0"/>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separate"/>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②</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end"/>
            </w:r>
          </w:p>
        </w:tc>
        <w:tc>
          <w:tcPr>
            <w:tcW w:w="1701" w:type="dxa"/>
            <w:noWrap w:val="0"/>
            <w:tcMar>
              <w:left w:w="28" w:type="dxa"/>
              <w:right w:w="28" w:type="dxa"/>
            </w:tcMar>
            <w:vAlign w:val="center"/>
          </w:tcPr>
          <w:p w14:paraId="60E01910">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在建工程</w:t>
            </w:r>
          </w:p>
          <w:p w14:paraId="07A87FBE">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spacing w:val="0"/>
                <w:kern w:val="2"/>
                <w:position w:val="0"/>
                <w:szCs w:val="21"/>
                <w:highlight w:val="none"/>
                <w14:textFill>
                  <w14:solidFill>
                    <w14:schemeClr w14:val="tx1"/>
                  </w14:solidFill>
                </w14:textFill>
              </w:rPr>
              <w:t>③</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end"/>
            </w:r>
          </w:p>
        </w:tc>
        <w:tc>
          <w:tcPr>
            <w:tcW w:w="1559" w:type="dxa"/>
            <w:noWrap w:val="0"/>
            <w:tcMar>
              <w:left w:w="28" w:type="dxa"/>
              <w:right w:w="28" w:type="dxa"/>
            </w:tcMar>
            <w:vAlign w:val="center"/>
          </w:tcPr>
          <w:p w14:paraId="68457E8C">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本项目</w:t>
            </w:r>
          </w:p>
          <w:p w14:paraId="2B55C9DD">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排放量（固体废物产生量）</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spacing w:val="0"/>
                <w:kern w:val="2"/>
                <w:position w:val="0"/>
                <w:szCs w:val="21"/>
                <w:highlight w:val="none"/>
                <w14:textFill>
                  <w14:solidFill>
                    <w14:schemeClr w14:val="tx1"/>
                  </w14:solidFill>
                </w14:textFill>
              </w:rPr>
              <w:t>④</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end"/>
            </w:r>
          </w:p>
        </w:tc>
        <w:tc>
          <w:tcPr>
            <w:tcW w:w="1761" w:type="dxa"/>
            <w:noWrap w:val="0"/>
            <w:tcMar>
              <w:left w:w="28" w:type="dxa"/>
              <w:right w:w="28" w:type="dxa"/>
            </w:tcMar>
            <w:vAlign w:val="center"/>
          </w:tcPr>
          <w:p w14:paraId="3E25D5E6">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以新带老削减量</w:t>
            </w:r>
          </w:p>
          <w:p w14:paraId="71509AD5">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（新建项目不填）</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spacing w:val="0"/>
                <w:kern w:val="2"/>
                <w:position w:val="0"/>
                <w:szCs w:val="21"/>
                <w:highlight w:val="none"/>
                <w14:textFill>
                  <w14:solidFill>
                    <w14:schemeClr w14:val="tx1"/>
                  </w14:solidFill>
                </w14:textFill>
              </w:rPr>
              <w:t>⑤</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end"/>
            </w:r>
          </w:p>
        </w:tc>
        <w:tc>
          <w:tcPr>
            <w:tcW w:w="1720" w:type="dxa"/>
            <w:noWrap w:val="0"/>
            <w:tcMar>
              <w:left w:w="28" w:type="dxa"/>
              <w:right w:w="28" w:type="dxa"/>
            </w:tcMar>
            <w:vAlign w:val="center"/>
          </w:tcPr>
          <w:p w14:paraId="665336E6">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本项目建成后</w:t>
            </w:r>
          </w:p>
          <w:p w14:paraId="43CC0CEA">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全厂排放量（固体废物产生量）</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spacing w:val="0"/>
                <w:kern w:val="2"/>
                <w:position w:val="0"/>
                <w:szCs w:val="21"/>
                <w:highlight w:val="none"/>
                <w14:textFill>
                  <w14:solidFill>
                    <w14:schemeClr w14:val="tx1"/>
                  </w14:solidFill>
                </w14:textFill>
              </w:rPr>
              <w:t>⑥</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end"/>
            </w:r>
          </w:p>
        </w:tc>
        <w:tc>
          <w:tcPr>
            <w:tcW w:w="1065" w:type="dxa"/>
            <w:noWrap w:val="0"/>
            <w:tcMar>
              <w:left w:w="28" w:type="dxa"/>
              <w:right w:w="28" w:type="dxa"/>
            </w:tcMar>
            <w:vAlign w:val="center"/>
          </w:tcPr>
          <w:p w14:paraId="36EFA635">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t>变化量</w:t>
            </w:r>
          </w:p>
          <w:p w14:paraId="3A34CD34">
            <w:pPr>
              <w:pStyle w:val="58"/>
              <w:pageBreakBefore w:val="0"/>
              <w:kinsoku/>
              <w:wordWrap w:val="0"/>
              <w:overflowPunct/>
              <w:bidi w:val="0"/>
              <w:spacing w:line="240" w:lineRule="auto"/>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begin"/>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separate"/>
            </w:r>
            <w:r>
              <w:rPr>
                <w:rFonts w:hint="default" w:ascii="Times New Roman" w:hAnsi="Times New Roman" w:eastAsia="宋体" w:cs="Times New Roman"/>
                <w:b/>
                <w:bCs/>
                <w:color w:val="000000" w:themeColor="text1"/>
                <w:spacing w:val="0"/>
                <w:kern w:val="2"/>
                <w:position w:val="0"/>
                <w:szCs w:val="21"/>
                <w:highlight w:val="none"/>
                <w14:textFill>
                  <w14:solidFill>
                    <w14:schemeClr w14:val="tx1"/>
                  </w14:solidFill>
                </w14:textFill>
              </w:rPr>
              <w:t>⑦</w:t>
            </w:r>
            <w:r>
              <w:rPr>
                <w:rFonts w:hint="default" w:ascii="Times New Roman" w:hAnsi="Times New Roman" w:eastAsia="宋体" w:cs="Times New Roman"/>
                <w:b/>
                <w:bCs/>
                <w:snapToGrid w:val="0"/>
                <w:color w:val="000000" w:themeColor="text1"/>
                <w:spacing w:val="0"/>
                <w:kern w:val="21"/>
                <w:position w:val="0"/>
                <w:szCs w:val="21"/>
                <w:highlight w:val="none"/>
                <w14:textFill>
                  <w14:solidFill>
                    <w14:schemeClr w14:val="tx1"/>
                  </w14:solidFill>
                </w14:textFill>
              </w:rPr>
              <w:fldChar w:fldCharType="end"/>
            </w:r>
          </w:p>
        </w:tc>
      </w:tr>
      <w:tr w14:paraId="0164E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31C12125">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t>废气</w:t>
            </w:r>
          </w:p>
        </w:tc>
        <w:tc>
          <w:tcPr>
            <w:tcW w:w="1417" w:type="dxa"/>
            <w:noWrap w:val="0"/>
            <w:vAlign w:val="center"/>
          </w:tcPr>
          <w:p w14:paraId="5A17877A">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颗粒物</w:t>
            </w:r>
          </w:p>
        </w:tc>
        <w:tc>
          <w:tcPr>
            <w:tcW w:w="1701" w:type="dxa"/>
            <w:noWrap w:val="0"/>
            <w:vAlign w:val="center"/>
          </w:tcPr>
          <w:p w14:paraId="2B03F00E">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76" w:type="dxa"/>
            <w:noWrap w:val="0"/>
            <w:vAlign w:val="center"/>
          </w:tcPr>
          <w:p w14:paraId="0007D37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701" w:type="dxa"/>
            <w:noWrap w:val="0"/>
            <w:vAlign w:val="center"/>
          </w:tcPr>
          <w:p w14:paraId="129531A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559" w:type="dxa"/>
            <w:noWrap w:val="0"/>
            <w:vAlign w:val="center"/>
          </w:tcPr>
          <w:p w14:paraId="6B6B23B6">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1.227</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61" w:type="dxa"/>
            <w:noWrap w:val="0"/>
            <w:vAlign w:val="center"/>
          </w:tcPr>
          <w:p w14:paraId="05908FC9">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20" w:type="dxa"/>
            <w:noWrap w:val="0"/>
            <w:vAlign w:val="center"/>
          </w:tcPr>
          <w:p w14:paraId="077E933E">
            <w:pPr>
              <w:pageBreakBefore w:val="0"/>
              <w:kinsoku/>
              <w:wordWrap w:val="0"/>
              <w:overflowPunct/>
              <w:bidi w:val="0"/>
              <w:spacing w:line="240" w:lineRule="auto"/>
              <w:ind w:firstLine="0" w:firstLineChars="0"/>
              <w:jc w:val="center"/>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1.227</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65" w:type="dxa"/>
            <w:noWrap w:val="0"/>
            <w:vAlign w:val="center"/>
          </w:tcPr>
          <w:p w14:paraId="7FD322D4">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+1.226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29E8B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5C6FC856">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p>
        </w:tc>
        <w:tc>
          <w:tcPr>
            <w:tcW w:w="1417" w:type="dxa"/>
            <w:noWrap w:val="0"/>
            <w:vAlign w:val="center"/>
          </w:tcPr>
          <w:p w14:paraId="6AD33011">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二氧化硫</w:t>
            </w:r>
          </w:p>
        </w:tc>
        <w:tc>
          <w:tcPr>
            <w:tcW w:w="1701" w:type="dxa"/>
            <w:noWrap w:val="0"/>
            <w:vAlign w:val="center"/>
          </w:tcPr>
          <w:p w14:paraId="7F23A05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76" w:type="dxa"/>
            <w:noWrap w:val="0"/>
            <w:vAlign w:val="center"/>
          </w:tcPr>
          <w:p w14:paraId="1468329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0.045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01" w:type="dxa"/>
            <w:noWrap w:val="0"/>
            <w:vAlign w:val="center"/>
          </w:tcPr>
          <w:p w14:paraId="7805F4F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559" w:type="dxa"/>
            <w:noWrap w:val="0"/>
            <w:vAlign w:val="center"/>
          </w:tcPr>
          <w:p w14:paraId="4762317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0.040</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61" w:type="dxa"/>
            <w:noWrap w:val="0"/>
            <w:vAlign w:val="center"/>
          </w:tcPr>
          <w:p w14:paraId="5D2A19D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20" w:type="dxa"/>
            <w:noWrap w:val="0"/>
            <w:vAlign w:val="center"/>
          </w:tcPr>
          <w:p w14:paraId="6CDADE98">
            <w:pPr>
              <w:pageBreakBefore w:val="0"/>
              <w:kinsoku/>
              <w:wordWrap w:val="0"/>
              <w:overflowPunct/>
              <w:bidi w:val="0"/>
              <w:spacing w:line="240" w:lineRule="auto"/>
              <w:ind w:firstLine="0" w:firstLineChars="0"/>
              <w:jc w:val="cente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0.040</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65" w:type="dxa"/>
            <w:noWrap w:val="0"/>
            <w:vAlign w:val="center"/>
          </w:tcPr>
          <w:p w14:paraId="1B198A3A">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+0.039</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1E43D9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44828B3A">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p>
        </w:tc>
        <w:tc>
          <w:tcPr>
            <w:tcW w:w="1417" w:type="dxa"/>
            <w:noWrap w:val="0"/>
            <w:vAlign w:val="center"/>
          </w:tcPr>
          <w:p w14:paraId="016690D2">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氮氧化物</w:t>
            </w:r>
          </w:p>
        </w:tc>
        <w:tc>
          <w:tcPr>
            <w:tcW w:w="1701" w:type="dxa"/>
            <w:noWrap w:val="0"/>
            <w:vAlign w:val="center"/>
          </w:tcPr>
          <w:p w14:paraId="610ED91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0.003</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76" w:type="dxa"/>
            <w:noWrap w:val="0"/>
            <w:vAlign w:val="center"/>
          </w:tcPr>
          <w:p w14:paraId="47303487">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0.440</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01" w:type="dxa"/>
            <w:noWrap w:val="0"/>
            <w:vAlign w:val="center"/>
          </w:tcPr>
          <w:p w14:paraId="61C027F6">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559" w:type="dxa"/>
            <w:noWrap w:val="0"/>
            <w:vAlign w:val="center"/>
          </w:tcPr>
          <w:p w14:paraId="39C03F8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0.429</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61" w:type="dxa"/>
            <w:noWrap w:val="0"/>
            <w:vAlign w:val="center"/>
          </w:tcPr>
          <w:p w14:paraId="739D05C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0.003</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20" w:type="dxa"/>
            <w:noWrap w:val="0"/>
            <w:vAlign w:val="center"/>
          </w:tcPr>
          <w:p w14:paraId="4AC6297F">
            <w:pPr>
              <w:pageBreakBefore w:val="0"/>
              <w:kinsoku/>
              <w:wordWrap w:val="0"/>
              <w:overflowPunct/>
              <w:bidi w:val="0"/>
              <w:spacing w:line="240" w:lineRule="auto"/>
              <w:ind w:firstLine="0" w:firstLineChars="0"/>
              <w:jc w:val="cente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0.429</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65" w:type="dxa"/>
            <w:noWrap w:val="0"/>
            <w:vAlign w:val="center"/>
          </w:tcPr>
          <w:p w14:paraId="75B25258">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+0.426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1082D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1922ACC2">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p>
        </w:tc>
        <w:tc>
          <w:tcPr>
            <w:tcW w:w="1417" w:type="dxa"/>
            <w:noWrap w:val="0"/>
            <w:vAlign w:val="center"/>
          </w:tcPr>
          <w:p w14:paraId="5A46B6F0">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非甲烷总烃</w:t>
            </w:r>
          </w:p>
        </w:tc>
        <w:tc>
          <w:tcPr>
            <w:tcW w:w="1701" w:type="dxa"/>
            <w:noWrap w:val="0"/>
            <w:vAlign w:val="center"/>
          </w:tcPr>
          <w:p w14:paraId="6921EFF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76" w:type="dxa"/>
            <w:noWrap w:val="0"/>
            <w:vAlign w:val="center"/>
          </w:tcPr>
          <w:p w14:paraId="41AB8F9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701" w:type="dxa"/>
            <w:noWrap w:val="0"/>
            <w:vAlign w:val="center"/>
          </w:tcPr>
          <w:p w14:paraId="4CD05383">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559" w:type="dxa"/>
            <w:noWrap w:val="0"/>
            <w:vAlign w:val="center"/>
          </w:tcPr>
          <w:p w14:paraId="1BAEBFCB">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61" w:type="dxa"/>
            <w:noWrap w:val="0"/>
            <w:vAlign w:val="center"/>
          </w:tcPr>
          <w:p w14:paraId="35793994">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720" w:type="dxa"/>
            <w:noWrap w:val="0"/>
            <w:vAlign w:val="center"/>
          </w:tcPr>
          <w:p w14:paraId="3BCA4140">
            <w:pPr>
              <w:pStyle w:val="25"/>
              <w:pageBreakBefore w:val="0"/>
              <w:kinsoku/>
              <w:wordWrap w:val="0"/>
              <w:overflowPunct/>
              <w:bidi w:val="0"/>
              <w:spacing w:line="240" w:lineRule="auto"/>
              <w:ind w:left="0" w:leftChars="0" w:firstLine="0" w:firstLineChars="0"/>
              <w:jc w:val="cente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65" w:type="dxa"/>
            <w:noWrap w:val="0"/>
            <w:vAlign w:val="center"/>
          </w:tcPr>
          <w:p w14:paraId="54D73B24">
            <w:pPr>
              <w:pStyle w:val="25"/>
              <w:pageBreakBefore w:val="0"/>
              <w:kinsoku/>
              <w:wordWrap w:val="0"/>
              <w:overflowPunct/>
              <w:bidi w:val="0"/>
              <w:spacing w:line="240" w:lineRule="auto"/>
              <w:ind w:left="0" w:leftChars="0" w:firstLine="0" w:firstLineChars="0"/>
              <w:jc w:val="center"/>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cs="Times New Roman"/>
                <w:snapToGrid w:val="0"/>
                <w:color w:val="000000" w:themeColor="text1"/>
                <w:spacing w:val="0"/>
                <w:kern w:val="21"/>
                <w:position w:val="0"/>
                <w:szCs w:val="21"/>
                <w:highlight w:val="none"/>
                <w:lang w:val="en-US" w:eastAsia="zh-CN"/>
                <w14:textFill>
                  <w14:solidFill>
                    <w14:schemeClr w14:val="tx1"/>
                  </w14:solidFill>
                </w14:textFill>
              </w:rPr>
              <w:t>+0.001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3C620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continue"/>
            <w:noWrap w:val="0"/>
            <w:vAlign w:val="center"/>
          </w:tcPr>
          <w:p w14:paraId="19852D6F">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p>
        </w:tc>
        <w:tc>
          <w:tcPr>
            <w:tcW w:w="1417" w:type="dxa"/>
            <w:noWrap w:val="0"/>
            <w:vAlign w:val="center"/>
          </w:tcPr>
          <w:p w14:paraId="19C073CE">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苯并[a]芘</w:t>
            </w:r>
          </w:p>
        </w:tc>
        <w:tc>
          <w:tcPr>
            <w:tcW w:w="1701" w:type="dxa"/>
            <w:noWrap w:val="0"/>
            <w:vAlign w:val="center"/>
          </w:tcPr>
          <w:p w14:paraId="6F97444D">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276" w:type="dxa"/>
            <w:noWrap w:val="0"/>
            <w:vAlign w:val="center"/>
          </w:tcPr>
          <w:p w14:paraId="219DC85C">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701" w:type="dxa"/>
            <w:noWrap w:val="0"/>
            <w:vAlign w:val="center"/>
          </w:tcPr>
          <w:p w14:paraId="7FAE1472">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559" w:type="dxa"/>
            <w:noWrap w:val="0"/>
            <w:vAlign w:val="center"/>
          </w:tcPr>
          <w:p w14:paraId="6E790FE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2.607×10</w:t>
            </w:r>
            <w:r>
              <w:rPr>
                <w:rFonts w:hint="eastAsia" w:eastAsia="宋体" w:cs="Times New Roman"/>
                <w:color w:val="000000" w:themeColor="text1"/>
                <w:sz w:val="21"/>
                <w:szCs w:val="21"/>
                <w:highlight w:val="none"/>
                <w:vertAlign w:val="superscript"/>
                <w:lang w:val="en-US" w:eastAsia="zh-CN"/>
                <w14:textFill>
                  <w14:solidFill>
                    <w14:schemeClr w14:val="tx1"/>
                  </w14:solidFill>
                </w14:textFill>
              </w:rPr>
              <w:t>-6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61" w:type="dxa"/>
            <w:noWrap w:val="0"/>
            <w:vAlign w:val="center"/>
          </w:tcPr>
          <w:p w14:paraId="2F5A7ABA">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720" w:type="dxa"/>
            <w:noWrap w:val="0"/>
            <w:vAlign w:val="center"/>
          </w:tcPr>
          <w:p w14:paraId="4F49BF02">
            <w:pPr>
              <w:pStyle w:val="25"/>
              <w:pageBreakBefore w:val="0"/>
              <w:kinsoku/>
              <w:wordWrap w:val="0"/>
              <w:overflowPunct/>
              <w:bidi w:val="0"/>
              <w:spacing w:line="240" w:lineRule="auto"/>
              <w:ind w:left="0" w:leftChars="0" w:firstLine="0" w:firstLineChars="0"/>
              <w:jc w:val="cente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2.607×10</w:t>
            </w:r>
            <w:r>
              <w:rPr>
                <w:rFonts w:hint="eastAsia"/>
                <w:color w:val="000000" w:themeColor="text1"/>
                <w:sz w:val="21"/>
                <w:szCs w:val="21"/>
                <w:highlight w:val="none"/>
                <w:vertAlign w:val="superscript"/>
                <w:lang w:val="en-US" w:eastAsia="zh-CN"/>
                <w14:textFill>
                  <w14:solidFill>
                    <w14:schemeClr w14:val="tx1"/>
                  </w14:solidFill>
                </w14:textFill>
              </w:rPr>
              <w:t>-6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65" w:type="dxa"/>
            <w:noWrap w:val="0"/>
            <w:vAlign w:val="center"/>
          </w:tcPr>
          <w:p w14:paraId="6C331EC6">
            <w:pPr>
              <w:pStyle w:val="25"/>
              <w:pageBreakBefore w:val="0"/>
              <w:kinsoku/>
              <w:wordWrap w:val="0"/>
              <w:overflowPunct/>
              <w:bidi w:val="0"/>
              <w:spacing w:line="240" w:lineRule="auto"/>
              <w:ind w:left="0" w:leftChars="0" w:firstLine="0" w:firstLineChars="0"/>
              <w:jc w:val="center"/>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cs="Times New Roman"/>
                <w:snapToGrid w:val="0"/>
                <w:color w:val="000000" w:themeColor="text1"/>
                <w:spacing w:val="0"/>
                <w:kern w:val="21"/>
                <w:position w:val="0"/>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2.607×10</w:t>
            </w:r>
            <w:r>
              <w:rPr>
                <w:rFonts w:hint="eastAsia"/>
                <w:color w:val="000000" w:themeColor="text1"/>
                <w:sz w:val="21"/>
                <w:szCs w:val="21"/>
                <w:highlight w:val="none"/>
                <w:vertAlign w:val="superscript"/>
                <w:lang w:val="en-US" w:eastAsia="zh-CN"/>
                <w14:textFill>
                  <w14:solidFill>
                    <w14:schemeClr w14:val="tx1"/>
                  </w14:solidFill>
                </w14:textFill>
              </w:rPr>
              <w:t>-6</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25DA1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72ECA158">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p>
        </w:tc>
        <w:tc>
          <w:tcPr>
            <w:tcW w:w="1417" w:type="dxa"/>
            <w:noWrap w:val="0"/>
            <w:vAlign w:val="center"/>
          </w:tcPr>
          <w:p w14:paraId="51DCE4E1">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沥青烟</w:t>
            </w:r>
          </w:p>
        </w:tc>
        <w:tc>
          <w:tcPr>
            <w:tcW w:w="1701" w:type="dxa"/>
            <w:noWrap w:val="0"/>
            <w:vAlign w:val="center"/>
          </w:tcPr>
          <w:p w14:paraId="7C56D2B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0.015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76" w:type="dxa"/>
            <w:noWrap w:val="0"/>
            <w:vAlign w:val="center"/>
          </w:tcPr>
          <w:p w14:paraId="6B5577B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701" w:type="dxa"/>
            <w:noWrap w:val="0"/>
            <w:vAlign w:val="center"/>
          </w:tcPr>
          <w:p w14:paraId="7945C020">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w:t>
            </w:r>
          </w:p>
        </w:tc>
        <w:tc>
          <w:tcPr>
            <w:tcW w:w="1559" w:type="dxa"/>
            <w:noWrap w:val="0"/>
            <w:vAlign w:val="center"/>
          </w:tcPr>
          <w:p w14:paraId="25D6D25E">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0.002</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61" w:type="dxa"/>
            <w:noWrap w:val="0"/>
            <w:vAlign w:val="center"/>
          </w:tcPr>
          <w:p w14:paraId="522E273F">
            <w:pPr>
              <w:pStyle w:val="71"/>
              <w:keepNext w:val="0"/>
              <w:keepLines w:val="0"/>
              <w:pageBreakBefore w:val="0"/>
              <w:widowControl w:val="0"/>
              <w:kinsoku/>
              <w:wordWrap w:val="0"/>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napToGrid w:val="0"/>
                <w:color w:val="000000" w:themeColor="text1"/>
                <w:spacing w:val="0"/>
                <w:kern w:val="21"/>
                <w:position w:val="0"/>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vertAlign w:val="baseline"/>
                <w:lang w:val="en-US" w:eastAsia="zh-CN"/>
                <w14:textFill>
                  <w14:solidFill>
                    <w14:schemeClr w14:val="tx1"/>
                  </w14:solidFill>
                </w14:textFill>
              </w:rPr>
              <w:t>0.015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20" w:type="dxa"/>
            <w:noWrap w:val="0"/>
            <w:vAlign w:val="center"/>
          </w:tcPr>
          <w:p w14:paraId="6B7028EB">
            <w:pPr>
              <w:pStyle w:val="25"/>
              <w:pageBreakBefore w:val="0"/>
              <w:kinsoku/>
              <w:wordWrap w:val="0"/>
              <w:overflowPunct/>
              <w:bidi w:val="0"/>
              <w:spacing w:line="240" w:lineRule="auto"/>
              <w:ind w:left="0" w:leftChars="0" w:firstLine="0" w:firstLineChars="0"/>
              <w:jc w:val="cente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0.002</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65" w:type="dxa"/>
            <w:noWrap w:val="0"/>
            <w:vAlign w:val="center"/>
          </w:tcPr>
          <w:p w14:paraId="797CFFB1">
            <w:pPr>
              <w:pStyle w:val="25"/>
              <w:pageBreakBefore w:val="0"/>
              <w:kinsoku/>
              <w:wordWrap w:val="0"/>
              <w:overflowPunct/>
              <w:bidi w:val="0"/>
              <w:spacing w:line="240" w:lineRule="auto"/>
              <w:ind w:left="0" w:leftChars="0" w:firstLine="0" w:firstLineChars="0"/>
              <w:jc w:val="center"/>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cs="Times New Roman"/>
                <w:snapToGrid w:val="0"/>
                <w:color w:val="000000" w:themeColor="text1"/>
                <w:spacing w:val="0"/>
                <w:kern w:val="21"/>
                <w:position w:val="0"/>
                <w:szCs w:val="21"/>
                <w:highlight w:val="none"/>
                <w:lang w:val="en-US" w:eastAsia="zh-CN"/>
                <w14:textFill>
                  <w14:solidFill>
                    <w14:schemeClr w14:val="tx1"/>
                  </w14:solidFill>
                </w14:textFill>
              </w:rPr>
              <w:t>-0.013</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2321D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0875F7B4">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废水</w:t>
            </w:r>
          </w:p>
        </w:tc>
        <w:tc>
          <w:tcPr>
            <w:tcW w:w="1417" w:type="dxa"/>
            <w:noWrap w:val="0"/>
            <w:vAlign w:val="center"/>
          </w:tcPr>
          <w:p w14:paraId="141EAD1F">
            <w:pPr>
              <w:pStyle w:val="58"/>
              <w:pageBreakBefore w:val="0"/>
              <w:widowControl/>
              <w:kinsoku/>
              <w:wordWrap w:val="0"/>
              <w:overflowPunct/>
              <w:bidi w:val="0"/>
              <w:spacing w:before="31" w:after="31"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default" w:ascii="Times New Roman"/>
                <w:snapToGrid w:val="0"/>
                <w:color w:val="000000" w:themeColor="text1"/>
                <w:kern w:val="21"/>
                <w:szCs w:val="21"/>
                <w:highlight w:val="none"/>
                <w14:textFill>
                  <w14:solidFill>
                    <w14:schemeClr w14:val="tx1"/>
                  </w14:solidFill>
                </w14:textFill>
              </w:rPr>
              <w:t>COD</w:t>
            </w:r>
          </w:p>
        </w:tc>
        <w:tc>
          <w:tcPr>
            <w:tcW w:w="1701" w:type="dxa"/>
            <w:noWrap w:val="0"/>
            <w:vAlign w:val="center"/>
          </w:tcPr>
          <w:p w14:paraId="01E5A99D">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276" w:type="dxa"/>
            <w:noWrap w:val="0"/>
            <w:vAlign w:val="center"/>
          </w:tcPr>
          <w:p w14:paraId="11E4EC63">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01" w:type="dxa"/>
            <w:noWrap w:val="0"/>
            <w:vAlign w:val="center"/>
          </w:tcPr>
          <w:p w14:paraId="387D99C4">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559" w:type="dxa"/>
            <w:noWrap w:val="0"/>
            <w:vAlign w:val="center"/>
          </w:tcPr>
          <w:p w14:paraId="03D20BC3">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61" w:type="dxa"/>
            <w:noWrap w:val="0"/>
            <w:vAlign w:val="center"/>
          </w:tcPr>
          <w:p w14:paraId="37AAC436">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20" w:type="dxa"/>
            <w:noWrap w:val="0"/>
            <w:vAlign w:val="center"/>
          </w:tcPr>
          <w:p w14:paraId="46212A37">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065" w:type="dxa"/>
            <w:noWrap w:val="0"/>
            <w:vAlign w:val="center"/>
          </w:tcPr>
          <w:p w14:paraId="35C6E414">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r>
      <w:tr w14:paraId="5E36E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67ABD77E">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p>
        </w:tc>
        <w:tc>
          <w:tcPr>
            <w:tcW w:w="1417" w:type="dxa"/>
            <w:noWrap w:val="0"/>
            <w:vAlign w:val="center"/>
          </w:tcPr>
          <w:p w14:paraId="07F7A7AF">
            <w:pPr>
              <w:pStyle w:val="58"/>
              <w:pageBreakBefore w:val="0"/>
              <w:widowControl/>
              <w:kinsoku/>
              <w:wordWrap w:val="0"/>
              <w:overflowPunct/>
              <w:bidi w:val="0"/>
              <w:spacing w:before="31" w:after="31"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default" w:ascii="Times New Roman"/>
                <w:snapToGrid w:val="0"/>
                <w:color w:val="000000" w:themeColor="text1"/>
                <w:kern w:val="21"/>
                <w:szCs w:val="21"/>
                <w:highlight w:val="none"/>
                <w14:textFill>
                  <w14:solidFill>
                    <w14:schemeClr w14:val="tx1"/>
                  </w14:solidFill>
                </w14:textFill>
              </w:rPr>
              <w:t>NH</w:t>
            </w:r>
            <w:r>
              <w:rPr>
                <w:rFonts w:hint="default" w:ascii="Times New Roman"/>
                <w:snapToGrid w:val="0"/>
                <w:color w:val="000000" w:themeColor="text1"/>
                <w:kern w:val="21"/>
                <w:szCs w:val="21"/>
                <w:highlight w:val="none"/>
                <w:vertAlign w:val="subscript"/>
                <w14:textFill>
                  <w14:solidFill>
                    <w14:schemeClr w14:val="tx1"/>
                  </w14:solidFill>
                </w14:textFill>
              </w:rPr>
              <w:t>3</w:t>
            </w:r>
            <w:r>
              <w:rPr>
                <w:rFonts w:hint="default" w:ascii="Times New Roman"/>
                <w:snapToGrid w:val="0"/>
                <w:color w:val="000000" w:themeColor="text1"/>
                <w:kern w:val="21"/>
                <w:szCs w:val="21"/>
                <w:highlight w:val="none"/>
                <w14:textFill>
                  <w14:solidFill>
                    <w14:schemeClr w14:val="tx1"/>
                  </w14:solidFill>
                </w14:textFill>
              </w:rPr>
              <w:t>-N</w:t>
            </w:r>
          </w:p>
        </w:tc>
        <w:tc>
          <w:tcPr>
            <w:tcW w:w="1701" w:type="dxa"/>
            <w:noWrap w:val="0"/>
            <w:vAlign w:val="center"/>
          </w:tcPr>
          <w:p w14:paraId="5F0B01A0">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276" w:type="dxa"/>
            <w:noWrap w:val="0"/>
            <w:vAlign w:val="center"/>
          </w:tcPr>
          <w:p w14:paraId="731DA542">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01" w:type="dxa"/>
            <w:noWrap w:val="0"/>
            <w:vAlign w:val="center"/>
          </w:tcPr>
          <w:p w14:paraId="169EDD72">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559" w:type="dxa"/>
            <w:noWrap w:val="0"/>
            <w:vAlign w:val="center"/>
          </w:tcPr>
          <w:p w14:paraId="2B28078D">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61" w:type="dxa"/>
            <w:noWrap w:val="0"/>
            <w:vAlign w:val="center"/>
          </w:tcPr>
          <w:p w14:paraId="07424D73">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20" w:type="dxa"/>
            <w:noWrap w:val="0"/>
            <w:vAlign w:val="center"/>
          </w:tcPr>
          <w:p w14:paraId="667208D6">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065" w:type="dxa"/>
            <w:noWrap w:val="0"/>
            <w:vAlign w:val="center"/>
          </w:tcPr>
          <w:p w14:paraId="01E8B0A1">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r>
      <w:tr w14:paraId="3AC75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52C541F7">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t>一般工业</w:t>
            </w:r>
          </w:p>
          <w:p w14:paraId="607916F0">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t>固体废物</w:t>
            </w:r>
          </w:p>
        </w:tc>
        <w:tc>
          <w:tcPr>
            <w:tcW w:w="1417" w:type="dxa"/>
            <w:noWrap w:val="0"/>
            <w:vAlign w:val="center"/>
          </w:tcPr>
          <w:p w14:paraId="6184B704">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拌合残渣</w:t>
            </w:r>
          </w:p>
        </w:tc>
        <w:tc>
          <w:tcPr>
            <w:tcW w:w="1701" w:type="dxa"/>
            <w:noWrap w:val="0"/>
            <w:vAlign w:val="center"/>
          </w:tcPr>
          <w:p w14:paraId="734EF4EA">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276" w:type="dxa"/>
            <w:noWrap w:val="0"/>
            <w:vAlign w:val="center"/>
          </w:tcPr>
          <w:p w14:paraId="6A51E115">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01" w:type="dxa"/>
            <w:noWrap w:val="0"/>
            <w:vAlign w:val="center"/>
          </w:tcPr>
          <w:p w14:paraId="096EA93B">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559" w:type="dxa"/>
            <w:noWrap w:val="0"/>
            <w:vAlign w:val="center"/>
          </w:tcPr>
          <w:p w14:paraId="545D3D34">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61" w:type="dxa"/>
            <w:noWrap w:val="0"/>
            <w:vAlign w:val="center"/>
          </w:tcPr>
          <w:p w14:paraId="18E8006E">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20" w:type="dxa"/>
            <w:noWrap w:val="0"/>
            <w:vAlign w:val="center"/>
          </w:tcPr>
          <w:p w14:paraId="2AFEB241">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0t/a</w:t>
            </w:r>
          </w:p>
        </w:tc>
        <w:tc>
          <w:tcPr>
            <w:tcW w:w="1065" w:type="dxa"/>
            <w:noWrap w:val="0"/>
            <w:vAlign w:val="center"/>
          </w:tcPr>
          <w:p w14:paraId="1351CCD3">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5411F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5E0B6F92">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p>
        </w:tc>
        <w:tc>
          <w:tcPr>
            <w:tcW w:w="1417" w:type="dxa"/>
            <w:noWrap w:val="0"/>
            <w:vAlign w:val="center"/>
          </w:tcPr>
          <w:p w14:paraId="6BB08E2C">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除尘灰</w:t>
            </w:r>
          </w:p>
        </w:tc>
        <w:tc>
          <w:tcPr>
            <w:tcW w:w="1701" w:type="dxa"/>
            <w:noWrap w:val="0"/>
            <w:vAlign w:val="center"/>
          </w:tcPr>
          <w:p w14:paraId="2AD03487">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15.13</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276" w:type="dxa"/>
            <w:noWrap w:val="0"/>
            <w:vAlign w:val="center"/>
          </w:tcPr>
          <w:p w14:paraId="44183953">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01" w:type="dxa"/>
            <w:noWrap w:val="0"/>
            <w:vAlign w:val="center"/>
          </w:tcPr>
          <w:p w14:paraId="40BD2C44">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559" w:type="dxa"/>
            <w:noWrap w:val="0"/>
            <w:vAlign w:val="center"/>
          </w:tcPr>
          <w:p w14:paraId="4F936E7F">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61" w:type="dxa"/>
            <w:noWrap w:val="0"/>
            <w:vAlign w:val="center"/>
          </w:tcPr>
          <w:p w14:paraId="7445E8B7">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15.13</w:t>
            </w:r>
            <w:r>
              <w:rPr>
                <w:rFonts w:hint="default"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20" w:type="dxa"/>
            <w:noWrap w:val="0"/>
            <w:vAlign w:val="center"/>
          </w:tcPr>
          <w:p w14:paraId="28796BFB">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0t/a</w:t>
            </w:r>
          </w:p>
        </w:tc>
        <w:tc>
          <w:tcPr>
            <w:tcW w:w="1065" w:type="dxa"/>
            <w:noWrap w:val="0"/>
            <w:vAlign w:val="center"/>
          </w:tcPr>
          <w:p w14:paraId="154C72FC">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-15.13</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430FF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7E19C5A5">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t>危险废物</w:t>
            </w:r>
          </w:p>
        </w:tc>
        <w:tc>
          <w:tcPr>
            <w:tcW w:w="1417" w:type="dxa"/>
            <w:noWrap w:val="0"/>
            <w:vAlign w:val="center"/>
          </w:tcPr>
          <w:p w14:paraId="4D8E6316">
            <w:pPr>
              <w:keepNext w:val="0"/>
              <w:keepLines w:val="0"/>
              <w:pageBreakBefore w:val="0"/>
              <w:widowControl w:val="0"/>
              <w:kinsoku/>
              <w:wordWrap w:val="0"/>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废润滑油</w:t>
            </w:r>
          </w:p>
        </w:tc>
        <w:tc>
          <w:tcPr>
            <w:tcW w:w="1701" w:type="dxa"/>
            <w:noWrap w:val="0"/>
            <w:vAlign w:val="center"/>
          </w:tcPr>
          <w:p w14:paraId="288FACE3">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0.2t/a</w:t>
            </w:r>
          </w:p>
        </w:tc>
        <w:tc>
          <w:tcPr>
            <w:tcW w:w="1276" w:type="dxa"/>
            <w:noWrap w:val="0"/>
            <w:vAlign w:val="center"/>
          </w:tcPr>
          <w:p w14:paraId="075AB236">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01" w:type="dxa"/>
            <w:noWrap w:val="0"/>
            <w:vAlign w:val="center"/>
          </w:tcPr>
          <w:p w14:paraId="725293A4">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559" w:type="dxa"/>
            <w:noWrap w:val="0"/>
            <w:vAlign w:val="center"/>
          </w:tcPr>
          <w:p w14:paraId="5845FE97">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0.</w:t>
            </w: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61" w:type="dxa"/>
            <w:noWrap w:val="0"/>
            <w:vAlign w:val="center"/>
          </w:tcPr>
          <w:p w14:paraId="45619713">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0.2t/a</w:t>
            </w:r>
          </w:p>
        </w:tc>
        <w:tc>
          <w:tcPr>
            <w:tcW w:w="1720" w:type="dxa"/>
            <w:noWrap w:val="0"/>
            <w:vAlign w:val="center"/>
          </w:tcPr>
          <w:p w14:paraId="452911D1">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0.</w:t>
            </w: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65" w:type="dxa"/>
            <w:noWrap w:val="0"/>
            <w:vAlign w:val="center"/>
          </w:tcPr>
          <w:p w14:paraId="53B81474">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+0.</w:t>
            </w: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4D262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009995D2">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p>
        </w:tc>
        <w:tc>
          <w:tcPr>
            <w:tcW w:w="1417" w:type="dxa"/>
            <w:noWrap w:val="0"/>
            <w:vAlign w:val="center"/>
          </w:tcPr>
          <w:p w14:paraId="300E3842">
            <w:pPr>
              <w:keepNext w:val="0"/>
              <w:keepLines w:val="0"/>
              <w:pageBreakBefore w:val="0"/>
              <w:widowControl w:val="0"/>
              <w:kinsoku/>
              <w:wordWrap w:val="0"/>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废润滑油桶</w:t>
            </w:r>
          </w:p>
        </w:tc>
        <w:tc>
          <w:tcPr>
            <w:tcW w:w="1701" w:type="dxa"/>
            <w:noWrap w:val="0"/>
            <w:vAlign w:val="center"/>
          </w:tcPr>
          <w:p w14:paraId="5DC70DF9">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0.06t/a</w:t>
            </w:r>
          </w:p>
        </w:tc>
        <w:tc>
          <w:tcPr>
            <w:tcW w:w="1276" w:type="dxa"/>
            <w:noWrap w:val="0"/>
            <w:vAlign w:val="center"/>
          </w:tcPr>
          <w:p w14:paraId="21EC89CF">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01" w:type="dxa"/>
            <w:noWrap w:val="0"/>
            <w:vAlign w:val="center"/>
          </w:tcPr>
          <w:p w14:paraId="45CC8366">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559" w:type="dxa"/>
            <w:noWrap w:val="0"/>
            <w:vAlign w:val="center"/>
          </w:tcPr>
          <w:p w14:paraId="6F7B71FF">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0</w:t>
            </w: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15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761" w:type="dxa"/>
            <w:noWrap w:val="0"/>
            <w:vAlign w:val="center"/>
          </w:tcPr>
          <w:p w14:paraId="1D8C985B">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0.15t/a</w:t>
            </w:r>
          </w:p>
        </w:tc>
        <w:tc>
          <w:tcPr>
            <w:tcW w:w="1720" w:type="dxa"/>
            <w:noWrap w:val="0"/>
            <w:vAlign w:val="center"/>
          </w:tcPr>
          <w:p w14:paraId="27ED99C1">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0.</w:t>
            </w: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15</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c>
          <w:tcPr>
            <w:tcW w:w="1065" w:type="dxa"/>
            <w:noWrap w:val="0"/>
            <w:vAlign w:val="center"/>
          </w:tcPr>
          <w:p w14:paraId="1A4464B3">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+0.</w:t>
            </w: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09</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r w14:paraId="0F8EE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7D31BB91">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14:textFill>
                  <w14:solidFill>
                    <w14:schemeClr w14:val="tx1"/>
                  </w14:solidFill>
                </w14:textFill>
              </w:rPr>
            </w:pPr>
          </w:p>
        </w:tc>
        <w:tc>
          <w:tcPr>
            <w:tcW w:w="1417" w:type="dxa"/>
            <w:noWrap w:val="0"/>
            <w:vAlign w:val="center"/>
          </w:tcPr>
          <w:p w14:paraId="26F99D9A">
            <w:pPr>
              <w:keepNext w:val="0"/>
              <w:keepLines w:val="0"/>
              <w:pageBreakBefore w:val="0"/>
              <w:widowControl w:val="0"/>
              <w:kinsoku/>
              <w:wordWrap w:val="0"/>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废活性炭</w:t>
            </w:r>
          </w:p>
        </w:tc>
        <w:tc>
          <w:tcPr>
            <w:tcW w:w="1701" w:type="dxa"/>
            <w:noWrap w:val="0"/>
            <w:vAlign w:val="center"/>
          </w:tcPr>
          <w:p w14:paraId="602671CE">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0.5t/a</w:t>
            </w:r>
          </w:p>
        </w:tc>
        <w:tc>
          <w:tcPr>
            <w:tcW w:w="1276" w:type="dxa"/>
            <w:noWrap w:val="0"/>
            <w:vAlign w:val="center"/>
          </w:tcPr>
          <w:p w14:paraId="12055745">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701" w:type="dxa"/>
            <w:noWrap w:val="0"/>
            <w:vAlign w:val="center"/>
          </w:tcPr>
          <w:p w14:paraId="3DC96EBC">
            <w:pPr>
              <w:pStyle w:val="58"/>
              <w:pageBreakBefore w:val="0"/>
              <w:kinsoku/>
              <w:wordWrap w:val="0"/>
              <w:overflowPunct/>
              <w:bidi w:val="0"/>
              <w:spacing w:line="240" w:lineRule="auto"/>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w:t>
            </w:r>
          </w:p>
        </w:tc>
        <w:tc>
          <w:tcPr>
            <w:tcW w:w="1559" w:type="dxa"/>
            <w:noWrap w:val="0"/>
            <w:vAlign w:val="center"/>
          </w:tcPr>
          <w:p w14:paraId="6687C6D4">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0.009t/a</w:t>
            </w:r>
          </w:p>
        </w:tc>
        <w:tc>
          <w:tcPr>
            <w:tcW w:w="1761" w:type="dxa"/>
            <w:noWrap w:val="0"/>
            <w:vAlign w:val="center"/>
          </w:tcPr>
          <w:p w14:paraId="189A864B">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0.5t/a</w:t>
            </w:r>
          </w:p>
        </w:tc>
        <w:tc>
          <w:tcPr>
            <w:tcW w:w="1720" w:type="dxa"/>
            <w:noWrap w:val="0"/>
            <w:vAlign w:val="center"/>
          </w:tcPr>
          <w:p w14:paraId="6F79478C">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0.009t/a</w:t>
            </w:r>
          </w:p>
        </w:tc>
        <w:tc>
          <w:tcPr>
            <w:tcW w:w="1065" w:type="dxa"/>
            <w:noWrap w:val="0"/>
            <w:vAlign w:val="center"/>
          </w:tcPr>
          <w:p w14:paraId="7B20D208">
            <w:pPr>
              <w:pStyle w:val="58"/>
              <w:pageBreakBefore w:val="0"/>
              <w:kinsoku/>
              <w:wordWrap w:val="0"/>
              <w:overflowPunct/>
              <w:bidi w:val="0"/>
              <w:spacing w:line="240" w:lineRule="auto"/>
              <w:rPr>
                <w:rFonts w:hint="default"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pPr>
            <w:r>
              <w:rPr>
                <w:rFonts w:hint="eastAsia" w:ascii="Times New Roman" w:cs="Times New Roman"/>
                <w:snapToGrid w:val="0"/>
                <w:color w:val="000000" w:themeColor="text1"/>
                <w:spacing w:val="0"/>
                <w:kern w:val="21"/>
                <w:position w:val="0"/>
                <w:szCs w:val="21"/>
                <w:highlight w:val="none"/>
                <w:lang w:val="en-US" w:eastAsia="zh-CN"/>
                <w14:textFill>
                  <w14:solidFill>
                    <w14:schemeClr w14:val="tx1"/>
                  </w14:solidFill>
                </w14:textFill>
              </w:rPr>
              <w:t>-0.491</w:t>
            </w:r>
            <w:r>
              <w:rPr>
                <w:rFonts w:hint="eastAsia" w:ascii="Times New Roman" w:hAnsi="Times New Roman" w:eastAsia="宋体" w:cs="Times New Roman"/>
                <w:snapToGrid w:val="0"/>
                <w:color w:val="000000" w:themeColor="text1"/>
                <w:spacing w:val="0"/>
                <w:kern w:val="21"/>
                <w:position w:val="0"/>
                <w:szCs w:val="21"/>
                <w:highlight w:val="none"/>
                <w:lang w:val="en-US" w:eastAsia="zh-CN"/>
                <w14:textFill>
                  <w14:solidFill>
                    <w14:schemeClr w14:val="tx1"/>
                  </w14:solidFill>
                </w14:textFill>
              </w:rPr>
              <w:t>t/a</w:t>
            </w:r>
          </w:p>
        </w:tc>
      </w:tr>
    </w:tbl>
    <w:p w14:paraId="74743AA3">
      <w:pPr>
        <w:pStyle w:val="58"/>
        <w:pageBreakBefore w:val="0"/>
        <w:kinsoku/>
        <w:wordWrap w:val="0"/>
        <w:overflowPunct/>
        <w:bidi w:val="0"/>
        <w:spacing w:before="192" w:beforeLines="80" w:after="24"/>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eastAsia="宋体"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Cs w:val="21"/>
          <w:highlight w:val="none"/>
          <w14:textFill>
            <w14:solidFill>
              <w14:schemeClr w14:val="tx1"/>
            </w14:solidFill>
          </w14:textFill>
        </w:rPr>
        <w:fldChar w:fldCharType="end"/>
      </w:r>
    </w:p>
    <w:sectPr>
      <w:headerReference r:id="rId7" w:type="default"/>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35">
      <wne:acd wne:acdName="acd0"/>
    </wne:keymap>
  </wne:keymaps>
  <wne:acds>
    <wne:acd wne:argValue="AQAAAAA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ECE581A-3423-4BE6-9AA3-8E21AA585640}"/>
  </w:font>
  <w:font w:name="黑体">
    <w:panose1 w:val="02010609060101010101"/>
    <w:charset w:val="86"/>
    <w:family w:val="auto"/>
    <w:pitch w:val="default"/>
    <w:sig w:usb0="800002BF" w:usb1="38CF7CFA" w:usb2="00000016" w:usb3="00000000" w:csb0="00040001" w:csb1="00000000"/>
    <w:embedRegular r:id="rId2" w:fontKey="{EAF72544-2269-4658-A944-614CFBAED20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embedRegular r:id="rId3" w:fontKey="{D18460EE-8983-48AA-864B-97DC2685527B}"/>
  </w:font>
  <w:font w:name="仿宋_GB2312">
    <w:panose1 w:val="02010609030101010101"/>
    <w:charset w:val="86"/>
    <w:family w:val="modern"/>
    <w:pitch w:val="default"/>
    <w:sig w:usb0="00000001" w:usb1="080E0000" w:usb2="00000000" w:usb3="00000000" w:csb0="00040000" w:csb1="00000000"/>
    <w:embedRegular r:id="rId4" w:fontKey="{0F3F9C1A-5978-4A79-813E-517D5354BB9B}"/>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auto"/>
    <w:pitch w:val="default"/>
    <w:sig w:usb0="A00002BF" w:usb1="38CF7CFA" w:usb2="00082016" w:usb3="00000000" w:csb0="00040001" w:csb1="00000000"/>
    <w:embedRegular r:id="rId5" w:fontKey="{B9327E7C-ECDA-421D-991E-5ACC592AC15E}"/>
  </w:font>
  <w:font w:name="方正楷体_GB2312">
    <w:altName w:val="楷体_GB2312"/>
    <w:panose1 w:val="02000000000000000000"/>
    <w:charset w:val="86"/>
    <w:family w:val="auto"/>
    <w:pitch w:val="default"/>
    <w:sig w:usb0="00000000" w:usb1="00000000" w:usb2="00000012" w:usb3="00000000" w:csb0="00040001" w:csb1="00000000"/>
    <w:embedRegular r:id="rId6" w:fontKey="{70F2F9DE-1756-4945-B57E-F5237C64A83E}"/>
  </w:font>
  <w:font w:name="方正仿宋_GB2312">
    <w:altName w:val="仿宋"/>
    <w:panose1 w:val="02000000000000000000"/>
    <w:charset w:val="86"/>
    <w:family w:val="auto"/>
    <w:pitch w:val="default"/>
    <w:sig w:usb0="00000000" w:usb1="00000000" w:usb2="00000012" w:usb3="00000000" w:csb0="00040001" w:csb1="00000000"/>
    <w:embedRegular r:id="rId7" w:fontKey="{1CCB9162-D68E-49D8-A315-DAD281FE09B8}"/>
  </w:font>
  <w:font w:name="Wingdings 2">
    <w:panose1 w:val="05020102010507070707"/>
    <w:charset w:val="02"/>
    <w:family w:val="roman"/>
    <w:pitch w:val="default"/>
    <w:sig w:usb0="00000000" w:usb1="00000000" w:usb2="00000000" w:usb3="00000000" w:csb0="80000000" w:csb1="00000000"/>
    <w:embedRegular r:id="rId8" w:fontKey="{0AB9872B-2E95-4952-B8F5-DFA6F985AD3B}"/>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2B333">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2BD17">
    <w:pPr>
      <w:pStyle w:val="20"/>
      <w:framePr w:wrap="around" w:vAnchor="text" w:hAnchor="margin" w:xAlign="center" w:y="1"/>
      <w:rPr>
        <w:rStyle w:val="33"/>
      </w:rPr>
    </w:pPr>
    <w:r>
      <w:fldChar w:fldCharType="begin"/>
    </w:r>
    <w:r>
      <w:rPr>
        <w:rStyle w:val="33"/>
      </w:rPr>
      <w:instrText xml:space="preserve">PAGE  </w:instrText>
    </w:r>
    <w:r>
      <w:fldChar w:fldCharType="end"/>
    </w:r>
  </w:p>
  <w:p w14:paraId="1F284A57">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F48DF">
    <w:pPr>
      <w:pStyle w:val="2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96B843">
                          <w:pPr>
                            <w:pStyle w:val="20"/>
                          </w:pPr>
                          <w:r>
                            <w:fldChar w:fldCharType="begin"/>
                          </w:r>
                          <w:r>
                            <w:instrText xml:space="preserve"> PAGE  \* MERGEFORMAT </w:instrText>
                          </w:r>
                          <w:r>
                            <w:fldChar w:fldCharType="separate"/>
                          </w:r>
                          <w:r>
                            <w:t>68</w:t>
                          </w:r>
                          <w:r>
                            <w:fldChar w:fldCharType="end"/>
                          </w:r>
                        </w:p>
                      </w:txbxContent>
                    </wps:txbx>
                    <wps:bodyPr vert="horz" wrap="none" lIns="0" tIns="0" rIns="0" bIns="0" anchor="t" anchorCtr="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3wU079wBAAC2AwAADgAAAAAAAAAB&#10;ACAAAAAeAQAAZHJzL2Uyb0RvYy54bWxQSwUGAAAAAAYABgBZAQAAbAUAAAAA&#10;">
              <v:fill on="f" focussize="0,0"/>
              <v:stroke on="f"/>
              <v:imagedata o:title=""/>
              <o:lock v:ext="edit" aspectratio="f"/>
              <v:textbox inset="0mm,0mm,0mm,0mm" style="mso-fit-shape-to-text:t;">
                <w:txbxContent>
                  <w:p w14:paraId="1896B843">
                    <w:pPr>
                      <w:pStyle w:val="2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9DCBA">
    <w:pPr>
      <w:pStyle w:val="20"/>
      <w:jc w:val="center"/>
      <w:rPr>
        <w:rStyle w:val="33"/>
        <w:rFonts w:ascii="宋体" w:hAnsi="宋体"/>
        <w:sz w:val="28"/>
        <w:szCs w:val="28"/>
      </w:rPr>
    </w:pPr>
  </w:p>
  <w:p w14:paraId="4393FFF5">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BABC">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2CE8E">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24BC45"/>
    <w:multiLevelType w:val="singleLevel"/>
    <w:tmpl w:val="2124BC45"/>
    <w:lvl w:ilvl="0" w:tentative="0">
      <w:start w:val="1"/>
      <w:numFmt w:val="decimal"/>
      <w:suff w:val="nothing"/>
      <w:lvlText w:val="%1、"/>
      <w:lvlJc w:val="left"/>
    </w:lvl>
  </w:abstractNum>
  <w:abstractNum w:abstractNumId="1">
    <w:nsid w:val="2AB47C66"/>
    <w:multiLevelType w:val="multilevel"/>
    <w:tmpl w:val="2AB47C66"/>
    <w:lvl w:ilvl="0" w:tentative="0">
      <w:start w:val="1"/>
      <w:numFmt w:val="decimal"/>
      <w:lvlText w:val="%1"/>
      <w:lvlJc w:val="left"/>
      <w:pPr>
        <w:tabs>
          <w:tab w:val="left" w:pos="432"/>
        </w:tabs>
        <w:ind w:left="432" w:hanging="432"/>
      </w:pPr>
      <w:rPr>
        <w:rFonts w:hint="eastAsia" w:ascii="楷体_GB2312" w:eastAsia="楷体_GB2312"/>
        <w:b w:val="0"/>
        <w:i w:val="0"/>
        <w:sz w:val="30"/>
        <w:szCs w:val="30"/>
      </w:rPr>
    </w:lvl>
    <w:lvl w:ilvl="1" w:tentative="0">
      <w:start w:val="1"/>
      <w:numFmt w:val="decimal"/>
      <w:lvlText w:val="%1.%2"/>
      <w:lvlJc w:val="left"/>
      <w:pPr>
        <w:tabs>
          <w:tab w:val="left" w:pos="742"/>
        </w:tabs>
        <w:ind w:left="742" w:hanging="576"/>
      </w:pPr>
      <w:rPr>
        <w:rFonts w:hint="eastAsia" w:ascii="仿宋_GB2312" w:hAnsi="Times New Roman" w:eastAsia="仿宋_GB2312"/>
        <w:b w:val="0"/>
        <w:i w:val="0"/>
        <w:sz w:val="30"/>
        <w:szCs w:val="30"/>
      </w:rPr>
    </w:lvl>
    <w:lvl w:ilvl="2" w:tentative="0">
      <w:start w:val="1"/>
      <w:numFmt w:val="decimal"/>
      <w:lvlText w:val="%1.%2.%3"/>
      <w:lvlJc w:val="left"/>
      <w:pPr>
        <w:tabs>
          <w:tab w:val="left" w:pos="1816"/>
        </w:tabs>
        <w:ind w:left="1816" w:hanging="720"/>
      </w:pPr>
      <w:rPr>
        <w:rFonts w:hint="eastAsia" w:ascii="仿宋_GB2312" w:hAnsi="Times New Roman" w:eastAsia="仿宋_GB2312"/>
        <w:b w:val="0"/>
        <w:i w:val="0"/>
        <w:sz w:val="28"/>
        <w:szCs w:val="28"/>
      </w:rPr>
    </w:lvl>
    <w:lvl w:ilvl="3" w:tentative="0">
      <w:start w:val="1"/>
      <w:numFmt w:val="decimal"/>
      <w:pStyle w:val="8"/>
      <w:lvlText w:val="%1.%2.%3.%4"/>
      <w:lvlJc w:val="left"/>
      <w:pPr>
        <w:tabs>
          <w:tab w:val="left" w:pos="864"/>
        </w:tabs>
        <w:ind w:left="864" w:hanging="864"/>
      </w:pPr>
      <w:rPr>
        <w:rFonts w:hint="eastAsia" w:ascii="仿宋_GB2312" w:eastAsia="仿宋_GB2312"/>
      </w:rPr>
    </w:lvl>
    <w:lvl w:ilvl="4" w:tentative="0">
      <w:start w:val="1"/>
      <w:numFmt w:val="decimal"/>
      <w:lvlText w:val="%1.%2.%3.%4.%5"/>
      <w:lvlJc w:val="left"/>
      <w:pPr>
        <w:tabs>
          <w:tab w:val="left" w:pos="1008"/>
        </w:tabs>
        <w:ind w:left="1008" w:hanging="1008"/>
      </w:pPr>
      <w:rPr>
        <w:rFonts w:hint="eastAsia"/>
        <w:color w:val="auto"/>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36970A70"/>
    <w:multiLevelType w:val="multilevel"/>
    <w:tmpl w:val="36970A70"/>
    <w:lvl w:ilvl="0" w:tentative="0">
      <w:start w:val="1"/>
      <w:numFmt w:val="decimal"/>
      <w:pStyle w:val="94"/>
      <w:lvlText w:val="表%1 "/>
      <w:lvlJc w:val="left"/>
      <w:pPr>
        <w:ind w:left="5098" w:hanging="42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9B5A785"/>
    <w:multiLevelType w:val="singleLevel"/>
    <w:tmpl w:val="69B5A785"/>
    <w:lvl w:ilvl="0" w:tentative="0">
      <w:start w:val="2"/>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A14947"/>
    <w:rsid w:val="000060B3"/>
    <w:rsid w:val="0004364B"/>
    <w:rsid w:val="00061B1F"/>
    <w:rsid w:val="000733C4"/>
    <w:rsid w:val="00074783"/>
    <w:rsid w:val="0008070B"/>
    <w:rsid w:val="000810AC"/>
    <w:rsid w:val="00081A02"/>
    <w:rsid w:val="00082231"/>
    <w:rsid w:val="00092D38"/>
    <w:rsid w:val="000935FE"/>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87DF8"/>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31EA3"/>
    <w:rsid w:val="005362A9"/>
    <w:rsid w:val="005401AE"/>
    <w:rsid w:val="00542E07"/>
    <w:rsid w:val="00545424"/>
    <w:rsid w:val="00554A7B"/>
    <w:rsid w:val="0055572C"/>
    <w:rsid w:val="0056106A"/>
    <w:rsid w:val="005720AE"/>
    <w:rsid w:val="00594D77"/>
    <w:rsid w:val="005969E4"/>
    <w:rsid w:val="005A06B7"/>
    <w:rsid w:val="005A1759"/>
    <w:rsid w:val="005A68A7"/>
    <w:rsid w:val="005C4D2E"/>
    <w:rsid w:val="005D36AB"/>
    <w:rsid w:val="00610F35"/>
    <w:rsid w:val="006140F3"/>
    <w:rsid w:val="00617CC3"/>
    <w:rsid w:val="006377A6"/>
    <w:rsid w:val="00637A3D"/>
    <w:rsid w:val="006411EF"/>
    <w:rsid w:val="00643BE3"/>
    <w:rsid w:val="006748B8"/>
    <w:rsid w:val="006775C3"/>
    <w:rsid w:val="0069290A"/>
    <w:rsid w:val="00694F28"/>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0238"/>
    <w:rsid w:val="00732922"/>
    <w:rsid w:val="0075162E"/>
    <w:rsid w:val="00754034"/>
    <w:rsid w:val="00756556"/>
    <w:rsid w:val="007618C4"/>
    <w:rsid w:val="00767980"/>
    <w:rsid w:val="00770B19"/>
    <w:rsid w:val="0077463F"/>
    <w:rsid w:val="007836EA"/>
    <w:rsid w:val="00784CDA"/>
    <w:rsid w:val="007906C4"/>
    <w:rsid w:val="007940EA"/>
    <w:rsid w:val="007967E8"/>
    <w:rsid w:val="007A1658"/>
    <w:rsid w:val="007A2170"/>
    <w:rsid w:val="007A22BF"/>
    <w:rsid w:val="007A3323"/>
    <w:rsid w:val="007A6F6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1EA8"/>
    <w:rsid w:val="009D4CF3"/>
    <w:rsid w:val="009E227D"/>
    <w:rsid w:val="009E5019"/>
    <w:rsid w:val="00A04F1B"/>
    <w:rsid w:val="00A0501B"/>
    <w:rsid w:val="00A14947"/>
    <w:rsid w:val="00A32A83"/>
    <w:rsid w:val="00A368DB"/>
    <w:rsid w:val="00A423AA"/>
    <w:rsid w:val="00A53EC6"/>
    <w:rsid w:val="00A55C0F"/>
    <w:rsid w:val="00A6244D"/>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BA0"/>
    <w:rsid w:val="00B22C5C"/>
    <w:rsid w:val="00B24F30"/>
    <w:rsid w:val="00B31ABF"/>
    <w:rsid w:val="00B33BE3"/>
    <w:rsid w:val="00B53B5D"/>
    <w:rsid w:val="00B6055E"/>
    <w:rsid w:val="00B605A5"/>
    <w:rsid w:val="00B6317D"/>
    <w:rsid w:val="00B7723F"/>
    <w:rsid w:val="00B80534"/>
    <w:rsid w:val="00B8433C"/>
    <w:rsid w:val="00B87491"/>
    <w:rsid w:val="00B950D0"/>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2D22"/>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4B0B"/>
    <w:rsid w:val="00C972B1"/>
    <w:rsid w:val="00CA2CCE"/>
    <w:rsid w:val="00CA43FD"/>
    <w:rsid w:val="00CA7EF8"/>
    <w:rsid w:val="00CC489B"/>
    <w:rsid w:val="00CD1788"/>
    <w:rsid w:val="00CD2BCD"/>
    <w:rsid w:val="00CD3A4C"/>
    <w:rsid w:val="00CE10E9"/>
    <w:rsid w:val="00CE2910"/>
    <w:rsid w:val="00CE5393"/>
    <w:rsid w:val="00CF36BE"/>
    <w:rsid w:val="00CF6000"/>
    <w:rsid w:val="00D003F3"/>
    <w:rsid w:val="00D0364F"/>
    <w:rsid w:val="00D06834"/>
    <w:rsid w:val="00D308ED"/>
    <w:rsid w:val="00D3371A"/>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59DF"/>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E5B09"/>
    <w:rsid w:val="00EF4755"/>
    <w:rsid w:val="00EF7135"/>
    <w:rsid w:val="00F027DB"/>
    <w:rsid w:val="00F03629"/>
    <w:rsid w:val="00F14A7A"/>
    <w:rsid w:val="00F22985"/>
    <w:rsid w:val="00F3383E"/>
    <w:rsid w:val="00F44F67"/>
    <w:rsid w:val="00F465A7"/>
    <w:rsid w:val="00F50B7C"/>
    <w:rsid w:val="00F50CDF"/>
    <w:rsid w:val="00F550E6"/>
    <w:rsid w:val="00F74345"/>
    <w:rsid w:val="00F80A0A"/>
    <w:rsid w:val="00F82B19"/>
    <w:rsid w:val="00F9212D"/>
    <w:rsid w:val="00F965DA"/>
    <w:rsid w:val="00FA406A"/>
    <w:rsid w:val="00FB503A"/>
    <w:rsid w:val="00FB516C"/>
    <w:rsid w:val="00FD0236"/>
    <w:rsid w:val="00FD18F4"/>
    <w:rsid w:val="00FD54DB"/>
    <w:rsid w:val="00FD619F"/>
    <w:rsid w:val="01290F7E"/>
    <w:rsid w:val="012F5F9F"/>
    <w:rsid w:val="01514167"/>
    <w:rsid w:val="015B6D94"/>
    <w:rsid w:val="015D1E09"/>
    <w:rsid w:val="01827DD9"/>
    <w:rsid w:val="01B27BB2"/>
    <w:rsid w:val="01C0753F"/>
    <w:rsid w:val="01F40F97"/>
    <w:rsid w:val="0201724C"/>
    <w:rsid w:val="020B0BCF"/>
    <w:rsid w:val="022C4934"/>
    <w:rsid w:val="022D4B65"/>
    <w:rsid w:val="02697903"/>
    <w:rsid w:val="026A6FEC"/>
    <w:rsid w:val="0273010D"/>
    <w:rsid w:val="0295277A"/>
    <w:rsid w:val="02A426AA"/>
    <w:rsid w:val="02A44CB0"/>
    <w:rsid w:val="02A46519"/>
    <w:rsid w:val="02A97FD3"/>
    <w:rsid w:val="02CC154F"/>
    <w:rsid w:val="02F96569"/>
    <w:rsid w:val="03045209"/>
    <w:rsid w:val="03130FD2"/>
    <w:rsid w:val="032A4C70"/>
    <w:rsid w:val="03630182"/>
    <w:rsid w:val="03726094"/>
    <w:rsid w:val="03846C33"/>
    <w:rsid w:val="03A42FBA"/>
    <w:rsid w:val="03A762C0"/>
    <w:rsid w:val="03C70711"/>
    <w:rsid w:val="03C94100"/>
    <w:rsid w:val="03CA49B0"/>
    <w:rsid w:val="03D27A4B"/>
    <w:rsid w:val="03D96696"/>
    <w:rsid w:val="03E248B2"/>
    <w:rsid w:val="03EA7B21"/>
    <w:rsid w:val="03FC0FBB"/>
    <w:rsid w:val="04351B1E"/>
    <w:rsid w:val="046E3282"/>
    <w:rsid w:val="04770389"/>
    <w:rsid w:val="04824862"/>
    <w:rsid w:val="04886353"/>
    <w:rsid w:val="04B47E18"/>
    <w:rsid w:val="04C840C7"/>
    <w:rsid w:val="04ED064B"/>
    <w:rsid w:val="04F419D9"/>
    <w:rsid w:val="0511074E"/>
    <w:rsid w:val="051536FE"/>
    <w:rsid w:val="05185FC0"/>
    <w:rsid w:val="051F457C"/>
    <w:rsid w:val="05227744"/>
    <w:rsid w:val="056D52E8"/>
    <w:rsid w:val="05912DEE"/>
    <w:rsid w:val="059E1945"/>
    <w:rsid w:val="05C23886"/>
    <w:rsid w:val="05DD0159"/>
    <w:rsid w:val="05F83EAE"/>
    <w:rsid w:val="05F854AC"/>
    <w:rsid w:val="060D2627"/>
    <w:rsid w:val="063E7D85"/>
    <w:rsid w:val="065C2967"/>
    <w:rsid w:val="066B3371"/>
    <w:rsid w:val="06783F44"/>
    <w:rsid w:val="06877462"/>
    <w:rsid w:val="0696086E"/>
    <w:rsid w:val="06D73361"/>
    <w:rsid w:val="06E05F95"/>
    <w:rsid w:val="07013F3A"/>
    <w:rsid w:val="07066E71"/>
    <w:rsid w:val="07177C01"/>
    <w:rsid w:val="07293586"/>
    <w:rsid w:val="07295285"/>
    <w:rsid w:val="07372051"/>
    <w:rsid w:val="07636392"/>
    <w:rsid w:val="07770C56"/>
    <w:rsid w:val="078A4991"/>
    <w:rsid w:val="078D7EC3"/>
    <w:rsid w:val="07A91837"/>
    <w:rsid w:val="07E521CC"/>
    <w:rsid w:val="07F70A6A"/>
    <w:rsid w:val="07FA0B41"/>
    <w:rsid w:val="080757CB"/>
    <w:rsid w:val="0822685D"/>
    <w:rsid w:val="08583487"/>
    <w:rsid w:val="08722A0F"/>
    <w:rsid w:val="08772BF5"/>
    <w:rsid w:val="08B5410E"/>
    <w:rsid w:val="08BB45BC"/>
    <w:rsid w:val="08BF078F"/>
    <w:rsid w:val="08C04429"/>
    <w:rsid w:val="08DC2482"/>
    <w:rsid w:val="08FF26FB"/>
    <w:rsid w:val="09016473"/>
    <w:rsid w:val="091837BC"/>
    <w:rsid w:val="092217DD"/>
    <w:rsid w:val="092727CB"/>
    <w:rsid w:val="092E1232"/>
    <w:rsid w:val="0938741A"/>
    <w:rsid w:val="093920B1"/>
    <w:rsid w:val="0939280B"/>
    <w:rsid w:val="093A7294"/>
    <w:rsid w:val="09501E13"/>
    <w:rsid w:val="09616729"/>
    <w:rsid w:val="09694018"/>
    <w:rsid w:val="097D14DF"/>
    <w:rsid w:val="09BB0D18"/>
    <w:rsid w:val="09DC2BBC"/>
    <w:rsid w:val="0A0D0E47"/>
    <w:rsid w:val="0A0F4BBF"/>
    <w:rsid w:val="0A1473E8"/>
    <w:rsid w:val="0A263993"/>
    <w:rsid w:val="0A2D3AC2"/>
    <w:rsid w:val="0A442778"/>
    <w:rsid w:val="0A871B43"/>
    <w:rsid w:val="0A936505"/>
    <w:rsid w:val="0A984BB5"/>
    <w:rsid w:val="0AA25A34"/>
    <w:rsid w:val="0AA755DF"/>
    <w:rsid w:val="0ACB6FA6"/>
    <w:rsid w:val="0AD765FF"/>
    <w:rsid w:val="0ADF27E4"/>
    <w:rsid w:val="0AFB1631"/>
    <w:rsid w:val="0AFF4C34"/>
    <w:rsid w:val="0B0B4E5C"/>
    <w:rsid w:val="0B120D44"/>
    <w:rsid w:val="0B2B5A29"/>
    <w:rsid w:val="0B457D4D"/>
    <w:rsid w:val="0B4C7CEF"/>
    <w:rsid w:val="0B6565DD"/>
    <w:rsid w:val="0B6735C1"/>
    <w:rsid w:val="0B8F00A2"/>
    <w:rsid w:val="0B9F50F6"/>
    <w:rsid w:val="0BAF461D"/>
    <w:rsid w:val="0BB8007C"/>
    <w:rsid w:val="0BCB4B16"/>
    <w:rsid w:val="0BCD2507"/>
    <w:rsid w:val="0BD27BF6"/>
    <w:rsid w:val="0BED7182"/>
    <w:rsid w:val="0BF91548"/>
    <w:rsid w:val="0C197F77"/>
    <w:rsid w:val="0C2E1856"/>
    <w:rsid w:val="0C3B3C7D"/>
    <w:rsid w:val="0C401E27"/>
    <w:rsid w:val="0C5E31F6"/>
    <w:rsid w:val="0CAB2EAE"/>
    <w:rsid w:val="0CC31C91"/>
    <w:rsid w:val="0CE9794A"/>
    <w:rsid w:val="0CED06DA"/>
    <w:rsid w:val="0CF65BA2"/>
    <w:rsid w:val="0D004D65"/>
    <w:rsid w:val="0D020A0B"/>
    <w:rsid w:val="0D104DFF"/>
    <w:rsid w:val="0D2070E4"/>
    <w:rsid w:val="0D29210D"/>
    <w:rsid w:val="0D305579"/>
    <w:rsid w:val="0D374B59"/>
    <w:rsid w:val="0D570D7F"/>
    <w:rsid w:val="0D621C7D"/>
    <w:rsid w:val="0D75471D"/>
    <w:rsid w:val="0D814026"/>
    <w:rsid w:val="0DA66C08"/>
    <w:rsid w:val="0DB23B95"/>
    <w:rsid w:val="0DC62517"/>
    <w:rsid w:val="0E002B9E"/>
    <w:rsid w:val="0E1A3B33"/>
    <w:rsid w:val="0E2826F4"/>
    <w:rsid w:val="0E621936"/>
    <w:rsid w:val="0E73034D"/>
    <w:rsid w:val="0E7C659C"/>
    <w:rsid w:val="0E955618"/>
    <w:rsid w:val="0E9B4C74"/>
    <w:rsid w:val="0E9D59AD"/>
    <w:rsid w:val="0EA24254"/>
    <w:rsid w:val="0EB67D00"/>
    <w:rsid w:val="0EBD108E"/>
    <w:rsid w:val="0EDA39A7"/>
    <w:rsid w:val="0F13775A"/>
    <w:rsid w:val="0F3D5D2B"/>
    <w:rsid w:val="0F5F45FE"/>
    <w:rsid w:val="0F657DCB"/>
    <w:rsid w:val="0F7663F5"/>
    <w:rsid w:val="0F8E57DC"/>
    <w:rsid w:val="0F9A112B"/>
    <w:rsid w:val="0FEC74BA"/>
    <w:rsid w:val="102B0279"/>
    <w:rsid w:val="103B6C60"/>
    <w:rsid w:val="104D734C"/>
    <w:rsid w:val="10504A05"/>
    <w:rsid w:val="105E064F"/>
    <w:rsid w:val="106D2F64"/>
    <w:rsid w:val="106F4B91"/>
    <w:rsid w:val="108C179B"/>
    <w:rsid w:val="109866AA"/>
    <w:rsid w:val="10B63710"/>
    <w:rsid w:val="10BB080A"/>
    <w:rsid w:val="10E53DE0"/>
    <w:rsid w:val="10F10820"/>
    <w:rsid w:val="10F863AD"/>
    <w:rsid w:val="111C2F7A"/>
    <w:rsid w:val="11360C84"/>
    <w:rsid w:val="114F7019"/>
    <w:rsid w:val="11542BCB"/>
    <w:rsid w:val="11665CA1"/>
    <w:rsid w:val="11D8045B"/>
    <w:rsid w:val="11F528ED"/>
    <w:rsid w:val="11FA6155"/>
    <w:rsid w:val="11FC66B1"/>
    <w:rsid w:val="1224691C"/>
    <w:rsid w:val="123507E9"/>
    <w:rsid w:val="12463148"/>
    <w:rsid w:val="1262482A"/>
    <w:rsid w:val="126C5840"/>
    <w:rsid w:val="12741921"/>
    <w:rsid w:val="128559BE"/>
    <w:rsid w:val="12910929"/>
    <w:rsid w:val="12983908"/>
    <w:rsid w:val="12B11C50"/>
    <w:rsid w:val="12B34AEB"/>
    <w:rsid w:val="12BE74F7"/>
    <w:rsid w:val="12DC585B"/>
    <w:rsid w:val="130218EA"/>
    <w:rsid w:val="13257202"/>
    <w:rsid w:val="133D1F9B"/>
    <w:rsid w:val="134753CA"/>
    <w:rsid w:val="135E0816"/>
    <w:rsid w:val="137060B7"/>
    <w:rsid w:val="13712447"/>
    <w:rsid w:val="13721DC6"/>
    <w:rsid w:val="13763F01"/>
    <w:rsid w:val="137D3D06"/>
    <w:rsid w:val="13820099"/>
    <w:rsid w:val="13873A19"/>
    <w:rsid w:val="138B672E"/>
    <w:rsid w:val="138C3551"/>
    <w:rsid w:val="13951726"/>
    <w:rsid w:val="13CB7DA9"/>
    <w:rsid w:val="13CD07B7"/>
    <w:rsid w:val="13D12EE6"/>
    <w:rsid w:val="14017671"/>
    <w:rsid w:val="141D50C3"/>
    <w:rsid w:val="14396509"/>
    <w:rsid w:val="143E7009"/>
    <w:rsid w:val="14504752"/>
    <w:rsid w:val="1466194D"/>
    <w:rsid w:val="146D5CAE"/>
    <w:rsid w:val="14803266"/>
    <w:rsid w:val="14DD2C3C"/>
    <w:rsid w:val="14E832C5"/>
    <w:rsid w:val="15007F26"/>
    <w:rsid w:val="15192D96"/>
    <w:rsid w:val="153E45AB"/>
    <w:rsid w:val="15407A1C"/>
    <w:rsid w:val="158A7921"/>
    <w:rsid w:val="158F1A82"/>
    <w:rsid w:val="15CE592F"/>
    <w:rsid w:val="15EB2328"/>
    <w:rsid w:val="16087E1D"/>
    <w:rsid w:val="16096967"/>
    <w:rsid w:val="168B2E72"/>
    <w:rsid w:val="16A30E83"/>
    <w:rsid w:val="16D90A2F"/>
    <w:rsid w:val="170610F8"/>
    <w:rsid w:val="17347DBF"/>
    <w:rsid w:val="174F6F43"/>
    <w:rsid w:val="17701D14"/>
    <w:rsid w:val="17735226"/>
    <w:rsid w:val="17803C4D"/>
    <w:rsid w:val="17A821AF"/>
    <w:rsid w:val="17AB33AE"/>
    <w:rsid w:val="17F6116D"/>
    <w:rsid w:val="180C273E"/>
    <w:rsid w:val="18240445"/>
    <w:rsid w:val="184A0860"/>
    <w:rsid w:val="184C6FDF"/>
    <w:rsid w:val="185244C4"/>
    <w:rsid w:val="187C3D68"/>
    <w:rsid w:val="18814EDA"/>
    <w:rsid w:val="188B7B07"/>
    <w:rsid w:val="1890336F"/>
    <w:rsid w:val="189F624C"/>
    <w:rsid w:val="18C64FE3"/>
    <w:rsid w:val="18EE62E8"/>
    <w:rsid w:val="192476D0"/>
    <w:rsid w:val="194F4FD8"/>
    <w:rsid w:val="19587938"/>
    <w:rsid w:val="195A6441"/>
    <w:rsid w:val="19724BCB"/>
    <w:rsid w:val="19844ADC"/>
    <w:rsid w:val="198B534B"/>
    <w:rsid w:val="19A30E80"/>
    <w:rsid w:val="19AD1CFF"/>
    <w:rsid w:val="19BE75E7"/>
    <w:rsid w:val="19C01A32"/>
    <w:rsid w:val="19F7654E"/>
    <w:rsid w:val="1A1C66C0"/>
    <w:rsid w:val="1A260007"/>
    <w:rsid w:val="1A261538"/>
    <w:rsid w:val="1A2D6948"/>
    <w:rsid w:val="1A330456"/>
    <w:rsid w:val="1A3537A8"/>
    <w:rsid w:val="1A42393B"/>
    <w:rsid w:val="1A4A57A0"/>
    <w:rsid w:val="1A512FD2"/>
    <w:rsid w:val="1A633780"/>
    <w:rsid w:val="1A711FD0"/>
    <w:rsid w:val="1A7617A6"/>
    <w:rsid w:val="1A7E757A"/>
    <w:rsid w:val="1AAB21C7"/>
    <w:rsid w:val="1AAD45DE"/>
    <w:rsid w:val="1AC53D3D"/>
    <w:rsid w:val="1AD0039B"/>
    <w:rsid w:val="1AD91DFB"/>
    <w:rsid w:val="1AE90204"/>
    <w:rsid w:val="1AF23E6D"/>
    <w:rsid w:val="1B011537"/>
    <w:rsid w:val="1B04369E"/>
    <w:rsid w:val="1B046F80"/>
    <w:rsid w:val="1B097409"/>
    <w:rsid w:val="1B0B4F2F"/>
    <w:rsid w:val="1B0D6EF9"/>
    <w:rsid w:val="1B2536AC"/>
    <w:rsid w:val="1B3267B5"/>
    <w:rsid w:val="1B40161D"/>
    <w:rsid w:val="1B441859"/>
    <w:rsid w:val="1B537BFA"/>
    <w:rsid w:val="1B5C31A0"/>
    <w:rsid w:val="1B627A2D"/>
    <w:rsid w:val="1B6606B1"/>
    <w:rsid w:val="1B662AAD"/>
    <w:rsid w:val="1B8F3DB2"/>
    <w:rsid w:val="1BAC6712"/>
    <w:rsid w:val="1BB47F31"/>
    <w:rsid w:val="1C100C0D"/>
    <w:rsid w:val="1C19699D"/>
    <w:rsid w:val="1C1D00D3"/>
    <w:rsid w:val="1C3D7852"/>
    <w:rsid w:val="1C5E7925"/>
    <w:rsid w:val="1C912CA8"/>
    <w:rsid w:val="1C927211"/>
    <w:rsid w:val="1CBC2C96"/>
    <w:rsid w:val="1CF060ED"/>
    <w:rsid w:val="1CFD070F"/>
    <w:rsid w:val="1D01483C"/>
    <w:rsid w:val="1D104A7F"/>
    <w:rsid w:val="1D151CFA"/>
    <w:rsid w:val="1D302AF5"/>
    <w:rsid w:val="1D3A1AFC"/>
    <w:rsid w:val="1D436B02"/>
    <w:rsid w:val="1D4A4FFC"/>
    <w:rsid w:val="1D5F5A06"/>
    <w:rsid w:val="1D5F6196"/>
    <w:rsid w:val="1D6132A5"/>
    <w:rsid w:val="1D6A0B33"/>
    <w:rsid w:val="1D8E56D5"/>
    <w:rsid w:val="1DAC6685"/>
    <w:rsid w:val="1DEF6D8A"/>
    <w:rsid w:val="1E05210A"/>
    <w:rsid w:val="1E42510C"/>
    <w:rsid w:val="1E5A740D"/>
    <w:rsid w:val="1E7A43DA"/>
    <w:rsid w:val="1E7D6144"/>
    <w:rsid w:val="1E8E7647"/>
    <w:rsid w:val="1EB81EE7"/>
    <w:rsid w:val="1EBE1DC3"/>
    <w:rsid w:val="1ECF653A"/>
    <w:rsid w:val="1EDC7C44"/>
    <w:rsid w:val="1EF24069"/>
    <w:rsid w:val="1F0D243C"/>
    <w:rsid w:val="1F19223A"/>
    <w:rsid w:val="1F240C74"/>
    <w:rsid w:val="1F373DA8"/>
    <w:rsid w:val="1F591D9C"/>
    <w:rsid w:val="1F672950"/>
    <w:rsid w:val="1F705CA9"/>
    <w:rsid w:val="1F7312F5"/>
    <w:rsid w:val="1F817EB6"/>
    <w:rsid w:val="1F88151D"/>
    <w:rsid w:val="1F8D685B"/>
    <w:rsid w:val="1F902C3E"/>
    <w:rsid w:val="1F9C07AC"/>
    <w:rsid w:val="1FA47ED2"/>
    <w:rsid w:val="1FB31C2F"/>
    <w:rsid w:val="1FE7539E"/>
    <w:rsid w:val="1FE85D7A"/>
    <w:rsid w:val="200D1749"/>
    <w:rsid w:val="20246E9A"/>
    <w:rsid w:val="203B1A2F"/>
    <w:rsid w:val="20670343"/>
    <w:rsid w:val="20671BE0"/>
    <w:rsid w:val="20745325"/>
    <w:rsid w:val="20875058"/>
    <w:rsid w:val="208F18AC"/>
    <w:rsid w:val="20963CB8"/>
    <w:rsid w:val="20A81A1B"/>
    <w:rsid w:val="20B07FB6"/>
    <w:rsid w:val="20B646FB"/>
    <w:rsid w:val="20C718F8"/>
    <w:rsid w:val="20CF6D4C"/>
    <w:rsid w:val="20D67D8D"/>
    <w:rsid w:val="210668C5"/>
    <w:rsid w:val="210F3254"/>
    <w:rsid w:val="21110DC5"/>
    <w:rsid w:val="21176B42"/>
    <w:rsid w:val="213B74B1"/>
    <w:rsid w:val="21523E35"/>
    <w:rsid w:val="21580966"/>
    <w:rsid w:val="215A2310"/>
    <w:rsid w:val="21696E53"/>
    <w:rsid w:val="21A41C3A"/>
    <w:rsid w:val="21DE318A"/>
    <w:rsid w:val="21ED4759"/>
    <w:rsid w:val="21EF5B80"/>
    <w:rsid w:val="22325497"/>
    <w:rsid w:val="22342FBD"/>
    <w:rsid w:val="223C68C5"/>
    <w:rsid w:val="22430737"/>
    <w:rsid w:val="224913C5"/>
    <w:rsid w:val="22576990"/>
    <w:rsid w:val="2258506E"/>
    <w:rsid w:val="22790A04"/>
    <w:rsid w:val="22994B9A"/>
    <w:rsid w:val="22A003FC"/>
    <w:rsid w:val="22D165A3"/>
    <w:rsid w:val="22F47480"/>
    <w:rsid w:val="22FB7F7F"/>
    <w:rsid w:val="23154AAB"/>
    <w:rsid w:val="232474D6"/>
    <w:rsid w:val="232B6B08"/>
    <w:rsid w:val="232E19B7"/>
    <w:rsid w:val="23474F72"/>
    <w:rsid w:val="23476D20"/>
    <w:rsid w:val="235356C5"/>
    <w:rsid w:val="23603DF4"/>
    <w:rsid w:val="23684B0A"/>
    <w:rsid w:val="2369138D"/>
    <w:rsid w:val="23720241"/>
    <w:rsid w:val="237B69CA"/>
    <w:rsid w:val="23AB7B4C"/>
    <w:rsid w:val="23BC14BC"/>
    <w:rsid w:val="23C56253"/>
    <w:rsid w:val="23DE1C48"/>
    <w:rsid w:val="23E12CD1"/>
    <w:rsid w:val="23E427C1"/>
    <w:rsid w:val="23E80503"/>
    <w:rsid w:val="240210CD"/>
    <w:rsid w:val="24132E0A"/>
    <w:rsid w:val="24217571"/>
    <w:rsid w:val="24346E3E"/>
    <w:rsid w:val="2443398C"/>
    <w:rsid w:val="2443573A"/>
    <w:rsid w:val="245B0CD5"/>
    <w:rsid w:val="247740A7"/>
    <w:rsid w:val="24942439"/>
    <w:rsid w:val="24AB6442"/>
    <w:rsid w:val="24B72B6D"/>
    <w:rsid w:val="24B80897"/>
    <w:rsid w:val="24BF09F7"/>
    <w:rsid w:val="24D42030"/>
    <w:rsid w:val="24D52E5D"/>
    <w:rsid w:val="24DF04FE"/>
    <w:rsid w:val="252D53FE"/>
    <w:rsid w:val="2536704D"/>
    <w:rsid w:val="256C5083"/>
    <w:rsid w:val="256C6F12"/>
    <w:rsid w:val="256D1BD4"/>
    <w:rsid w:val="2583561C"/>
    <w:rsid w:val="25857691"/>
    <w:rsid w:val="259326F1"/>
    <w:rsid w:val="25B54415"/>
    <w:rsid w:val="25B77E72"/>
    <w:rsid w:val="25BD019F"/>
    <w:rsid w:val="25D6422D"/>
    <w:rsid w:val="25EC2D81"/>
    <w:rsid w:val="25EF70D6"/>
    <w:rsid w:val="26204E6F"/>
    <w:rsid w:val="26243349"/>
    <w:rsid w:val="262D507B"/>
    <w:rsid w:val="2660425C"/>
    <w:rsid w:val="266C5395"/>
    <w:rsid w:val="26745EB7"/>
    <w:rsid w:val="26895E1B"/>
    <w:rsid w:val="26AF70B6"/>
    <w:rsid w:val="26DB434F"/>
    <w:rsid w:val="26E50D2A"/>
    <w:rsid w:val="26F41921"/>
    <w:rsid w:val="26F45136"/>
    <w:rsid w:val="27017B07"/>
    <w:rsid w:val="27160EE4"/>
    <w:rsid w:val="27206206"/>
    <w:rsid w:val="27233601"/>
    <w:rsid w:val="275E0DA7"/>
    <w:rsid w:val="277057A2"/>
    <w:rsid w:val="279F27BF"/>
    <w:rsid w:val="27C46385"/>
    <w:rsid w:val="27CC1617"/>
    <w:rsid w:val="27D67CF3"/>
    <w:rsid w:val="28043432"/>
    <w:rsid w:val="280D610E"/>
    <w:rsid w:val="28304227"/>
    <w:rsid w:val="2854231B"/>
    <w:rsid w:val="288971C0"/>
    <w:rsid w:val="28913A5A"/>
    <w:rsid w:val="2898030E"/>
    <w:rsid w:val="28E03E9F"/>
    <w:rsid w:val="28EA6ACC"/>
    <w:rsid w:val="29023E15"/>
    <w:rsid w:val="290F255D"/>
    <w:rsid w:val="29151217"/>
    <w:rsid w:val="29206EB8"/>
    <w:rsid w:val="29247A2C"/>
    <w:rsid w:val="292D5BDE"/>
    <w:rsid w:val="29440804"/>
    <w:rsid w:val="294C422D"/>
    <w:rsid w:val="29595666"/>
    <w:rsid w:val="296D5908"/>
    <w:rsid w:val="29703215"/>
    <w:rsid w:val="29712D49"/>
    <w:rsid w:val="29754FFC"/>
    <w:rsid w:val="29874881"/>
    <w:rsid w:val="29883BEF"/>
    <w:rsid w:val="29AC0BA2"/>
    <w:rsid w:val="29B334E6"/>
    <w:rsid w:val="29BD05BE"/>
    <w:rsid w:val="29C973E1"/>
    <w:rsid w:val="29D80C68"/>
    <w:rsid w:val="29E325E0"/>
    <w:rsid w:val="2A342B8D"/>
    <w:rsid w:val="2A45243A"/>
    <w:rsid w:val="2A452503"/>
    <w:rsid w:val="2A4E5AF7"/>
    <w:rsid w:val="2A733EA6"/>
    <w:rsid w:val="2A832D34"/>
    <w:rsid w:val="2AA273D8"/>
    <w:rsid w:val="2AAF5CBC"/>
    <w:rsid w:val="2ABE3D6C"/>
    <w:rsid w:val="2ACA34A1"/>
    <w:rsid w:val="2B0D6599"/>
    <w:rsid w:val="2B0E1C22"/>
    <w:rsid w:val="2B4861A3"/>
    <w:rsid w:val="2B600C98"/>
    <w:rsid w:val="2BA936A8"/>
    <w:rsid w:val="2BAC7F44"/>
    <w:rsid w:val="2BB77E72"/>
    <w:rsid w:val="2BCF5A89"/>
    <w:rsid w:val="2C057779"/>
    <w:rsid w:val="2C315A5A"/>
    <w:rsid w:val="2C3C11EB"/>
    <w:rsid w:val="2C4B1C25"/>
    <w:rsid w:val="2C4E052A"/>
    <w:rsid w:val="2C5D1363"/>
    <w:rsid w:val="2C7E3929"/>
    <w:rsid w:val="2C9034E6"/>
    <w:rsid w:val="2C9F09A7"/>
    <w:rsid w:val="2CEE5BC1"/>
    <w:rsid w:val="2CEE77FC"/>
    <w:rsid w:val="2D0A1418"/>
    <w:rsid w:val="2D306D2A"/>
    <w:rsid w:val="2D482013"/>
    <w:rsid w:val="2D4C1B03"/>
    <w:rsid w:val="2D5B019C"/>
    <w:rsid w:val="2D7050C6"/>
    <w:rsid w:val="2D7352E2"/>
    <w:rsid w:val="2D92328E"/>
    <w:rsid w:val="2D935A45"/>
    <w:rsid w:val="2D9E56F5"/>
    <w:rsid w:val="2DA42434"/>
    <w:rsid w:val="2DB72CF5"/>
    <w:rsid w:val="2DCE609E"/>
    <w:rsid w:val="2E304F81"/>
    <w:rsid w:val="2E667F96"/>
    <w:rsid w:val="2E8226AB"/>
    <w:rsid w:val="2E9B68EE"/>
    <w:rsid w:val="2EC615D9"/>
    <w:rsid w:val="2ED70CFA"/>
    <w:rsid w:val="2EDD678B"/>
    <w:rsid w:val="2F0B32F8"/>
    <w:rsid w:val="2F102D98"/>
    <w:rsid w:val="2F230642"/>
    <w:rsid w:val="2F3207AA"/>
    <w:rsid w:val="2F433569"/>
    <w:rsid w:val="2F4A099C"/>
    <w:rsid w:val="2F5870CD"/>
    <w:rsid w:val="2F7653C8"/>
    <w:rsid w:val="2F835584"/>
    <w:rsid w:val="2F862124"/>
    <w:rsid w:val="2F8C1045"/>
    <w:rsid w:val="2F942661"/>
    <w:rsid w:val="2F9B467C"/>
    <w:rsid w:val="2FB32E6C"/>
    <w:rsid w:val="2FCA31B3"/>
    <w:rsid w:val="2FCC2A87"/>
    <w:rsid w:val="2FD065E6"/>
    <w:rsid w:val="2FD61B58"/>
    <w:rsid w:val="2FD96870"/>
    <w:rsid w:val="2FE40D33"/>
    <w:rsid w:val="30105696"/>
    <w:rsid w:val="302723B3"/>
    <w:rsid w:val="30580BC9"/>
    <w:rsid w:val="30596B1A"/>
    <w:rsid w:val="30760C45"/>
    <w:rsid w:val="30894E1C"/>
    <w:rsid w:val="30BA30C7"/>
    <w:rsid w:val="30D10BD1"/>
    <w:rsid w:val="30EB518F"/>
    <w:rsid w:val="3106646D"/>
    <w:rsid w:val="31153CFF"/>
    <w:rsid w:val="31197F4E"/>
    <w:rsid w:val="311E2ED7"/>
    <w:rsid w:val="3137005B"/>
    <w:rsid w:val="315619EE"/>
    <w:rsid w:val="315C449C"/>
    <w:rsid w:val="31644F41"/>
    <w:rsid w:val="31863503"/>
    <w:rsid w:val="31882935"/>
    <w:rsid w:val="31A91485"/>
    <w:rsid w:val="31B82709"/>
    <w:rsid w:val="31CF2D03"/>
    <w:rsid w:val="31D05482"/>
    <w:rsid w:val="31D43E75"/>
    <w:rsid w:val="320209E2"/>
    <w:rsid w:val="32134B93"/>
    <w:rsid w:val="32400B34"/>
    <w:rsid w:val="32642883"/>
    <w:rsid w:val="328E671A"/>
    <w:rsid w:val="329E6876"/>
    <w:rsid w:val="32D3169A"/>
    <w:rsid w:val="32EC51EE"/>
    <w:rsid w:val="33011CEA"/>
    <w:rsid w:val="331D35FA"/>
    <w:rsid w:val="33227753"/>
    <w:rsid w:val="333015F2"/>
    <w:rsid w:val="334A4E3F"/>
    <w:rsid w:val="334B6320"/>
    <w:rsid w:val="3364106D"/>
    <w:rsid w:val="336558C0"/>
    <w:rsid w:val="337E22EA"/>
    <w:rsid w:val="33896EE1"/>
    <w:rsid w:val="339D1453"/>
    <w:rsid w:val="33AB32FB"/>
    <w:rsid w:val="33B45D0C"/>
    <w:rsid w:val="33BB4037"/>
    <w:rsid w:val="33D21481"/>
    <w:rsid w:val="33D934D4"/>
    <w:rsid w:val="33E85D64"/>
    <w:rsid w:val="33EB4522"/>
    <w:rsid w:val="33F26834"/>
    <w:rsid w:val="33F84CAF"/>
    <w:rsid w:val="33FE2F6A"/>
    <w:rsid w:val="340E07E5"/>
    <w:rsid w:val="34235BF7"/>
    <w:rsid w:val="344D0C15"/>
    <w:rsid w:val="34515C51"/>
    <w:rsid w:val="346A7460"/>
    <w:rsid w:val="346C2A8B"/>
    <w:rsid w:val="346C7793"/>
    <w:rsid w:val="347063D1"/>
    <w:rsid w:val="34713BFD"/>
    <w:rsid w:val="34764774"/>
    <w:rsid w:val="34790D04"/>
    <w:rsid w:val="3491429F"/>
    <w:rsid w:val="34A43FD3"/>
    <w:rsid w:val="34AA5361"/>
    <w:rsid w:val="34C5219B"/>
    <w:rsid w:val="34C603ED"/>
    <w:rsid w:val="34FA1E45"/>
    <w:rsid w:val="353E49CF"/>
    <w:rsid w:val="355D3172"/>
    <w:rsid w:val="355F61C5"/>
    <w:rsid w:val="35731BF7"/>
    <w:rsid w:val="35825BC0"/>
    <w:rsid w:val="358C14F2"/>
    <w:rsid w:val="358C5FA8"/>
    <w:rsid w:val="359758E5"/>
    <w:rsid w:val="35C15DF1"/>
    <w:rsid w:val="35E548A3"/>
    <w:rsid w:val="35E86141"/>
    <w:rsid w:val="35E95F1F"/>
    <w:rsid w:val="35FE4C57"/>
    <w:rsid w:val="36074A7F"/>
    <w:rsid w:val="36231261"/>
    <w:rsid w:val="36407645"/>
    <w:rsid w:val="36485C43"/>
    <w:rsid w:val="364B655A"/>
    <w:rsid w:val="366A4DA8"/>
    <w:rsid w:val="366E21E2"/>
    <w:rsid w:val="36706744"/>
    <w:rsid w:val="368D6CE8"/>
    <w:rsid w:val="36923549"/>
    <w:rsid w:val="36AC716F"/>
    <w:rsid w:val="36B64491"/>
    <w:rsid w:val="36B75FBF"/>
    <w:rsid w:val="36BD0C45"/>
    <w:rsid w:val="36BD0F2B"/>
    <w:rsid w:val="36C11B54"/>
    <w:rsid w:val="36D16796"/>
    <w:rsid w:val="36E723E5"/>
    <w:rsid w:val="36E81E58"/>
    <w:rsid w:val="37247B5B"/>
    <w:rsid w:val="372C6F7A"/>
    <w:rsid w:val="37621F23"/>
    <w:rsid w:val="37655B75"/>
    <w:rsid w:val="378C212B"/>
    <w:rsid w:val="379452A8"/>
    <w:rsid w:val="37CD1D19"/>
    <w:rsid w:val="37E00298"/>
    <w:rsid w:val="37E652C2"/>
    <w:rsid w:val="37E84815"/>
    <w:rsid w:val="37F332DC"/>
    <w:rsid w:val="37F42619"/>
    <w:rsid w:val="380F3E59"/>
    <w:rsid w:val="38107B36"/>
    <w:rsid w:val="38296BB0"/>
    <w:rsid w:val="383B596D"/>
    <w:rsid w:val="384910F8"/>
    <w:rsid w:val="389F7FF1"/>
    <w:rsid w:val="38A87382"/>
    <w:rsid w:val="38B302F9"/>
    <w:rsid w:val="38BB6AE3"/>
    <w:rsid w:val="38D94467"/>
    <w:rsid w:val="38F12CD3"/>
    <w:rsid w:val="38F1355F"/>
    <w:rsid w:val="38F94775"/>
    <w:rsid w:val="39061544"/>
    <w:rsid w:val="39194863"/>
    <w:rsid w:val="391D07F7"/>
    <w:rsid w:val="392971ED"/>
    <w:rsid w:val="39316D4C"/>
    <w:rsid w:val="39317DFF"/>
    <w:rsid w:val="39325651"/>
    <w:rsid w:val="39365415"/>
    <w:rsid w:val="394866EF"/>
    <w:rsid w:val="39A44A75"/>
    <w:rsid w:val="39A83D1E"/>
    <w:rsid w:val="39B65FD7"/>
    <w:rsid w:val="39F81890"/>
    <w:rsid w:val="3A2B0CF2"/>
    <w:rsid w:val="3A377697"/>
    <w:rsid w:val="3A4B4EF0"/>
    <w:rsid w:val="3A580EAA"/>
    <w:rsid w:val="3A643F69"/>
    <w:rsid w:val="3A872856"/>
    <w:rsid w:val="3A8E4E6D"/>
    <w:rsid w:val="3AE9443A"/>
    <w:rsid w:val="3AEC3858"/>
    <w:rsid w:val="3AF92A67"/>
    <w:rsid w:val="3B1B2EE6"/>
    <w:rsid w:val="3B202EC4"/>
    <w:rsid w:val="3B3763D1"/>
    <w:rsid w:val="3B4A33FA"/>
    <w:rsid w:val="3B702E61"/>
    <w:rsid w:val="3B7D557D"/>
    <w:rsid w:val="3B891661"/>
    <w:rsid w:val="3B9F3746"/>
    <w:rsid w:val="3BA42B0A"/>
    <w:rsid w:val="3BCC38F9"/>
    <w:rsid w:val="3BCF1029"/>
    <w:rsid w:val="3BDB32A8"/>
    <w:rsid w:val="3BE178BA"/>
    <w:rsid w:val="3BF121F6"/>
    <w:rsid w:val="3BFE7A77"/>
    <w:rsid w:val="3C0D0B7F"/>
    <w:rsid w:val="3C1215C6"/>
    <w:rsid w:val="3C2F6E1E"/>
    <w:rsid w:val="3C4F64BA"/>
    <w:rsid w:val="3C522566"/>
    <w:rsid w:val="3C6E0BC3"/>
    <w:rsid w:val="3C8B7826"/>
    <w:rsid w:val="3CAB3A09"/>
    <w:rsid w:val="3CCD7E3F"/>
    <w:rsid w:val="3CDA245A"/>
    <w:rsid w:val="3CF47577"/>
    <w:rsid w:val="3CFD13FB"/>
    <w:rsid w:val="3D121CF5"/>
    <w:rsid w:val="3D150435"/>
    <w:rsid w:val="3D1E06B7"/>
    <w:rsid w:val="3D204412"/>
    <w:rsid w:val="3D474095"/>
    <w:rsid w:val="3D7F6B7F"/>
    <w:rsid w:val="3D8E5820"/>
    <w:rsid w:val="3D9D5A63"/>
    <w:rsid w:val="3DA67B19"/>
    <w:rsid w:val="3DBB031E"/>
    <w:rsid w:val="3DBE572B"/>
    <w:rsid w:val="3DC76F84"/>
    <w:rsid w:val="3DE34584"/>
    <w:rsid w:val="3DF52F90"/>
    <w:rsid w:val="3E0014B3"/>
    <w:rsid w:val="3E07770A"/>
    <w:rsid w:val="3E194166"/>
    <w:rsid w:val="3E350F0C"/>
    <w:rsid w:val="3E3A7756"/>
    <w:rsid w:val="3E4D152A"/>
    <w:rsid w:val="3E4F2704"/>
    <w:rsid w:val="3E63791C"/>
    <w:rsid w:val="3E6D6487"/>
    <w:rsid w:val="3E9230EE"/>
    <w:rsid w:val="3EAA48DB"/>
    <w:rsid w:val="3EAB2402"/>
    <w:rsid w:val="3EC66625"/>
    <w:rsid w:val="3ECB0439"/>
    <w:rsid w:val="3EDA0523"/>
    <w:rsid w:val="3EED6576"/>
    <w:rsid w:val="3EEF0540"/>
    <w:rsid w:val="3F1E0E25"/>
    <w:rsid w:val="3F261A88"/>
    <w:rsid w:val="3F4940F4"/>
    <w:rsid w:val="3F4F7231"/>
    <w:rsid w:val="3F6F51DD"/>
    <w:rsid w:val="3F904E5A"/>
    <w:rsid w:val="3FA23805"/>
    <w:rsid w:val="3FA806EF"/>
    <w:rsid w:val="3FAE03FB"/>
    <w:rsid w:val="3FB35A12"/>
    <w:rsid w:val="3FC3686F"/>
    <w:rsid w:val="400242A3"/>
    <w:rsid w:val="400C6ED0"/>
    <w:rsid w:val="40135797"/>
    <w:rsid w:val="403562F0"/>
    <w:rsid w:val="405C2B7C"/>
    <w:rsid w:val="406F4DC6"/>
    <w:rsid w:val="407A6407"/>
    <w:rsid w:val="407C4056"/>
    <w:rsid w:val="409E221E"/>
    <w:rsid w:val="409F2B67"/>
    <w:rsid w:val="40A85117"/>
    <w:rsid w:val="40AB66E9"/>
    <w:rsid w:val="40BF0333"/>
    <w:rsid w:val="40C144A0"/>
    <w:rsid w:val="40F66D88"/>
    <w:rsid w:val="40FC4572"/>
    <w:rsid w:val="41016309"/>
    <w:rsid w:val="410759CB"/>
    <w:rsid w:val="411F01AB"/>
    <w:rsid w:val="411F387D"/>
    <w:rsid w:val="412F10C8"/>
    <w:rsid w:val="413E130B"/>
    <w:rsid w:val="41792343"/>
    <w:rsid w:val="418F600A"/>
    <w:rsid w:val="419F3BF5"/>
    <w:rsid w:val="41BD1373"/>
    <w:rsid w:val="41BE244C"/>
    <w:rsid w:val="41C17603"/>
    <w:rsid w:val="41C75BDC"/>
    <w:rsid w:val="41D747EA"/>
    <w:rsid w:val="41E225DE"/>
    <w:rsid w:val="41F105E1"/>
    <w:rsid w:val="41FB2176"/>
    <w:rsid w:val="4200449D"/>
    <w:rsid w:val="420A743F"/>
    <w:rsid w:val="420B38E3"/>
    <w:rsid w:val="42131E04"/>
    <w:rsid w:val="42341697"/>
    <w:rsid w:val="423821FE"/>
    <w:rsid w:val="423A3BCC"/>
    <w:rsid w:val="424E57D2"/>
    <w:rsid w:val="429C69E6"/>
    <w:rsid w:val="42A96C58"/>
    <w:rsid w:val="42B26C49"/>
    <w:rsid w:val="42B775C7"/>
    <w:rsid w:val="42C80C49"/>
    <w:rsid w:val="42DB4114"/>
    <w:rsid w:val="42EB101F"/>
    <w:rsid w:val="42F36125"/>
    <w:rsid w:val="431B34E7"/>
    <w:rsid w:val="43340C18"/>
    <w:rsid w:val="433A6FE6"/>
    <w:rsid w:val="433F1B44"/>
    <w:rsid w:val="43421586"/>
    <w:rsid w:val="43480868"/>
    <w:rsid w:val="4350713C"/>
    <w:rsid w:val="436653E0"/>
    <w:rsid w:val="437C243E"/>
    <w:rsid w:val="438F0450"/>
    <w:rsid w:val="439211FC"/>
    <w:rsid w:val="43B9736F"/>
    <w:rsid w:val="43C27FD1"/>
    <w:rsid w:val="43C4431A"/>
    <w:rsid w:val="43ED4D71"/>
    <w:rsid w:val="44022AC4"/>
    <w:rsid w:val="44066793"/>
    <w:rsid w:val="44392A6D"/>
    <w:rsid w:val="44466E54"/>
    <w:rsid w:val="445611B0"/>
    <w:rsid w:val="446F3DBE"/>
    <w:rsid w:val="4487121B"/>
    <w:rsid w:val="44B951CC"/>
    <w:rsid w:val="44CD14E0"/>
    <w:rsid w:val="44F20B0B"/>
    <w:rsid w:val="45003B05"/>
    <w:rsid w:val="450A12F6"/>
    <w:rsid w:val="452847AC"/>
    <w:rsid w:val="452E5F4C"/>
    <w:rsid w:val="45612018"/>
    <w:rsid w:val="456137EB"/>
    <w:rsid w:val="45877724"/>
    <w:rsid w:val="458946E9"/>
    <w:rsid w:val="458D460F"/>
    <w:rsid w:val="45907D20"/>
    <w:rsid w:val="459C7A87"/>
    <w:rsid w:val="45A47C0E"/>
    <w:rsid w:val="45C75335"/>
    <w:rsid w:val="45E5269D"/>
    <w:rsid w:val="4610058C"/>
    <w:rsid w:val="46144D30"/>
    <w:rsid w:val="461B1A2D"/>
    <w:rsid w:val="46242647"/>
    <w:rsid w:val="462C28CB"/>
    <w:rsid w:val="464A298E"/>
    <w:rsid w:val="46577FD6"/>
    <w:rsid w:val="465A049D"/>
    <w:rsid w:val="465D6B8D"/>
    <w:rsid w:val="466C691A"/>
    <w:rsid w:val="469763E5"/>
    <w:rsid w:val="469B0815"/>
    <w:rsid w:val="46A71700"/>
    <w:rsid w:val="46C33813"/>
    <w:rsid w:val="46D955A7"/>
    <w:rsid w:val="47133957"/>
    <w:rsid w:val="471A45C8"/>
    <w:rsid w:val="47240FA3"/>
    <w:rsid w:val="47242D51"/>
    <w:rsid w:val="4739788A"/>
    <w:rsid w:val="4743767B"/>
    <w:rsid w:val="4770243A"/>
    <w:rsid w:val="47971775"/>
    <w:rsid w:val="47A07E0C"/>
    <w:rsid w:val="47B10DDB"/>
    <w:rsid w:val="47C5495A"/>
    <w:rsid w:val="48164626"/>
    <w:rsid w:val="482A5955"/>
    <w:rsid w:val="486A6E89"/>
    <w:rsid w:val="4870272E"/>
    <w:rsid w:val="487A634E"/>
    <w:rsid w:val="487B2E45"/>
    <w:rsid w:val="4891079D"/>
    <w:rsid w:val="489A7CB5"/>
    <w:rsid w:val="48BF2D31"/>
    <w:rsid w:val="48C12F4D"/>
    <w:rsid w:val="48CC18F2"/>
    <w:rsid w:val="48E24C72"/>
    <w:rsid w:val="48F7696F"/>
    <w:rsid w:val="49170DBF"/>
    <w:rsid w:val="492139EC"/>
    <w:rsid w:val="49342199"/>
    <w:rsid w:val="4948563C"/>
    <w:rsid w:val="497A134E"/>
    <w:rsid w:val="497D499A"/>
    <w:rsid w:val="497E091A"/>
    <w:rsid w:val="497E2BEF"/>
    <w:rsid w:val="49AE0392"/>
    <w:rsid w:val="49B20AE8"/>
    <w:rsid w:val="49D00F6E"/>
    <w:rsid w:val="49DC7715"/>
    <w:rsid w:val="49E14595"/>
    <w:rsid w:val="49E71CA0"/>
    <w:rsid w:val="4A023139"/>
    <w:rsid w:val="4A3C6604"/>
    <w:rsid w:val="4A3E4D16"/>
    <w:rsid w:val="4A517CCF"/>
    <w:rsid w:val="4A614BD3"/>
    <w:rsid w:val="4A686E77"/>
    <w:rsid w:val="4A7B576F"/>
    <w:rsid w:val="4A841DBD"/>
    <w:rsid w:val="4AC563A5"/>
    <w:rsid w:val="4AD15A3F"/>
    <w:rsid w:val="4AE74307"/>
    <w:rsid w:val="4AF561A9"/>
    <w:rsid w:val="4AFA4617"/>
    <w:rsid w:val="4B0B2D60"/>
    <w:rsid w:val="4B1B69DB"/>
    <w:rsid w:val="4B4C0AC8"/>
    <w:rsid w:val="4B540F47"/>
    <w:rsid w:val="4B6202EC"/>
    <w:rsid w:val="4B7778F3"/>
    <w:rsid w:val="4B8D5369"/>
    <w:rsid w:val="4B93768B"/>
    <w:rsid w:val="4B9B5E6D"/>
    <w:rsid w:val="4B9D1856"/>
    <w:rsid w:val="4B9F32EE"/>
    <w:rsid w:val="4BD56D10"/>
    <w:rsid w:val="4C341C88"/>
    <w:rsid w:val="4C4838C3"/>
    <w:rsid w:val="4C4A0649"/>
    <w:rsid w:val="4C6F4A6E"/>
    <w:rsid w:val="4C716A38"/>
    <w:rsid w:val="4C7E5ECA"/>
    <w:rsid w:val="4C876AA5"/>
    <w:rsid w:val="4CBA03DF"/>
    <w:rsid w:val="4CC528E0"/>
    <w:rsid w:val="4CD0225B"/>
    <w:rsid w:val="4CDF3CE1"/>
    <w:rsid w:val="4CE76CFB"/>
    <w:rsid w:val="4CE825AB"/>
    <w:rsid w:val="4CF50FD2"/>
    <w:rsid w:val="4CFF4CEC"/>
    <w:rsid w:val="4D082BE8"/>
    <w:rsid w:val="4D0E00FB"/>
    <w:rsid w:val="4D175A50"/>
    <w:rsid w:val="4D176606"/>
    <w:rsid w:val="4D1B1834"/>
    <w:rsid w:val="4D440FDC"/>
    <w:rsid w:val="4D731404"/>
    <w:rsid w:val="4D746E8E"/>
    <w:rsid w:val="4D782049"/>
    <w:rsid w:val="4DD76DE3"/>
    <w:rsid w:val="4DEC4FB0"/>
    <w:rsid w:val="4E075D8A"/>
    <w:rsid w:val="4E224005"/>
    <w:rsid w:val="4E347D1E"/>
    <w:rsid w:val="4E541ACF"/>
    <w:rsid w:val="4E571C5E"/>
    <w:rsid w:val="4E5D02A9"/>
    <w:rsid w:val="4E7A14F4"/>
    <w:rsid w:val="4E905C36"/>
    <w:rsid w:val="4E941112"/>
    <w:rsid w:val="4EA42E44"/>
    <w:rsid w:val="4EB3388B"/>
    <w:rsid w:val="4EC00FAD"/>
    <w:rsid w:val="4EE3487E"/>
    <w:rsid w:val="4EE96AB1"/>
    <w:rsid w:val="4F0973FC"/>
    <w:rsid w:val="4F631E49"/>
    <w:rsid w:val="4F9843DC"/>
    <w:rsid w:val="4FC41575"/>
    <w:rsid w:val="4FC5086D"/>
    <w:rsid w:val="4FC62A8C"/>
    <w:rsid w:val="4FCB0268"/>
    <w:rsid w:val="4FE20F0D"/>
    <w:rsid w:val="4FE51552"/>
    <w:rsid w:val="4FF23C66"/>
    <w:rsid w:val="4FF95086"/>
    <w:rsid w:val="5039786D"/>
    <w:rsid w:val="50504C4B"/>
    <w:rsid w:val="507F5417"/>
    <w:rsid w:val="508063D6"/>
    <w:rsid w:val="509C6E7C"/>
    <w:rsid w:val="50AF52B0"/>
    <w:rsid w:val="50EF617E"/>
    <w:rsid w:val="510D119A"/>
    <w:rsid w:val="51136310"/>
    <w:rsid w:val="511A3D28"/>
    <w:rsid w:val="51271DBC"/>
    <w:rsid w:val="5162104E"/>
    <w:rsid w:val="516C6DA2"/>
    <w:rsid w:val="51802B16"/>
    <w:rsid w:val="51874608"/>
    <w:rsid w:val="51AE428B"/>
    <w:rsid w:val="51C53353"/>
    <w:rsid w:val="51CE0489"/>
    <w:rsid w:val="51D91141"/>
    <w:rsid w:val="51F61EA3"/>
    <w:rsid w:val="51FB0B52"/>
    <w:rsid w:val="51FB1C02"/>
    <w:rsid w:val="5208025E"/>
    <w:rsid w:val="52171E30"/>
    <w:rsid w:val="52347448"/>
    <w:rsid w:val="52621B4F"/>
    <w:rsid w:val="52C04276"/>
    <w:rsid w:val="52CB6777"/>
    <w:rsid w:val="52CD0741"/>
    <w:rsid w:val="52D72480"/>
    <w:rsid w:val="52D725A9"/>
    <w:rsid w:val="52DB4C0C"/>
    <w:rsid w:val="53191192"/>
    <w:rsid w:val="534C329A"/>
    <w:rsid w:val="535D1AC5"/>
    <w:rsid w:val="53762B86"/>
    <w:rsid w:val="537D489F"/>
    <w:rsid w:val="539035AF"/>
    <w:rsid w:val="5390519C"/>
    <w:rsid w:val="53A039CC"/>
    <w:rsid w:val="53A1505A"/>
    <w:rsid w:val="53CE1B3A"/>
    <w:rsid w:val="53D94B0C"/>
    <w:rsid w:val="53F42968"/>
    <w:rsid w:val="53F500DE"/>
    <w:rsid w:val="54063E08"/>
    <w:rsid w:val="54114CF9"/>
    <w:rsid w:val="543437E8"/>
    <w:rsid w:val="54354903"/>
    <w:rsid w:val="543C5B7C"/>
    <w:rsid w:val="54442C85"/>
    <w:rsid w:val="54597863"/>
    <w:rsid w:val="54A7163A"/>
    <w:rsid w:val="54D46600"/>
    <w:rsid w:val="54F73313"/>
    <w:rsid w:val="54F80955"/>
    <w:rsid w:val="551A3321"/>
    <w:rsid w:val="555170A7"/>
    <w:rsid w:val="5568489A"/>
    <w:rsid w:val="5587536D"/>
    <w:rsid w:val="5589528C"/>
    <w:rsid w:val="558F7F2F"/>
    <w:rsid w:val="559B174B"/>
    <w:rsid w:val="55A35789"/>
    <w:rsid w:val="55BF470B"/>
    <w:rsid w:val="55CA71B9"/>
    <w:rsid w:val="55CE0CF4"/>
    <w:rsid w:val="55EF09CE"/>
    <w:rsid w:val="55FB670D"/>
    <w:rsid w:val="56075D18"/>
    <w:rsid w:val="56084E7F"/>
    <w:rsid w:val="561A5A4B"/>
    <w:rsid w:val="56301675"/>
    <w:rsid w:val="565F3FB4"/>
    <w:rsid w:val="56692AEE"/>
    <w:rsid w:val="5692036D"/>
    <w:rsid w:val="5698396F"/>
    <w:rsid w:val="569939F6"/>
    <w:rsid w:val="56B22A9C"/>
    <w:rsid w:val="56B37146"/>
    <w:rsid w:val="56D156ED"/>
    <w:rsid w:val="56E527C1"/>
    <w:rsid w:val="56EE0C86"/>
    <w:rsid w:val="57026068"/>
    <w:rsid w:val="572A6180"/>
    <w:rsid w:val="574F5BC8"/>
    <w:rsid w:val="57517B92"/>
    <w:rsid w:val="57541431"/>
    <w:rsid w:val="577E46FF"/>
    <w:rsid w:val="57805B71"/>
    <w:rsid w:val="578A4E52"/>
    <w:rsid w:val="579A6822"/>
    <w:rsid w:val="57A778F3"/>
    <w:rsid w:val="57B72A76"/>
    <w:rsid w:val="57C3426C"/>
    <w:rsid w:val="57CE1F93"/>
    <w:rsid w:val="57F81DBC"/>
    <w:rsid w:val="581110D0"/>
    <w:rsid w:val="58197E82"/>
    <w:rsid w:val="58247055"/>
    <w:rsid w:val="587156BE"/>
    <w:rsid w:val="5875165E"/>
    <w:rsid w:val="588743D1"/>
    <w:rsid w:val="5887701A"/>
    <w:rsid w:val="589870FB"/>
    <w:rsid w:val="58A71583"/>
    <w:rsid w:val="58B93DAE"/>
    <w:rsid w:val="58BD40ED"/>
    <w:rsid w:val="58BF4115"/>
    <w:rsid w:val="58C045B8"/>
    <w:rsid w:val="58C55896"/>
    <w:rsid w:val="58CD29B1"/>
    <w:rsid w:val="58DF4301"/>
    <w:rsid w:val="590E7029"/>
    <w:rsid w:val="5933086A"/>
    <w:rsid w:val="59735F65"/>
    <w:rsid w:val="59814033"/>
    <w:rsid w:val="598A113A"/>
    <w:rsid w:val="59A14F66"/>
    <w:rsid w:val="59AC663B"/>
    <w:rsid w:val="59C0439F"/>
    <w:rsid w:val="5A416552"/>
    <w:rsid w:val="5A573274"/>
    <w:rsid w:val="5A595C55"/>
    <w:rsid w:val="5A615C55"/>
    <w:rsid w:val="5A7F1F69"/>
    <w:rsid w:val="5A917F26"/>
    <w:rsid w:val="5A981634"/>
    <w:rsid w:val="5A9B2ED2"/>
    <w:rsid w:val="5ABE2233"/>
    <w:rsid w:val="5AD13F57"/>
    <w:rsid w:val="5ADC59C5"/>
    <w:rsid w:val="5B4A0763"/>
    <w:rsid w:val="5B5F7213"/>
    <w:rsid w:val="5B7E0F08"/>
    <w:rsid w:val="5B953D4A"/>
    <w:rsid w:val="5BB135DE"/>
    <w:rsid w:val="5BDF5D95"/>
    <w:rsid w:val="5BFE7528"/>
    <w:rsid w:val="5C0E6504"/>
    <w:rsid w:val="5C110814"/>
    <w:rsid w:val="5C2561FB"/>
    <w:rsid w:val="5C3F445D"/>
    <w:rsid w:val="5C4E644E"/>
    <w:rsid w:val="5C732359"/>
    <w:rsid w:val="5C8207EE"/>
    <w:rsid w:val="5C8C6F77"/>
    <w:rsid w:val="5CBD6E66"/>
    <w:rsid w:val="5CC130C4"/>
    <w:rsid w:val="5CCC3817"/>
    <w:rsid w:val="5CD95BC0"/>
    <w:rsid w:val="5CE4711B"/>
    <w:rsid w:val="5CEC6CB8"/>
    <w:rsid w:val="5D290C69"/>
    <w:rsid w:val="5D2D0FB2"/>
    <w:rsid w:val="5D2D14B1"/>
    <w:rsid w:val="5D333896"/>
    <w:rsid w:val="5D494E68"/>
    <w:rsid w:val="5D4E247E"/>
    <w:rsid w:val="5D534250"/>
    <w:rsid w:val="5D575C5E"/>
    <w:rsid w:val="5D5932FD"/>
    <w:rsid w:val="5D7243BE"/>
    <w:rsid w:val="5DA11A08"/>
    <w:rsid w:val="5DC866D4"/>
    <w:rsid w:val="5DD94ED9"/>
    <w:rsid w:val="5E160D1E"/>
    <w:rsid w:val="5E2467F1"/>
    <w:rsid w:val="5E40626B"/>
    <w:rsid w:val="5E5230FB"/>
    <w:rsid w:val="5ECE2528"/>
    <w:rsid w:val="5ED87937"/>
    <w:rsid w:val="5EDF3CD6"/>
    <w:rsid w:val="5EE33C77"/>
    <w:rsid w:val="5F1A2B43"/>
    <w:rsid w:val="5F3D27AA"/>
    <w:rsid w:val="5F3F5682"/>
    <w:rsid w:val="5F465B03"/>
    <w:rsid w:val="5F485C08"/>
    <w:rsid w:val="5F487ACD"/>
    <w:rsid w:val="5F49114F"/>
    <w:rsid w:val="5F600B68"/>
    <w:rsid w:val="5FB837BB"/>
    <w:rsid w:val="5FDC6467"/>
    <w:rsid w:val="5FFC08B7"/>
    <w:rsid w:val="5FFE462F"/>
    <w:rsid w:val="600B5D45"/>
    <w:rsid w:val="601E082E"/>
    <w:rsid w:val="602F55BC"/>
    <w:rsid w:val="604C539B"/>
    <w:rsid w:val="60567FC7"/>
    <w:rsid w:val="605F7C02"/>
    <w:rsid w:val="606C338B"/>
    <w:rsid w:val="606F1089"/>
    <w:rsid w:val="608B4D11"/>
    <w:rsid w:val="60B77573"/>
    <w:rsid w:val="60CC405A"/>
    <w:rsid w:val="60D300EA"/>
    <w:rsid w:val="61204131"/>
    <w:rsid w:val="61304E95"/>
    <w:rsid w:val="61386728"/>
    <w:rsid w:val="6156729B"/>
    <w:rsid w:val="617101D6"/>
    <w:rsid w:val="61E215D8"/>
    <w:rsid w:val="61E41F4F"/>
    <w:rsid w:val="61EC6F36"/>
    <w:rsid w:val="62041F5B"/>
    <w:rsid w:val="621B3775"/>
    <w:rsid w:val="62222BA9"/>
    <w:rsid w:val="622D4D58"/>
    <w:rsid w:val="62364782"/>
    <w:rsid w:val="623D13E1"/>
    <w:rsid w:val="624B483D"/>
    <w:rsid w:val="624E656E"/>
    <w:rsid w:val="625C563D"/>
    <w:rsid w:val="627D2771"/>
    <w:rsid w:val="629D0130"/>
    <w:rsid w:val="62DE6052"/>
    <w:rsid w:val="630C4956"/>
    <w:rsid w:val="630E6937"/>
    <w:rsid w:val="6331717F"/>
    <w:rsid w:val="634265E1"/>
    <w:rsid w:val="63441453"/>
    <w:rsid w:val="636B4102"/>
    <w:rsid w:val="637C13D8"/>
    <w:rsid w:val="63915D77"/>
    <w:rsid w:val="6394356A"/>
    <w:rsid w:val="63C61B2C"/>
    <w:rsid w:val="63CC234F"/>
    <w:rsid w:val="63D40BE9"/>
    <w:rsid w:val="64102431"/>
    <w:rsid w:val="64134A4A"/>
    <w:rsid w:val="64225515"/>
    <w:rsid w:val="64430863"/>
    <w:rsid w:val="645111D2"/>
    <w:rsid w:val="64600F60"/>
    <w:rsid w:val="648B18C5"/>
    <w:rsid w:val="649A5A3F"/>
    <w:rsid w:val="64A5243A"/>
    <w:rsid w:val="64B112DC"/>
    <w:rsid w:val="64BD54F5"/>
    <w:rsid w:val="64F531DE"/>
    <w:rsid w:val="64FB196A"/>
    <w:rsid w:val="65373578"/>
    <w:rsid w:val="65442AE4"/>
    <w:rsid w:val="655D1CFC"/>
    <w:rsid w:val="656211BC"/>
    <w:rsid w:val="65A13A93"/>
    <w:rsid w:val="65AC7A64"/>
    <w:rsid w:val="65B11190"/>
    <w:rsid w:val="65C40BAB"/>
    <w:rsid w:val="65C81698"/>
    <w:rsid w:val="6609788A"/>
    <w:rsid w:val="66380F49"/>
    <w:rsid w:val="667C4500"/>
    <w:rsid w:val="66A51361"/>
    <w:rsid w:val="66BA2932"/>
    <w:rsid w:val="66C016CC"/>
    <w:rsid w:val="66D02156"/>
    <w:rsid w:val="66D9725C"/>
    <w:rsid w:val="671F124A"/>
    <w:rsid w:val="67281F92"/>
    <w:rsid w:val="676E3E49"/>
    <w:rsid w:val="67752A05"/>
    <w:rsid w:val="677A33C6"/>
    <w:rsid w:val="678A6C19"/>
    <w:rsid w:val="678E0047"/>
    <w:rsid w:val="67B11F87"/>
    <w:rsid w:val="67B425CC"/>
    <w:rsid w:val="67C62C01"/>
    <w:rsid w:val="67EB7247"/>
    <w:rsid w:val="681F3395"/>
    <w:rsid w:val="681F6961"/>
    <w:rsid w:val="682327CF"/>
    <w:rsid w:val="682B7192"/>
    <w:rsid w:val="682D3D04"/>
    <w:rsid w:val="68313F11"/>
    <w:rsid w:val="68610A2F"/>
    <w:rsid w:val="687E455F"/>
    <w:rsid w:val="68805514"/>
    <w:rsid w:val="688D02FE"/>
    <w:rsid w:val="689C2C37"/>
    <w:rsid w:val="68B03FED"/>
    <w:rsid w:val="68C63810"/>
    <w:rsid w:val="68D05F59"/>
    <w:rsid w:val="69026F3E"/>
    <w:rsid w:val="69127EC5"/>
    <w:rsid w:val="69316E2F"/>
    <w:rsid w:val="69456E2B"/>
    <w:rsid w:val="694E2071"/>
    <w:rsid w:val="695C7E80"/>
    <w:rsid w:val="696F5C56"/>
    <w:rsid w:val="69766163"/>
    <w:rsid w:val="697A3B33"/>
    <w:rsid w:val="697D0373"/>
    <w:rsid w:val="69B45CE5"/>
    <w:rsid w:val="69D25729"/>
    <w:rsid w:val="69D44760"/>
    <w:rsid w:val="69F148BD"/>
    <w:rsid w:val="6A11400C"/>
    <w:rsid w:val="6A12704A"/>
    <w:rsid w:val="6A276531"/>
    <w:rsid w:val="6A4B7680"/>
    <w:rsid w:val="6A520EC7"/>
    <w:rsid w:val="6A652FD7"/>
    <w:rsid w:val="6A7A6FA8"/>
    <w:rsid w:val="6A815C41"/>
    <w:rsid w:val="6AA51CA5"/>
    <w:rsid w:val="6AD37A0F"/>
    <w:rsid w:val="6AD47688"/>
    <w:rsid w:val="6AF53F00"/>
    <w:rsid w:val="6AF87E20"/>
    <w:rsid w:val="6B135BDD"/>
    <w:rsid w:val="6B195AD4"/>
    <w:rsid w:val="6B322639"/>
    <w:rsid w:val="6B4F201D"/>
    <w:rsid w:val="6B7B32E6"/>
    <w:rsid w:val="6BB64010"/>
    <w:rsid w:val="6BC93D3B"/>
    <w:rsid w:val="6BCA223A"/>
    <w:rsid w:val="6BCA7E6E"/>
    <w:rsid w:val="6BEF0C80"/>
    <w:rsid w:val="6C233698"/>
    <w:rsid w:val="6C4C16A4"/>
    <w:rsid w:val="6C575A4A"/>
    <w:rsid w:val="6C636C38"/>
    <w:rsid w:val="6C705F6D"/>
    <w:rsid w:val="6C7812C6"/>
    <w:rsid w:val="6C7F00C0"/>
    <w:rsid w:val="6C8000B1"/>
    <w:rsid w:val="6C9F46E5"/>
    <w:rsid w:val="6D254FA9"/>
    <w:rsid w:val="6D2F1F1E"/>
    <w:rsid w:val="6D3C6797"/>
    <w:rsid w:val="6D6B527D"/>
    <w:rsid w:val="6D6D0A4E"/>
    <w:rsid w:val="6D7E66A0"/>
    <w:rsid w:val="6D8F06BB"/>
    <w:rsid w:val="6D987313"/>
    <w:rsid w:val="6DA71E62"/>
    <w:rsid w:val="6DB34098"/>
    <w:rsid w:val="6DB545B6"/>
    <w:rsid w:val="6DB84552"/>
    <w:rsid w:val="6DD10C8D"/>
    <w:rsid w:val="6DE02FB4"/>
    <w:rsid w:val="6DE1064B"/>
    <w:rsid w:val="6DE76703"/>
    <w:rsid w:val="6DED2461"/>
    <w:rsid w:val="6DF56089"/>
    <w:rsid w:val="6E162B44"/>
    <w:rsid w:val="6E3A0F28"/>
    <w:rsid w:val="6E414065"/>
    <w:rsid w:val="6E514CED"/>
    <w:rsid w:val="6E7066F8"/>
    <w:rsid w:val="6E8A3852"/>
    <w:rsid w:val="6E9817AB"/>
    <w:rsid w:val="6EA809E5"/>
    <w:rsid w:val="6EB563D5"/>
    <w:rsid w:val="6ECB6D6A"/>
    <w:rsid w:val="6ECE341F"/>
    <w:rsid w:val="6ED92677"/>
    <w:rsid w:val="6EE20E78"/>
    <w:rsid w:val="6EE36411"/>
    <w:rsid w:val="6EE51514"/>
    <w:rsid w:val="6F080544"/>
    <w:rsid w:val="6F221399"/>
    <w:rsid w:val="6F225983"/>
    <w:rsid w:val="6F7C2E7B"/>
    <w:rsid w:val="6FA13889"/>
    <w:rsid w:val="6FAF123F"/>
    <w:rsid w:val="6FB018CE"/>
    <w:rsid w:val="6FBA5BC7"/>
    <w:rsid w:val="6FC45CCD"/>
    <w:rsid w:val="6FC82564"/>
    <w:rsid w:val="6FC860C0"/>
    <w:rsid w:val="6FCE57AE"/>
    <w:rsid w:val="6FD607DD"/>
    <w:rsid w:val="6FDB5DF3"/>
    <w:rsid w:val="6FE253D4"/>
    <w:rsid w:val="6FFC5590"/>
    <w:rsid w:val="702A5014"/>
    <w:rsid w:val="702F36D5"/>
    <w:rsid w:val="70333E81"/>
    <w:rsid w:val="70497201"/>
    <w:rsid w:val="704C6CF1"/>
    <w:rsid w:val="70564C92"/>
    <w:rsid w:val="706D1DD0"/>
    <w:rsid w:val="70856B87"/>
    <w:rsid w:val="70AE5208"/>
    <w:rsid w:val="70B17B0F"/>
    <w:rsid w:val="70BD374B"/>
    <w:rsid w:val="70D038AC"/>
    <w:rsid w:val="70D527EE"/>
    <w:rsid w:val="70F25AEA"/>
    <w:rsid w:val="70F33611"/>
    <w:rsid w:val="70F57389"/>
    <w:rsid w:val="70FD684A"/>
    <w:rsid w:val="711E068D"/>
    <w:rsid w:val="713954C7"/>
    <w:rsid w:val="715B5300"/>
    <w:rsid w:val="715C7408"/>
    <w:rsid w:val="716342F2"/>
    <w:rsid w:val="717E2EDA"/>
    <w:rsid w:val="71867FE1"/>
    <w:rsid w:val="719E4154"/>
    <w:rsid w:val="71C034F3"/>
    <w:rsid w:val="71C44130"/>
    <w:rsid w:val="71CB1E97"/>
    <w:rsid w:val="71CC1228"/>
    <w:rsid w:val="71D27F8A"/>
    <w:rsid w:val="71E2775B"/>
    <w:rsid w:val="71EC2922"/>
    <w:rsid w:val="71EF3DD8"/>
    <w:rsid w:val="72133F6A"/>
    <w:rsid w:val="72200435"/>
    <w:rsid w:val="72553024"/>
    <w:rsid w:val="72750781"/>
    <w:rsid w:val="727A7F8F"/>
    <w:rsid w:val="72B15531"/>
    <w:rsid w:val="72C76B03"/>
    <w:rsid w:val="730E48DB"/>
    <w:rsid w:val="73122968"/>
    <w:rsid w:val="731F5D5E"/>
    <w:rsid w:val="73216213"/>
    <w:rsid w:val="734F0FD2"/>
    <w:rsid w:val="73550A69"/>
    <w:rsid w:val="738B5D82"/>
    <w:rsid w:val="73910FD8"/>
    <w:rsid w:val="73A0410A"/>
    <w:rsid w:val="73A806E2"/>
    <w:rsid w:val="73AF2E57"/>
    <w:rsid w:val="73C51AD5"/>
    <w:rsid w:val="73CC6C88"/>
    <w:rsid w:val="73DD4EAE"/>
    <w:rsid w:val="73DE2356"/>
    <w:rsid w:val="73F20C9E"/>
    <w:rsid w:val="741E793C"/>
    <w:rsid w:val="742A7349"/>
    <w:rsid w:val="745B4D25"/>
    <w:rsid w:val="745E3944"/>
    <w:rsid w:val="74681071"/>
    <w:rsid w:val="74690FAA"/>
    <w:rsid w:val="746C1AE8"/>
    <w:rsid w:val="746C71A9"/>
    <w:rsid w:val="74BD1DBA"/>
    <w:rsid w:val="74C063F2"/>
    <w:rsid w:val="74C66380"/>
    <w:rsid w:val="74D6127F"/>
    <w:rsid w:val="74F02341"/>
    <w:rsid w:val="74FD680C"/>
    <w:rsid w:val="750E4332"/>
    <w:rsid w:val="751B4EE4"/>
    <w:rsid w:val="75400372"/>
    <w:rsid w:val="754B57C9"/>
    <w:rsid w:val="75581712"/>
    <w:rsid w:val="75703482"/>
    <w:rsid w:val="759C7C18"/>
    <w:rsid w:val="75AF0D40"/>
    <w:rsid w:val="75D8467E"/>
    <w:rsid w:val="75E63744"/>
    <w:rsid w:val="760C4F71"/>
    <w:rsid w:val="76327893"/>
    <w:rsid w:val="7635099D"/>
    <w:rsid w:val="7646402E"/>
    <w:rsid w:val="768811D5"/>
    <w:rsid w:val="7693567A"/>
    <w:rsid w:val="76A154AD"/>
    <w:rsid w:val="76A30721"/>
    <w:rsid w:val="76AA0A14"/>
    <w:rsid w:val="76AA29C3"/>
    <w:rsid w:val="76AC4BE3"/>
    <w:rsid w:val="76D65566"/>
    <w:rsid w:val="771340C5"/>
    <w:rsid w:val="776963DA"/>
    <w:rsid w:val="77762421"/>
    <w:rsid w:val="77AD47D0"/>
    <w:rsid w:val="77B56B1F"/>
    <w:rsid w:val="77DF669D"/>
    <w:rsid w:val="77E032E1"/>
    <w:rsid w:val="77E95477"/>
    <w:rsid w:val="77EA7FA3"/>
    <w:rsid w:val="77FB1180"/>
    <w:rsid w:val="77FE6B23"/>
    <w:rsid w:val="780F09F4"/>
    <w:rsid w:val="783C589D"/>
    <w:rsid w:val="788920E3"/>
    <w:rsid w:val="788A632D"/>
    <w:rsid w:val="789C6566"/>
    <w:rsid w:val="789D27E0"/>
    <w:rsid w:val="78A90480"/>
    <w:rsid w:val="78B849C5"/>
    <w:rsid w:val="78BE2A97"/>
    <w:rsid w:val="78CC34E9"/>
    <w:rsid w:val="78EF290F"/>
    <w:rsid w:val="795119FD"/>
    <w:rsid w:val="798416A0"/>
    <w:rsid w:val="798E3ED6"/>
    <w:rsid w:val="799323CD"/>
    <w:rsid w:val="799C4845"/>
    <w:rsid w:val="79C9125C"/>
    <w:rsid w:val="7A05377E"/>
    <w:rsid w:val="7A0929AB"/>
    <w:rsid w:val="7A320D06"/>
    <w:rsid w:val="7A364017"/>
    <w:rsid w:val="7A410069"/>
    <w:rsid w:val="7A595D83"/>
    <w:rsid w:val="7A804167"/>
    <w:rsid w:val="7A8265E1"/>
    <w:rsid w:val="7A8B6668"/>
    <w:rsid w:val="7A8C48BA"/>
    <w:rsid w:val="7AAE2E33"/>
    <w:rsid w:val="7AB43E11"/>
    <w:rsid w:val="7AD61FD9"/>
    <w:rsid w:val="7AFA1A19"/>
    <w:rsid w:val="7B0C36E2"/>
    <w:rsid w:val="7B1D5512"/>
    <w:rsid w:val="7B287C9C"/>
    <w:rsid w:val="7B5353D8"/>
    <w:rsid w:val="7B686D42"/>
    <w:rsid w:val="7B6E4B32"/>
    <w:rsid w:val="7B7517F2"/>
    <w:rsid w:val="7B7E3AC2"/>
    <w:rsid w:val="7B841746"/>
    <w:rsid w:val="7BCD1CD0"/>
    <w:rsid w:val="7BD87D43"/>
    <w:rsid w:val="7BF23D14"/>
    <w:rsid w:val="7BFA1CF7"/>
    <w:rsid w:val="7C0C40EA"/>
    <w:rsid w:val="7C174657"/>
    <w:rsid w:val="7C1A7CA3"/>
    <w:rsid w:val="7C526D42"/>
    <w:rsid w:val="7C6B04FF"/>
    <w:rsid w:val="7C6C5AC7"/>
    <w:rsid w:val="7C7514E0"/>
    <w:rsid w:val="7C9220FF"/>
    <w:rsid w:val="7CAA7279"/>
    <w:rsid w:val="7CAD4FBB"/>
    <w:rsid w:val="7CC6544B"/>
    <w:rsid w:val="7CE502B1"/>
    <w:rsid w:val="7CF23BE0"/>
    <w:rsid w:val="7D0239FF"/>
    <w:rsid w:val="7D0F532E"/>
    <w:rsid w:val="7D2F3C22"/>
    <w:rsid w:val="7D3426D0"/>
    <w:rsid w:val="7D5E40CD"/>
    <w:rsid w:val="7D5E45DB"/>
    <w:rsid w:val="7D643172"/>
    <w:rsid w:val="7D7B29C4"/>
    <w:rsid w:val="7D831878"/>
    <w:rsid w:val="7D8C697F"/>
    <w:rsid w:val="7DBA173E"/>
    <w:rsid w:val="7DBA6F98"/>
    <w:rsid w:val="7DCC1471"/>
    <w:rsid w:val="7DCD56F2"/>
    <w:rsid w:val="7DE57188"/>
    <w:rsid w:val="7DE642E1"/>
    <w:rsid w:val="7DFB1111"/>
    <w:rsid w:val="7E0E3838"/>
    <w:rsid w:val="7E3A462D"/>
    <w:rsid w:val="7EBA751C"/>
    <w:rsid w:val="7EF16C2E"/>
    <w:rsid w:val="7F001CE7"/>
    <w:rsid w:val="7F095D06"/>
    <w:rsid w:val="7F1923D4"/>
    <w:rsid w:val="7F1D516A"/>
    <w:rsid w:val="7F556BEE"/>
    <w:rsid w:val="7F5F07EF"/>
    <w:rsid w:val="7F6B740A"/>
    <w:rsid w:val="7F7177AC"/>
    <w:rsid w:val="7F7A7B23"/>
    <w:rsid w:val="7F8F184D"/>
    <w:rsid w:val="7F9B734D"/>
    <w:rsid w:val="7FA15DFE"/>
    <w:rsid w:val="7FAE52D2"/>
    <w:rsid w:val="7FDA7E75"/>
    <w:rsid w:val="7FDD5BB8"/>
    <w:rsid w:val="7FE47E50"/>
    <w:rsid w:val="7FE772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iPriority="99"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5"/>
    <w:next w:val="1"/>
    <w:autoRedefine/>
    <w:qFormat/>
    <w:locked/>
    <w:uiPriority w:val="9"/>
    <w:pPr>
      <w:outlineLvl w:val="1"/>
    </w:pPr>
    <w:rPr>
      <w:rFonts w:ascii="Times New Roman" w:hAnsi="Times New Roman"/>
      <w:b/>
      <w:bCs/>
      <w:szCs w:val="28"/>
    </w:rPr>
  </w:style>
  <w:style w:type="paragraph" w:styleId="7">
    <w:name w:val="heading 3"/>
    <w:basedOn w:val="1"/>
    <w:next w:val="6"/>
    <w:autoRedefine/>
    <w:qFormat/>
    <w:locked/>
    <w:uiPriority w:val="9"/>
    <w:pPr>
      <w:keepNext/>
      <w:keepLines/>
      <w:outlineLvl w:val="2"/>
    </w:pPr>
    <w:rPr>
      <w:bCs/>
      <w:szCs w:val="28"/>
    </w:rPr>
  </w:style>
  <w:style w:type="paragraph" w:styleId="8">
    <w:name w:val="heading 4"/>
    <w:basedOn w:val="1"/>
    <w:next w:val="1"/>
    <w:autoRedefine/>
    <w:qFormat/>
    <w:locked/>
    <w:uiPriority w:val="0"/>
    <w:pPr>
      <w:numPr>
        <w:ilvl w:val="3"/>
        <w:numId w:val="1"/>
      </w:numPr>
      <w:tabs>
        <w:tab w:val="left" w:pos="480"/>
      </w:tabs>
      <w:adjustRightInd w:val="0"/>
      <w:snapToGrid w:val="0"/>
      <w:spacing w:before="50" w:beforeLines="50" w:line="360" w:lineRule="auto"/>
      <w:outlineLvl w:val="3"/>
    </w:pPr>
    <w:rPr>
      <w:rFonts w:ascii="仿宋_GB2312" w:eastAsia="仿宋_GB2312"/>
      <w:sz w:val="24"/>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Body Text 2"/>
    <w:basedOn w:val="1"/>
    <w:autoRedefine/>
    <w:qFormat/>
    <w:locked/>
    <w:uiPriority w:val="0"/>
    <w:pPr>
      <w:spacing w:after="120" w:line="480" w:lineRule="auto"/>
    </w:pPr>
    <w:rPr>
      <w:szCs w:val="24"/>
      <w:lang w:eastAsia="ja-JP"/>
    </w:rPr>
  </w:style>
  <w:style w:type="paragraph" w:customStyle="1" w:styleId="5">
    <w:name w:val="基准标题"/>
    <w:basedOn w:val="6"/>
    <w:next w:val="6"/>
    <w:autoRedefine/>
    <w:qFormat/>
    <w:uiPriority w:val="0"/>
    <w:pPr>
      <w:keepNext/>
      <w:keepLines/>
      <w:spacing w:after="0"/>
      <w:jc w:val="left"/>
    </w:pPr>
    <w:rPr>
      <w:rFonts w:ascii="Arial Black" w:hAnsi="Arial Black"/>
      <w:spacing w:val="-10"/>
      <w:kern w:val="28"/>
    </w:rPr>
  </w:style>
  <w:style w:type="paragraph" w:styleId="6">
    <w:name w:val="Body Text"/>
    <w:basedOn w:val="1"/>
    <w:link w:val="42"/>
    <w:autoRedefine/>
    <w:qFormat/>
    <w:uiPriority w:val="0"/>
    <w:pPr>
      <w:widowControl/>
      <w:snapToGrid w:val="0"/>
      <w:spacing w:before="60" w:after="160" w:line="259" w:lineRule="auto"/>
      <w:ind w:right="113"/>
    </w:pPr>
    <w:rPr>
      <w:kern w:val="0"/>
      <w:sz w:val="18"/>
      <w:szCs w:val="20"/>
    </w:rPr>
  </w:style>
  <w:style w:type="paragraph" w:styleId="9">
    <w:name w:val="Normal Indent"/>
    <w:basedOn w:val="1"/>
    <w:next w:val="1"/>
    <w:autoRedefine/>
    <w:qFormat/>
    <w:locked/>
    <w:uiPriority w:val="0"/>
    <w:pPr>
      <w:ind w:firstLine="420" w:firstLineChars="200"/>
    </w:pPr>
  </w:style>
  <w:style w:type="paragraph" w:styleId="10">
    <w:name w:val="caption"/>
    <w:basedOn w:val="1"/>
    <w:next w:val="1"/>
    <w:autoRedefine/>
    <w:qFormat/>
    <w:locked/>
    <w:uiPriority w:val="0"/>
    <w:rPr>
      <w:rFonts w:ascii="Cambria" w:hAnsi="Cambria" w:eastAsia="黑体"/>
      <w:sz w:val="20"/>
      <w:szCs w:val="20"/>
    </w:rPr>
  </w:style>
  <w:style w:type="paragraph" w:styleId="11">
    <w:name w:val="annotation text"/>
    <w:basedOn w:val="1"/>
    <w:link w:val="43"/>
    <w:autoRedefine/>
    <w:semiHidden/>
    <w:qFormat/>
    <w:uiPriority w:val="0"/>
    <w:pPr>
      <w:jc w:val="left"/>
    </w:pPr>
    <w:rPr>
      <w:kern w:val="0"/>
      <w:sz w:val="24"/>
      <w:szCs w:val="20"/>
    </w:rPr>
  </w:style>
  <w:style w:type="paragraph" w:styleId="12">
    <w:name w:val="Body Text Indent"/>
    <w:basedOn w:val="1"/>
    <w:next w:val="6"/>
    <w:link w:val="44"/>
    <w:autoRedefine/>
    <w:qFormat/>
    <w:uiPriority w:val="0"/>
    <w:pPr>
      <w:spacing w:after="120"/>
      <w:ind w:left="420" w:leftChars="200"/>
    </w:pPr>
    <w:rPr>
      <w:kern w:val="0"/>
      <w:sz w:val="24"/>
      <w:szCs w:val="20"/>
    </w:rPr>
  </w:style>
  <w:style w:type="paragraph" w:styleId="13">
    <w:name w:val="Block Text"/>
    <w:basedOn w:val="1"/>
    <w:autoRedefine/>
    <w:unhideWhenUsed/>
    <w:qFormat/>
    <w:locked/>
    <w:uiPriority w:val="99"/>
    <w:pPr>
      <w:spacing w:after="120" w:line="240" w:lineRule="auto"/>
      <w:ind w:left="1440" w:leftChars="700" w:right="1440" w:rightChars="700" w:firstLine="0" w:firstLineChars="0"/>
    </w:pPr>
    <w:rPr>
      <w:sz w:val="21"/>
    </w:rPr>
  </w:style>
  <w:style w:type="paragraph" w:styleId="14">
    <w:name w:val="Plain Text"/>
    <w:basedOn w:val="1"/>
    <w:next w:val="15"/>
    <w:autoRedefine/>
    <w:qFormat/>
    <w:locked/>
    <w:uiPriority w:val="0"/>
    <w:rPr>
      <w:rFonts w:ascii="宋体" w:hAnsi="Courier New"/>
    </w:rPr>
  </w:style>
  <w:style w:type="paragraph" w:customStyle="1" w:styleId="15">
    <w:name w:val="表内文字"/>
    <w:basedOn w:val="1"/>
    <w:autoRedefine/>
    <w:qFormat/>
    <w:uiPriority w:val="0"/>
    <w:pPr>
      <w:spacing w:line="360" w:lineRule="atLeast"/>
      <w:jc w:val="center"/>
    </w:pPr>
  </w:style>
  <w:style w:type="paragraph" w:styleId="16">
    <w:name w:val="Date"/>
    <w:basedOn w:val="1"/>
    <w:next w:val="1"/>
    <w:link w:val="46"/>
    <w:autoRedefine/>
    <w:qFormat/>
    <w:uiPriority w:val="0"/>
    <w:pPr>
      <w:ind w:left="100" w:leftChars="2500"/>
    </w:pPr>
    <w:rPr>
      <w:kern w:val="0"/>
      <w:sz w:val="24"/>
      <w:szCs w:val="20"/>
    </w:rPr>
  </w:style>
  <w:style w:type="paragraph" w:styleId="17">
    <w:name w:val="Body Text Indent 2"/>
    <w:basedOn w:val="1"/>
    <w:qFormat/>
    <w:locked/>
    <w:uiPriority w:val="0"/>
    <w:pPr>
      <w:spacing w:line="560" w:lineRule="exact"/>
      <w:ind w:firstLine="573"/>
    </w:pPr>
    <w:rPr>
      <w:sz w:val="24"/>
    </w:rPr>
  </w:style>
  <w:style w:type="paragraph" w:styleId="18">
    <w:name w:val="endnote text"/>
    <w:basedOn w:val="1"/>
    <w:autoRedefine/>
    <w:unhideWhenUsed/>
    <w:qFormat/>
    <w:locked/>
    <w:uiPriority w:val="0"/>
    <w:pPr>
      <w:snapToGrid w:val="0"/>
      <w:jc w:val="left"/>
    </w:pPr>
    <w:rPr>
      <w:rFonts w:ascii="Calibri" w:hAnsi="Calibri"/>
      <w:sz w:val="24"/>
      <w:szCs w:val="22"/>
    </w:rPr>
  </w:style>
  <w:style w:type="paragraph" w:styleId="19">
    <w:name w:val="Balloon Text"/>
    <w:basedOn w:val="1"/>
    <w:link w:val="47"/>
    <w:autoRedefine/>
    <w:semiHidden/>
    <w:qFormat/>
    <w:uiPriority w:val="0"/>
    <w:rPr>
      <w:kern w:val="0"/>
      <w:sz w:val="18"/>
      <w:szCs w:val="20"/>
    </w:rPr>
  </w:style>
  <w:style w:type="paragraph" w:styleId="20">
    <w:name w:val="footer"/>
    <w:basedOn w:val="1"/>
    <w:link w:val="48"/>
    <w:autoRedefine/>
    <w:qFormat/>
    <w:uiPriority w:val="99"/>
    <w:pPr>
      <w:tabs>
        <w:tab w:val="center" w:pos="4153"/>
        <w:tab w:val="right" w:pos="8306"/>
      </w:tabs>
      <w:snapToGrid w:val="0"/>
      <w:jc w:val="left"/>
    </w:pPr>
    <w:rPr>
      <w:kern w:val="0"/>
      <w:sz w:val="18"/>
      <w:szCs w:val="20"/>
    </w:rPr>
  </w:style>
  <w:style w:type="paragraph" w:styleId="21">
    <w:name w:val="header"/>
    <w:basedOn w:val="1"/>
    <w:next w:val="22"/>
    <w:link w:val="45"/>
    <w:autoRedefine/>
    <w:qFormat/>
    <w:uiPriority w:val="0"/>
    <w:pPr>
      <w:pBdr>
        <w:bottom w:val="single" w:color="auto" w:sz="6" w:space="1"/>
      </w:pBdr>
      <w:tabs>
        <w:tab w:val="center" w:pos="4153"/>
        <w:tab w:val="right" w:pos="8306"/>
      </w:tabs>
      <w:snapToGrid w:val="0"/>
      <w:jc w:val="center"/>
    </w:pPr>
    <w:rPr>
      <w:rFonts w:ascii="Times New Roman" w:hAnsi="Times New Roman" w:eastAsia="宋体"/>
      <w:kern w:val="0"/>
      <w:sz w:val="21"/>
      <w:szCs w:val="21"/>
    </w:rPr>
  </w:style>
  <w:style w:type="paragraph" w:customStyle="1" w:styleId="22">
    <w:name w:val="样式5"/>
    <w:basedOn w:val="23"/>
    <w:next w:val="18"/>
    <w:autoRedefine/>
    <w:qFormat/>
    <w:uiPriority w:val="0"/>
    <w:pPr>
      <w:adjustRightInd w:val="0"/>
      <w:snapToGrid w:val="0"/>
      <w:spacing w:line="460" w:lineRule="exact"/>
      <w:ind w:firstLine="200" w:firstLineChars="200"/>
      <w:textAlignment w:val="baseline"/>
    </w:pPr>
    <w:rPr>
      <w:rFonts w:ascii="Arial" w:hAnsi="Arial" w:cs="Arial"/>
      <w:szCs w:val="20"/>
    </w:rPr>
  </w:style>
  <w:style w:type="paragraph" w:customStyle="1" w:styleId="23">
    <w:name w:val="正文1"/>
    <w:basedOn w:val="1"/>
    <w:next w:val="1"/>
    <w:autoRedefine/>
    <w:qFormat/>
    <w:uiPriority w:val="0"/>
    <w:pPr>
      <w:spacing w:before="25" w:beforeLines="25" w:after="25" w:afterLines="25" w:line="360" w:lineRule="auto"/>
      <w:ind w:firstLine="420" w:firstLineChars="175"/>
    </w:pPr>
    <w:rPr>
      <w:rFonts w:ascii="Calibri" w:hAnsi="Calibri"/>
      <w:sz w:val="24"/>
    </w:rPr>
  </w:style>
  <w:style w:type="paragraph" w:styleId="24">
    <w:name w:val="List"/>
    <w:basedOn w:val="1"/>
    <w:autoRedefine/>
    <w:qFormat/>
    <w:locked/>
    <w:uiPriority w:val="0"/>
    <w:pPr>
      <w:ind w:left="200" w:hanging="200" w:hangingChars="200"/>
      <w:contextualSpacing/>
    </w:pPr>
    <w:rPr>
      <w:kern w:val="0"/>
    </w:rPr>
  </w:style>
  <w:style w:type="paragraph" w:styleId="25">
    <w:name w:val="toc 2"/>
    <w:basedOn w:val="1"/>
    <w:next w:val="1"/>
    <w:autoRedefine/>
    <w:qFormat/>
    <w:locked/>
    <w:uiPriority w:val="0"/>
    <w:pPr>
      <w:ind w:left="420" w:leftChars="200"/>
    </w:pPr>
  </w:style>
  <w:style w:type="paragraph" w:styleId="26">
    <w:name w:val="Normal (Web)"/>
    <w:basedOn w:val="1"/>
    <w:link w:val="49"/>
    <w:autoRedefine/>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1"/>
    <w:next w:val="11"/>
    <w:link w:val="50"/>
    <w:autoRedefine/>
    <w:semiHidden/>
    <w:qFormat/>
    <w:uiPriority w:val="0"/>
    <w:rPr>
      <w:b/>
    </w:rPr>
  </w:style>
  <w:style w:type="paragraph" w:styleId="28">
    <w:name w:val="Body Text First Indent"/>
    <w:basedOn w:val="6"/>
    <w:next w:val="29"/>
    <w:autoRedefine/>
    <w:qFormat/>
    <w:locked/>
    <w:uiPriority w:val="0"/>
    <w:pPr>
      <w:widowControl w:val="0"/>
      <w:snapToGrid/>
      <w:spacing w:before="0" w:after="120" w:line="240" w:lineRule="auto"/>
      <w:ind w:right="0" w:firstLine="420" w:firstLineChars="100"/>
    </w:pPr>
    <w:rPr>
      <w:kern w:val="2"/>
      <w:sz w:val="21"/>
      <w:szCs w:val="24"/>
    </w:rPr>
  </w:style>
  <w:style w:type="paragraph" w:styleId="29">
    <w:name w:val="Body Text First Indent 2"/>
    <w:basedOn w:val="12"/>
    <w:next w:val="1"/>
    <w:autoRedefine/>
    <w:qFormat/>
    <w:locked/>
    <w:uiPriority w:val="0"/>
    <w:pPr>
      <w:ind w:firstLine="420"/>
    </w:pPr>
    <w:rPr>
      <w:sz w:val="21"/>
    </w:rPr>
  </w:style>
  <w:style w:type="table" w:styleId="31">
    <w:name w:val="Table Grid"/>
    <w:basedOn w:val="3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page number"/>
    <w:basedOn w:val="32"/>
    <w:autoRedefine/>
    <w:qFormat/>
    <w:locked/>
    <w:uiPriority w:val="0"/>
  </w:style>
  <w:style w:type="character" w:styleId="34">
    <w:name w:val="Emphasis"/>
    <w:autoRedefine/>
    <w:qFormat/>
    <w:locked/>
    <w:uiPriority w:val="0"/>
    <w:rPr>
      <w:rFonts w:cs="Times New Roman"/>
      <w:b/>
      <w:sz w:val="21"/>
    </w:rPr>
  </w:style>
  <w:style w:type="character" w:styleId="35">
    <w:name w:val="annotation reference"/>
    <w:autoRedefine/>
    <w:semiHidden/>
    <w:qFormat/>
    <w:uiPriority w:val="0"/>
    <w:rPr>
      <w:sz w:val="21"/>
    </w:rPr>
  </w:style>
  <w:style w:type="paragraph" w:customStyle="1" w:styleId="36">
    <w:name w:val="书正文"/>
    <w:basedOn w:val="1"/>
    <w:autoRedefine/>
    <w:qFormat/>
    <w:uiPriority w:val="0"/>
    <w:pPr>
      <w:spacing w:line="500" w:lineRule="exact"/>
      <w:ind w:firstLine="640" w:firstLineChars="200"/>
    </w:pPr>
  </w:style>
  <w:style w:type="paragraph" w:customStyle="1" w:styleId="37">
    <w:name w:val="xl27"/>
    <w:autoRedefine/>
    <w:qFormat/>
    <w:uiPriority w:val="0"/>
    <w:pPr>
      <w:pBdr>
        <w:bottom w:val="single" w:color="auto" w:sz="4" w:space="0"/>
        <w:right w:val="single" w:color="auto" w:sz="4" w:space="0"/>
      </w:pBdr>
      <w:spacing w:before="100" w:beforeAutospacing="1" w:after="100" w:afterAutospacing="1" w:line="500" w:lineRule="exact"/>
      <w:ind w:firstLine="200" w:firstLineChars="200"/>
      <w:jc w:val="center"/>
    </w:pPr>
    <w:rPr>
      <w:rFonts w:ascii="宋体" w:hAnsi="宋体" w:eastAsia="宋体" w:cs="Times New Roman"/>
      <w:sz w:val="24"/>
      <w:szCs w:val="21"/>
      <w:lang w:val="en-US" w:eastAsia="zh-CN" w:bidi="ar-SA"/>
    </w:rPr>
  </w:style>
  <w:style w:type="paragraph" w:customStyle="1" w:styleId="38">
    <w:name w:val="Default"/>
    <w:basedOn w:val="39"/>
    <w:next w:val="1"/>
    <w:autoRedefine/>
    <w:qFormat/>
    <w:uiPriority w:val="0"/>
    <w:rPr>
      <w:rFonts w:cs="宋体"/>
      <w:color w:val="000000"/>
      <w:sz w:val="24"/>
      <w:szCs w:val="24"/>
    </w:rPr>
  </w:style>
  <w:style w:type="paragraph" w:customStyle="1" w:styleId="39">
    <w:name w:val="纯文本1"/>
    <w:basedOn w:val="40"/>
    <w:autoRedefine/>
    <w:qFormat/>
    <w:uiPriority w:val="99"/>
    <w:pPr>
      <w:autoSpaceDE w:val="0"/>
      <w:autoSpaceDN w:val="0"/>
      <w:adjustRightInd w:val="0"/>
      <w:textAlignment w:val="baseline"/>
    </w:pPr>
    <w:rPr>
      <w:rFonts w:ascii="宋体"/>
      <w:szCs w:val="20"/>
    </w:rPr>
  </w:style>
  <w:style w:type="paragraph" w:customStyle="1" w:styleId="40">
    <w:name w:val="正文_0"/>
    <w:next w:val="39"/>
    <w:autoRedefine/>
    <w:qFormat/>
    <w:uiPriority w:val="0"/>
    <w:pPr>
      <w:widowControl w:val="0"/>
      <w:jc w:val="both"/>
    </w:pPr>
    <w:rPr>
      <w:rFonts w:ascii="Calibri" w:hAnsi="Calibri" w:eastAsia="仿宋_GB2312" w:cs="Times New Roman"/>
      <w:kern w:val="2"/>
      <w:sz w:val="32"/>
      <w:szCs w:val="24"/>
      <w:lang w:val="en-US" w:eastAsia="zh-CN" w:bidi="ar-SA"/>
    </w:rPr>
  </w:style>
  <w:style w:type="paragraph" w:customStyle="1" w:styleId="41">
    <w:name w:val="样式1"/>
    <w:next w:val="1"/>
    <w:autoRedefine/>
    <w:qFormat/>
    <w:uiPriority w:val="0"/>
    <w:pPr>
      <w:widowControl w:val="0"/>
      <w:snapToGrid w:val="0"/>
      <w:jc w:val="center"/>
    </w:pPr>
    <w:rPr>
      <w:rFonts w:ascii="宋体" w:hAnsi="Arial" w:eastAsia="宋体" w:cs="Times New Roman"/>
      <w:b/>
      <w:bCs/>
      <w:kern w:val="2"/>
      <w:sz w:val="21"/>
      <w:lang w:val="en-US" w:eastAsia="zh-CN" w:bidi="ar-SA"/>
    </w:rPr>
  </w:style>
  <w:style w:type="character" w:customStyle="1" w:styleId="42">
    <w:name w:val="正文文本 Char"/>
    <w:link w:val="6"/>
    <w:autoRedefine/>
    <w:qFormat/>
    <w:locked/>
    <w:uiPriority w:val="0"/>
    <w:rPr>
      <w:sz w:val="18"/>
    </w:rPr>
  </w:style>
  <w:style w:type="character" w:customStyle="1" w:styleId="43">
    <w:name w:val="批注文字 Char"/>
    <w:link w:val="11"/>
    <w:autoRedefine/>
    <w:qFormat/>
    <w:locked/>
    <w:uiPriority w:val="0"/>
    <w:rPr>
      <w:rFonts w:ascii="Times New Roman" w:hAnsi="Times New Roman" w:eastAsia="宋体"/>
      <w:sz w:val="24"/>
    </w:rPr>
  </w:style>
  <w:style w:type="character" w:customStyle="1" w:styleId="44">
    <w:name w:val="正文文本缩进 Char"/>
    <w:link w:val="12"/>
    <w:autoRedefine/>
    <w:semiHidden/>
    <w:qFormat/>
    <w:locked/>
    <w:uiPriority w:val="0"/>
    <w:rPr>
      <w:rFonts w:ascii="Times New Roman" w:hAnsi="Times New Roman" w:eastAsia="宋体"/>
      <w:sz w:val="24"/>
    </w:rPr>
  </w:style>
  <w:style w:type="character" w:customStyle="1" w:styleId="45">
    <w:name w:val="页眉 Char"/>
    <w:link w:val="21"/>
    <w:autoRedefine/>
    <w:qFormat/>
    <w:locked/>
    <w:uiPriority w:val="0"/>
    <w:rPr>
      <w:rFonts w:ascii="Times New Roman" w:hAnsi="Times New Roman" w:eastAsia="宋体"/>
      <w:sz w:val="21"/>
      <w:szCs w:val="21"/>
    </w:rPr>
  </w:style>
  <w:style w:type="character" w:customStyle="1" w:styleId="46">
    <w:name w:val="日期 Char"/>
    <w:link w:val="16"/>
    <w:autoRedefine/>
    <w:qFormat/>
    <w:locked/>
    <w:uiPriority w:val="0"/>
    <w:rPr>
      <w:rFonts w:ascii="Times New Roman" w:hAnsi="Times New Roman" w:eastAsia="宋体"/>
      <w:sz w:val="24"/>
    </w:rPr>
  </w:style>
  <w:style w:type="character" w:customStyle="1" w:styleId="47">
    <w:name w:val="批注框文本 Char"/>
    <w:link w:val="19"/>
    <w:autoRedefine/>
    <w:semiHidden/>
    <w:qFormat/>
    <w:locked/>
    <w:uiPriority w:val="0"/>
    <w:rPr>
      <w:rFonts w:ascii="Times New Roman" w:hAnsi="Times New Roman" w:eastAsia="宋体"/>
      <w:sz w:val="18"/>
    </w:rPr>
  </w:style>
  <w:style w:type="character" w:customStyle="1" w:styleId="48">
    <w:name w:val="页脚 Char"/>
    <w:link w:val="20"/>
    <w:autoRedefine/>
    <w:qFormat/>
    <w:locked/>
    <w:uiPriority w:val="99"/>
    <w:rPr>
      <w:sz w:val="18"/>
    </w:rPr>
  </w:style>
  <w:style w:type="character" w:customStyle="1" w:styleId="49">
    <w:name w:val="普通(网站) Char"/>
    <w:link w:val="26"/>
    <w:autoRedefine/>
    <w:qFormat/>
    <w:locked/>
    <w:uiPriority w:val="0"/>
    <w:rPr>
      <w:rFonts w:ascii="宋体" w:hAnsi="宋体" w:eastAsia="宋体"/>
      <w:sz w:val="24"/>
    </w:rPr>
  </w:style>
  <w:style w:type="character" w:customStyle="1" w:styleId="50">
    <w:name w:val="批注主题 Char"/>
    <w:link w:val="27"/>
    <w:autoRedefine/>
    <w:semiHidden/>
    <w:qFormat/>
    <w:locked/>
    <w:uiPriority w:val="0"/>
    <w:rPr>
      <w:rFonts w:ascii="Times New Roman" w:hAnsi="Times New Roman" w:eastAsia="宋体"/>
      <w:b/>
      <w:kern w:val="2"/>
      <w:sz w:val="24"/>
    </w:rPr>
  </w:style>
  <w:style w:type="paragraph" w:customStyle="1" w:styleId="51">
    <w:name w:val="样式 样式 样式 四号 左侧:  1.53 厘米 + 首行缩进:  2 字符 + 居中 左侧:  2 字符 首行缩进:  2..."/>
    <w:basedOn w:val="52"/>
    <w:next w:val="1"/>
    <w:autoRedefine/>
    <w:qFormat/>
    <w:uiPriority w:val="0"/>
    <w:pPr>
      <w:jc w:val="center"/>
    </w:pPr>
  </w:style>
  <w:style w:type="paragraph" w:customStyle="1" w:styleId="52">
    <w:name w:val="样式 样式 四号 左侧:  1.53 厘米 + 首行缩进:  2 字符"/>
    <w:basedOn w:val="53"/>
    <w:autoRedefine/>
    <w:qFormat/>
    <w:uiPriority w:val="0"/>
    <w:pPr>
      <w:ind w:left="200" w:leftChars="200"/>
    </w:pPr>
    <w:rPr>
      <w:szCs w:val="20"/>
    </w:rPr>
  </w:style>
  <w:style w:type="paragraph" w:customStyle="1" w:styleId="53">
    <w:name w:val="样式 四号 左侧:  1.53 厘米"/>
    <w:basedOn w:val="1"/>
    <w:autoRedefine/>
    <w:qFormat/>
    <w:uiPriority w:val="0"/>
    <w:pPr>
      <w:adjustRightInd w:val="0"/>
    </w:pPr>
    <w:rPr>
      <w:w w:val="90"/>
      <w:sz w:val="28"/>
      <w:szCs w:val="28"/>
    </w:rPr>
  </w:style>
  <w:style w:type="character" w:customStyle="1" w:styleId="54">
    <w:name w:val="页脚 字符"/>
    <w:basedOn w:val="32"/>
    <w:autoRedefine/>
    <w:qFormat/>
    <w:uiPriority w:val="99"/>
  </w:style>
  <w:style w:type="character" w:customStyle="1" w:styleId="55">
    <w:name w:val="正文文本 字符1"/>
    <w:autoRedefine/>
    <w:semiHidden/>
    <w:qFormat/>
    <w:uiPriority w:val="0"/>
    <w:rPr>
      <w:rFonts w:ascii="Times New Roman" w:hAnsi="Times New Roman" w:eastAsia="宋体"/>
      <w:sz w:val="24"/>
    </w:rPr>
  </w:style>
  <w:style w:type="character" w:customStyle="1" w:styleId="56">
    <w:name w:val="批注文字 字符1"/>
    <w:autoRedefine/>
    <w:semiHidden/>
    <w:qFormat/>
    <w:uiPriority w:val="0"/>
    <w:rPr>
      <w:rFonts w:ascii="Times New Roman" w:hAnsi="Times New Roman" w:eastAsia="宋体"/>
      <w:sz w:val="24"/>
    </w:rPr>
  </w:style>
  <w:style w:type="character" w:customStyle="1" w:styleId="57">
    <w:name w:val="表格 Char"/>
    <w:link w:val="58"/>
    <w:autoRedefine/>
    <w:qFormat/>
    <w:locked/>
    <w:uiPriority w:val="0"/>
    <w:rPr>
      <w:rFonts w:ascii="宋体"/>
      <w:sz w:val="21"/>
    </w:rPr>
  </w:style>
  <w:style w:type="paragraph" w:customStyle="1" w:styleId="58">
    <w:name w:val="表格"/>
    <w:basedOn w:val="1"/>
    <w:next w:val="1"/>
    <w:link w:val="57"/>
    <w:autoRedefine/>
    <w:qFormat/>
    <w:uiPriority w:val="0"/>
    <w:pPr>
      <w:adjustRightInd w:val="0"/>
      <w:snapToGrid w:val="0"/>
      <w:spacing w:beforeLines="10" w:afterLines="10" w:line="259" w:lineRule="auto"/>
      <w:jc w:val="center"/>
    </w:pPr>
    <w:rPr>
      <w:rFonts w:ascii="宋体"/>
      <w:kern w:val="0"/>
      <w:szCs w:val="20"/>
    </w:rPr>
  </w:style>
  <w:style w:type="character" w:customStyle="1" w:styleId="59">
    <w:name w:val="日期 字符"/>
    <w:autoRedefine/>
    <w:semiHidden/>
    <w:qFormat/>
    <w:uiPriority w:val="0"/>
    <w:rPr>
      <w:rFonts w:ascii="Times New Roman" w:hAnsi="Times New Roman" w:eastAsia="宋体"/>
      <w:sz w:val="24"/>
    </w:rPr>
  </w:style>
  <w:style w:type="paragraph" w:customStyle="1" w:styleId="60">
    <w:name w:val="样式 宋体 小四 粉红 行距: 1.5 倍行距"/>
    <w:basedOn w:val="1"/>
    <w:autoRedefine/>
    <w:qFormat/>
    <w:uiPriority w:val="0"/>
    <w:pPr>
      <w:spacing w:line="360" w:lineRule="auto"/>
      <w:ind w:firstLine="480" w:firstLineChars="200"/>
    </w:pPr>
    <w:rPr>
      <w:rFonts w:cs="宋体"/>
      <w:color w:val="FF00FF"/>
      <w:sz w:val="24"/>
      <w:szCs w:val="20"/>
    </w:rPr>
  </w:style>
  <w:style w:type="paragraph" w:customStyle="1" w:styleId="61">
    <w:name w:val="表格内容"/>
    <w:basedOn w:val="1"/>
    <w:next w:val="1"/>
    <w:autoRedefine/>
    <w:qFormat/>
    <w:uiPriority w:val="0"/>
    <w:pPr>
      <w:jc w:val="center"/>
    </w:pPr>
    <w:rPr>
      <w:kern w:val="44"/>
    </w:rPr>
  </w:style>
  <w:style w:type="paragraph" w:customStyle="1" w:styleId="6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4">
    <w:name w:val="样式7"/>
    <w:basedOn w:val="1"/>
    <w:autoRedefine/>
    <w:qFormat/>
    <w:uiPriority w:val="0"/>
    <w:pPr>
      <w:spacing w:line="360" w:lineRule="auto"/>
      <w:ind w:firstLine="480" w:firstLineChars="200"/>
    </w:pPr>
    <w:rPr>
      <w:rFonts w:ascii="宋体" w:hAnsi="宋体"/>
      <w:sz w:val="24"/>
    </w:rPr>
  </w:style>
  <w:style w:type="paragraph" w:customStyle="1" w:styleId="65">
    <w:name w:val="图表11111"/>
    <w:basedOn w:val="66"/>
    <w:autoRedefine/>
    <w:qFormat/>
    <w:uiPriority w:val="0"/>
  </w:style>
  <w:style w:type="paragraph" w:customStyle="1" w:styleId="66">
    <w:name w:val="图表"/>
    <w:basedOn w:val="1"/>
    <w:autoRedefine/>
    <w:qFormat/>
    <w:uiPriority w:val="0"/>
    <w:pPr>
      <w:spacing w:line="360" w:lineRule="auto"/>
      <w:jc w:val="center"/>
    </w:pPr>
    <w:rPr>
      <w:rFonts w:eastAsia="黑体"/>
      <w:color w:val="000000"/>
      <w:sz w:val="24"/>
    </w:rPr>
  </w:style>
  <w:style w:type="paragraph" w:customStyle="1" w:styleId="67">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68">
    <w:name w:val="Table Paragraph"/>
    <w:basedOn w:val="1"/>
    <w:autoRedefine/>
    <w:qFormat/>
    <w:uiPriority w:val="1"/>
    <w:rPr>
      <w:rFonts w:ascii="宋体" w:hAnsi="宋体" w:cs="宋体"/>
      <w:lang w:val="zh-CN" w:bidi="zh-CN"/>
    </w:rPr>
  </w:style>
  <w:style w:type="paragraph" w:customStyle="1" w:styleId="69">
    <w:name w:val="表内容."/>
    <w:basedOn w:val="1"/>
    <w:autoRedefine/>
    <w:qFormat/>
    <w:uiPriority w:val="0"/>
    <w:pPr>
      <w:jc w:val="center"/>
      <w:textAlignment w:val="center"/>
    </w:pPr>
  </w:style>
  <w:style w:type="paragraph" w:customStyle="1" w:styleId="70">
    <w:name w:val="表格正文"/>
    <w:basedOn w:val="1"/>
    <w:next w:val="1"/>
    <w:autoRedefine/>
    <w:qFormat/>
    <w:uiPriority w:val="0"/>
    <w:pPr>
      <w:jc w:val="center"/>
    </w:pPr>
    <w:rPr>
      <w:szCs w:val="22"/>
    </w:rPr>
  </w:style>
  <w:style w:type="paragraph" w:customStyle="1" w:styleId="71">
    <w:name w:val="表头."/>
    <w:next w:val="69"/>
    <w:autoRedefine/>
    <w:qFormat/>
    <w:uiPriority w:val="0"/>
    <w:pPr>
      <w:spacing w:after="120"/>
      <w:jc w:val="center"/>
    </w:pPr>
    <w:rPr>
      <w:rFonts w:ascii="Times New Roman" w:hAnsi="Times New Roman" w:eastAsia="黑体" w:cs="Times New Roman"/>
      <w:kern w:val="2"/>
      <w:sz w:val="24"/>
      <w:szCs w:val="22"/>
      <w:lang w:val="en-US" w:eastAsia="zh-CN" w:bidi="ar-SA"/>
    </w:rPr>
  </w:style>
  <w:style w:type="table" w:customStyle="1" w:styleId="72">
    <w:name w:val="Table Normal"/>
    <w:autoRedefine/>
    <w:unhideWhenUsed/>
    <w:qFormat/>
    <w:uiPriority w:val="0"/>
    <w:tblPr>
      <w:tblCellMar>
        <w:top w:w="0" w:type="dxa"/>
        <w:left w:w="0" w:type="dxa"/>
        <w:bottom w:w="0" w:type="dxa"/>
        <w:right w:w="0" w:type="dxa"/>
      </w:tblCellMar>
    </w:tblPr>
  </w:style>
  <w:style w:type="paragraph" w:customStyle="1" w:styleId="73">
    <w:name w:val="列出段落1"/>
    <w:basedOn w:val="1"/>
    <w:autoRedefine/>
    <w:qFormat/>
    <w:uiPriority w:val="99"/>
    <w:pPr>
      <w:spacing w:line="500" w:lineRule="exact"/>
      <w:ind w:firstLine="420" w:firstLineChars="200"/>
    </w:pPr>
    <w:rPr>
      <w:rFonts w:ascii="宋体" w:hAnsi="宋体"/>
      <w:sz w:val="24"/>
    </w:rPr>
  </w:style>
  <w:style w:type="paragraph" w:customStyle="1" w:styleId="74">
    <w:name w:val="样式 小四 居中 首行缩进:  0 字符"/>
    <w:basedOn w:val="1"/>
    <w:autoRedefine/>
    <w:qFormat/>
    <w:uiPriority w:val="0"/>
    <w:pPr>
      <w:jc w:val="center"/>
    </w:pPr>
    <w:rPr>
      <w:sz w:val="24"/>
      <w:szCs w:val="20"/>
    </w:rPr>
  </w:style>
  <w:style w:type="paragraph" w:customStyle="1" w:styleId="75">
    <w:name w:val="Default1"/>
    <w:autoRedefine/>
    <w:qFormat/>
    <w:uiPriority w:val="0"/>
    <w:pPr>
      <w:widowControl w:val="0"/>
      <w:autoSpaceDE w:val="0"/>
      <w:autoSpaceDN w:val="0"/>
      <w:adjustRightInd w:val="0"/>
    </w:pPr>
    <w:rPr>
      <w:rFonts w:ascii="宋体" w:hAnsi="Calibri" w:eastAsia="等线" w:cs="宋体"/>
      <w:color w:val="000000"/>
      <w:sz w:val="24"/>
      <w:szCs w:val="24"/>
      <w:lang w:val="en-US" w:eastAsia="zh-CN" w:bidi="ar-SA"/>
    </w:rPr>
  </w:style>
  <w:style w:type="paragraph" w:customStyle="1" w:styleId="76">
    <w:name w:val="书表格内"/>
    <w:basedOn w:val="1"/>
    <w:autoRedefine/>
    <w:qFormat/>
    <w:uiPriority w:val="0"/>
    <w:pPr>
      <w:spacing w:line="0" w:lineRule="atLeast"/>
      <w:jc w:val="center"/>
    </w:pPr>
  </w:style>
  <w:style w:type="paragraph" w:customStyle="1" w:styleId="77">
    <w:name w:val="00报告正文"/>
    <w:basedOn w:val="14"/>
    <w:autoRedefine/>
    <w:qFormat/>
    <w:uiPriority w:val="0"/>
    <w:pPr>
      <w:spacing w:line="240" w:lineRule="atLeast"/>
      <w:ind w:firstLine="481" w:firstLineChars="200"/>
    </w:pPr>
    <w:rPr>
      <w:rFonts w:ascii="仿宋_GB2312" w:eastAsia="仿宋_GB2312"/>
      <w:sz w:val="32"/>
    </w:rPr>
  </w:style>
  <w:style w:type="table" w:customStyle="1" w:styleId="78">
    <w:name w:val="网格型14"/>
    <w:autoRedefine/>
    <w:qFormat/>
    <w:uiPriority w:val="5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9">
    <w:name w:val="font31"/>
    <w:basedOn w:val="32"/>
    <w:autoRedefine/>
    <w:qFormat/>
    <w:uiPriority w:val="0"/>
    <w:rPr>
      <w:rFonts w:hint="eastAsia" w:ascii="宋体" w:hAnsi="宋体" w:eastAsia="宋体" w:cs="宋体"/>
      <w:color w:val="000000"/>
      <w:sz w:val="24"/>
      <w:szCs w:val="24"/>
      <w:u w:val="none"/>
    </w:rPr>
  </w:style>
  <w:style w:type="character" w:customStyle="1" w:styleId="80">
    <w:name w:val="正文文本缩进 3 Char Char"/>
    <w:autoRedefine/>
    <w:qFormat/>
    <w:uiPriority w:val="0"/>
    <w:rPr>
      <w:rFonts w:ascii="宋体" w:hAnsi="宋体" w:eastAsia="宋体"/>
      <w:b/>
      <w:bCs/>
      <w:kern w:val="2"/>
      <w:sz w:val="24"/>
      <w:lang w:val="en-US" w:eastAsia="zh-CN" w:bidi="ar-SA"/>
    </w:rPr>
  </w:style>
  <w:style w:type="paragraph" w:customStyle="1" w:styleId="81">
    <w:name w:val="表格居中"/>
    <w:basedOn w:val="82"/>
    <w:autoRedefine/>
    <w:qFormat/>
    <w:uiPriority w:val="0"/>
    <w:pPr>
      <w:tabs>
        <w:tab w:val="center" w:pos="501"/>
      </w:tabs>
    </w:pPr>
  </w:style>
  <w:style w:type="paragraph" w:customStyle="1" w:styleId="82">
    <w:name w:val="无间隔1"/>
    <w:autoRedefine/>
    <w:qFormat/>
    <w:uiPriority w:val="0"/>
    <w:pPr>
      <w:tabs>
        <w:tab w:val="center" w:pos="501"/>
      </w:tabs>
      <w:snapToGrid w:val="0"/>
      <w:jc w:val="center"/>
    </w:pPr>
    <w:rPr>
      <w:rFonts w:ascii="等线" w:hAnsi="等线" w:eastAsia="等线" w:cs="等线"/>
      <w:color w:val="000000"/>
      <w:sz w:val="21"/>
      <w:szCs w:val="22"/>
      <w:lang w:val="en-US" w:eastAsia="zh-CN" w:bidi="en-US"/>
    </w:rPr>
  </w:style>
  <w:style w:type="character" w:customStyle="1" w:styleId="83">
    <w:name w:val="font21"/>
    <w:basedOn w:val="32"/>
    <w:autoRedefine/>
    <w:qFormat/>
    <w:uiPriority w:val="0"/>
    <w:rPr>
      <w:rFonts w:hint="eastAsia" w:ascii="宋体" w:hAnsi="宋体" w:eastAsia="宋体" w:cs="宋体"/>
      <w:color w:val="000000"/>
      <w:sz w:val="21"/>
      <w:szCs w:val="21"/>
      <w:u w:val="none"/>
    </w:rPr>
  </w:style>
  <w:style w:type="character" w:customStyle="1" w:styleId="84">
    <w:name w:val="font01"/>
    <w:basedOn w:val="32"/>
    <w:autoRedefine/>
    <w:qFormat/>
    <w:uiPriority w:val="0"/>
    <w:rPr>
      <w:rFonts w:hint="default" w:ascii="Calibri" w:hAnsi="Calibri" w:cs="Calibri"/>
      <w:color w:val="000000"/>
      <w:sz w:val="14"/>
      <w:szCs w:val="14"/>
      <w:u w:val="none"/>
    </w:rPr>
  </w:style>
  <w:style w:type="paragraph" w:customStyle="1" w:styleId="85">
    <w:name w:val="正文001"/>
    <w:basedOn w:val="1"/>
    <w:autoRedefine/>
    <w:qFormat/>
    <w:uiPriority w:val="0"/>
    <w:pPr>
      <w:adjustRightInd w:val="0"/>
      <w:spacing w:before="120" w:after="120" w:line="540" w:lineRule="exact"/>
      <w:ind w:firstLine="567"/>
      <w:textAlignment w:val="baseline"/>
    </w:pPr>
    <w:rPr>
      <w:rFonts w:ascii="宋体" w:hAnsi="宋体" w:cs="宋体"/>
      <w:kern w:val="21"/>
      <w:sz w:val="28"/>
      <w:szCs w:val="28"/>
    </w:rPr>
  </w:style>
  <w:style w:type="character" w:customStyle="1" w:styleId="86">
    <w:name w:val="16"/>
    <w:autoRedefine/>
    <w:qFormat/>
    <w:uiPriority w:val="0"/>
    <w:rPr>
      <w:b/>
      <w:bCs/>
      <w:sz w:val="21"/>
      <w:szCs w:val="21"/>
    </w:rPr>
  </w:style>
  <w:style w:type="paragraph" w:customStyle="1" w:styleId="87">
    <w:name w:val="表"/>
    <w:basedOn w:val="88"/>
    <w:autoRedefine/>
    <w:qFormat/>
    <w:uiPriority w:val="0"/>
    <w:pPr>
      <w:spacing w:line="440" w:lineRule="exact"/>
      <w:ind w:firstLine="200" w:firstLineChars="200"/>
      <w:jc w:val="both"/>
    </w:pPr>
    <w:rPr>
      <w:kern w:val="0"/>
      <w:sz w:val="24"/>
    </w:rPr>
  </w:style>
  <w:style w:type="paragraph" w:customStyle="1" w:styleId="88">
    <w:name w:val=" Char Char Char Char"/>
    <w:basedOn w:val="1"/>
    <w:autoRedefine/>
    <w:qFormat/>
    <w:uiPriority w:val="0"/>
  </w:style>
  <w:style w:type="paragraph" w:customStyle="1" w:styleId="89">
    <w:name w:val="标准正文"/>
    <w:basedOn w:val="1"/>
    <w:autoRedefine/>
    <w:qFormat/>
    <w:uiPriority w:val="0"/>
    <w:pPr>
      <w:ind w:firstLine="480" w:firstLineChars="200"/>
    </w:pPr>
    <w:rPr>
      <w:szCs w:val="24"/>
    </w:rPr>
  </w:style>
  <w:style w:type="paragraph" w:styleId="90">
    <w:name w:val="List Paragraph"/>
    <w:basedOn w:val="1"/>
    <w:autoRedefine/>
    <w:qFormat/>
    <w:uiPriority w:val="34"/>
    <w:pPr>
      <w:ind w:firstLine="420"/>
    </w:pPr>
  </w:style>
  <w:style w:type="paragraph" w:customStyle="1" w:styleId="91">
    <w:name w:val="+正文"/>
    <w:basedOn w:val="1"/>
    <w:autoRedefine/>
    <w:qFormat/>
    <w:uiPriority w:val="0"/>
    <w:pPr>
      <w:spacing w:line="360" w:lineRule="auto"/>
    </w:pPr>
    <w:rPr>
      <w:rFonts w:ascii="Calibri" w:hAnsi="Calibri"/>
      <w:sz w:val="28"/>
      <w:szCs w:val="28"/>
    </w:rPr>
  </w:style>
  <w:style w:type="paragraph" w:customStyle="1" w:styleId="92">
    <w:name w:val="表内容K"/>
    <w:basedOn w:val="1"/>
    <w:autoRedefine/>
    <w:qFormat/>
    <w:uiPriority w:val="1"/>
    <w:pPr>
      <w:spacing w:line="240" w:lineRule="auto"/>
      <w:ind w:firstLine="0" w:firstLineChars="0"/>
      <w:jc w:val="center"/>
    </w:pPr>
    <w:rPr>
      <w:sz w:val="21"/>
    </w:rPr>
  </w:style>
  <w:style w:type="paragraph" w:customStyle="1" w:styleId="93">
    <w:name w:val="_Style 4"/>
    <w:autoRedefine/>
    <w:qFormat/>
    <w:uiPriority w:val="1"/>
    <w:pPr>
      <w:widowControl w:val="0"/>
      <w:spacing w:line="440" w:lineRule="exact"/>
      <w:jc w:val="both"/>
    </w:pPr>
    <w:rPr>
      <w:rFonts w:ascii="Times New Roman" w:hAnsi="Times New Roman" w:eastAsia="仿宋_GB2312" w:cs="Times New Roman"/>
      <w:kern w:val="2"/>
      <w:sz w:val="24"/>
      <w:szCs w:val="24"/>
      <w:lang w:val="en-US" w:eastAsia="zh-CN" w:bidi="ar-SA"/>
    </w:rPr>
  </w:style>
  <w:style w:type="paragraph" w:customStyle="1" w:styleId="94">
    <w:name w:val="lh-表题--报告表"/>
    <w:basedOn w:val="1"/>
    <w:autoRedefine/>
    <w:qFormat/>
    <w:uiPriority w:val="0"/>
    <w:pPr>
      <w:keepNext/>
      <w:widowControl/>
      <w:numPr>
        <w:ilvl w:val="0"/>
        <w:numId w:val="2"/>
      </w:numPr>
      <w:spacing w:before="156" w:beforeLines="50"/>
      <w:jc w:val="center"/>
    </w:pPr>
    <w:rPr>
      <w:snapToGrid w:val="0"/>
      <w:kern w:val="0"/>
      <w:sz w:val="24"/>
      <w:szCs w:val="21"/>
    </w:rPr>
  </w:style>
  <w:style w:type="paragraph" w:customStyle="1" w:styleId="95">
    <w:name w:val="lh-表格文字-报告表"/>
    <w:autoRedefine/>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96">
    <w:name w:val="Heading 5"/>
    <w:basedOn w:val="1"/>
    <w:autoRedefine/>
    <w:qFormat/>
    <w:uiPriority w:val="1"/>
    <w:pPr>
      <w:ind w:left="1701"/>
      <w:outlineLvl w:val="5"/>
    </w:pPr>
    <w:rPr>
      <w:rFonts w:ascii="宋体" w:hAnsi="宋体" w:eastAsia="宋体" w:cs="宋体"/>
      <w:b/>
      <w:bCs/>
      <w:sz w:val="24"/>
      <w:szCs w:val="24"/>
      <w:lang w:val="en-US" w:eastAsia="zh-CN" w:bidi="ar-SA"/>
    </w:rPr>
  </w:style>
  <w:style w:type="character" w:customStyle="1" w:styleId="97">
    <w:name w:val="font41"/>
    <w:basedOn w:val="32"/>
    <w:autoRedefine/>
    <w:qFormat/>
    <w:uiPriority w:val="0"/>
    <w:rPr>
      <w:rFonts w:hint="default" w:ascii="Times New Roman" w:hAnsi="Times New Roman" w:cs="Times New Roman"/>
      <w:color w:val="000000"/>
      <w:sz w:val="21"/>
      <w:szCs w:val="21"/>
      <w:u w:val="none"/>
      <w:vertAlign w:val="superscript"/>
    </w:rPr>
  </w:style>
  <w:style w:type="paragraph" w:customStyle="1" w:styleId="98">
    <w:name w:val="正文正"/>
    <w:basedOn w:val="1"/>
    <w:autoRedefine/>
    <w:qFormat/>
    <w:uiPriority w:val="0"/>
    <w:pPr>
      <w:ind w:firstLine="560" w:firstLineChars="200"/>
    </w:pPr>
    <w:rPr>
      <w:sz w:val="28"/>
    </w:rPr>
  </w:style>
  <w:style w:type="paragraph" w:customStyle="1" w:styleId="99">
    <w:name w:val="reader-word-layer reader-word-s3-2 reader-word-s3-6"/>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00">
    <w:name w:val="font51"/>
    <w:basedOn w:val="32"/>
    <w:qFormat/>
    <w:uiPriority w:val="0"/>
    <w:rPr>
      <w:rFonts w:ascii="宋体" w:hAnsi="宋体" w:eastAsia="宋体" w:cs="宋体"/>
      <w:b/>
      <w:bCs/>
      <w:color w:val="000000"/>
      <w:sz w:val="20"/>
      <w:szCs w:val="20"/>
      <w:u w:val="none"/>
    </w:rPr>
  </w:style>
  <w:style w:type="character" w:customStyle="1" w:styleId="101">
    <w:name w:val="font61"/>
    <w:basedOn w:val="32"/>
    <w:qFormat/>
    <w:uiPriority w:val="0"/>
    <w:rPr>
      <w:rFonts w:hint="default" w:ascii="Times New Roman" w:hAnsi="Times New Roman" w:cs="Times New Roman"/>
      <w:b/>
      <w:bCs/>
      <w:color w:val="000000"/>
      <w:sz w:val="20"/>
      <w:szCs w:val="20"/>
      <w:u w:val="none"/>
    </w:rPr>
  </w:style>
  <w:style w:type="character" w:customStyle="1" w:styleId="102">
    <w:name w:val="font71"/>
    <w:basedOn w:val="32"/>
    <w:qFormat/>
    <w:uiPriority w:val="0"/>
    <w:rPr>
      <w:rFonts w:hint="default" w:ascii="Times New Roman" w:hAnsi="Times New Roman" w:cs="Times New Roman"/>
      <w:color w:val="000000"/>
      <w:sz w:val="20"/>
      <w:szCs w:val="20"/>
      <w:u w:val="none"/>
    </w:rPr>
  </w:style>
  <w:style w:type="character" w:customStyle="1" w:styleId="103">
    <w:name w:val="font81"/>
    <w:basedOn w:val="32"/>
    <w:qFormat/>
    <w:uiPriority w:val="0"/>
    <w:rPr>
      <w:rFonts w:ascii="宋体" w:hAnsi="宋体" w:eastAsia="宋体" w:cs="宋体"/>
      <w:color w:val="000000"/>
      <w:sz w:val="20"/>
      <w:szCs w:val="20"/>
      <w:u w:val="none"/>
    </w:rPr>
  </w:style>
  <w:style w:type="character" w:customStyle="1" w:styleId="104">
    <w:name w:val="font91"/>
    <w:basedOn w:val="32"/>
    <w:qFormat/>
    <w:uiPriority w:val="0"/>
    <w:rPr>
      <w:rFonts w:hint="default" w:ascii="Times New Roman" w:hAnsi="Times New Roman" w:cs="Times New Roman"/>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microsoft.com/office/2006/relationships/keyMapCustomizations" Target="customizations.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96</Pages>
  <Words>53620</Words>
  <Characters>64439</Characters>
  <Lines>397</Lines>
  <Paragraphs>111</Paragraphs>
  <TotalTime>325</TotalTime>
  <ScaleCrop>false</ScaleCrop>
  <LinksUpToDate>false</LinksUpToDate>
  <CharactersWithSpaces>64665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卢秀慧</cp:lastModifiedBy>
  <cp:lastPrinted>2024-09-03T07:07:00Z</cp:lastPrinted>
  <dcterms:modified xsi:type="dcterms:W3CDTF">2024-09-29T08:20:56Z</dcterms:modified>
  <dc:title>附件2</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5587E452595C4FA4AE96C03680F8F4A8_13</vt:lpwstr>
  </property>
</Properties>
</file>